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Default Extension="jpeg" ContentType="image/jpeg"/>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2085" w:lineRule="exact"/>
        <w:ind w:left="386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drawing>
          <wp:inline distT="0" distB="0" distL="0" distR="0">
            <wp:extent cx="1407770" cy="13239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7770" cy="1323975"/>
                    </a:xfrm>
                    <a:prstGeom prst="rect">
                      <a:avLst/>
                    </a:prstGeom>
                  </pic:spPr>
                </pic:pic>
              </a:graphicData>
            </a:graphic>
          </wp:inline>
        </w:drawing>
      </w:r>
      <w:r>
        <w:rPr>
          <w:rFonts w:ascii="Times New Roman" w:hAnsi="Times New Roman" w:cs="Times New Roman" w:eastAsia="Times New Roman" w:hint="default"/>
          <w:position w:val="-41"/>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557" w:right="558" w:firstLine="0"/>
        <w:jc w:val="center"/>
        <w:rPr>
          <w:rFonts w:ascii="宋体" w:hAnsi="宋体" w:cs="宋体" w:eastAsia="宋体" w:hint="default"/>
          <w:sz w:val="36"/>
          <w:szCs w:val="36"/>
        </w:rPr>
      </w:pPr>
      <w:r>
        <w:rPr>
          <w:rFonts w:ascii="宋体" w:hAnsi="宋体" w:cs="宋体" w:eastAsia="宋体" w:hint="default"/>
          <w:b/>
          <w:bCs/>
          <w:sz w:val="36"/>
          <w:szCs w:val="36"/>
        </w:rPr>
        <w:t>深圳市方直科技股份有限公司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557" w:right="55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7"/>
        <w:rPr>
          <w:rFonts w:ascii="宋体" w:hAnsi="宋体" w:cs="宋体" w:eastAsia="宋体" w:hint="default"/>
          <w:b/>
          <w:bCs/>
          <w:sz w:val="32"/>
          <w:szCs w:val="32"/>
        </w:rPr>
      </w:pPr>
    </w:p>
    <w:p>
      <w:pPr>
        <w:spacing w:before="0"/>
        <w:ind w:left="557" w:right="557" w:firstLine="0"/>
        <w:jc w:val="center"/>
        <w:rPr>
          <w:rFonts w:ascii="Times New Roman" w:hAnsi="Times New Roman" w:cs="Times New Roman" w:eastAsia="Times New Roman" w:hint="default"/>
          <w:sz w:val="22"/>
          <w:szCs w:val="22"/>
        </w:rPr>
      </w:pPr>
      <w:r>
        <w:rPr>
          <w:rFonts w:ascii="Times New Roman"/>
          <w:b/>
          <w:sz w:val="22"/>
        </w:rPr>
        <w:t>2016-038</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7"/>
        <w:ind w:left="557" w:right="55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第一节 重要提示、目录和释义" w:id="1"/>
      <w:bookmarkEnd w:id="1"/>
      <w:r>
        <w:rPr>
          <w:b w:val="0"/>
          <w:bCs w:val="0"/>
        </w:rPr>
      </w:r>
      <w:r>
        <w:rPr/>
        <w:t>第一节</w:t>
      </w:r>
      <w:r>
        <w:rPr>
          <w:spacing w:val="-7"/>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48"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spacing w:val="2"/>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2" w:right="15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公司负责人黄元忠、主管会计工作负责人孙晓玲及会计机构负责人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全丽声明：保证年度报告中财务报告的真实、准确、完整。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935"/>
        <w:gridCol w:w="2210"/>
        <w:gridCol w:w="2210"/>
        <w:gridCol w:w="2213"/>
      </w:tblGrid>
      <w:tr>
        <w:trPr>
          <w:trHeight w:val="403" w:hRule="exact"/>
        </w:trPr>
        <w:tc>
          <w:tcPr>
            <w:tcW w:w="2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乔东斌</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陈克让</w:t>
            </w:r>
          </w:p>
        </w:tc>
      </w:tr>
    </w:tbl>
    <w:p>
      <w:pPr>
        <w:spacing w:after="0" w:line="240" w:lineRule="auto"/>
        <w:jc w:val="left"/>
        <w:rPr>
          <w:rFonts w:ascii="宋体" w:hAnsi="宋体" w:cs="宋体" w:eastAsia="宋体" w:hint="default"/>
          <w:sz w:val="18"/>
          <w:szCs w:val="18"/>
        </w:rPr>
        <w:sectPr>
          <w:footerReference w:type="default" r:id="rId8"/>
          <w:pgSz w:w="11910" w:h="16840"/>
          <w:pgMar w:footer="982" w:header="745" w:top="1060" w:bottom="118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14"/>
        <w:ind w:left="152" w:right="106" w:firstLine="0"/>
        <w:jc w:val="left"/>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8"/>
        <w:rPr>
          <w:rFonts w:ascii="黑体" w:hAnsi="黑体" w:cs="黑体" w:eastAsia="黑体" w:hint="default"/>
          <w:b/>
          <w:bCs/>
          <w:sz w:val="23"/>
          <w:szCs w:val="23"/>
        </w:rPr>
      </w:pPr>
    </w:p>
    <w:p>
      <w:pPr>
        <w:pStyle w:val="Heading2"/>
        <w:spacing w:line="240" w:lineRule="auto"/>
        <w:ind w:right="106"/>
        <w:jc w:val="left"/>
        <w:rPr>
          <w:b w:val="0"/>
          <w:bCs w:val="0"/>
        </w:rPr>
      </w:pPr>
      <w:r>
        <w:rPr/>
        <w:t>（一）可能存在的风险因素</w:t>
      </w:r>
      <w:r>
        <w:rPr>
          <w:b w:val="0"/>
          <w:bCs w:val="0"/>
        </w:rPr>
      </w:r>
    </w:p>
    <w:p>
      <w:pPr>
        <w:spacing w:line="240" w:lineRule="auto" w:before="6"/>
        <w:rPr>
          <w:rFonts w:ascii="宋体" w:hAnsi="宋体" w:cs="宋体" w:eastAsia="宋体" w:hint="default"/>
          <w:b/>
          <w:bCs/>
          <w:sz w:val="19"/>
          <w:szCs w:val="19"/>
        </w:rPr>
      </w:pPr>
    </w:p>
    <w:p>
      <w:pPr>
        <w:pStyle w:val="Heading2"/>
        <w:spacing w:line="240" w:lineRule="auto"/>
        <w:ind w:left="635" w:right="106"/>
        <w:jc w:val="left"/>
        <w:rPr>
          <w:b w:val="0"/>
          <w:bCs w:val="0"/>
        </w:rPr>
      </w:pPr>
      <w:r>
        <w:rPr>
          <w:rFonts w:ascii="Times New Roman" w:hAnsi="Times New Roman" w:cs="Times New Roman" w:eastAsia="Times New Roman" w:hint="default"/>
        </w:rPr>
        <w:t>1</w:t>
      </w:r>
      <w:r>
        <w:rPr/>
        <w:t>、客户相对集中的风险</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0"/>
        <w:ind w:right="207" w:firstLine="420"/>
        <w:jc w:val="both"/>
      </w:pPr>
      <w:r>
        <w:rPr>
          <w:spacing w:val="-2"/>
        </w:rPr>
        <w:t>目前公司的销售区域仍主要以珠三角，长三角及京津地区等大中城市为主，市场区域相对集中并存在</w:t>
      </w:r>
      <w:r>
        <w:rPr>
          <w:w w:val="100"/>
        </w:rPr>
        <w:t> </w:t>
      </w:r>
      <w:r>
        <w:rPr/>
        <w:t>一定风险，可能对本公司未来盈利能力造成影响。</w:t>
      </w:r>
    </w:p>
    <w:p>
      <w:pPr>
        <w:pStyle w:val="BodyText"/>
        <w:spacing w:line="408" w:lineRule="auto" w:before="144"/>
        <w:ind w:right="185" w:firstLine="420"/>
        <w:jc w:val="both"/>
      </w:pPr>
      <w:r>
        <w:rPr>
          <w:spacing w:val="-2"/>
        </w:rPr>
        <w:t>公司将通过技术研发和产品拓展计划，营销渠道拓展计划解决上述产品及销售区域较为集中的风险。</w:t>
      </w:r>
      <w:r>
        <w:rPr>
          <w:w w:val="100"/>
        </w:rPr>
        <w:t> </w:t>
      </w:r>
      <w:r>
        <w:rPr>
          <w:spacing w:val="-2"/>
        </w:rPr>
        <w:t>一方面通过开发语文、数学等其他学科的研发，将各学科发展均衡。另一方面，公司将把开创新的销售区</w:t>
      </w:r>
      <w:r>
        <w:rPr>
          <w:spacing w:val="-50"/>
        </w:rPr>
        <w:t> </w:t>
      </w:r>
      <w:r>
        <w:rPr>
          <w:spacing w:val="-50"/>
        </w:rPr>
      </w:r>
      <w:r>
        <w:rPr>
          <w:spacing w:val="-2"/>
        </w:rPr>
        <w:t>域作为战略重点，通过与现有的主流出版社、教研系统所建立的良好的合作关系，充分把握各地中小学教</w:t>
      </w:r>
      <w:r>
        <w:rPr>
          <w:spacing w:val="-49"/>
        </w:rPr>
        <w:t> </w:t>
      </w:r>
      <w:r>
        <w:rPr>
          <w:spacing w:val="-49"/>
        </w:rPr>
      </w:r>
      <w:r>
        <w:rPr>
          <w:spacing w:val="-3"/>
        </w:rPr>
        <w:t>材的新特点、新趋势，对潜在用户的市场需求进行调研分析，积极开发地方版本系列以满足二、三线城市</w:t>
      </w:r>
      <w:r>
        <w:rPr>
          <w:spacing w:val="-11"/>
        </w:rPr>
        <w:t> </w:t>
      </w:r>
      <w:r>
        <w:rPr>
          <w:spacing w:val="-11"/>
        </w:rPr>
      </w:r>
      <w:r>
        <w:rPr/>
        <w:t>的拓展需求。</w:t>
      </w:r>
    </w:p>
    <w:p>
      <w:pPr>
        <w:pStyle w:val="Heading2"/>
        <w:spacing w:line="240" w:lineRule="auto" w:before="121"/>
        <w:ind w:left="635" w:right="106"/>
        <w:jc w:val="left"/>
        <w:rPr>
          <w:b w:val="0"/>
          <w:bCs w:val="0"/>
        </w:rPr>
      </w:pPr>
      <w:r>
        <w:rPr>
          <w:rFonts w:ascii="Times New Roman" w:hAnsi="Times New Roman" w:cs="Times New Roman" w:eastAsia="Times New Roman" w:hint="default"/>
        </w:rPr>
        <w:t>2</w:t>
      </w:r>
      <w:r>
        <w:rPr/>
        <w:t>、新产品开发和技术更新换代的风险</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0"/>
        <w:ind w:right="206" w:firstLine="420"/>
        <w:jc w:val="both"/>
      </w:pPr>
      <w:r>
        <w:rPr>
          <w:spacing w:val="-2"/>
        </w:rPr>
        <w:t>市场需求不断变化，教育技术不断发展，如果公司对行业关键技术的发展动态不能及时掌控，对教育</w:t>
      </w:r>
      <w:r>
        <w:rPr>
          <w:w w:val="100"/>
        </w:rPr>
        <w:t> </w:t>
      </w:r>
      <w:r>
        <w:rPr/>
        <w:t>教学当中的新理念以及广大教师和学生的教学需求不能正确把握，研发的产品将不具备竞争力。</w:t>
      </w:r>
    </w:p>
    <w:p>
      <w:pPr>
        <w:pStyle w:val="BodyText"/>
        <w:spacing w:line="408" w:lineRule="auto" w:before="144"/>
        <w:ind w:right="206" w:firstLine="420"/>
        <w:jc w:val="both"/>
      </w:pPr>
      <w:r>
        <w:rPr>
          <w:spacing w:val="-2"/>
        </w:rPr>
        <w:t>公司积极投入同步教学软件及在线教育网络服务开发平台的开发，使公司开发的同步教育服务类产品</w:t>
      </w:r>
      <w:r>
        <w:rPr>
          <w:w w:val="100"/>
        </w:rPr>
        <w:t> </w:t>
      </w:r>
      <w:r>
        <w:rPr>
          <w:spacing w:val="-2"/>
        </w:rPr>
        <w:t>具有更强的针对性和实用性；同时加强基础教育项目研究，在开发实施过程中进行有效管理、把握开发周</w:t>
      </w:r>
      <w:r>
        <w:rPr>
          <w:spacing w:val="-48"/>
        </w:rPr>
        <w:t> </w:t>
      </w:r>
      <w:r>
        <w:rPr>
          <w:spacing w:val="-48"/>
        </w:rPr>
      </w:r>
      <w:r>
        <w:rPr/>
        <w:t>期、降低开发成本。</w:t>
      </w:r>
    </w:p>
    <w:p>
      <w:pPr>
        <w:pStyle w:val="Heading2"/>
        <w:spacing w:line="240" w:lineRule="auto" w:before="121"/>
        <w:ind w:left="635" w:right="106"/>
        <w:jc w:val="left"/>
        <w:rPr>
          <w:b w:val="0"/>
          <w:bCs w:val="0"/>
        </w:rPr>
      </w:pPr>
      <w:r>
        <w:rPr>
          <w:rFonts w:ascii="Times New Roman" w:hAnsi="Times New Roman" w:cs="Times New Roman" w:eastAsia="Times New Roman" w:hint="default"/>
        </w:rPr>
        <w:t>3</w:t>
      </w:r>
      <w:r>
        <w:rPr/>
        <w:t>、公司规模扩大带来的管理风险</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0"/>
        <w:ind w:right="206" w:firstLine="420"/>
        <w:jc w:val="both"/>
      </w:pPr>
      <w:r>
        <w:rPr>
          <w:spacing w:val="-2"/>
        </w:rPr>
        <w:t>同步教育产品行业需要大量具有一定教育背景和技术背景的专业人员。尽管公司凭借多年教育服务行</w:t>
      </w:r>
      <w:r>
        <w:rPr>
          <w:w w:val="100"/>
        </w:rPr>
        <w:t> </w:t>
      </w:r>
      <w:r>
        <w:rPr>
          <w:spacing w:val="-2"/>
        </w:rPr>
        <w:t>业的优势及网络技术开发经验已经培养出一批符合公司现有业务架构需要的复合型人才，但随着行业竞争</w:t>
      </w:r>
      <w:r>
        <w:rPr>
          <w:spacing w:val="-43"/>
        </w:rPr>
        <w:t> </w:t>
      </w:r>
      <w:r>
        <w:rPr>
          <w:spacing w:val="-43"/>
        </w:rPr>
      </w:r>
      <w:r>
        <w:rPr/>
        <w:t>的日趋激烈，公司的不断发展和投资规模的扩大，仍可能面临管理、营销和技术人才匮乏的风险。</w:t>
      </w:r>
    </w:p>
    <w:p>
      <w:pPr>
        <w:pStyle w:val="BodyText"/>
        <w:spacing w:line="408" w:lineRule="auto" w:before="144"/>
        <w:ind w:right="105" w:firstLine="420"/>
        <w:jc w:val="both"/>
      </w:pPr>
      <w:r>
        <w:rPr>
          <w:spacing w:val="-2"/>
        </w:rPr>
        <w:t>公司为此制定了详细的管理、营销和技术等专业人才的引进和培养计划，促使公司人才架构更为科学</w:t>
      </w:r>
      <w:r>
        <w:rPr>
          <w:w w:val="100"/>
        </w:rPr>
        <w:t> </w:t>
      </w:r>
      <w:r>
        <w:rPr>
          <w:spacing w:val="-2"/>
        </w:rPr>
        <w:t>化。通过企业文化建设，不断加强公司的凝聚力。同时，建立了基础培训、技能培训、经验库培训以及上</w:t>
      </w:r>
      <w:r>
        <w:rPr>
          <w:spacing w:val="-42"/>
        </w:rPr>
        <w:t> </w:t>
      </w:r>
      <w:r>
        <w:rPr>
          <w:spacing w:val="-42"/>
        </w:rPr>
      </w:r>
      <w:r>
        <w:rPr>
          <w:spacing w:val="-5"/>
        </w:rPr>
        <w:t>岗专人指导培训等人才培养制度，有效带动了后续人才的补充和发展，保证公司在高速发展中的人才需要。</w:t>
      </w:r>
    </w:p>
    <w:p>
      <w:pPr>
        <w:pStyle w:val="Heading2"/>
        <w:spacing w:line="240" w:lineRule="auto" w:before="121"/>
        <w:ind w:right="106"/>
        <w:jc w:val="left"/>
        <w:rPr>
          <w:b w:val="0"/>
          <w:bCs w:val="0"/>
        </w:rPr>
      </w:pPr>
      <w:r>
        <w:rPr/>
        <w:t>（二）利润分配预案</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0"/>
        <w:ind w:left="572" w:right="106"/>
        <w:jc w:val="left"/>
      </w:pPr>
      <w:r>
        <w:rPr/>
        <w:t>公司经本次董事会审议通过的利润分配预案为：以</w:t>
      </w:r>
      <w:r>
        <w:rPr>
          <w:spacing w:val="-54"/>
        </w:rPr>
        <w:t> </w:t>
      </w:r>
      <w:r>
        <w:rPr>
          <w:rFonts w:ascii="Times New Roman" w:hAnsi="Times New Roman" w:cs="Times New Roman" w:eastAsia="Times New Roman" w:hint="default"/>
        </w:rPr>
        <w:t>158,400,000</w:t>
      </w:r>
      <w:r>
        <w:rPr>
          <w:rFonts w:ascii="Times New Roman" w:hAnsi="Times New Roman" w:cs="Times New Roman" w:eastAsia="Times New Roman" w:hint="default"/>
          <w:spacing w:val="3"/>
        </w:rPr>
        <w:t> </w:t>
      </w:r>
      <w:r>
        <w:rPr>
          <w:spacing w:val="-3"/>
        </w:rPr>
        <w:t>为基数，向全体股东每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3"/>
        </w:rPr>
        <w:t>股派发现金</w:t>
      </w:r>
      <w:r>
        <w:rPr/>
      </w:r>
    </w:p>
    <w:p>
      <w:pPr>
        <w:pStyle w:val="BodyText"/>
        <w:spacing w:line="240" w:lineRule="auto" w:before="177"/>
        <w:ind w:right="106"/>
        <w:jc w:val="left"/>
      </w:pPr>
      <w:r>
        <w:rPr>
          <w:w w:val="100"/>
        </w:rPr>
        <w:t>红利</w:t>
      </w:r>
      <w:r>
        <w:rPr>
          <w:spacing w:val="-53"/>
        </w:rPr>
        <w:t> </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元（</w:t>
      </w:r>
      <w:r>
        <w:rPr>
          <w:w w:val="100"/>
        </w:rPr>
        <w:t>含</w:t>
      </w:r>
      <w:r>
        <w:rPr>
          <w:spacing w:val="-3"/>
          <w:w w:val="100"/>
        </w:rPr>
        <w:t>税</w:t>
      </w:r>
      <w:r>
        <w:rPr>
          <w:spacing w:val="-106"/>
          <w:w w:val="100"/>
        </w:rPr>
        <w:t>）</w:t>
      </w:r>
      <w:r>
        <w:rPr>
          <w:spacing w:val="-3"/>
          <w:w w:val="100"/>
        </w:rPr>
        <w:t>，</w:t>
      </w:r>
      <w:r>
        <w:rPr>
          <w:w w:val="100"/>
        </w:rPr>
        <w:t>送</w:t>
      </w:r>
      <w:r>
        <w:rPr>
          <w:spacing w:val="-3"/>
          <w:w w:val="100"/>
        </w:rPr>
        <w:t>红</w:t>
      </w:r>
      <w:r>
        <w:rPr>
          <w:w w:val="100"/>
        </w:rPr>
        <w:t>股</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t>含</w:t>
      </w:r>
      <w:r>
        <w:rPr>
          <w:spacing w:val="-3"/>
          <w:w w:val="100"/>
        </w:rPr>
        <w:t>税</w:t>
      </w:r>
      <w:r>
        <w:rPr>
          <w:spacing w:val="-106"/>
          <w:w w:val="100"/>
        </w:rPr>
        <w:t>）</w:t>
      </w:r>
      <w:r>
        <w:rPr>
          <w:spacing w:val="-3"/>
          <w:w w:val="100"/>
        </w:rPr>
        <w:t>，</w:t>
      </w:r>
      <w:r>
        <w:rPr>
          <w:w w:val="100"/>
        </w:rPr>
        <w:t>以</w:t>
      </w:r>
      <w:r>
        <w:rPr>
          <w:spacing w:val="-3"/>
          <w:w w:val="100"/>
        </w:rPr>
        <w:t>资</w:t>
      </w:r>
      <w:r>
        <w:rPr>
          <w:w w:val="100"/>
        </w:rPr>
        <w:t>本</w:t>
      </w:r>
      <w:r>
        <w:rPr>
          <w:spacing w:val="-3"/>
          <w:w w:val="100"/>
        </w:rPr>
        <w:t>公积金</w:t>
      </w:r>
      <w:r>
        <w:rPr>
          <w:spacing w:val="2"/>
          <w:w w:val="100"/>
        </w:rPr>
        <w:t>向</w:t>
      </w:r>
      <w:r>
        <w:rPr>
          <w:spacing w:val="-3"/>
          <w:w w:val="100"/>
        </w:rPr>
        <w:t>全</w:t>
      </w:r>
      <w:r>
        <w:rPr>
          <w:w w:val="100"/>
        </w:rPr>
        <w:t>体</w:t>
      </w:r>
      <w:r>
        <w:rPr>
          <w:spacing w:val="-3"/>
          <w:w w:val="100"/>
        </w:rPr>
        <w:t>股</w:t>
      </w:r>
      <w:r>
        <w:rPr>
          <w:w w:val="100"/>
        </w:rPr>
        <w:t>东每</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股转</w:t>
      </w:r>
      <w:r>
        <w:rPr>
          <w:w w:val="100"/>
        </w:rPr>
        <w:t>增</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r>
    </w:p>
    <w:p>
      <w:pPr>
        <w:spacing w:after="0" w:line="240"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4"/>
        <w:ind w:left="557" w:right="55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7"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备查文件目录</w:t>
            </w:r>
            <w:r>
              <w:rPr>
                <w:rFonts w:ascii="Times New Roman" w:hAnsi="Times New Roman" w:cs="Times New Roman" w:eastAsia="Times New Roman" w:hint="default"/>
              </w:rPr>
              <w:tab/>
              <w:t>245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2" w:top="1060" w:bottom="1180" w:left="980" w:right="980"/>
        </w:sectPr>
      </w:pPr>
    </w:p>
    <w:p>
      <w:pPr>
        <w:spacing w:before="944"/>
        <w:ind w:left="557" w:right="55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5"/>
        <w:gridCol w:w="610"/>
        <w:gridCol w:w="5424"/>
      </w:tblGrid>
      <w:tr>
        <w:trPr>
          <w:trHeight w:val="403" w:hRule="exact"/>
        </w:trPr>
        <w:tc>
          <w:tcPr>
            <w:tcW w:w="3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公司、本公司或方直科技</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黄元忠先生</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保荐人、保荐机构、主承销商</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律师顾问</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广东五维律师事务所</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连邦信息</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深圳市连邦信息技术有限公司系公司全资子公司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同步教育</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教学内容、教学进度与学校课堂教学保持一致的教育方式</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课改</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课程改革</w:t>
            </w:r>
          </w:p>
        </w:tc>
      </w:tr>
      <w:tr>
        <w:trPr>
          <w:trHeight w:val="161"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线下产品</w:t>
            </w:r>
          </w:p>
        </w:tc>
        <w:tc>
          <w:tcPr>
            <w:tcW w:w="610" w:type="dxa"/>
            <w:tcBorders>
              <w:top w:val="single" w:sz="4" w:space="0" w:color="000000"/>
              <w:left w:val="single" w:sz="4" w:space="0" w:color="000000"/>
              <w:bottom w:val="nil" w:sz="6" w:space="0" w:color="auto"/>
              <w:right w:val="single" w:sz="4" w:space="0" w:color="000000"/>
            </w:tcBorders>
            <w:shd w:val="clear" w:color="auto" w:fill="D4D4D4"/>
          </w:tcPr>
          <w:p>
            <w:pPr/>
          </w:p>
        </w:tc>
        <w:tc>
          <w:tcPr>
            <w:tcW w:w="5424" w:type="dxa"/>
            <w:vMerge w:val="restart"/>
            <w:tcBorders>
              <w:top w:val="single" w:sz="4" w:space="0" w:color="000000"/>
              <w:left w:val="single" w:sz="9" w:space="0" w:color="D4D4D4"/>
              <w:right w:val="single" w:sz="4" w:space="0" w:color="000000"/>
            </w:tcBorders>
          </w:tcPr>
          <w:p>
            <w:pPr>
              <w:pStyle w:val="TableParagraph"/>
              <w:spacing w:line="316" w:lineRule="auto" w:before="49"/>
              <w:ind w:left="18" w:right="168"/>
              <w:jc w:val="left"/>
              <w:rPr>
                <w:rFonts w:ascii="宋体" w:hAnsi="宋体" w:cs="宋体" w:eastAsia="宋体" w:hint="default"/>
                <w:sz w:val="18"/>
                <w:szCs w:val="18"/>
              </w:rPr>
            </w:pPr>
            <w:r>
              <w:rPr>
                <w:rFonts w:ascii="宋体" w:hAnsi="宋体" w:cs="宋体" w:eastAsia="宋体" w:hint="default"/>
                <w:sz w:val="18"/>
                <w:szCs w:val="18"/>
              </w:rPr>
              <w:t>公司开发的以光盘等为载体的学生教材配套软件和教师用书配套软 件</w:t>
            </w:r>
          </w:p>
        </w:tc>
      </w:tr>
      <w:tr>
        <w:trPr>
          <w:trHeight w:val="394" w:hRule="exact"/>
        </w:trPr>
        <w:tc>
          <w:tcPr>
            <w:tcW w:w="3535" w:type="dxa"/>
            <w:vMerge/>
            <w:tcBorders>
              <w:left w:val="single" w:sz="4" w:space="0" w:color="000000"/>
              <w:right w:val="single" w:sz="9" w:space="0" w:color="D4D4D4"/>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4D4D4"/>
              <w:right w:val="single" w:sz="4" w:space="0" w:color="000000"/>
            </w:tcBorders>
          </w:tcPr>
          <w:p>
            <w:pPr/>
          </w:p>
        </w:tc>
      </w:tr>
      <w:tr>
        <w:trPr>
          <w:trHeight w:val="161" w:hRule="exact"/>
        </w:trPr>
        <w:tc>
          <w:tcPr>
            <w:tcW w:w="3535" w:type="dxa"/>
            <w:vMerge/>
            <w:tcBorders>
              <w:left w:val="single" w:sz="4" w:space="0" w:color="000000"/>
              <w:bottom w:val="single" w:sz="4" w:space="0" w:color="000000"/>
              <w:right w:val="single" w:sz="9" w:space="0" w:color="D4D4D4"/>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4D4D4"/>
          </w:tcPr>
          <w:p>
            <w:pPr/>
          </w:p>
        </w:tc>
        <w:tc>
          <w:tcPr>
            <w:tcW w:w="5424" w:type="dxa"/>
            <w:vMerge/>
            <w:tcBorders>
              <w:left w:val="single" w:sz="9" w:space="0" w:color="D4D4D4"/>
              <w:bottom w:val="single" w:sz="4" w:space="0" w:color="000000"/>
              <w:right w:val="single" w:sz="4" w:space="0" w:color="000000"/>
            </w:tcBorders>
          </w:tcPr>
          <w:p>
            <w:pPr/>
          </w:p>
        </w:tc>
      </w:tr>
      <w:tr>
        <w:trPr>
          <w:trHeight w:val="161"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线上服务</w:t>
            </w:r>
          </w:p>
        </w:tc>
        <w:tc>
          <w:tcPr>
            <w:tcW w:w="610" w:type="dxa"/>
            <w:tcBorders>
              <w:top w:val="single" w:sz="4" w:space="0" w:color="000000"/>
              <w:left w:val="single" w:sz="4" w:space="0" w:color="000000"/>
              <w:bottom w:val="nil" w:sz="6" w:space="0" w:color="auto"/>
              <w:right w:val="single" w:sz="4" w:space="0" w:color="000000"/>
            </w:tcBorders>
            <w:shd w:val="clear" w:color="auto" w:fill="D4D4D4"/>
          </w:tcPr>
          <w:p>
            <w:pPr/>
          </w:p>
        </w:tc>
        <w:tc>
          <w:tcPr>
            <w:tcW w:w="5424" w:type="dxa"/>
            <w:vMerge w:val="restart"/>
            <w:tcBorders>
              <w:top w:val="single" w:sz="4" w:space="0" w:color="000000"/>
              <w:left w:val="single" w:sz="9" w:space="0" w:color="D4D4D4"/>
              <w:right w:val="single" w:sz="4" w:space="0" w:color="000000"/>
            </w:tcBorders>
          </w:tcPr>
          <w:p>
            <w:pPr>
              <w:pStyle w:val="TableParagraph"/>
              <w:spacing w:line="316" w:lineRule="auto" w:before="49"/>
              <w:ind w:left="18" w:right="168"/>
              <w:jc w:val="left"/>
              <w:rPr>
                <w:rFonts w:ascii="宋体" w:hAnsi="宋体" w:cs="宋体" w:eastAsia="宋体" w:hint="default"/>
                <w:sz w:val="18"/>
                <w:szCs w:val="18"/>
              </w:rPr>
            </w:pPr>
            <w:r>
              <w:rPr>
                <w:rFonts w:ascii="宋体" w:hAnsi="宋体" w:cs="宋体" w:eastAsia="宋体" w:hint="default"/>
                <w:sz w:val="18"/>
                <w:szCs w:val="18"/>
              </w:rPr>
              <w:t>基于公司的网络数据库支持平台通过互联网为用户提供的一系列同 步基础教育服务</w:t>
            </w:r>
          </w:p>
        </w:tc>
      </w:tr>
      <w:tr>
        <w:trPr>
          <w:trHeight w:val="391" w:hRule="exact"/>
        </w:trPr>
        <w:tc>
          <w:tcPr>
            <w:tcW w:w="3535" w:type="dxa"/>
            <w:vMerge/>
            <w:tcBorders>
              <w:left w:val="single" w:sz="4" w:space="0" w:color="000000"/>
              <w:right w:val="single" w:sz="9" w:space="0" w:color="D4D4D4"/>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4D4D4"/>
              <w:right w:val="single" w:sz="4" w:space="0" w:color="000000"/>
            </w:tcBorders>
          </w:tcPr>
          <w:p>
            <w:pPr/>
          </w:p>
        </w:tc>
      </w:tr>
      <w:tr>
        <w:trPr>
          <w:trHeight w:val="161" w:hRule="exact"/>
        </w:trPr>
        <w:tc>
          <w:tcPr>
            <w:tcW w:w="3535" w:type="dxa"/>
            <w:vMerge/>
            <w:tcBorders>
              <w:left w:val="single" w:sz="4" w:space="0" w:color="000000"/>
              <w:bottom w:val="single" w:sz="4" w:space="0" w:color="000000"/>
              <w:right w:val="single" w:sz="9" w:space="0" w:color="D4D4D4"/>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4D4D4"/>
          </w:tcPr>
          <w:p>
            <w:pPr/>
          </w:p>
        </w:tc>
        <w:tc>
          <w:tcPr>
            <w:tcW w:w="5424" w:type="dxa"/>
            <w:vMerge/>
            <w:tcBorders>
              <w:left w:val="single" w:sz="9" w:space="0" w:color="D4D4D4"/>
              <w:bottom w:val="single" w:sz="4" w:space="0" w:color="000000"/>
              <w:right w:val="single" w:sz="4" w:space="0" w:color="000000"/>
            </w:tcBorders>
          </w:tcPr>
          <w:p>
            <w:pP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新课标</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国家教育部修改颁布的最新《全日制义务教育课程标准》</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深圳市方直科技股份有限公司章程</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深圳市方直科技股份有限公司股东大会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深圳市方直科技股份有限公司董事会</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深圳市方直科技股份有限公司监事会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1" w:right="0"/>
        <w:jc w:val="left"/>
        <w:rPr>
          <w:b w:val="0"/>
          <w:bCs w:val="0"/>
        </w:rPr>
      </w:pPr>
      <w:bookmarkStart w:name="三、信息披露及备置地点" w:id="2"/>
      <w:bookmarkEnd w:id="2"/>
      <w:r>
        <w:rPr>
          <w:b w:val="0"/>
          <w:bCs w:val="0"/>
        </w:rPr>
      </w:r>
      <w:bookmarkStart w:name="四、其他有关资料" w:id="3"/>
      <w:bookmarkEnd w:id="3"/>
      <w:r>
        <w:rPr>
          <w:b w:val="0"/>
          <w:bCs w:val="0"/>
        </w:rPr>
      </w:r>
      <w:bookmarkStart w:name="第二节 公司简介和主要财务指标" w:id="4"/>
      <w:bookmarkEnd w:id="4"/>
      <w:r>
        <w:rPr>
          <w:b w:val="0"/>
          <w:bCs w:val="0"/>
        </w:rPr>
      </w:r>
      <w:bookmarkStart w:name="_bookmark0" w:id="5"/>
      <w:bookmarkEnd w:id="5"/>
      <w:r>
        <w:rPr>
          <w:b w:val="0"/>
          <w:bCs w:val="0"/>
        </w:rPr>
      </w:r>
      <w:r>
        <w:rPr/>
        <w:t>第二节</w:t>
      </w:r>
      <w:r>
        <w:rPr>
          <w:spacing w:val="-7"/>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171.119995pt;margin-top:114.075615pt;width:362.65pt;height:20.9pt;mso-position-horizontal-relative:page;mso-position-vertical-relative:paragraph;z-index:-1223824" coordorigin="3422,2282" coordsize="7253,418">
            <v:group style="position:absolute;left:3434;top:2294;width:2;height:394" coordorigin="3434,2294" coordsize="2,394">
              <v:shape style="position:absolute;left:3434;top:2294;width:2;height:394" coordorigin="3434,2294" coordsize="0,394" path="m3434,2294l3434,2687e" filled="false" stroked="true" strokeweight="1.2pt" strokecolor="#ffffff">
                <v:path arrowok="t"/>
              </v:shape>
            </v:group>
            <v:group style="position:absolute;left:3446;top:2294;width:7229;height:394" coordorigin="3446,2294" coordsize="7229,394">
              <v:shape style="position:absolute;left:3446;top:2294;width:7229;height:394" coordorigin="3446,2294" coordsize="7229,394" path="m3446,2687l10675,2687,10675,2294,3446,2294,3446,2687xe" filled="true" fillcolor="#ffffff" stroked="false">
                <v:path arrowok="t"/>
                <v:fill type="solid"/>
              </v:shape>
            </v:group>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64"/>
        <w:gridCol w:w="2143"/>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3" w:right="0"/>
              <w:jc w:val="left"/>
              <w:rPr>
                <w:rFonts w:ascii="宋体" w:hAnsi="宋体" w:cs="宋体" w:eastAsia="宋体" w:hint="default"/>
                <w:sz w:val="18"/>
                <w:szCs w:val="18"/>
              </w:rPr>
            </w:pPr>
            <w:bookmarkStart w:name="一、公司信息" w:id="6"/>
            <w:bookmarkEnd w:id="6"/>
            <w:r>
              <w:rPr/>
            </w:r>
            <w:r>
              <w:rPr>
                <w:rFonts w:ascii="宋体" w:hAnsi="宋体" w:cs="宋体" w:eastAsia="宋体" w:hint="default"/>
                <w:sz w:val="18"/>
                <w:szCs w:val="18"/>
              </w:rPr>
              <w:t>方直科技</w:t>
            </w:r>
          </w:p>
        </w:tc>
        <w:tc>
          <w:tcPr>
            <w:tcW w:w="21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300235</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方直科技</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SHENZHEN KINGSUN SCIENCE &amp; TECHNOLOGY</w:t>
            </w:r>
            <w:r>
              <w:rPr>
                <w:rFonts w:ascii="Times New Roman"/>
                <w:spacing w:val="-23"/>
                <w:sz w:val="18"/>
              </w:rPr>
              <w:t> </w:t>
            </w:r>
            <w:r>
              <w:rPr>
                <w:rFonts w:ascii="Times New Roman"/>
                <w:spacing w:val="-3"/>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Kingsun</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黄元忠</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深圳市南山区科技中二路深圳软件园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深圳市南山区科技中二路深圳软件园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http://www.kingsunsoft.com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kingsunsoft@kingsunsoft.com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79"/>
        <w:gridCol w:w="3200"/>
        <w:gridCol w:w="3190"/>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bookmarkStart w:name="二、联系人和联系方式" w:id="7"/>
            <w:bookmarkEnd w:id="7"/>
            <w:r>
              <w:rPr/>
            </w:r>
            <w:r>
              <w:rPr>
                <w:rFonts w:ascii="宋体" w:hAnsi="宋体" w:cs="宋体" w:eastAsia="宋体" w:hint="default"/>
                <w:sz w:val="18"/>
                <w:szCs w:val="18"/>
              </w:rPr>
              <w:t>证券事务代表</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李枫</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4D4D4"/>
          </w:tcPr>
          <w:p>
            <w:pPr/>
          </w:p>
        </w:tc>
        <w:tc>
          <w:tcPr>
            <w:tcW w:w="3200" w:type="dxa"/>
            <w:vMerge w:val="restart"/>
            <w:tcBorders>
              <w:top w:val="single" w:sz="4" w:space="0" w:color="000000"/>
              <w:left w:val="single" w:sz="9" w:space="0" w:color="D4D4D4"/>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深圳市南山区科技中二路深圳软件园</w:t>
            </w:r>
          </w:p>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深圳市南山区科技中二路深圳软件园</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4D4D4"/>
          </w:tcPr>
          <w:p>
            <w:pPr/>
          </w:p>
        </w:tc>
        <w:tc>
          <w:tcPr>
            <w:tcW w:w="320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0755-86336966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0755-86336966</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0755-86336977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0755-86336977</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kerang.chen@kingsunsoft.com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feng.li@kingsunsoft.com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中国证监会指定网站</w:t>
            </w:r>
            <w:r>
              <w:rPr>
                <w:rFonts w:ascii="宋体" w:hAnsi="宋体" w:cs="宋体" w:eastAsia="宋体" w:hint="default"/>
                <w:spacing w:val="-23"/>
                <w:sz w:val="18"/>
                <w:szCs w:val="18"/>
              </w:rPr>
              <w:t> </w:t>
            </w:r>
            <w:hyperlink r:id="rId13">
              <w:r>
                <w:rPr>
                  <w:rFonts w:ascii="Times New Roman" w:hAnsi="Times New Roman" w:cs="Times New Roman" w:eastAsia="Times New Roman" w:hint="default"/>
                  <w:sz w:val="18"/>
                  <w:szCs w:val="18"/>
                </w:rPr>
                <w:t>http://www.cninfo.com.cn</w:t>
              </w:r>
            </w:hyperlink>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5022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楼</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陈葆华、周灵芝</w:t>
            </w:r>
          </w:p>
        </w:tc>
      </w:tr>
    </w:tbl>
    <w:p>
      <w:pPr>
        <w:spacing w:before="49"/>
        <w:ind w:left="152" w:right="0" w:firstLine="0"/>
        <w:jc w:val="left"/>
        <w:rPr>
          <w:rFonts w:ascii="宋体" w:hAnsi="宋体" w:cs="宋体" w:eastAsia="宋体" w:hint="default"/>
          <w:sz w:val="18"/>
          <w:szCs w:val="18"/>
        </w:rPr>
      </w:pPr>
      <w:bookmarkStart w:name="六、分季度主要财务指标" w:id="8"/>
      <w:bookmarkEnd w:id="8"/>
      <w:r>
        <w:rPr/>
      </w: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深圳市福田区金田路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荣超大厦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吴永平、欧阳刚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至公司募集资金使用完毕为 止</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w:t>
      </w:r>
      <w:bookmarkStart w:name="五、主要会计数据和财务指标" w:id="9"/>
      <w:bookmarkEnd w:id="9"/>
      <w:r>
        <w:rPr>
          <w:rFonts w:ascii="宋体" w:hAnsi="宋体" w:cs="宋体" w:eastAsia="宋体" w:hint="default"/>
          <w:sz w:val="18"/>
          <w:szCs w:val="18"/>
        </w:rPr>
        <w:t>策变更及会计差错更正等追溯调整或重述以前年度会计数据</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8"/>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99,441,831.01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82,827,812.22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75,089,058.91</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22,228,072.58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22,523,905.35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23,311,990.32</w:t>
            </w:r>
            <w:r>
              <w:rPr>
                <w:rFonts w:ascii="Times New Roman"/>
                <w:sz w:val="18"/>
              </w:rPr>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15,300,357.25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15,521,491.24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16,010,943.79</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19,415,704.22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20,637,845.75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17,797,305.45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0.15</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0.15</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367,695,743.12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354,751,851.30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334,638,275.75</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342,631,956.02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336,243,883.44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318,999,978.09</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32,939,917.48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7,578,062.86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41,208,396.30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17,715,454.37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12,204,187.58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-1,458,580.82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12,652,343.95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-1,169,878.13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0"/>
      </w:tblGrid>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11,080,691.00</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-3,419,649.21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10,748,051.84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-3,108,736.38</w:t>
            </w:r>
            <w:r>
              <w:rPr>
                <w:rFonts w:ascii="Times New Roman"/>
                <w:sz w:val="18"/>
              </w:rPr>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878,344.87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5,030,329.88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-10,621,703.83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24,128,733.30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七、境内外会计准</w:t>
      </w:r>
      <w:bookmarkStart w:name="七、境内外会计准则下会计数据差异" w:id="10"/>
      <w:bookmarkEnd w:id="10"/>
      <w:r>
        <w:rPr/>
        <w:t>则下</w:t>
      </w:r>
      <w:r>
        <w:rPr/>
        <w:t>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w:t>
      </w:r>
      <w:bookmarkStart w:name="1、同时按照国际会计准则与按照中国会计准则披露的财务报告中净利润和净资产差异情况" w:id="11"/>
      <w:bookmarkEnd w:id="11"/>
      <w:r>
        <w:rPr/>
        <w:t>与按照中国会计准</w:t>
      </w:r>
      <w:r>
        <w:rPr/>
        <w:t>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1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w:t>
      </w:r>
      <w:bookmarkStart w:name="2、同时按照境外会计准则与按照中国会计准则披露的财务报告中净利润和净资产差异情况" w:id="12"/>
      <w:bookmarkEnd w:id="12"/>
      <w:r>
        <w:rPr/>
        <w:t>披</w:t>
      </w:r>
      <w:r>
        <w:rPr/>
        <w:t>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3" w:firstLine="0"/>
        <w:jc w:val="right"/>
        <w:rPr>
          <w:rFonts w:ascii="宋体" w:hAnsi="宋体" w:cs="宋体" w:eastAsia="宋体" w:hint="default"/>
          <w:sz w:val="18"/>
          <w:szCs w:val="18"/>
        </w:rPr>
      </w:pPr>
      <w:bookmarkStart w:name="八、非经常性损益项目及金额" w:id="13"/>
      <w:bookmarkEnd w:id="13"/>
      <w:r>
        <w:rPr/>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-11,560.85</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226,705.32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-3,571.51</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处置固定资产损益</w:t>
            </w:r>
          </w:p>
        </w:tc>
      </w:tr>
      <w:tr>
        <w:trPr>
          <w:trHeight w:val="1027"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1,025,900.80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3,587,217.65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6,036,665.25</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4,424,106.13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2,776,904.09</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投资收益</w:t>
            </w: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608.74</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-220,580.14</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1,222,412.84</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1,235,614.99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1,288,371.16</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6,927,715.33</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7,002,414.11</w:t>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7,301,046.53</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spacing w:before="44"/>
        <w:ind w:left="512" w:right="0"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非经常性损益》定义界定的非经常性损益项目，以及</w:t>
      </w:r>
    </w:p>
    <w:p>
      <w:pPr>
        <w:spacing w:line="240" w:lineRule="auto" w:before="9"/>
        <w:rPr>
          <w:rFonts w:ascii="宋体" w:hAnsi="宋体" w:cs="宋体" w:eastAsia="宋体" w:hint="default"/>
          <w:sz w:val="16"/>
          <w:szCs w:val="16"/>
        </w:rPr>
      </w:pPr>
    </w:p>
    <w:p>
      <w:pPr>
        <w:spacing w:line="451" w:lineRule="auto" w:before="0"/>
        <w:ind w:left="152" w:right="141" w:firstLine="0"/>
        <w:jc w:val="left"/>
        <w:rPr>
          <w:rFonts w:ascii="宋体" w:hAnsi="宋体" w:cs="宋体" w:eastAsia="宋体" w:hint="default"/>
          <w:sz w:val="18"/>
          <w:szCs w:val="18"/>
        </w:rPr>
      </w:pPr>
      <w:r>
        <w:rPr>
          <w:rFonts w:ascii="宋体" w:hAnsi="宋体" w:cs="宋体" w:eastAsia="宋体" w:hint="default"/>
          <w:spacing w:val="-2"/>
          <w:sz w:val="18"/>
          <w:szCs w:val="18"/>
        </w:rPr>
        <w:t>把《公开发行证券的公司信息披露解释性公告第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非经常性损益》中列举的非经常性损益项目界定为经常性损益的项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目，应说明原因</w:t>
      </w:r>
    </w:p>
    <w:p>
      <w:pPr>
        <w:spacing w:before="11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9"/>
          <w:szCs w:val="19"/>
        </w:rPr>
      </w:pPr>
    </w:p>
    <w:p>
      <w:pPr>
        <w:spacing w:line="451" w:lineRule="auto" w:before="0"/>
        <w:ind w:left="152" w:right="135" w:firstLine="36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w:t>
      </w:r>
      <w:r>
        <w:rPr>
          <w:rFonts w:ascii="宋体" w:hAnsi="宋体" w:cs="宋体" w:eastAsia="宋体" w:hint="default"/>
          <w:sz w:val="18"/>
          <w:szCs w:val="18"/>
        </w:rPr>
        <w:t> 损益项目界定为经常性损益的项目的情形。</w:t>
      </w:r>
    </w:p>
    <w:p>
      <w:pPr>
        <w:spacing w:after="0" w:line="451"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560"/>
        <w:jc w:val="center"/>
        <w:rPr>
          <w:b w:val="0"/>
          <w:bCs w:val="0"/>
        </w:rPr>
      </w:pPr>
      <w:bookmarkStart w:name="2、主要境外资产情况" w:id="14"/>
      <w:bookmarkEnd w:id="14"/>
      <w:r>
        <w:rPr>
          <w:b w:val="0"/>
          <w:bCs w:val="0"/>
        </w:rPr>
      </w:r>
      <w:bookmarkStart w:name="三、核心竞争力分析" w:id="15"/>
      <w:bookmarkEnd w:id="15"/>
      <w:r>
        <w:rPr>
          <w:b w:val="0"/>
          <w:bCs w:val="0"/>
        </w:rPr>
      </w:r>
      <w:bookmarkStart w:name="第三节 公司业务概要" w:id="16"/>
      <w:bookmarkEnd w:id="16"/>
      <w:r>
        <w:rPr>
          <w:b w:val="0"/>
          <w:bCs w:val="0"/>
        </w:rPr>
      </w:r>
      <w:bookmarkStart w:name="_bookmark1" w:id="17"/>
      <w:bookmarkEnd w:id="17"/>
      <w:r>
        <w:rPr>
          <w:b w:val="0"/>
          <w:bCs w:val="0"/>
        </w:rPr>
      </w:r>
      <w:r>
        <w:rPr/>
        <w:t>第三节</w:t>
      </w:r>
      <w:r>
        <w:rPr>
          <w:spacing w:val="-7"/>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w:t>
      </w:r>
      <w:bookmarkStart w:name="一、报告期内公司从事的主要业务" w:id="18"/>
      <w:bookmarkEnd w:id="18"/>
      <w:r>
        <w:rPr/>
        <w:t>公</w:t>
      </w:r>
      <w:r>
        <w:rPr/>
        <w:t>司从事的主要业务</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47" w:firstLine="420"/>
        <w:jc w:val="both"/>
      </w:pPr>
      <w:r>
        <w:rPr>
          <w:spacing w:val="-2"/>
        </w:rPr>
        <w:t>公司成立至今一直专注于中小学同步教育产品的研发、设计、销售及持续服务，为广大的中小学教师</w:t>
      </w:r>
      <w:r>
        <w:rPr>
          <w:w w:val="100"/>
        </w:rPr>
        <w:t> </w:t>
      </w:r>
      <w:r>
        <w:rPr>
          <w:spacing w:val="-2"/>
        </w:rPr>
        <w:t>与学生提供优质、同步、配套的教育软件及互联网在线全面系统服务，是国内领先的中小学同步教育产品</w:t>
      </w:r>
      <w:r>
        <w:rPr>
          <w:spacing w:val="-43"/>
        </w:rPr>
        <w:t> </w:t>
      </w:r>
      <w:r>
        <w:rPr>
          <w:spacing w:val="-43"/>
        </w:rPr>
      </w:r>
      <w:r>
        <w:rPr/>
        <w:t>及服务的提供商，报告期内公司主营业务未发生重大变化。</w:t>
      </w:r>
    </w:p>
    <w:p>
      <w:pPr>
        <w:pStyle w:val="BodyText"/>
        <w:spacing w:line="408" w:lineRule="auto"/>
        <w:ind w:right="147" w:firstLine="420"/>
        <w:jc w:val="both"/>
      </w:pPr>
      <w:r>
        <w:rPr>
          <w:spacing w:val="-2"/>
        </w:rPr>
        <w:t>公司凭借强大的研发设计能力以及对教育教学需求的深刻理解，完成了以优质资源为基础以评价体系</w:t>
      </w:r>
      <w:r>
        <w:rPr>
          <w:w w:val="100"/>
        </w:rPr>
        <w:t> </w:t>
      </w:r>
      <w:r>
        <w:rPr>
          <w:spacing w:val="-2"/>
        </w:rPr>
        <w:t>为核心的互联网生态教育服务系统的设计和建设，将先进的教学理念、有效的教学方法和信息技术有机结</w:t>
      </w:r>
      <w:r>
        <w:rPr>
          <w:spacing w:val="-42"/>
        </w:rPr>
        <w:t> </w:t>
      </w:r>
      <w:r>
        <w:rPr>
          <w:spacing w:val="-42"/>
        </w:rPr>
      </w:r>
      <w:r>
        <w:rPr>
          <w:spacing w:val="-2"/>
        </w:rPr>
        <w:t>合。公司在中小学同步教育领域积累了丰富的管理和市场经验，建立了实用有效的开发平台和经验，开发</w:t>
      </w:r>
      <w:r>
        <w:rPr>
          <w:spacing w:val="-42"/>
        </w:rPr>
        <w:t> </w:t>
      </w:r>
      <w:r>
        <w:rPr>
          <w:spacing w:val="-42"/>
        </w:rPr>
      </w:r>
      <w:r>
        <w:rPr/>
        <w:t>的产品、教学资源贴近教学理念，目前公司已占有相当的市场份额并享有较高的美誉度。</w:t>
      </w:r>
    </w:p>
    <w:p>
      <w:pPr>
        <w:pStyle w:val="BodyText"/>
        <w:spacing w:line="408" w:lineRule="auto"/>
        <w:ind w:right="0" w:firstLine="420"/>
        <w:jc w:val="left"/>
        <w:rPr>
          <w:rFonts w:ascii="宋体" w:hAnsi="宋体" w:cs="宋体" w:eastAsia="宋体" w:hint="default"/>
        </w:rPr>
      </w:pPr>
      <w:r>
        <w:rPr>
          <w:spacing w:val="-2"/>
        </w:rPr>
        <w:t>报告期内，公司立足于教育行业，紧跟行业变化，全面向互联网在线教育企业布局，公司利用在同步</w:t>
      </w:r>
      <w:r>
        <w:rPr>
          <w:w w:val="100"/>
        </w:rPr>
        <w:t> </w:t>
      </w:r>
      <w:r>
        <w:rPr>
          <w:spacing w:val="-3"/>
        </w:rPr>
        <w:t>学习、资源开发等方面的优势积累与沉淀，持续加大产品的研发投入，产品始终围绕客户需求，以客户需</w:t>
      </w:r>
      <w:r>
        <w:rPr>
          <w:spacing w:val="-13"/>
        </w:rPr>
        <w:t> </w:t>
      </w:r>
      <w:r>
        <w:rPr>
          <w:spacing w:val="-13"/>
        </w:rPr>
      </w:r>
      <w:r>
        <w:rPr/>
        <w:t>求为出发点和归属点，逐步实现公司的产品、模式、服务、推广的升级。各业务具体发展情况详见</w:t>
      </w:r>
      <w:r>
        <w:rPr>
          <w:spacing w:val="-7"/>
        </w:rPr>
        <w:t> </w:t>
      </w:r>
      <w:r>
        <w:rPr>
          <w:rFonts w:ascii="宋体" w:hAnsi="宋体" w:cs="宋体" w:eastAsia="宋体" w:hint="default"/>
        </w:rPr>
        <w:t>“</w:t>
      </w:r>
      <w:r>
        <w:rPr/>
        <w:t>第</w:t>
      </w:r>
      <w:r>
        <w:rPr>
          <w:w w:val="100"/>
        </w:rPr>
        <w:t> </w:t>
      </w:r>
      <w:r>
        <w:rPr/>
        <w:t>四节管理层讨论与分析</w:t>
      </w:r>
      <w:r>
        <w:rPr>
          <w:rFonts w:ascii="宋体" w:hAnsi="宋体" w:cs="宋体" w:eastAsia="宋体" w:hint="default"/>
        </w:rPr>
        <w:t>”</w:t>
      </w:r>
      <w:r>
        <w:rPr/>
        <w:t>中</w:t>
      </w:r>
      <w:r>
        <w:rPr>
          <w:rFonts w:ascii="宋体" w:hAnsi="宋体" w:cs="宋体" w:eastAsia="宋体" w:hint="default"/>
        </w:rPr>
        <w:t>“</w:t>
      </w:r>
      <w:r>
        <w:rPr/>
        <w:t>一、概述</w:t>
      </w:r>
      <w:r>
        <w:rPr>
          <w:rFonts w:ascii="宋体" w:hAnsi="宋体" w:cs="宋体" w:eastAsia="宋体" w:hint="default"/>
        </w:rPr>
        <w:t>”</w:t>
      </w:r>
      <w:r>
        <w:rPr/>
        <w:t>及</w:t>
      </w:r>
      <w:r>
        <w:rPr>
          <w:rFonts w:ascii="宋体" w:hAnsi="宋体" w:cs="宋体" w:eastAsia="宋体" w:hint="default"/>
        </w:rPr>
        <w:t>“</w:t>
      </w:r>
      <w:r>
        <w:rPr/>
        <w:t>二、主营业务分析</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49"/>
        <w:gridCol w:w="6518"/>
      </w:tblGrid>
      <w:tr>
        <w:trPr>
          <w:trHeight w:val="766" w:hRule="exact"/>
        </w:trPr>
        <w:tc>
          <w:tcPr>
            <w:tcW w:w="3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25" w:firstLine="420"/>
        <w:jc w:val="both"/>
      </w:pPr>
      <w:r>
        <w:rPr>
          <w:spacing w:val="-2"/>
        </w:rPr>
        <w:t>报告期内，公司核心竞争力未发生重大改变，公司成立至今一直专注于中小</w:t>
      </w:r>
      <w:bookmarkStart w:name="二、主要资产重大变化情况" w:id="19"/>
      <w:bookmarkEnd w:id="19"/>
      <w:r>
        <w:rPr>
          <w:spacing w:val="-2"/>
        </w:rPr>
        <w:t>学同</w:t>
      </w:r>
      <w:r>
        <w:rPr>
          <w:spacing w:val="-2"/>
        </w:rPr>
        <w:t>步教育</w:t>
      </w:r>
      <w:bookmarkStart w:name="1、主要资产重大变化情况" w:id="20"/>
      <w:bookmarkEnd w:id="20"/>
      <w:r>
        <w:rPr>
          <w:spacing w:val="-2"/>
        </w:rPr>
        <w:t>产</w:t>
      </w:r>
      <w:r>
        <w:rPr>
          <w:spacing w:val="-2"/>
        </w:rPr>
        <w:t>品的研发、</w:t>
      </w:r>
      <w:r>
        <w:rPr>
          <w:w w:val="100"/>
        </w:rPr>
        <w:t> </w:t>
      </w:r>
      <w:r>
        <w:rPr>
          <w:spacing w:val="-2"/>
        </w:rPr>
        <w:t>设计、销售及持续服务，为广大的中小学教师与学生提供优质、同步、配套的教育软件及互联网在线全面</w:t>
      </w:r>
      <w:r>
        <w:rPr>
          <w:spacing w:val="-44"/>
        </w:rPr>
        <w:t> </w:t>
      </w:r>
      <w:r>
        <w:rPr>
          <w:spacing w:val="-44"/>
        </w:rPr>
      </w:r>
      <w:r>
        <w:rPr/>
        <w:t>系统服务。</w:t>
      </w:r>
    </w:p>
    <w:p>
      <w:pPr>
        <w:pStyle w:val="BodyText"/>
        <w:spacing w:line="240" w:lineRule="auto" w:before="144"/>
        <w:ind w:left="548" w:right="0"/>
        <w:jc w:val="left"/>
      </w:pPr>
      <w:r>
        <w:rPr/>
        <w:t>十几年来，公司始终坚信</w:t>
      </w:r>
      <w:r>
        <w:rPr>
          <w:rFonts w:ascii="宋体" w:hAnsi="宋体" w:cs="宋体" w:eastAsia="宋体" w:hint="default"/>
        </w:rPr>
        <w:t>“</w:t>
      </w:r>
      <w:r>
        <w:rPr/>
        <w:t>教育行业内容为王</w:t>
      </w:r>
      <w:r>
        <w:rPr>
          <w:rFonts w:ascii="宋体" w:hAnsi="宋体" w:cs="宋体" w:eastAsia="宋体" w:hint="default"/>
        </w:rPr>
        <w:t>”</w:t>
      </w:r>
      <w:r>
        <w:rPr/>
        <w:t>，不断完善升级公司优质教育资源，强化自身优质资</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left="532" w:right="526"/>
        <w:jc w:val="both"/>
      </w:pPr>
      <w:r>
        <w:rPr/>
        <w:t>源整体化解决方案的优势，坚持技术创新，对产品不断研发升级，建立了独具特色的资源</w:t>
      </w:r>
      <w:r>
        <w:rPr>
          <w:rFonts w:ascii="宋体" w:hAnsi="宋体" w:cs="宋体" w:eastAsia="宋体" w:hint="default"/>
        </w:rPr>
        <w:t>MOD</w:t>
      </w:r>
      <w:r>
        <w:rPr/>
        <w:t>平台，有效</w:t>
      </w:r>
      <w:r>
        <w:rPr>
          <w:spacing w:val="-28"/>
        </w:rPr>
        <w:t> </w:t>
      </w:r>
      <w:r>
        <w:rPr>
          <w:spacing w:val="-28"/>
        </w:rPr>
      </w:r>
      <w:r>
        <w:rPr>
          <w:spacing w:val="-3"/>
        </w:rPr>
        <w:t>地实现了优质资源开发、资源共享、内外资源同生运营策略、实现了与三通两平台的国家战略相对接的战</w:t>
      </w:r>
      <w:r>
        <w:rPr>
          <w:spacing w:val="-7"/>
        </w:rPr>
        <w:t> </w:t>
      </w:r>
      <w:r>
        <w:rPr>
          <w:spacing w:val="-7"/>
        </w:rPr>
      </w:r>
      <w:r>
        <w:rPr>
          <w:spacing w:val="-3"/>
        </w:rPr>
        <w:t>略目标。公司始终坚持</w:t>
      </w:r>
      <w:r>
        <w:rPr>
          <w:rFonts w:ascii="宋体" w:hAnsi="宋体" w:cs="宋体" w:eastAsia="宋体" w:hint="default"/>
          <w:spacing w:val="-3"/>
        </w:rPr>
        <w:t>“</w:t>
      </w:r>
      <w:r>
        <w:rPr>
          <w:spacing w:val="-3"/>
        </w:rPr>
        <w:t>关注教育需求，致力于科技创新，全心全意促进教育进步</w:t>
      </w:r>
      <w:r>
        <w:rPr>
          <w:rFonts w:ascii="宋体" w:hAnsi="宋体" w:cs="宋体" w:eastAsia="宋体" w:hint="default"/>
          <w:spacing w:val="-3"/>
        </w:rPr>
        <w:t>”</w:t>
      </w:r>
      <w:r>
        <w:rPr>
          <w:spacing w:val="-3"/>
        </w:rPr>
        <w:t>这一使命，通过多年</w:t>
      </w:r>
      <w:r>
        <w:rPr>
          <w:spacing w:val="-14"/>
        </w:rPr>
        <w:t> </w:t>
      </w:r>
      <w:r>
        <w:rPr>
          <w:spacing w:val="-14"/>
        </w:rPr>
      </w:r>
      <w:r>
        <w:rPr>
          <w:spacing w:val="-2"/>
        </w:rPr>
        <w:t>的努力奠定了同步教育服务领域的优势地位，多年来持续占据中小学同步教育解决方案市场份额第一的位</w:t>
      </w:r>
      <w:r>
        <w:rPr>
          <w:spacing w:val="-43"/>
        </w:rPr>
        <w:t> </w:t>
      </w:r>
      <w:r>
        <w:rPr>
          <w:spacing w:val="-43"/>
        </w:rPr>
      </w:r>
      <w:r>
        <w:rPr/>
        <w:t>置。</w:t>
      </w:r>
    </w:p>
    <w:p>
      <w:pPr>
        <w:pStyle w:val="BodyText"/>
        <w:spacing w:line="408" w:lineRule="auto" w:before="147"/>
        <w:ind w:left="532" w:right="0" w:firstLine="396"/>
        <w:jc w:val="left"/>
      </w:pPr>
      <w:r>
        <w:rPr>
          <w:spacing w:val="-4"/>
        </w:rPr>
        <w:t>截至期末，公司共拥有软件著作权</w:t>
      </w:r>
      <w:r>
        <w:rPr>
          <w:rFonts w:ascii="宋体" w:hAnsi="宋体" w:cs="宋体" w:eastAsia="宋体" w:hint="default"/>
          <w:spacing w:val="-4"/>
        </w:rPr>
        <w:t>45</w:t>
      </w:r>
      <w:r>
        <w:rPr>
          <w:spacing w:val="-4"/>
        </w:rPr>
        <w:t>项，作品著作权</w:t>
      </w:r>
      <w:r>
        <w:rPr>
          <w:rFonts w:ascii="宋体" w:hAnsi="宋体" w:cs="宋体" w:eastAsia="宋体" w:hint="default"/>
          <w:spacing w:val="-4"/>
        </w:rPr>
        <w:t>10</w:t>
      </w:r>
      <w:r>
        <w:rPr>
          <w:spacing w:val="-4"/>
        </w:rPr>
        <w:t>项，其中包括公司新增软件著作权</w:t>
      </w:r>
      <w:r>
        <w:rPr>
          <w:rFonts w:ascii="宋体" w:hAnsi="宋体" w:cs="宋体" w:eastAsia="宋体" w:hint="default"/>
          <w:spacing w:val="-4"/>
        </w:rPr>
        <w:t>5</w:t>
      </w:r>
      <w:r>
        <w:rPr>
          <w:spacing w:val="-4"/>
        </w:rPr>
        <w:t>项，作品著</w:t>
      </w:r>
      <w:r>
        <w:rPr>
          <w:w w:val="100"/>
        </w:rPr>
        <w:t> </w:t>
      </w:r>
      <w:r>
        <w:rPr/>
        <w:t>作权</w:t>
      </w:r>
      <w:r>
        <w:rPr>
          <w:rFonts w:ascii="宋体" w:hAnsi="宋体" w:cs="宋体" w:eastAsia="宋体" w:hint="default"/>
        </w:rPr>
        <w:t>1</w:t>
      </w:r>
      <w:r>
        <w:rPr/>
        <w:t>项。公司共拥有注册商标权</w:t>
      </w:r>
      <w:r>
        <w:rPr>
          <w:rFonts w:ascii="宋体" w:hAnsi="宋体" w:cs="宋体" w:eastAsia="宋体" w:hint="default"/>
        </w:rPr>
        <w:t>8</w:t>
      </w:r>
      <w:r>
        <w:rPr/>
        <w:t>项，</w:t>
      </w:r>
      <w:r>
        <w:rPr>
          <w:spacing w:val="-9"/>
        </w:rPr>
        <w:t> </w:t>
      </w:r>
      <w:r>
        <w:rPr/>
        <w:t>报告期内，新增</w:t>
      </w:r>
      <w:r>
        <w:rPr>
          <w:rFonts w:ascii="宋体" w:hAnsi="宋体" w:cs="宋体" w:eastAsia="宋体" w:hint="default"/>
        </w:rPr>
        <w:t>5</w:t>
      </w:r>
      <w:r>
        <w:rPr/>
        <w:t>项著作权如下：</w:t>
      </w:r>
    </w:p>
    <w:p>
      <w:pPr>
        <w:spacing w:line="240" w:lineRule="auto" w:before="2"/>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413"/>
        <w:gridCol w:w="3811"/>
        <w:gridCol w:w="2100"/>
        <w:gridCol w:w="1445"/>
        <w:gridCol w:w="994"/>
        <w:gridCol w:w="1702"/>
      </w:tblGrid>
      <w:tr>
        <w:trPr>
          <w:trHeight w:val="715"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2" w:right="108"/>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著作权证书号</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著作登记号</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著作权登记日</w:t>
            </w:r>
            <w:r>
              <w:rPr>
                <w:rFonts w:ascii="宋体" w:hAnsi="宋体" w:cs="宋体" w:eastAsia="宋体" w:hint="default"/>
                <w:sz w:val="18"/>
                <w:szCs w:val="18"/>
              </w:rPr>
            </w:r>
          </w:p>
        </w:tc>
      </w:tr>
      <w:tr>
        <w:trPr>
          <w:trHeight w:val="482"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1</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方直金太阳青少年书法学习软件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宋体" w:hAnsi="宋体" w:cs="宋体" w:eastAsia="宋体" w:hint="default"/>
                <w:sz w:val="18"/>
                <w:szCs w:val="18"/>
              </w:rPr>
              <w:t>1091087</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 w:right="0"/>
              <w:jc w:val="center"/>
              <w:rPr>
                <w:rFonts w:ascii="宋体" w:hAnsi="宋体" w:cs="宋体" w:eastAsia="宋体" w:hint="default"/>
                <w:sz w:val="18"/>
                <w:szCs w:val="18"/>
              </w:rPr>
            </w:pPr>
            <w:r>
              <w:rPr>
                <w:rFonts w:ascii="宋体"/>
                <w:sz w:val="18"/>
              </w:rPr>
              <w:t>2015SR204001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37"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 w:right="0"/>
              <w:jc w:val="center"/>
              <w:rPr>
                <w:rFonts w:ascii="宋体" w:hAnsi="宋体" w:cs="宋体" w:eastAsia="宋体" w:hint="default"/>
                <w:sz w:val="18"/>
                <w:szCs w:val="18"/>
              </w:rPr>
            </w:pPr>
            <w:r>
              <w:rPr>
                <w:rFonts w:ascii="宋体"/>
                <w:sz w:val="18"/>
              </w:rPr>
              <w:t>2</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方直金太阳点读宝软件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宋体" w:hAnsi="宋体" w:cs="宋体" w:eastAsia="宋体" w:hint="default"/>
                <w:sz w:val="18"/>
                <w:szCs w:val="18"/>
              </w:rPr>
              <w:t>1091600</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宋体" w:hAnsi="宋体" w:cs="宋体" w:eastAsia="宋体" w:hint="default"/>
                <w:sz w:val="18"/>
                <w:szCs w:val="18"/>
              </w:rPr>
            </w:pPr>
            <w:r>
              <w:rPr>
                <w:rFonts w:ascii="宋体"/>
                <w:sz w:val="18"/>
              </w:rPr>
              <w:t>2015SR204514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13"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sz w:val="18"/>
              </w:rPr>
              <w:t>3</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方直教育信息化平台</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宋体" w:hAnsi="宋体" w:cs="宋体" w:eastAsia="宋体" w:hint="default"/>
                <w:sz w:val="18"/>
                <w:szCs w:val="18"/>
              </w:rPr>
              <w:t>1092023</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sz w:val="18"/>
              </w:rPr>
              <w:t>2015SR204937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32"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宋体" w:hAnsi="宋体" w:cs="宋体" w:eastAsia="宋体" w:hint="default"/>
                <w:sz w:val="18"/>
                <w:szCs w:val="18"/>
              </w:rPr>
            </w:pPr>
            <w:r>
              <w:rPr>
                <w:rFonts w:ascii="宋体"/>
                <w:sz w:val="18"/>
              </w:rPr>
              <w:t>4</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方直优学酷学习软件（简称：优学酷）</w:t>
            </w:r>
            <w:r>
              <w:rPr>
                <w:rFonts w:ascii="宋体" w:hAnsi="宋体" w:cs="宋体" w:eastAsia="宋体" w:hint="default"/>
                <w:sz w:val="18"/>
                <w:szCs w:val="18"/>
              </w:rPr>
              <w:t>V1.0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宋体" w:hAnsi="宋体" w:cs="宋体" w:eastAsia="宋体" w:hint="default"/>
                <w:sz w:val="18"/>
                <w:szCs w:val="18"/>
              </w:rPr>
              <w:t>1103948</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sz w:val="18"/>
              </w:rPr>
              <w:t>2015SR216862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25"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 w:right="0"/>
              <w:jc w:val="center"/>
              <w:rPr>
                <w:rFonts w:ascii="宋体" w:hAnsi="宋体" w:cs="宋体" w:eastAsia="宋体" w:hint="default"/>
                <w:sz w:val="18"/>
                <w:szCs w:val="18"/>
              </w:rPr>
            </w:pPr>
            <w:r>
              <w:rPr>
                <w:rFonts w:ascii="宋体"/>
                <w:sz w:val="18"/>
              </w:rPr>
              <w:t>5</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方直优教酷资源云平台（简称：优教酷）</w:t>
            </w:r>
            <w:r>
              <w:rPr>
                <w:rFonts w:ascii="宋体" w:hAnsi="宋体" w:cs="宋体" w:eastAsia="宋体" w:hint="default"/>
                <w:sz w:val="18"/>
                <w:szCs w:val="18"/>
              </w:rPr>
              <w:t>V1.0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7"/>
                <w:sz w:val="18"/>
                <w:szCs w:val="18"/>
              </w:rPr>
              <w:t> </w:t>
            </w:r>
            <w:r>
              <w:rPr>
                <w:rFonts w:ascii="宋体" w:hAnsi="宋体" w:cs="宋体" w:eastAsia="宋体" w:hint="default"/>
                <w:sz w:val="18"/>
                <w:szCs w:val="18"/>
              </w:rPr>
              <w:t>1103884</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sz w:val="18"/>
              </w:rPr>
              <w:t>2015SR216798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11"/>
        <w:rPr>
          <w:rFonts w:ascii="宋体" w:hAnsi="宋体" w:cs="宋体" w:eastAsia="宋体" w:hint="default"/>
          <w:sz w:val="27"/>
          <w:szCs w:val="27"/>
        </w:rPr>
      </w:pPr>
    </w:p>
    <w:p>
      <w:pPr>
        <w:pStyle w:val="BodyText"/>
        <w:spacing w:line="240" w:lineRule="auto" w:before="36"/>
        <w:ind w:left="952" w:right="0"/>
        <w:jc w:val="left"/>
      </w:pPr>
      <w:r>
        <w:rPr/>
        <w:t>报告期内，公司未发生核心管理团队及关键技术人员离职，不会对核心竞争力造成影响。</w:t>
      </w:r>
    </w:p>
    <w:p>
      <w:pPr>
        <w:spacing w:after="0" w:line="240" w:lineRule="auto"/>
        <w:jc w:val="left"/>
        <w:sectPr>
          <w:pgSz w:w="11910" w:h="16840"/>
          <w:pgMar w:header="745" w:footer="982" w:top="1060" w:bottom="1180" w:left="60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124" w:right="106"/>
        <w:jc w:val="left"/>
        <w:rPr>
          <w:b w:val="0"/>
          <w:bCs w:val="0"/>
        </w:rPr>
      </w:pPr>
      <w:bookmarkStart w:name="第四节 管理层讨论与分析" w:id="21"/>
      <w:bookmarkEnd w:id="21"/>
      <w:r>
        <w:rPr>
          <w:b w:val="0"/>
          <w:bCs w:val="0"/>
        </w:rPr>
      </w:r>
      <w:bookmarkStart w:name="_bookmark2" w:id="22"/>
      <w:bookmarkEnd w:id="22"/>
      <w:r>
        <w:rPr>
          <w:b w:val="0"/>
          <w:bCs w:val="0"/>
        </w:rPr>
      </w:r>
      <w:r>
        <w:rPr/>
        <w:t>第四节</w:t>
      </w:r>
      <w:r>
        <w:rPr>
          <w:spacing w:val="-7"/>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06"/>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Heading3"/>
        <w:spacing w:line="240" w:lineRule="auto"/>
        <w:ind w:right="106"/>
        <w:jc w:val="left"/>
        <w:rPr>
          <w:b w:val="0"/>
          <w:bCs w:val="0"/>
        </w:rPr>
      </w:pPr>
      <w:r>
        <w:rPr>
          <w:rFonts w:ascii="宋体" w:hAnsi="宋体" w:cs="宋体" w:eastAsia="宋体" w:hint="default"/>
        </w:rPr>
        <w:t>1</w:t>
      </w:r>
      <w:bookmarkStart w:name="一、概述" w:id="23"/>
      <w:bookmarkEnd w:id="23"/>
      <w:r>
        <w:rPr>
          <w:rFonts w:ascii="宋体" w:hAnsi="宋体" w:cs="宋体" w:eastAsia="宋体" w:hint="default"/>
        </w:rPr>
      </w:r>
      <w:r>
        <w:rPr/>
        <w:t>、公司总体经营情况回顾</w:t>
      </w:r>
      <w:r>
        <w:rPr>
          <w:b w:val="0"/>
          <w:bCs w:val="0"/>
        </w:rPr>
      </w:r>
    </w:p>
    <w:p>
      <w:pPr>
        <w:spacing w:line="240" w:lineRule="auto" w:before="4"/>
        <w:rPr>
          <w:rFonts w:ascii="宋体" w:hAnsi="宋体" w:cs="宋体" w:eastAsia="宋体" w:hint="default"/>
          <w:b/>
          <w:bCs/>
          <w:sz w:val="22"/>
          <w:szCs w:val="22"/>
        </w:rPr>
      </w:pPr>
    </w:p>
    <w:p>
      <w:pPr>
        <w:pStyle w:val="BodyText"/>
        <w:spacing w:line="408" w:lineRule="auto" w:before="0"/>
        <w:ind w:right="206" w:firstLine="424"/>
        <w:jc w:val="both"/>
      </w:pPr>
      <w:r>
        <w:rPr>
          <w:rFonts w:ascii="宋体" w:hAnsi="宋体" w:cs="宋体" w:eastAsia="宋体" w:hint="default"/>
        </w:rPr>
        <w:t>2015</w:t>
      </w:r>
      <w:r>
        <w:rPr/>
        <w:t>年是方直科技革新的一年，在过去一年，教育行业在</w:t>
      </w:r>
      <w:r>
        <w:rPr>
          <w:rFonts w:ascii="宋体" w:hAnsi="宋体" w:cs="宋体" w:eastAsia="宋体" w:hint="default"/>
        </w:rPr>
        <w:t>“</w:t>
      </w:r>
      <w:r>
        <w:rPr/>
        <w:t>互联网</w:t>
      </w:r>
      <w:r>
        <w:rPr>
          <w:rFonts w:ascii="宋体" w:hAnsi="宋体" w:cs="宋体" w:eastAsia="宋体" w:hint="default"/>
        </w:rPr>
        <w:t>+”</w:t>
      </w:r>
      <w:r>
        <w:rPr/>
        <w:t>等国家政策的催化下，迎来了</w:t>
      </w:r>
      <w:r>
        <w:rPr>
          <w:w w:val="100"/>
        </w:rPr>
        <w:t> </w:t>
      </w:r>
      <w:r>
        <w:rPr>
          <w:spacing w:val="-2"/>
        </w:rPr>
        <w:t>教育行业内在线教育潮涌。市场业态的变化也给公司发展运营提出了更高的要求。方直科技一直致力于为</w:t>
      </w:r>
      <w:r>
        <w:rPr>
          <w:spacing w:val="-43"/>
        </w:rPr>
        <w:t> </w:t>
      </w:r>
      <w:r>
        <w:rPr>
          <w:spacing w:val="-43"/>
        </w:rPr>
      </w:r>
      <w:r>
        <w:rPr>
          <w:spacing w:val="-2"/>
        </w:rPr>
        <w:t>广大中小学教师与学生提供优质、同步、配套的教育软件及互联网在线全面系统的服务，</w:t>
      </w:r>
      <w:r>
        <w:rPr>
          <w:rFonts w:ascii="宋体" w:hAnsi="宋体" w:cs="宋体" w:eastAsia="宋体" w:hint="default"/>
          <w:spacing w:val="-2"/>
        </w:rPr>
        <w:t>2015</w:t>
      </w:r>
      <w:r>
        <w:rPr>
          <w:spacing w:val="-2"/>
        </w:rPr>
        <w:t>年公司紧跟</w:t>
      </w:r>
      <w:r>
        <w:rPr>
          <w:spacing w:val="-47"/>
        </w:rPr>
        <w:t> </w:t>
      </w:r>
      <w:r>
        <w:rPr>
          <w:spacing w:val="-47"/>
        </w:rPr>
      </w:r>
      <w:r>
        <w:rPr>
          <w:spacing w:val="-2"/>
        </w:rPr>
        <w:t>行业变化，全面向互联网在线教育企业布局，与此同时，公司坚信</w:t>
      </w:r>
      <w:r>
        <w:rPr>
          <w:rFonts w:ascii="宋体" w:hAnsi="宋体" w:cs="宋体" w:eastAsia="宋体" w:hint="default"/>
          <w:spacing w:val="-2"/>
        </w:rPr>
        <w:t>“</w:t>
      </w:r>
      <w:r>
        <w:rPr>
          <w:spacing w:val="-2"/>
        </w:rPr>
        <w:t>教育行业内容为王</w:t>
      </w:r>
      <w:r>
        <w:rPr>
          <w:rFonts w:ascii="宋体" w:hAnsi="宋体" w:cs="宋体" w:eastAsia="宋体" w:hint="default"/>
          <w:spacing w:val="-2"/>
        </w:rPr>
        <w:t>”</w:t>
      </w:r>
      <w:r>
        <w:rPr>
          <w:spacing w:val="-2"/>
        </w:rPr>
        <w:t>，不断完善、升</w:t>
      </w:r>
      <w:r>
        <w:rPr>
          <w:spacing w:val="-44"/>
        </w:rPr>
        <w:t> </w:t>
      </w:r>
      <w:r>
        <w:rPr>
          <w:spacing w:val="-44"/>
        </w:rPr>
      </w:r>
      <w:r>
        <w:rPr>
          <w:spacing w:val="-2"/>
        </w:rPr>
        <w:t>级公司优质教育资源，强化自身优质资源整体化解决方案的优势，始终坚持</w:t>
      </w:r>
      <w:r>
        <w:rPr>
          <w:rFonts w:ascii="宋体" w:hAnsi="宋体" w:cs="宋体" w:eastAsia="宋体" w:hint="default"/>
          <w:spacing w:val="-2"/>
        </w:rPr>
        <w:t>“</w:t>
      </w:r>
      <w:r>
        <w:rPr>
          <w:spacing w:val="-2"/>
        </w:rPr>
        <w:t>关注教育需求，致力于科技</w:t>
      </w:r>
      <w:r>
        <w:rPr>
          <w:spacing w:val="-49"/>
        </w:rPr>
        <w:t> </w:t>
      </w:r>
      <w:r>
        <w:rPr>
          <w:spacing w:val="-49"/>
        </w:rPr>
      </w:r>
      <w:r>
        <w:rPr/>
        <w:t>创新，全心全意促进教育进步</w:t>
      </w:r>
      <w:r>
        <w:rPr>
          <w:rFonts w:ascii="宋体" w:hAnsi="宋体" w:cs="宋体" w:eastAsia="宋体" w:hint="default"/>
        </w:rPr>
        <w:t>”</w:t>
      </w:r>
      <w:r>
        <w:rPr/>
        <w:t>的使命。在</w:t>
      </w:r>
      <w:r>
        <w:rPr>
          <w:rFonts w:ascii="宋体" w:hAnsi="宋体" w:cs="宋体" w:eastAsia="宋体" w:hint="default"/>
        </w:rPr>
        <w:t>“</w:t>
      </w:r>
      <w:r>
        <w:rPr/>
        <w:t>互联网</w:t>
      </w:r>
      <w:r>
        <w:rPr>
          <w:rFonts w:ascii="宋体" w:hAnsi="宋体" w:cs="宋体" w:eastAsia="宋体" w:hint="default"/>
        </w:rPr>
        <w:t>+”</w:t>
      </w:r>
      <w:r>
        <w:rPr/>
        <w:t>与教学相结合的教育信息化的背景下，公司利用</w:t>
      </w:r>
      <w:r>
        <w:rPr>
          <w:spacing w:val="-25"/>
        </w:rPr>
        <w:t> </w:t>
      </w:r>
      <w:r>
        <w:rPr>
          <w:spacing w:val="-25"/>
        </w:rPr>
      </w:r>
      <w:r>
        <w:rPr>
          <w:spacing w:val="-2"/>
        </w:rPr>
        <w:t>在同步学习、资源开发等方面的优势积累与沉淀，</w:t>
      </w:r>
      <w:r>
        <w:rPr>
          <w:rFonts w:ascii="宋体" w:hAnsi="宋体" w:cs="宋体" w:eastAsia="宋体" w:hint="default"/>
          <w:spacing w:val="-2"/>
        </w:rPr>
        <w:t>2015</w:t>
      </w:r>
      <w:r>
        <w:rPr>
          <w:spacing w:val="-2"/>
        </w:rPr>
        <w:t>年公司持续加大产品的研发投入，产品始终围绕客</w:t>
      </w:r>
      <w:r>
        <w:rPr>
          <w:spacing w:val="-45"/>
        </w:rPr>
        <w:t> </w:t>
      </w:r>
      <w:r>
        <w:rPr>
          <w:spacing w:val="-45"/>
        </w:rPr>
      </w:r>
      <w:r>
        <w:rPr/>
        <w:t>户需求，以客户需求为出发点和归属点，逐步实现公司的产品、模式、服务、推广的升级。</w:t>
      </w:r>
    </w:p>
    <w:p>
      <w:pPr>
        <w:pStyle w:val="BodyText"/>
        <w:spacing w:line="408" w:lineRule="auto" w:before="147"/>
        <w:ind w:right="106" w:firstLine="424"/>
        <w:jc w:val="left"/>
      </w:pPr>
      <w:r>
        <w:rPr/>
        <w:t>报告期，公司实现营业收入</w:t>
      </w:r>
      <w:r>
        <w:rPr>
          <w:rFonts w:ascii="宋体" w:hAnsi="宋体" w:cs="宋体" w:eastAsia="宋体" w:hint="default"/>
        </w:rPr>
        <w:t>99,441,831.01</w:t>
      </w:r>
      <w:r>
        <w:rPr/>
        <w:t>元，营业收入较上年同期增长</w:t>
      </w:r>
      <w:r>
        <w:rPr>
          <w:rFonts w:ascii="宋体" w:hAnsi="宋体" w:cs="宋体" w:eastAsia="宋体" w:hint="default"/>
        </w:rPr>
        <w:t>20.06%</w:t>
      </w:r>
      <w:r>
        <w:rPr/>
        <w:t>，主要来自于教育系</w:t>
      </w:r>
      <w:r>
        <w:rPr>
          <w:w w:val="100"/>
        </w:rPr>
        <w:t> </w:t>
      </w:r>
      <w:r>
        <w:rPr>
          <w:spacing w:val="-2"/>
        </w:rPr>
        <w:t>统征订销售收入增加和其他产品销售收入增加。公司核心产品业务及其结构未发生重大变化，金太阳教育</w:t>
      </w:r>
      <w:r>
        <w:rPr>
          <w:spacing w:val="-44"/>
        </w:rPr>
        <w:t> </w:t>
      </w:r>
      <w:r>
        <w:rPr>
          <w:spacing w:val="-44"/>
        </w:rPr>
      </w:r>
      <w:r>
        <w:rPr>
          <w:spacing w:val="-5"/>
        </w:rPr>
        <w:t>软件的开发、销售业务仍是公司的核心业务。华南、华北和华东三个地区是公司产品销售比较集中的区域，</w:t>
      </w:r>
      <w:r>
        <w:rPr>
          <w:spacing w:val="-4"/>
        </w:rPr>
        <w:t> </w:t>
      </w:r>
      <w:r>
        <w:rPr>
          <w:spacing w:val="-4"/>
        </w:rPr>
      </w:r>
      <w:r>
        <w:rPr/>
        <w:t>报告期内各地区销售收入占主营业务收入比例分别为</w:t>
      </w:r>
      <w:r>
        <w:rPr>
          <w:spacing w:val="-7"/>
        </w:rPr>
        <w:t> </w:t>
      </w:r>
      <w:r>
        <w:rPr>
          <w:rFonts w:ascii="宋体" w:hAnsi="宋体" w:cs="宋体" w:eastAsia="宋体" w:hint="default"/>
        </w:rPr>
        <w:t>65.41%</w:t>
      </w:r>
      <w:r>
        <w:rPr/>
        <w:t>、</w:t>
      </w:r>
      <w:r>
        <w:rPr>
          <w:rFonts w:ascii="宋体" w:hAnsi="宋体" w:cs="宋体" w:eastAsia="宋体" w:hint="default"/>
        </w:rPr>
        <w:t>15.00%</w:t>
      </w:r>
      <w:r>
        <w:rPr/>
        <w:t>、</w:t>
      </w:r>
      <w:r>
        <w:rPr>
          <w:rFonts w:ascii="宋体" w:hAnsi="宋体" w:cs="宋体" w:eastAsia="宋体" w:hint="default"/>
        </w:rPr>
        <w:t>13.00%</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3"/>
        <w:spacing w:line="240" w:lineRule="auto"/>
        <w:ind w:right="106"/>
        <w:jc w:val="left"/>
        <w:rPr>
          <w:b w:val="0"/>
          <w:bCs w:val="0"/>
        </w:rPr>
      </w:pPr>
      <w:r>
        <w:rPr>
          <w:rFonts w:ascii="宋体" w:hAnsi="宋体" w:cs="宋体" w:eastAsia="宋体" w:hint="default"/>
        </w:rPr>
        <w:t>2</w:t>
      </w:r>
      <w:r>
        <w:rPr/>
        <w:t>、报告期内主要工作回顾</w:t>
      </w:r>
      <w:r>
        <w:rPr>
          <w:b w:val="0"/>
          <w:bCs w:val="0"/>
        </w:rPr>
      </w:r>
    </w:p>
    <w:p>
      <w:pPr>
        <w:spacing w:line="240" w:lineRule="auto" w:before="6"/>
        <w:rPr>
          <w:rFonts w:ascii="宋体" w:hAnsi="宋体" w:cs="宋体" w:eastAsia="宋体" w:hint="default"/>
          <w:b/>
          <w:bCs/>
          <w:sz w:val="22"/>
          <w:szCs w:val="22"/>
        </w:rPr>
      </w:pPr>
    </w:p>
    <w:p>
      <w:pPr>
        <w:pStyle w:val="BodyText"/>
        <w:spacing w:line="408" w:lineRule="auto" w:before="0"/>
        <w:ind w:left="572" w:right="106" w:firstLine="4"/>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）主要产品情况</w:t>
      </w:r>
      <w:r>
        <w:rPr>
          <w:rFonts w:ascii="宋体" w:hAnsi="宋体" w:cs="宋体" w:eastAsia="宋体" w:hint="default"/>
          <w:b/>
          <w:bCs/>
          <w:w w:val="100"/>
        </w:rPr>
        <w:t> </w:t>
      </w:r>
      <w:r>
        <w:rPr>
          <w:spacing w:val="-3"/>
        </w:rPr>
        <w:t>报告期内，按照公司高尚高效高质的愿景，投入研发资金，利用互联网技术和大数据云平台技术，将</w:t>
      </w:r>
    </w:p>
    <w:p>
      <w:pPr>
        <w:pStyle w:val="BodyText"/>
        <w:spacing w:line="408" w:lineRule="auto"/>
        <w:ind w:right="106"/>
        <w:jc w:val="left"/>
      </w:pPr>
      <w:r>
        <w:rPr/>
        <w:t>原来的单机版产品服务模式提升为互联网平台服务模式，进一步实现</w:t>
      </w:r>
      <w:r>
        <w:rPr>
          <w:rFonts w:ascii="宋体" w:hAnsi="宋体" w:cs="宋体" w:eastAsia="宋体" w:hint="default"/>
        </w:rPr>
        <w:t>“</w:t>
      </w:r>
      <w:r>
        <w:rPr/>
        <w:t>让人人分享优质教育资源</w:t>
      </w:r>
      <w:r>
        <w:rPr>
          <w:rFonts w:ascii="宋体" w:hAnsi="宋体" w:cs="宋体" w:eastAsia="宋体" w:hint="default"/>
        </w:rPr>
        <w:t>”</w:t>
      </w:r>
      <w:r>
        <w:rPr/>
        <w:t>的使</w:t>
      </w:r>
      <w:r>
        <w:rPr>
          <w:spacing w:val="-3"/>
          <w:w w:val="100"/>
        </w:rPr>
        <w:t> </w:t>
      </w:r>
      <w:r>
        <w:rPr/>
        <w:t>命。在</w:t>
      </w:r>
      <w:r>
        <w:rPr>
          <w:rFonts w:ascii="宋体" w:hAnsi="宋体" w:cs="宋体" w:eastAsia="宋体" w:hint="default"/>
        </w:rPr>
        <w:t>“</w:t>
      </w:r>
      <w:r>
        <w:rPr/>
        <w:t>互联网</w:t>
      </w:r>
      <w:r>
        <w:rPr>
          <w:rFonts w:ascii="宋体" w:hAnsi="宋体" w:cs="宋体" w:eastAsia="宋体" w:hint="default"/>
        </w:rPr>
        <w:t>+”</w:t>
      </w:r>
      <w:r>
        <w:rPr/>
        <w:t>与教学相结合的教育信息化的背景下，公司利用自身多年在同步学习、资源开发等方</w:t>
      </w:r>
      <w:r>
        <w:rPr>
          <w:w w:val="100"/>
        </w:rPr>
        <w:t> </w:t>
      </w:r>
      <w:r>
        <w:rPr>
          <w:spacing w:val="-2"/>
        </w:rPr>
        <w:t>面的优势积累与沉淀，产品始终围绕客户需求，以客户需求为出发点和归属点，持续加强了产品的研发投</w:t>
      </w:r>
      <w:r>
        <w:rPr>
          <w:spacing w:val="-44"/>
        </w:rPr>
        <w:t> </w:t>
      </w:r>
      <w:r>
        <w:rPr>
          <w:spacing w:val="-44"/>
        </w:rPr>
      </w:r>
      <w:r>
        <w:rPr/>
        <w:t>入，逐步推动公司的产品、模式、服务、推广的升级。</w:t>
      </w:r>
    </w:p>
    <w:p>
      <w:pPr>
        <w:pStyle w:val="BodyText"/>
        <w:spacing w:line="408" w:lineRule="auto"/>
        <w:ind w:right="106" w:firstLine="422"/>
        <w:jc w:val="left"/>
      </w:pPr>
      <w:r>
        <w:rPr/>
        <w:t>①</w:t>
      </w:r>
      <w:r>
        <w:rPr>
          <w:spacing w:val="-7"/>
        </w:rPr>
        <w:t> </w:t>
      </w:r>
      <w:r>
        <w:rPr/>
        <w:t>公司建立了独具特色的资源</w:t>
      </w:r>
      <w:r>
        <w:rPr>
          <w:rFonts w:ascii="宋体" w:hAnsi="宋体" w:cs="宋体" w:eastAsia="宋体" w:hint="default"/>
        </w:rPr>
        <w:t>MOD</w:t>
      </w:r>
      <w:r>
        <w:rPr/>
        <w:t>平台，有效的实现了产品向服务转型的战略目标。在</w:t>
      </w:r>
      <w:r>
        <w:rPr>
          <w:rFonts w:ascii="宋体" w:hAnsi="宋体" w:cs="宋体" w:eastAsia="宋体" w:hint="default"/>
        </w:rPr>
        <w:t>MOD</w:t>
      </w:r>
      <w:r>
        <w:rPr/>
        <w:t>平台建设</w:t>
      </w:r>
      <w:r>
        <w:rPr>
          <w:w w:val="100"/>
        </w:rPr>
        <w:t> </w:t>
      </w:r>
      <w:r>
        <w:rPr>
          <w:spacing w:val="-3"/>
        </w:rPr>
        <w:t>的基础上，有效地实现了优质资源开发、资源共享、内外资源同生运营策略、实现了与三通两平台的国家</w:t>
      </w:r>
      <w:r>
        <w:rPr>
          <w:spacing w:val="-12"/>
        </w:rPr>
        <w:t> </w:t>
      </w:r>
      <w:r>
        <w:rPr>
          <w:spacing w:val="-12"/>
        </w:rPr>
      </w:r>
      <w:r>
        <w:rPr/>
        <w:t>战略相对接的战略目标，为公司从单机版产品销售向互联网服务运营的成功转型奠定了基础。</w:t>
      </w:r>
    </w:p>
    <w:p>
      <w:pPr>
        <w:spacing w:after="0" w:line="408"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106" w:firstLine="419"/>
        <w:jc w:val="left"/>
      </w:pPr>
      <w:r>
        <w:rPr/>
        <w:t>②</w:t>
      </w:r>
      <w:r>
        <w:rPr>
          <w:spacing w:val="-5"/>
        </w:rPr>
        <w:t> </w:t>
      </w:r>
      <w:r>
        <w:rPr/>
        <w:t>公司借助教育部新教材改版修订时机，公司加快升级了产品功能及内容，按照公司自身</w:t>
      </w:r>
      <w:r>
        <w:rPr>
          <w:rFonts w:ascii="宋体" w:hAnsi="宋体" w:cs="宋体" w:eastAsia="宋体" w:hint="default"/>
        </w:rPr>
        <w:t>“</w:t>
      </w:r>
      <w:r>
        <w:rPr/>
        <w:t>四化建</w:t>
      </w:r>
      <w:r>
        <w:rPr>
          <w:w w:val="100"/>
        </w:rPr>
        <w:t> </w:t>
      </w:r>
      <w:r>
        <w:rPr>
          <w:spacing w:val="-5"/>
        </w:rPr>
        <w:t>设</w:t>
      </w:r>
      <w:r>
        <w:rPr>
          <w:rFonts w:ascii="宋体" w:hAnsi="宋体" w:cs="宋体" w:eastAsia="宋体" w:hint="default"/>
          <w:spacing w:val="-5"/>
        </w:rPr>
        <w:t>”</w:t>
      </w:r>
      <w:r>
        <w:rPr>
          <w:spacing w:val="-5"/>
        </w:rPr>
        <w:t>的要求，对优资教育资源实现差异化、碎片化、标准化和精品化，逐步实现自有知识产权的资源积累，</w:t>
      </w:r>
      <w:r>
        <w:rPr>
          <w:spacing w:val="-14"/>
        </w:rPr>
        <w:t> </w:t>
      </w:r>
      <w:r>
        <w:rPr>
          <w:spacing w:val="-14"/>
        </w:rPr>
      </w:r>
      <w:r>
        <w:rPr/>
        <w:t>提升了产品价值和企业竞争力。</w:t>
      </w:r>
    </w:p>
    <w:p>
      <w:pPr>
        <w:pStyle w:val="BodyText"/>
        <w:spacing w:line="408" w:lineRule="auto"/>
        <w:ind w:left="153" w:right="106" w:firstLine="419"/>
        <w:jc w:val="left"/>
      </w:pPr>
      <w:r>
        <w:rPr/>
        <w:t>③</w:t>
      </w:r>
      <w:r>
        <w:rPr>
          <w:spacing w:val="-3"/>
        </w:rPr>
        <w:t> </w:t>
      </w:r>
      <w:r>
        <w:rPr/>
        <w:t>在</w:t>
      </w:r>
      <w:r>
        <w:rPr>
          <w:rFonts w:ascii="宋体" w:hAnsi="宋体" w:cs="宋体" w:eastAsia="宋体" w:hint="default"/>
        </w:rPr>
        <w:t>MOD</w:t>
      </w:r>
      <w:r>
        <w:rPr/>
        <w:t>平台和四化资源建设的基础上，公司完成了</w:t>
      </w:r>
      <w:r>
        <w:rPr>
          <w:rFonts w:ascii="宋体" w:hAnsi="宋体" w:cs="宋体" w:eastAsia="宋体" w:hint="default"/>
        </w:rPr>
        <w:t>“</w:t>
      </w:r>
      <w:r>
        <w:rPr/>
        <w:t>优教学云服务整体教育解决方案</w:t>
      </w:r>
      <w:r>
        <w:rPr>
          <w:rFonts w:ascii="宋体" w:hAnsi="宋体" w:cs="宋体" w:eastAsia="宋体" w:hint="default"/>
        </w:rPr>
        <w:t>”</w:t>
      </w:r>
      <w:r>
        <w:rPr/>
        <w:t>的研发上</w:t>
      </w:r>
      <w:r>
        <w:rPr>
          <w:w w:val="100"/>
        </w:rPr>
        <w:t> </w:t>
      </w:r>
      <w:r>
        <w:rPr>
          <w:spacing w:val="-2"/>
        </w:rPr>
        <w:t>市，公司已如期完成了定位于为教师教学服务的</w:t>
      </w:r>
      <w:r>
        <w:rPr>
          <w:rFonts w:ascii="宋体" w:hAnsi="宋体" w:cs="宋体" w:eastAsia="宋体" w:hint="default"/>
          <w:spacing w:val="-2"/>
        </w:rPr>
        <w:t>“</w:t>
      </w:r>
      <w:r>
        <w:rPr>
          <w:spacing w:val="-2"/>
        </w:rPr>
        <w:t>优教酷</w:t>
      </w:r>
      <w:r>
        <w:rPr>
          <w:rFonts w:ascii="宋体" w:hAnsi="宋体" w:cs="宋体" w:eastAsia="宋体" w:hint="default"/>
          <w:spacing w:val="-2"/>
        </w:rPr>
        <w:t>”</w:t>
      </w:r>
      <w:r>
        <w:rPr>
          <w:spacing w:val="-2"/>
        </w:rPr>
        <w:t>平台及定位于为学生服务的</w:t>
      </w:r>
      <w:r>
        <w:rPr>
          <w:rFonts w:ascii="宋体" w:hAnsi="宋体" w:cs="宋体" w:eastAsia="宋体" w:hint="default"/>
          <w:spacing w:val="-2"/>
        </w:rPr>
        <w:t>“</w:t>
      </w:r>
      <w:r>
        <w:rPr>
          <w:spacing w:val="-2"/>
        </w:rPr>
        <w:t>优学酷</w:t>
      </w:r>
      <w:r>
        <w:rPr>
          <w:rFonts w:ascii="宋体" w:hAnsi="宋体" w:cs="宋体" w:eastAsia="宋体" w:hint="default"/>
          <w:spacing w:val="-2"/>
        </w:rPr>
        <w:t>”</w:t>
      </w:r>
      <w:r>
        <w:rPr>
          <w:spacing w:val="-2"/>
        </w:rPr>
        <w:t>、</w:t>
      </w:r>
      <w:r>
        <w:rPr>
          <w:rFonts w:ascii="宋体" w:hAnsi="宋体" w:cs="宋体" w:eastAsia="宋体" w:hint="default"/>
          <w:spacing w:val="-2"/>
        </w:rPr>
        <w:t>“</w:t>
      </w:r>
      <w:r>
        <w:rPr>
          <w:spacing w:val="-2"/>
        </w:rPr>
        <w:t>优</w:t>
      </w:r>
      <w:r>
        <w:rPr>
          <w:spacing w:val="-44"/>
        </w:rPr>
        <w:t> </w:t>
      </w:r>
      <w:r>
        <w:rPr>
          <w:spacing w:val="-5"/>
        </w:rPr>
        <w:t>作业</w:t>
      </w:r>
      <w:r>
        <w:rPr>
          <w:rFonts w:ascii="宋体" w:hAnsi="宋体" w:cs="宋体" w:eastAsia="宋体" w:hint="default"/>
          <w:spacing w:val="-5"/>
        </w:rPr>
        <w:t>”</w:t>
      </w:r>
      <w:r>
        <w:rPr>
          <w:spacing w:val="-5"/>
        </w:rPr>
        <w:t>产品的研发工作并推出上市，在进一步提高教师工作效率的同时，让学校教育与家庭教育协同发展，</w:t>
      </w:r>
      <w:r>
        <w:rPr>
          <w:spacing w:val="-7"/>
        </w:rPr>
        <w:t> </w:t>
      </w:r>
      <w:r>
        <w:rPr>
          <w:spacing w:val="-7"/>
        </w:rPr>
      </w:r>
      <w:r>
        <w:rPr>
          <w:spacing w:val="-5"/>
        </w:rPr>
        <w:t>构建多层次全方位教育服务体系，逐步呈现产品四化建设成效。该整体方案的推出实现了学校教师、学生、 </w:t>
      </w:r>
      <w:r>
        <w:rPr>
          <w:spacing w:val="-5"/>
        </w:rPr>
      </w:r>
      <w:r>
        <w:rPr/>
        <w:t>家长三者间的互联互通，同时实现了课前、课中、课后的教育生态建设。</w:t>
      </w:r>
    </w:p>
    <w:p>
      <w:pPr>
        <w:pStyle w:val="BodyText"/>
        <w:spacing w:line="408" w:lineRule="auto"/>
        <w:ind w:left="153" w:right="106" w:firstLine="419"/>
        <w:jc w:val="left"/>
      </w:pPr>
      <w:r>
        <w:rPr/>
        <w:t>④</w:t>
      </w:r>
      <w:r>
        <w:rPr>
          <w:spacing w:val="-4"/>
        </w:rPr>
        <w:t> </w:t>
      </w:r>
      <w:r>
        <w:rPr/>
        <w:t>公司还在</w:t>
      </w:r>
      <w:r>
        <w:rPr>
          <w:rFonts w:ascii="宋体" w:hAnsi="宋体" w:cs="宋体" w:eastAsia="宋体" w:hint="default"/>
        </w:rPr>
        <w:t>MOD</w:t>
      </w:r>
      <w:r>
        <w:rPr/>
        <w:t>平台和四化资源的基础上，开发了优质同步配套的集群化专项技能训练</w:t>
      </w:r>
      <w:r>
        <w:rPr>
          <w:rFonts w:ascii="宋体" w:hAnsi="宋体" w:cs="宋体" w:eastAsia="宋体" w:hint="default"/>
        </w:rPr>
        <w:t>APP</w:t>
      </w:r>
      <w:r>
        <w:rPr/>
        <w:t>应用成功</w:t>
      </w:r>
      <w:r>
        <w:rPr>
          <w:w w:val="100"/>
        </w:rPr>
        <w:t> </w:t>
      </w:r>
      <w:r>
        <w:rPr>
          <w:spacing w:val="-2"/>
        </w:rPr>
        <w:t>上线，丰富了公司产品服务体系。为互联网和移动互联服务的在线教育提供多方位的优质资源，无论是线</w:t>
      </w:r>
      <w:r>
        <w:rPr>
          <w:spacing w:val="-43"/>
        </w:rPr>
        <w:t> </w:t>
      </w:r>
      <w:r>
        <w:rPr>
          <w:spacing w:val="-43"/>
        </w:rPr>
      </w:r>
      <w:r>
        <w:rPr>
          <w:spacing w:val="-2"/>
        </w:rPr>
        <w:t>上线下产品都提供更多更优质的产品体验及增值服务。报告期内，重点在北京、杭州两地试点推广，方案</w:t>
      </w:r>
      <w:r>
        <w:rPr>
          <w:spacing w:val="-44"/>
        </w:rPr>
        <w:t> </w:t>
      </w:r>
      <w:r>
        <w:rPr>
          <w:spacing w:val="-44"/>
        </w:rPr>
      </w:r>
      <w:r>
        <w:rPr>
          <w:spacing w:val="-2"/>
        </w:rPr>
        <w:t>得到了很好的市场认可和积极的反馈，以两地为示范城市，为接下来的产品升级改进以及全国的规模化复</w:t>
      </w:r>
      <w:r>
        <w:rPr>
          <w:spacing w:val="-44"/>
        </w:rPr>
        <w:t> </w:t>
      </w:r>
      <w:r>
        <w:rPr>
          <w:spacing w:val="-44"/>
        </w:rPr>
      </w:r>
      <w:r>
        <w:rPr/>
        <w:t>制推广均奠定良好基础。</w:t>
      </w:r>
    </w:p>
    <w:p>
      <w:pPr>
        <w:pStyle w:val="BodyText"/>
        <w:spacing w:line="408" w:lineRule="auto"/>
        <w:ind w:left="153" w:right="212" w:firstLine="420"/>
        <w:jc w:val="both"/>
      </w:pPr>
      <w:r>
        <w:rPr/>
        <w:t>⑤</w:t>
      </w:r>
      <w:r>
        <w:rPr>
          <w:spacing w:val="70"/>
        </w:rPr>
        <w:t> </w:t>
      </w:r>
      <w:r>
        <w:rPr>
          <w:spacing w:val="-3"/>
        </w:rPr>
        <w:t>为探索学龄前教育市场，公司持续开拓学前教育市场，英国</w:t>
      </w:r>
      <w:r>
        <w:rPr>
          <w:rFonts w:ascii="宋体" w:hAnsi="宋体" w:cs="宋体" w:eastAsia="宋体" w:hint="default"/>
          <w:spacing w:val="-3"/>
        </w:rPr>
        <w:t>BBC</w:t>
      </w:r>
      <w:r>
        <w:rPr>
          <w:spacing w:val="-3"/>
        </w:rPr>
        <w:t>幼教节目《布鲁精灵》年初已完成</w:t>
      </w:r>
      <w:r>
        <w:rPr>
          <w:spacing w:val="-3"/>
          <w:w w:val="100"/>
        </w:rPr>
        <w:t> </w:t>
      </w:r>
      <w:r>
        <w:rPr>
          <w:spacing w:val="-3"/>
        </w:rPr>
        <w:t>音像产品发布，全国各大终端已全面上架。但是由于合作方管理层重大变动原因，市场活动很少，未能取</w:t>
      </w:r>
      <w:r>
        <w:rPr>
          <w:spacing w:val="-10"/>
        </w:rPr>
        <w:t> </w:t>
      </w:r>
      <w:r>
        <w:rPr>
          <w:spacing w:val="-10"/>
        </w:rPr>
      </w:r>
      <w:r>
        <w:rPr/>
        <w:t>得如期效益。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77" w:right="106" w:hanging="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）渠道拓展及营销推广模式创新</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报告期内，面对教育行业巨大的竞争压力，公司不断根据业态变化调整经营策略和营销推广模式，继</w:t>
      </w:r>
    </w:p>
    <w:p>
      <w:pPr>
        <w:pStyle w:val="BodyText"/>
        <w:spacing w:line="408" w:lineRule="auto"/>
        <w:ind w:right="106"/>
        <w:jc w:val="left"/>
      </w:pPr>
      <w:r>
        <w:rPr>
          <w:spacing w:val="-2"/>
        </w:rPr>
        <w:t>续建立并不断优化良好的沟通机制，销售管理以大区经理、区域经理为主，销售渠道以代理为主，终端为</w:t>
      </w:r>
      <w:r>
        <w:rPr>
          <w:spacing w:val="-47"/>
        </w:rPr>
        <w:t> </w:t>
      </w:r>
      <w:r>
        <w:rPr>
          <w:spacing w:val="-47"/>
        </w:rPr>
      </w:r>
      <w:r>
        <w:rPr>
          <w:spacing w:val="-2"/>
        </w:rPr>
        <w:t>辅，不断加强团队销售能力，对市场、销售、网络营销、在线教育的建设规划齐头并进。根据新产品的推</w:t>
      </w:r>
      <w:r>
        <w:rPr>
          <w:spacing w:val="-45"/>
        </w:rPr>
        <w:t> </w:t>
      </w:r>
      <w:r>
        <w:rPr>
          <w:spacing w:val="-45"/>
        </w:rPr>
      </w:r>
      <w:r>
        <w:rPr/>
        <w:t>广进度，集中力量建立华北、华东、华南地区的销售渠道，并在上述地区内建立重点的样板城市</w:t>
      </w:r>
      <w:r>
        <w:rPr>
          <w:rFonts w:ascii="宋体" w:hAnsi="宋体" w:cs="宋体" w:eastAsia="宋体" w:hint="default"/>
        </w:rPr>
        <w:t>,</w:t>
      </w:r>
      <w:r>
        <w:rPr/>
        <w:t>为新产</w:t>
      </w:r>
      <w:r>
        <w:rPr>
          <w:spacing w:val="-3"/>
          <w:w w:val="100"/>
        </w:rPr>
        <w:t> </w:t>
      </w:r>
      <w:r>
        <w:rPr>
          <w:spacing w:val="-2"/>
        </w:rPr>
        <w:t>品的全面推广实现快速复制覆盖。注重将沿海城市的业务拓展经验复制在内地城市，宣传力度着重投放在</w:t>
      </w:r>
      <w:r>
        <w:rPr>
          <w:spacing w:val="-44"/>
        </w:rPr>
        <w:t> </w:t>
      </w:r>
      <w:r>
        <w:rPr>
          <w:spacing w:val="-44"/>
        </w:rPr>
      </w:r>
      <w:r>
        <w:rPr/>
        <w:t>云南、四川、重庆等区域城市，在此推广期间，区域用户数明显增加，产品知名度有显著提升</w:t>
      </w:r>
      <w:r>
        <w:rPr>
          <w:spacing w:val="-8"/>
        </w:rPr>
        <w:t> </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77" w:right="106" w:hanging="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）拟非公开发行，全面向互联网教育企业转型</w:t>
      </w:r>
      <w:r>
        <w:rPr>
          <w:rFonts w:ascii="宋体" w:hAnsi="宋体" w:cs="宋体" w:eastAsia="宋体" w:hint="default"/>
          <w:b/>
          <w:bCs/>
          <w:w w:val="100"/>
          <w:sz w:val="21"/>
          <w:szCs w:val="21"/>
        </w:rPr>
        <w:t> </w:t>
      </w:r>
      <w:r>
        <w:rPr>
          <w:rFonts w:ascii="宋体" w:hAnsi="宋体" w:cs="宋体" w:eastAsia="宋体" w:hint="default"/>
          <w:spacing w:val="-2"/>
          <w:sz w:val="21"/>
          <w:szCs w:val="21"/>
        </w:rPr>
        <w:t>公司于</w:t>
      </w:r>
      <w:r>
        <w:rPr>
          <w:rFonts w:ascii="宋体" w:hAnsi="宋体" w:cs="宋体" w:eastAsia="宋体" w:hint="default"/>
          <w:spacing w:val="-2"/>
          <w:sz w:val="21"/>
          <w:szCs w:val="21"/>
        </w:rPr>
        <w:t>2015</w:t>
      </w:r>
      <w:r>
        <w:rPr>
          <w:rFonts w:ascii="宋体" w:hAnsi="宋体" w:cs="宋体" w:eastAsia="宋体" w:hint="default"/>
          <w:spacing w:val="-2"/>
          <w:sz w:val="21"/>
          <w:szCs w:val="21"/>
        </w:rPr>
        <w:t>年</w:t>
      </w:r>
      <w:r>
        <w:rPr>
          <w:rFonts w:ascii="宋体" w:hAnsi="宋体" w:cs="宋体" w:eastAsia="宋体" w:hint="default"/>
          <w:spacing w:val="-2"/>
          <w:sz w:val="21"/>
          <w:szCs w:val="21"/>
        </w:rPr>
        <w:t>08</w:t>
      </w:r>
      <w:r>
        <w:rPr>
          <w:rFonts w:ascii="宋体" w:hAnsi="宋体" w:cs="宋体" w:eastAsia="宋体" w:hint="default"/>
          <w:spacing w:val="-2"/>
          <w:sz w:val="21"/>
          <w:szCs w:val="21"/>
        </w:rPr>
        <w:t>月</w:t>
      </w:r>
      <w:r>
        <w:rPr>
          <w:rFonts w:ascii="宋体" w:hAnsi="宋体" w:cs="宋体" w:eastAsia="宋体" w:hint="default"/>
          <w:spacing w:val="-2"/>
          <w:sz w:val="21"/>
          <w:szCs w:val="21"/>
        </w:rPr>
        <w:t>14</w:t>
      </w:r>
      <w:r>
        <w:rPr>
          <w:rFonts w:ascii="宋体" w:hAnsi="宋体" w:cs="宋体" w:eastAsia="宋体" w:hint="default"/>
          <w:spacing w:val="-2"/>
          <w:sz w:val="21"/>
          <w:szCs w:val="21"/>
        </w:rPr>
        <w:t>日召开了</w:t>
      </w:r>
      <w:r>
        <w:rPr>
          <w:rFonts w:ascii="宋体" w:hAnsi="宋体" w:cs="宋体" w:eastAsia="宋体" w:hint="default"/>
          <w:spacing w:val="-2"/>
          <w:sz w:val="21"/>
          <w:szCs w:val="21"/>
        </w:rPr>
        <w:t>2015</w:t>
      </w:r>
      <w:r>
        <w:rPr>
          <w:rFonts w:ascii="宋体" w:hAnsi="宋体" w:cs="宋体" w:eastAsia="宋体" w:hint="default"/>
          <w:spacing w:val="-2"/>
          <w:sz w:val="21"/>
          <w:szCs w:val="21"/>
        </w:rPr>
        <w:t>年第三次临时股东大会，会议审议通过了《公司本次非公开发行股</w:t>
      </w:r>
    </w:p>
    <w:p>
      <w:pPr>
        <w:pStyle w:val="BodyText"/>
        <w:spacing w:line="408" w:lineRule="auto"/>
        <w:ind w:left="153" w:right="106" w:hanging="1"/>
        <w:jc w:val="left"/>
      </w:pPr>
      <w:r>
        <w:rPr>
          <w:spacing w:val="-5"/>
        </w:rPr>
        <w:t>票方案》的议案。本次非公开发行拟募集资金用于投资项目：</w:t>
      </w:r>
      <w:r>
        <w:rPr>
          <w:rFonts w:ascii="宋体" w:hAnsi="宋体" w:cs="宋体" w:eastAsia="宋体" w:hint="default"/>
          <w:spacing w:val="-5"/>
        </w:rPr>
        <w:t>“</w:t>
      </w:r>
      <w:r>
        <w:rPr>
          <w:spacing w:val="-5"/>
        </w:rPr>
        <w:t>教学研云平台</w:t>
      </w:r>
      <w:r>
        <w:rPr>
          <w:rFonts w:ascii="宋体" w:hAnsi="宋体" w:cs="宋体" w:eastAsia="宋体" w:hint="default"/>
          <w:spacing w:val="-5"/>
        </w:rPr>
        <w:t>”</w:t>
      </w:r>
      <w:r>
        <w:rPr>
          <w:spacing w:val="-5"/>
        </w:rPr>
        <w:t>、</w:t>
      </w:r>
      <w:r>
        <w:rPr>
          <w:rFonts w:ascii="宋体" w:hAnsi="宋体" w:cs="宋体" w:eastAsia="宋体" w:hint="default"/>
          <w:spacing w:val="-5"/>
        </w:rPr>
        <w:t>“</w:t>
      </w:r>
      <w:r>
        <w:rPr>
          <w:spacing w:val="-5"/>
        </w:rPr>
        <w:t>同步资源学习系统</w:t>
      </w:r>
      <w:r>
        <w:rPr>
          <w:rFonts w:ascii="宋体" w:hAnsi="宋体" w:cs="宋体" w:eastAsia="宋体" w:hint="default"/>
          <w:spacing w:val="-5"/>
        </w:rPr>
        <w:t>”</w:t>
      </w:r>
      <w:r>
        <w:rPr>
          <w:spacing w:val="-5"/>
        </w:rPr>
        <w:t>。</w:t>
      </w:r>
      <w:r>
        <w:rPr>
          <w:spacing w:val="-12"/>
        </w:rPr>
        <w:t> </w:t>
      </w:r>
      <w:r>
        <w:rPr>
          <w:spacing w:val="-3"/>
        </w:rPr>
        <w:t>本次非公开发行拟募集资金投资项目是公司实施</w:t>
      </w:r>
      <w:r>
        <w:rPr>
          <w:rFonts w:ascii="宋体" w:hAnsi="宋体" w:cs="宋体" w:eastAsia="宋体" w:hint="default"/>
          <w:spacing w:val="-3"/>
        </w:rPr>
        <w:t>“</w:t>
      </w:r>
      <w:r>
        <w:rPr>
          <w:spacing w:val="-3"/>
        </w:rPr>
        <w:t>科技服务于教育</w:t>
      </w:r>
      <w:r>
        <w:rPr>
          <w:rFonts w:ascii="宋体" w:hAnsi="宋体" w:cs="宋体" w:eastAsia="宋体" w:hint="default"/>
          <w:spacing w:val="-3"/>
        </w:rPr>
        <w:t>”</w:t>
      </w:r>
      <w:r>
        <w:rPr>
          <w:spacing w:val="-3"/>
        </w:rPr>
        <w:t>发展战略的重要步骤，是公司现有主</w:t>
      </w:r>
      <w:r>
        <w:rPr>
          <w:spacing w:val="-6"/>
        </w:rPr>
        <w:t> </w:t>
      </w:r>
      <w:r>
        <w:rPr>
          <w:spacing w:val="-6"/>
        </w:rPr>
      </w:r>
      <w:r>
        <w:rPr>
          <w:spacing w:val="-3"/>
        </w:rPr>
        <w:t>营业务的巩固、延伸和丰富，本投资项目的建设，将有利于提高公司产品市场占有率，丰富公司产品及服</w:t>
      </w:r>
      <w:r>
        <w:rPr/>
      </w:r>
    </w:p>
    <w:p>
      <w:pPr>
        <w:spacing w:after="0" w:line="408"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bookmarkStart w:name="二、主营业务分析" w:id="24"/>
      <w:bookmarkEnd w:id="24"/>
      <w:r>
        <w:rPr/>
      </w:r>
      <w:bookmarkStart w:name="1、概述" w:id="25"/>
      <w:bookmarkEnd w:id="25"/>
      <w:r>
        <w:rPr/>
      </w:r>
      <w:r>
        <w:rPr/>
        <w:t>务类型，有助于进一步提升公司综合竞争实力，提高公司行业地位和盈利能力。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37"/>
        <w:ind w:left="577" w:right="0" w:hanging="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）提升内部管理，启动员工持股计划</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报告期内，公司不断加强企业组织建设，强化内控制度梳理和完善，注重企业文化建设，参加或举办</w:t>
      </w:r>
    </w:p>
    <w:p>
      <w:pPr>
        <w:pStyle w:val="BodyText"/>
        <w:spacing w:line="408" w:lineRule="auto"/>
        <w:ind w:right="0"/>
        <w:jc w:val="left"/>
      </w:pPr>
      <w:r>
        <w:rPr>
          <w:spacing w:val="-3"/>
        </w:rPr>
        <w:t>各类文教宣传活动扩大公司的品牌影响力；通过校企合作、企业互通等人才合作模式，加强外部优秀人才</w:t>
      </w:r>
      <w:r>
        <w:rPr>
          <w:spacing w:val="-5"/>
        </w:rPr>
        <w:t> </w:t>
      </w:r>
      <w:r>
        <w:rPr>
          <w:spacing w:val="-5"/>
        </w:rPr>
      </w:r>
      <w:r>
        <w:rPr/>
        <w:t>引进，同时加大人才培养力度，完善公司内部考核制度进行内部优秀人才选拔。</w:t>
      </w:r>
    </w:p>
    <w:p>
      <w:pPr>
        <w:pStyle w:val="BodyText"/>
        <w:spacing w:line="408" w:lineRule="auto" w:before="87"/>
        <w:ind w:right="125" w:firstLine="424"/>
        <w:jc w:val="both"/>
      </w:pPr>
      <w:r>
        <w:rPr>
          <w:spacing w:val="-3"/>
        </w:rPr>
        <w:t>为了进一步完善员工激励机制，倡导公司与个人共同持续发展的理念，有效调动管理者和公司员工的</w:t>
      </w:r>
      <w:r>
        <w:rPr>
          <w:spacing w:val="-3"/>
          <w:w w:val="100"/>
        </w:rPr>
        <w:t> </w:t>
      </w:r>
      <w:r>
        <w:rPr>
          <w:spacing w:val="-2"/>
        </w:rPr>
        <w:t>积极性。吸引和保留优秀管理人才和业务骨干，兼顾公司长期利益和近期利益，更灵活地吸引各种人才，</w:t>
      </w:r>
      <w:r>
        <w:rPr>
          <w:spacing w:val="-21"/>
        </w:rPr>
        <w:t> </w:t>
      </w:r>
      <w:r>
        <w:rPr>
          <w:spacing w:val="-21"/>
        </w:rPr>
      </w:r>
      <w:r>
        <w:rPr/>
        <w:t>公司于</w:t>
      </w:r>
      <w:r>
        <w:rPr>
          <w:rFonts w:ascii="宋体" w:hAnsi="宋体" w:cs="宋体" w:eastAsia="宋体" w:hint="default"/>
        </w:rPr>
        <w:t>2015</w:t>
      </w:r>
      <w:r>
        <w:rPr/>
        <w:t>年</w:t>
      </w:r>
      <w:r>
        <w:rPr>
          <w:rFonts w:ascii="宋体" w:hAnsi="宋体" w:cs="宋体" w:eastAsia="宋体" w:hint="default"/>
        </w:rPr>
        <w:t>07</w:t>
      </w:r>
      <w:r>
        <w:rPr/>
        <w:t>月</w:t>
      </w:r>
      <w:r>
        <w:rPr>
          <w:rFonts w:ascii="宋体" w:hAnsi="宋体" w:cs="宋体" w:eastAsia="宋体" w:hint="default"/>
        </w:rPr>
        <w:t>19</w:t>
      </w:r>
      <w:r>
        <w:rPr/>
        <w:t>日，公司召开第二届董事会第十九次会议，审议通过了《关于</w:t>
      </w:r>
      <w:r>
        <w:rPr>
          <w:rFonts w:ascii="宋体" w:hAnsi="宋体" w:cs="宋体" w:eastAsia="宋体" w:hint="default"/>
        </w:rPr>
        <w:t>&lt;</w:t>
      </w:r>
      <w:r>
        <w:rPr/>
        <w:t>公司首期员工持股计</w:t>
      </w:r>
      <w:r>
        <w:rPr>
          <w:spacing w:val="-29"/>
        </w:rPr>
        <w:t> </w:t>
      </w:r>
      <w:r>
        <w:rPr>
          <w:spacing w:val="-29"/>
        </w:rPr>
      </w:r>
      <w:r>
        <w:rPr/>
        <w:t>划（草案）</w:t>
      </w:r>
      <w:r>
        <w:rPr>
          <w:rFonts w:ascii="宋体" w:hAnsi="宋体" w:cs="宋体" w:eastAsia="宋体" w:hint="default"/>
        </w:rPr>
        <w:t>&gt;</w:t>
      </w:r>
      <w:r>
        <w:rPr/>
        <w:t>及其摘要的议案》等相关议案，并提交公司</w:t>
      </w:r>
      <w:r>
        <w:rPr>
          <w:rFonts w:ascii="宋体" w:hAnsi="宋体" w:cs="宋体" w:eastAsia="宋体" w:hint="default"/>
        </w:rPr>
        <w:t>2015</w:t>
      </w:r>
      <w:r>
        <w:rPr/>
        <w:t>年第三次临时股东大会表决，相关议案获得</w:t>
      </w:r>
      <w:r>
        <w:rPr>
          <w:spacing w:val="-28"/>
        </w:rPr>
        <w:t> </w:t>
      </w:r>
      <w:r>
        <w:rPr>
          <w:spacing w:val="-28"/>
        </w:rPr>
      </w:r>
      <w:r>
        <w:rPr/>
        <w:t>通过。通过实施员工持股计划，更好地促进公司长期、持续、健康发展。</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line="408" w:lineRule="auto" w:before="0"/>
        <w:ind w:left="577" w:right="0" w:hanging="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）资本市场寻求机遇，推进外延式并购重组</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报告期内，公司拟通过重大资产重组收购一家棋牌类游戏平台及两家棋牌类游戏公司。公司拟与标的</w:t>
      </w:r>
    </w:p>
    <w:p>
      <w:pPr>
        <w:pStyle w:val="BodyText"/>
        <w:spacing w:line="408" w:lineRule="auto"/>
        <w:ind w:right="0"/>
        <w:jc w:val="left"/>
      </w:pPr>
      <w:r>
        <w:rPr>
          <w:spacing w:val="-2"/>
        </w:rPr>
        <w:t>公司的股东展开资本层面的合作，将并购标的打造成智力竞技、素质教育的泛文体教项目，通过并购重组</w:t>
      </w:r>
      <w:r>
        <w:rPr>
          <w:spacing w:val="-43"/>
        </w:rPr>
        <w:t> </w:t>
      </w:r>
      <w:r>
        <w:rPr>
          <w:spacing w:val="-43"/>
        </w:rPr>
      </w:r>
      <w:r>
        <w:rPr/>
        <w:t>拓展公司在移动互联网娱乐领域的产业布局，打造新的利润增长点。</w:t>
      </w:r>
    </w:p>
    <w:p>
      <w:pPr>
        <w:pStyle w:val="BodyText"/>
        <w:spacing w:line="408" w:lineRule="auto"/>
        <w:ind w:right="146" w:firstLine="424"/>
        <w:jc w:val="both"/>
      </w:pPr>
      <w:r>
        <w:rPr>
          <w:spacing w:val="-3"/>
        </w:rPr>
        <w:t>自公司进入重大资产重组程序以来，各方均积极推进本次重大资产重组事项，就关键合作条件进行了</w:t>
      </w:r>
      <w:r>
        <w:rPr>
          <w:w w:val="100"/>
        </w:rPr>
        <w:t> </w:t>
      </w:r>
      <w:r>
        <w:rPr>
          <w:spacing w:val="-2"/>
        </w:rPr>
        <w:t>深入讨论和沟通，经过多次努力，由于公司与标的公司股东最终未能就关键交易条款达成一致，公司为维</w:t>
      </w:r>
      <w:r>
        <w:rPr>
          <w:spacing w:val="-47"/>
        </w:rPr>
        <w:t> </w:t>
      </w:r>
      <w:r>
        <w:rPr>
          <w:spacing w:val="-47"/>
        </w:rPr>
      </w:r>
      <w:r>
        <w:rPr>
          <w:spacing w:val="-2"/>
        </w:rPr>
        <w:t>护全体股东及公司利益，经慎重考虑，决定终止实施该重组事项，于</w:t>
      </w:r>
      <w:r>
        <w:rPr>
          <w:rFonts w:ascii="宋体" w:hAnsi="宋体" w:cs="宋体" w:eastAsia="宋体" w:hint="default"/>
          <w:spacing w:val="-2"/>
        </w:rPr>
        <w:t>2016</w:t>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16</w:t>
      </w:r>
      <w:r>
        <w:rPr>
          <w:spacing w:val="-2"/>
        </w:rPr>
        <w:t>日开市起复牌。虽然本</w:t>
      </w:r>
      <w:r>
        <w:rPr>
          <w:spacing w:val="-50"/>
        </w:rPr>
        <w:t> </w:t>
      </w:r>
      <w:r>
        <w:rPr>
          <w:spacing w:val="-50"/>
        </w:rPr>
      </w:r>
      <w:r>
        <w:rPr>
          <w:spacing w:val="-2"/>
        </w:rPr>
        <w:t>次重大资产重组事项未实施成功，但公司将继续坚持自我发展和收购兼并相结合的发展战略，本次重组的</w:t>
      </w:r>
      <w:r>
        <w:rPr>
          <w:spacing w:val="-44"/>
        </w:rPr>
        <w:t> </w:t>
      </w:r>
      <w:r>
        <w:rPr>
          <w:spacing w:val="-44"/>
        </w:rPr>
      </w:r>
      <w:r>
        <w:rPr>
          <w:spacing w:val="-2"/>
        </w:rPr>
        <w:t>终止不会对公司发展战略、经营规划及生产经营等方面造成重大不利影响，也不会影响公司未来进一步完</w:t>
      </w:r>
      <w:r>
        <w:rPr>
          <w:spacing w:val="-43"/>
        </w:rPr>
        <w:t> </w:t>
      </w:r>
      <w:r>
        <w:rPr>
          <w:spacing w:val="-43"/>
        </w:rPr>
      </w:r>
      <w:r>
        <w:rPr/>
        <w:t>善公司产业链的战略规划。</w:t>
      </w:r>
    </w:p>
    <w:p>
      <w:pPr>
        <w:pStyle w:val="BodyText"/>
        <w:spacing w:line="408" w:lineRule="auto"/>
        <w:ind w:right="146" w:firstLine="424"/>
        <w:jc w:val="both"/>
      </w:pPr>
      <w:r>
        <w:rPr>
          <w:spacing w:val="-2"/>
        </w:rPr>
        <w:t>在未来的经营中，公司将继续遵循内生式增长与外延式扩张相结合的发展战略，在做好现有主营业务</w:t>
      </w:r>
      <w:r>
        <w:rPr>
          <w:w w:val="100"/>
        </w:rPr>
        <w:t> </w:t>
      </w:r>
      <w:r>
        <w:rPr>
          <w:spacing w:val="-3"/>
        </w:rPr>
        <w:t>的基础上，积极寻求通过兼并、收购等方式实现扩张的可能性，寻找新的盈利增长点，提升公司综合竞争</w:t>
      </w:r>
      <w:r>
        <w:rPr>
          <w:spacing w:val="-13"/>
        </w:rPr>
        <w:t> </w:t>
      </w:r>
      <w:r>
        <w:rPr>
          <w:spacing w:val="-13"/>
        </w:rPr>
      </w:r>
      <w:r>
        <w:rPr/>
        <w:t>力，不断将企业做大做强。</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bookmarkStart w:name="2、收入与成本" w:id="26"/>
      <w:bookmarkEnd w:id="26"/>
      <w:r>
        <w:rPr>
          <w:rFonts w:ascii="Times New Roman" w:hAnsi="Times New Roman" w:cs="Times New Roman" w:eastAsia="Times New Roman" w:hint="default"/>
        </w:rPr>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bookmarkStart w:name="（1）营业收入构成" w:id="27"/>
      <w:bookmarkEnd w:id="27"/>
      <w:r>
        <w:rPr>
          <w:rFonts w:ascii="Times New Roman" w:hAnsi="Times New Roman" w:cs="Times New Roman" w:eastAsia="Times New Roman" w:hint="default"/>
        </w:rPr>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318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4D4D4"/>
          </w:tcPr>
          <w:p>
            <w:pPr/>
          </w:p>
        </w:tc>
        <w:tc>
          <w:tcPr>
            <w:tcW w:w="3184" w:type="dxa"/>
            <w:gridSpan w:val="2"/>
            <w:vMerge/>
            <w:tcBorders>
              <w:left w:val="single" w:sz="4" w:space="0" w:color="000000"/>
              <w:bottom w:val="single" w:sz="4" w:space="0" w:color="000000"/>
              <w:right w:val="single" w:sz="4" w:space="0" w:color="000000"/>
            </w:tcBorders>
            <w:shd w:val="clear" w:color="auto" w:fill="D4D4D4"/>
          </w:tcPr>
          <w:p>
            <w:pPr/>
          </w:p>
        </w:tc>
        <w:tc>
          <w:tcPr>
            <w:tcW w:w="3186" w:type="dxa"/>
            <w:gridSpan w:val="2"/>
            <w:vMerge/>
            <w:tcBorders>
              <w:left w:val="single" w:sz="4" w:space="0" w:color="000000"/>
              <w:bottom w:val="single" w:sz="4" w:space="0" w:color="000000"/>
              <w:right w:val="single" w:sz="4" w:space="0" w:color="000000"/>
            </w:tcBorders>
            <w:shd w:val="clear" w:color="auto" w:fill="D4D4D4"/>
          </w:tcPr>
          <w:p>
            <w:pPr/>
          </w:p>
        </w:tc>
        <w:tc>
          <w:tcPr>
            <w:tcW w:w="15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1" w:type="dxa"/>
            <w:vMerge/>
            <w:tcBorders>
              <w:left w:val="single" w:sz="4" w:space="0" w:color="000000"/>
              <w:bottom w:val="single" w:sz="4" w:space="0" w:color="000000"/>
              <w:right w:val="single" w:sz="4" w:space="0" w:color="000000"/>
            </w:tcBorders>
            <w:shd w:val="clear" w:color="auto" w:fill="D4D4D4"/>
          </w:tcPr>
          <w:p>
            <w:pPr/>
          </w:p>
        </w:tc>
        <w:tc>
          <w:tcPr>
            <w:tcW w:w="1599" w:type="dxa"/>
            <w:vMerge/>
            <w:tcBorders>
              <w:left w:val="single" w:sz="4" w:space="0" w:color="000000"/>
              <w:bottom w:val="single" w:sz="4" w:space="0" w:color="000000"/>
              <w:right w:val="single" w:sz="4" w:space="0" w:color="000000"/>
            </w:tcBorders>
            <w:shd w:val="clear" w:color="auto" w:fill="D4D4D4"/>
          </w:tcPr>
          <w:p>
            <w:pPr/>
          </w:p>
        </w:tc>
        <w:tc>
          <w:tcPr>
            <w:tcW w:w="1588" w:type="dxa"/>
            <w:vMerge/>
            <w:tcBorders>
              <w:left w:val="single" w:sz="4" w:space="0" w:color="000000"/>
              <w:bottom w:val="single" w:sz="4" w:space="0" w:color="000000"/>
              <w:right w:val="single" w:sz="4" w:space="0" w:color="000000"/>
            </w:tcBorders>
            <w:shd w:val="clear" w:color="auto" w:fill="D4D4D4"/>
          </w:tcPr>
          <w:p>
            <w:pPr/>
          </w:p>
        </w:tc>
        <w:tc>
          <w:tcPr>
            <w:tcW w:w="159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99,441,831.01</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82,827,812.22</w:t>
            </w:r>
          </w:p>
        </w:tc>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20.06%</w:t>
            </w:r>
          </w:p>
        </w:tc>
      </w:tr>
      <w:tr>
        <w:trPr>
          <w:trHeight w:val="398"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渠道销售收入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10,999,571.67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11.06%</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12,461,115.05</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15.04%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-11.73%</w:t>
            </w:r>
            <w:r>
              <w:rPr>
                <w:rFonts w:ascii="Times New Roman"/>
                <w:sz w:val="18"/>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直销收入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33,779,997.23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33.97%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24,035,027.38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29.02%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40.54%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教育系统征订收入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52,241,882.95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45,086,388.50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54.43%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15.87%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网上销售收入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2,420,379.16</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1,245,281.29</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94.36%</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方直金太阳教育软 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71,477,412.79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71.88%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65,702,185.76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79.32%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17,402,187.70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6,893,307.68</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152.45%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10,562,230.52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10,232,318.78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3.22%</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14,918,322.19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12,863,550.67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15.53%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15.97%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12,929,023.85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16,442,456.29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19.85%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-21.37%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65,043,383.12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47,953,417.99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57.90%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35.64%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6,551,101.85</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5,568,387.27</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3" w:firstLine="0"/>
        <w:jc w:val="right"/>
        <w:rPr>
          <w:rFonts w:ascii="宋体" w:hAnsi="宋体" w:cs="宋体" w:eastAsia="宋体" w:hint="default"/>
          <w:sz w:val="18"/>
          <w:szCs w:val="18"/>
        </w:rPr>
      </w:pPr>
      <w:bookmarkStart w:name="（2）占公司营业收入或营业利润10%以上的行业、产品或地区情况" w:id="28"/>
      <w:bookmarkEnd w:id="28"/>
      <w:r>
        <w:rPr/>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渠道销售收入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10,999,571.67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2,143,642.10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-11.73%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直销收入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33,779,997.23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14,826,132.29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56.11%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-16.74%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教育系统征订收 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52,241,882.95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17,533,733.76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-3.69%</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金太阳教育软件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71,477,412.79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21,898,252.40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17,402,187.70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12,965,633.33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10,562,230.52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65,043,383.12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27,597,819.00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-11.43%</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12,929,023.85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2,503,211.40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14,918,322.19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3,397,469.75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-11.23%</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w:t>
      </w:r>
      <w:bookmarkStart w:name="（3）公司实物销售收入是否大于劳务收入" w:id="29"/>
      <w:bookmarkEnd w:id="29"/>
      <w:r>
        <w:rPr/>
        <w:t>否大于劳务收入</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金太阳教育软件</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12,850,370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11,439,731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12.34%</w:t>
            </w:r>
          </w:p>
        </w:tc>
      </w:tr>
      <w:tr>
        <w:trPr>
          <w:trHeight w:val="403" w:hRule="exact"/>
        </w:trPr>
        <w:tc>
          <w:tcPr>
            <w:tcW w:w="1608" w:type="dxa"/>
            <w:vMerge/>
            <w:tcBorders>
              <w:left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12,231,491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11,499,578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6.37%</w:t>
            </w:r>
          </w:p>
        </w:tc>
      </w:tr>
      <w:tr>
        <w:trPr>
          <w:trHeight w:val="401" w:hRule="exact"/>
        </w:trPr>
        <w:tc>
          <w:tcPr>
            <w:tcW w:w="1608"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2,528,309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-49.76%</w:t>
            </w:r>
          </w:p>
        </w:tc>
      </w:tr>
      <w:tr>
        <w:trPr>
          <w:trHeight w:val="403" w:hRule="exact"/>
        </w:trPr>
        <w:tc>
          <w:tcPr>
            <w:tcW w:w="1608"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-83.14%</w:t>
            </w:r>
          </w:p>
        </w:tc>
      </w:tr>
      <w:tr>
        <w:trPr>
          <w:trHeight w:val="401" w:hRule="exact"/>
        </w:trPr>
        <w:tc>
          <w:tcPr>
            <w:tcW w:w="1608" w:type="dxa"/>
            <w:vMerge/>
            <w:tcBorders>
              <w:left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w w:val="95"/>
                <w:sz w:val="18"/>
              </w:rPr>
              <w:t>404.11%</w:t>
            </w:r>
            <w:r>
              <w:rPr>
                <w:rFonts w:ascii="Times New Roman"/>
                <w:w w:val="95"/>
                <w:sz w:val="18"/>
              </w:rPr>
            </w:r>
          </w:p>
        </w:tc>
      </w:tr>
      <w:tr>
        <w:trPr>
          <w:trHeight w:val="403" w:hRule="exact"/>
        </w:trPr>
        <w:tc>
          <w:tcPr>
            <w:tcW w:w="1608"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53" w:firstLine="0"/>
        <w:jc w:val="right"/>
        <w:rPr>
          <w:rFonts w:ascii="宋体" w:hAnsi="宋体" w:cs="宋体" w:eastAsia="宋体" w:hint="default"/>
          <w:sz w:val="18"/>
          <w:szCs w:val="18"/>
        </w:rPr>
      </w:pPr>
      <w:bookmarkStart w:name="（4）公司已签订的重大销售合同截至本报告期的履行情况" w:id="30"/>
      <w:bookmarkEnd w:id="30"/>
      <w:r>
        <w:rPr/>
      </w:r>
      <w:bookmarkStart w:name="（5）营业成本构成" w:id="31"/>
      <w:bookmarkEnd w:id="31"/>
      <w:r>
        <w:rPr/>
      </w: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034"/>
        <w:gridCol w:w="1368"/>
        <w:gridCol w:w="1366"/>
        <w:gridCol w:w="1368"/>
        <w:gridCol w:w="1366"/>
        <w:gridCol w:w="1368"/>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0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4D4D4"/>
          </w:tcPr>
          <w:p>
            <w:pPr/>
          </w:p>
        </w:tc>
        <w:tc>
          <w:tcPr>
            <w:tcW w:w="1034"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方直金太阳教育软件</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21,898,252.40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16,427,923.75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33.30%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12,965,633.33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5,138,736.19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152.31%</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说明</w:t>
      </w:r>
    </w:p>
    <w:p>
      <w:pPr>
        <w:spacing w:line="240" w:lineRule="auto" w:before="9"/>
        <w:rPr>
          <w:rFonts w:ascii="宋体" w:hAnsi="宋体" w:cs="宋体" w:eastAsia="宋体" w:hint="default"/>
          <w:sz w:val="17"/>
          <w:szCs w:val="17"/>
        </w:rPr>
      </w:pPr>
    </w:p>
    <w:p>
      <w:pPr>
        <w:pStyle w:val="BodyText"/>
        <w:spacing w:line="408" w:lineRule="auto" w:before="0"/>
        <w:ind w:right="0" w:firstLine="420"/>
        <w:jc w:val="left"/>
      </w:pPr>
      <w:r>
        <w:rPr>
          <w:spacing w:val="-2"/>
        </w:rPr>
        <w:t>方直金太阳教育软件成本较去年同期上升</w:t>
      </w:r>
      <w:r>
        <w:rPr>
          <w:rFonts w:ascii="宋体" w:hAnsi="宋体" w:cs="宋体" w:eastAsia="宋体" w:hint="default"/>
          <w:spacing w:val="-2"/>
        </w:rPr>
        <w:t>33.30%,</w:t>
      </w:r>
      <w:r>
        <w:rPr>
          <w:spacing w:val="-2"/>
        </w:rPr>
        <w:t>主要是原材料提价所致，其他产品成本较去年同期</w:t>
      </w:r>
      <w:r>
        <w:rPr>
          <w:w w:val="100"/>
        </w:rPr>
        <w:t> </w:t>
      </w:r>
      <w:r>
        <w:rPr/>
        <w:t>上升</w:t>
      </w:r>
      <w:r>
        <w:rPr>
          <w:rFonts w:ascii="宋体" w:hAnsi="宋体" w:cs="宋体" w:eastAsia="宋体" w:hint="default"/>
        </w:rPr>
        <w:t>152.31%,</w:t>
      </w:r>
      <w:r>
        <w:rPr/>
        <w:t>主要是成本率较高的邮件产品销售增加所致。</w:t>
      </w:r>
    </w:p>
    <w:p>
      <w:pPr>
        <w:spacing w:after="0" w:line="408"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bookmarkStart w:name="（6）报告期内合并范围是否发生变动" w:id="32"/>
      <w:bookmarkEnd w:id="32"/>
      <w:r>
        <w:rPr/>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bookmarkStart w:name="（7）公司报告期内业务、产品或服务发生重大变化或调整有关情况" w:id="33"/>
      <w:bookmarkEnd w:id="33"/>
      <w:r>
        <w:rPr>
          <w:rFonts w:ascii="Times New Roman" w:hAnsi="Times New Roman" w:cs="Times New Roman" w:eastAsia="Times New Roman" w:hint="default"/>
        </w:rPr>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w:t>
      </w:r>
      <w:bookmarkStart w:name="（8）主要销售客户和主要供应商情况" w:id="34"/>
      <w:bookmarkEnd w:id="34"/>
      <w:r>
        <w:rPr/>
        <w:t>供应商情况</w:t>
      </w:r>
      <w:r>
        <w:rPr>
          <w:b w:val="0"/>
          <w:bCs w:val="0"/>
        </w:rPr>
      </w:r>
    </w:p>
    <w:p>
      <w:pPr>
        <w:spacing w:line="240" w:lineRule="auto" w:before="5"/>
        <w:rPr>
          <w:rFonts w:ascii="宋体" w:hAnsi="宋体" w:cs="宋体" w:eastAsia="宋体" w:hint="default"/>
          <w:b/>
          <w:bCs/>
          <w:sz w:val="32"/>
          <w:szCs w:val="3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559"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44,530,193.44</w:t>
            </w:r>
          </w:p>
        </w:tc>
      </w:tr>
      <w:tr>
        <w:trPr>
          <w:trHeight w:val="557"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44.78%</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广东教育书店有限公司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14,785,566.05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12,574,391.45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广州市新华书店集团有限公司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6,353,432.57</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人民教育电子音像出版社有限公司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5,601,998.81</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广东教育出版社有限公司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5,214,804.56</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44,530,193.44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44.78%</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26,562,024.12</w:t>
            </w:r>
            <w:r>
              <w:rPr>
                <w:rFonts w:ascii="Times New Roman"/>
                <w:sz w:val="18"/>
              </w:rPr>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70.40%</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3"/>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85"/>
        <w:gridCol w:w="3980"/>
        <w:gridCol w:w="2126"/>
        <w:gridCol w:w="2765"/>
      </w:tblGrid>
      <w:tr>
        <w:trPr>
          <w:trHeight w:val="403" w:hRule="exact"/>
        </w:trPr>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9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7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9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10,755,397.42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28.51%</w:t>
            </w:r>
          </w:p>
        </w:tc>
      </w:tr>
      <w:tr>
        <w:trPr>
          <w:trHeight w:val="403" w:hRule="exact"/>
        </w:trPr>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9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湛江华丽金音影碟有限公司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5,523,895.09</w:t>
            </w:r>
            <w:r>
              <w:rPr>
                <w:rFonts w:ascii="Times New Roman"/>
                <w:sz w:val="18"/>
              </w:rPr>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14.64%</w:t>
            </w:r>
          </w:p>
        </w:tc>
      </w:tr>
      <w:tr>
        <w:trPr>
          <w:trHeight w:val="401" w:hRule="exact"/>
        </w:trPr>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9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人民教育电子音像出版社有限公司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4,528,784.20</w:t>
            </w:r>
            <w:r>
              <w:rPr>
                <w:rFonts w:ascii="Times New Roman"/>
                <w:sz w:val="18"/>
              </w:rPr>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12.00%</w:t>
            </w:r>
          </w:p>
        </w:tc>
      </w:tr>
      <w:tr>
        <w:trPr>
          <w:trHeight w:val="403" w:hRule="exact"/>
        </w:trPr>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9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上海世纪出版股份有限公司外语教育图书分公司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3,966,298.42</w:t>
            </w:r>
            <w:r>
              <w:rPr>
                <w:rFonts w:ascii="Times New Roman"/>
                <w:sz w:val="18"/>
              </w:rPr>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10.51%</w:t>
            </w:r>
          </w:p>
        </w:tc>
      </w:tr>
      <w:tr>
        <w:trPr>
          <w:trHeight w:val="401" w:hRule="exact"/>
        </w:trPr>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9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广东威雅光电有限公司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1,787,648.99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w:t>
            </w:r>
          </w:p>
        </w:tc>
      </w:tr>
      <w:tr>
        <w:trPr>
          <w:trHeight w:val="403" w:hRule="exact"/>
        </w:trPr>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26,562,024.12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6"/>
        <w:jc w:val="left"/>
        <w:rPr>
          <w:b w:val="0"/>
          <w:bCs w:val="0"/>
        </w:rPr>
      </w:pPr>
      <w:r>
        <w:rPr>
          <w:rFonts w:ascii="Times New Roman" w:hAnsi="Times New Roman" w:cs="Times New Roman" w:eastAsia="Times New Roman" w:hint="default"/>
        </w:rPr>
        <w:t>3</w:t>
      </w:r>
      <w:bookmarkStart w:name="3、费用" w:id="35"/>
      <w:bookmarkEnd w:id="35"/>
      <w:r>
        <w:rPr>
          <w:rFonts w:ascii="Times New Roman" w:hAnsi="Times New Roman" w:cs="Times New Roman" w:eastAsia="Times New Roman" w:hint="default"/>
        </w:rPr>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21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3"/>
        <w:gridCol w:w="1637"/>
        <w:gridCol w:w="1637"/>
        <w:gridCol w:w="1462"/>
        <w:gridCol w:w="2918"/>
      </w:tblGrid>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22,040,510.53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19,842,376.58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主要系人力成本的上升导致。</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26,954,387.26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27,454,266.93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03" w:type="dxa"/>
            <w:tcBorders>
              <w:top w:val="single" w:sz="4" w:space="0" w:color="000000"/>
              <w:left w:val="single" w:sz="4" w:space="0" w:color="000000"/>
              <w:bottom w:val="nil" w:sz="6" w:space="0" w:color="auto"/>
              <w:right w:val="single" w:sz="4" w:space="0" w:color="000000"/>
            </w:tcBorders>
            <w:shd w:val="clear" w:color="auto" w:fill="D4D4D4"/>
          </w:tcPr>
          <w:p>
            <w:pPr/>
          </w:p>
        </w:tc>
        <w:tc>
          <w:tcPr>
            <w:tcW w:w="1637"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8" w:right="0"/>
              <w:jc w:val="left"/>
              <w:rPr>
                <w:rFonts w:ascii="Times New Roman" w:hAnsi="Times New Roman" w:cs="Times New Roman" w:eastAsia="Times New Roman" w:hint="default"/>
                <w:sz w:val="18"/>
                <w:szCs w:val="18"/>
              </w:rPr>
            </w:pPr>
            <w:r>
              <w:rPr>
                <w:rFonts w:ascii="Times New Roman"/>
                <w:sz w:val="18"/>
              </w:rPr>
              <w:t>-820,714.62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-3,013,132.64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-72.76%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为了提高公司资金收益，公司将原部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分定期资金购买保本类理财产品，其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相应的收益进入投资收益所致。</w:t>
            </w:r>
          </w:p>
        </w:tc>
      </w:tr>
      <w:tr>
        <w:trPr>
          <w:trHeight w:val="391" w:hRule="exact"/>
        </w:trPr>
        <w:tc>
          <w:tcPr>
            <w:tcW w:w="190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3" w:type="dxa"/>
            <w:tcBorders>
              <w:top w:val="nil" w:sz="6" w:space="0" w:color="auto"/>
              <w:left w:val="single" w:sz="4" w:space="0" w:color="000000"/>
              <w:bottom w:val="single" w:sz="4" w:space="0" w:color="000000"/>
              <w:right w:val="single" w:sz="4" w:space="0" w:color="000000"/>
            </w:tcBorders>
            <w:shd w:val="clear" w:color="auto" w:fill="D4D4D4"/>
          </w:tcPr>
          <w:p>
            <w:pPr/>
          </w:p>
        </w:tc>
        <w:tc>
          <w:tcPr>
            <w:tcW w:w="1637"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3,030,855.94</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3,385,423.47</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6"/>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before="0"/>
        <w:ind w:left="152" w:right="1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9"/>
        <w:ind w:right="106" w:firstLine="336"/>
        <w:jc w:val="left"/>
      </w:pPr>
      <w:r>
        <w:rPr>
          <w:spacing w:val="-3"/>
        </w:rPr>
        <w:t>报告期内，公司保持了稳定的研发投入</w:t>
      </w:r>
      <w:bookmarkStart w:name="4、研发投入" w:id="36"/>
      <w:bookmarkEnd w:id="36"/>
      <w:r>
        <w:rPr>
          <w:spacing w:val="-3"/>
        </w:rPr>
        <w:t>，</w:t>
      </w:r>
      <w:r>
        <w:rPr>
          <w:spacing w:val="-3"/>
        </w:rPr>
        <w:t>研发支出总额为</w:t>
      </w:r>
      <w:r>
        <w:rPr>
          <w:rFonts w:ascii="宋体" w:hAnsi="宋体" w:cs="宋体" w:eastAsia="宋体" w:hint="default"/>
          <w:spacing w:val="-3"/>
        </w:rPr>
        <w:t>1,762</w:t>
      </w:r>
      <w:r>
        <w:rPr>
          <w:spacing w:val="-3"/>
        </w:rPr>
        <w:t>万元，占营业收入比例</w:t>
      </w:r>
      <w:r>
        <w:rPr>
          <w:rFonts w:ascii="宋体" w:hAnsi="宋体" w:cs="宋体" w:eastAsia="宋体" w:hint="default"/>
          <w:spacing w:val="-3"/>
        </w:rPr>
        <w:t>17.73%</w:t>
      </w:r>
      <w:r>
        <w:rPr>
          <w:spacing w:val="-3"/>
        </w:rPr>
        <w:t>，公司积</w:t>
      </w:r>
      <w:r>
        <w:rPr>
          <w:spacing w:val="-3"/>
          <w:w w:val="100"/>
        </w:rPr>
        <w:t> </w:t>
      </w:r>
      <w:r>
        <w:rPr>
          <w:spacing w:val="-5"/>
        </w:rPr>
        <w:t>极投入研发力量，建立了内容、技术和教育三位一体有机相连并拥有自有知识产权的互联网运营服务体系， </w:t>
      </w:r>
      <w:r>
        <w:rPr>
          <w:spacing w:val="-5"/>
        </w:rPr>
      </w:r>
      <w:r>
        <w:rPr>
          <w:spacing w:val="-2"/>
        </w:rPr>
        <w:t>持续的自主创新能力是市场竞争力的核心要素，持续的研发投入为公司提高产品竞争优势提供了有力的技</w:t>
      </w:r>
      <w:r>
        <w:rPr>
          <w:spacing w:val="-43"/>
        </w:rPr>
        <w:t> </w:t>
      </w:r>
      <w:r>
        <w:rPr>
          <w:spacing w:val="-43"/>
        </w:rPr>
      </w:r>
      <w:r>
        <w:rPr/>
        <w:t>术保障。</w:t>
      </w:r>
    </w:p>
    <w:p>
      <w:pPr>
        <w:spacing w:before="110"/>
        <w:ind w:left="152" w:right="106"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48.46%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17,629,680.27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16,571,986.75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12,671,145.86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17.73%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16.87%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1,402,663.92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963,465.59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3,272,657.91</w:t>
            </w:r>
            <w:r>
              <w:rPr>
                <w:rFonts w:ascii="Times New Roman"/>
                <w:sz w:val="18"/>
              </w:rPr>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25.83%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14.04%</w:t>
            </w:r>
          </w:p>
        </w:tc>
      </w:tr>
    </w:tbl>
    <w:p>
      <w:pPr>
        <w:spacing w:before="49"/>
        <w:ind w:left="152" w:right="106"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39"/>
        <w:ind w:left="152" w:right="1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9"/>
        <w:ind w:right="0"/>
        <w:jc w:val="left"/>
        <w:rPr>
          <w:b w:val="0"/>
          <w:bCs w:val="0"/>
        </w:rPr>
      </w:pPr>
      <w:r>
        <w:rPr>
          <w:rFonts w:ascii="Times New Roman" w:hAnsi="Times New Roman" w:cs="Times New Roman" w:eastAsia="Times New Roman" w:hint="default"/>
        </w:rPr>
        <w:t>5</w:t>
      </w:r>
      <w:bookmarkStart w:name="5、现金流" w:id="37"/>
      <w:bookmarkEnd w:id="37"/>
      <w:r>
        <w:rPr>
          <w:rFonts w:ascii="Times New Roman" w:hAnsi="Times New Roman" w:cs="Times New Roman" w:eastAsia="Times New Roman" w:hint="default"/>
        </w:rPr>
      </w:r>
      <w:r>
        <w:rPr/>
        <w:t>、现金流</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107,442,660.59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104,668,374.97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88,026,956.37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84,030,529.22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19,415,704.22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20,637,845.75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518,497,459.75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218,934,330.79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571,032,670.87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240,939,673.92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-52,535,211.12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-22,005,343.13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138.74%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516,066.58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1,560,939.09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-66.94%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15,836,688.03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5,279,978.26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199.94%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-15,320,621.45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-3,719,039.17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311.95%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-48,440,128.35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-5,086,536.55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852.32%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38" w:lineRule="auto" w:before="117"/>
        <w:ind w:left="152" w:right="3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报告期内公司经营活动产生的现金净流量与本年度净利润存在重大差异的原因说明</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3" w:firstLine="0"/>
        <w:jc w:val="right"/>
        <w:rPr>
          <w:rFonts w:ascii="宋体" w:hAnsi="宋体" w:cs="宋体" w:eastAsia="宋体" w:hint="default"/>
          <w:sz w:val="18"/>
          <w:szCs w:val="18"/>
        </w:rPr>
      </w:pPr>
      <w:bookmarkStart w:name="三、非主营业务情况" w:id="38"/>
      <w:bookmarkEnd w:id="38"/>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7"/>
        <w:gridCol w:w="1622"/>
        <w:gridCol w:w="2254"/>
        <w:gridCol w:w="2254"/>
      </w:tblGrid>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28.25%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根据资金情况确定</w:t>
            </w:r>
          </w:p>
        </w:tc>
      </w:tr>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1,102,935.18</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计提坏账及存货跌价准备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每年根据资产情况进行测定</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3,663,996.88</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14.51%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税收返还与政府补助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根据政府补助情况</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11,633.08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4"/>
        <w:ind w:right="0"/>
        <w:jc w:val="left"/>
        <w:rPr>
          <w:b w:val="0"/>
          <w:bCs w:val="0"/>
        </w:rPr>
      </w:pPr>
      <w:bookmarkStart w:name="2、以公允价值计量的资产和负债" w:id="39"/>
      <w:bookmarkEnd w:id="39"/>
      <w:r>
        <w:rPr>
          <w:b w:val="0"/>
          <w:bCs w:val="0"/>
        </w:rPr>
      </w:r>
      <w:bookmarkStart w:name="五、投资状况分析" w:id="40"/>
      <w:bookmarkEnd w:id="40"/>
      <w:r>
        <w:rPr>
          <w:b w:val="0"/>
          <w:bCs w:val="0"/>
        </w:rPr>
      </w:r>
      <w:bookmarkStart w:name="1、总体情况" w:id="41"/>
      <w:bookmarkEnd w:id="41"/>
      <w:r>
        <w:rPr>
          <w:b w:val="0"/>
          <w:bCs w:val="0"/>
        </w:rPr>
      </w:r>
      <w:bookmarkStart w:name="2、报告期内获取的重大的股权投资情况" w:id="42"/>
      <w:bookmarkEnd w:id="42"/>
      <w:r>
        <w:rPr>
          <w:b w:val="0"/>
          <w:bCs w:val="0"/>
        </w:rPr>
      </w:r>
      <w:bookmarkStart w:name="3、报告期内正在进行的重大的非股权投资情况" w:id="43"/>
      <w:bookmarkEnd w:id="43"/>
      <w:r>
        <w:rPr>
          <w:b w:val="0"/>
          <w:bCs w:val="0"/>
        </w:rPr>
      </w:r>
      <w:bookmarkStart w:name="4、以公允价值计量的金融资产" w:id="44"/>
      <w:bookmarkEnd w:id="44"/>
      <w:r>
        <w:rPr>
          <w:b w:val="0"/>
          <w:bCs w:val="0"/>
        </w:rPr>
      </w:r>
      <w:r>
        <w:rPr/>
        <w:t>四、资</w:t>
      </w:r>
      <w:bookmarkStart w:name="四、资产及负债状况" w:id="45"/>
      <w:bookmarkEnd w:id="45"/>
      <w:r>
        <w:rPr/>
        <w:t>产及</w:t>
      </w:r>
      <w:r>
        <w:rPr/>
        <w:t>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bookmarkStart w:name="1、资产构成重大变动情况" w:id="46"/>
      <w:bookmarkEnd w:id="46"/>
      <w:r>
        <w:rPr>
          <w:rFonts w:ascii="Times New Roman" w:hAnsi="Times New Roman" w:cs="Times New Roman" w:eastAsia="Times New Roman" w:hint="default"/>
        </w:rPr>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3"/>
        <w:gridCol w:w="1195"/>
        <w:gridCol w:w="1063"/>
        <w:gridCol w:w="797"/>
        <w:gridCol w:w="2918"/>
      </w:tblGrid>
      <w:tr>
        <w:trPr>
          <w:trHeight w:val="380" w:hRule="exact"/>
        </w:trPr>
        <w:tc>
          <w:tcPr>
            <w:tcW w:w="1356" w:type="dxa"/>
            <w:tcBorders>
              <w:top w:val="single" w:sz="4" w:space="0" w:color="000000"/>
              <w:left w:val="single" w:sz="4" w:space="0" w:color="000000"/>
              <w:bottom w:val="single" w:sz="14" w:space="0" w:color="FFFFFF"/>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4D4D4"/>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4D4D4"/>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4D4D4"/>
          </w:tcPr>
          <w:p>
            <w:pPr/>
          </w:p>
        </w:tc>
      </w:tr>
      <w:tr>
        <w:trPr>
          <w:trHeight w:val="184" w:hRule="exact"/>
        </w:trPr>
        <w:tc>
          <w:tcPr>
            <w:tcW w:w="1356" w:type="dxa"/>
            <w:vMerge w:val="restart"/>
            <w:tcBorders>
              <w:top w:val="single" w:sz="14" w:space="0" w:color="FFFFFF"/>
              <w:left w:val="single" w:sz="4" w:space="0" w:color="000000"/>
              <w:right w:val="single" w:sz="4" w:space="0" w:color="000000"/>
            </w:tcBorders>
            <w:shd w:val="clear" w:color="auto" w:fill="D4D4D4"/>
          </w:tcPr>
          <w:p>
            <w:pPr/>
          </w:p>
        </w:tc>
        <w:tc>
          <w:tcPr>
            <w:tcW w:w="1164" w:type="dxa"/>
            <w:tcBorders>
              <w:top w:val="single" w:sz="14"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4"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4"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4D4D4"/>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4D4D4"/>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356" w:type="dxa"/>
            <w:vMerge w:val="restart"/>
            <w:tcBorders>
              <w:top w:val="nil" w:sz="6" w:space="0" w:color="auto"/>
              <w:left w:val="single" w:sz="4" w:space="0" w:color="000000"/>
              <w:right w:val="single" w:sz="4" w:space="0" w:color="000000"/>
            </w:tcBorders>
            <w:shd w:val="clear" w:color="auto" w:fill="D4D4D4"/>
          </w:tcPr>
          <w:p>
            <w:pPr/>
          </w:p>
        </w:tc>
        <w:tc>
          <w:tcPr>
            <w:tcW w:w="1164"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72,859,653.55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19.82%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121,299,781.90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34.19%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-14.37%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firstLine="360"/>
              <w:jc w:val="left"/>
              <w:rPr>
                <w:rFonts w:ascii="宋体" w:hAnsi="宋体" w:cs="宋体" w:eastAsia="宋体" w:hint="default"/>
                <w:sz w:val="18"/>
                <w:szCs w:val="18"/>
              </w:rPr>
            </w:pPr>
            <w:r>
              <w:rPr>
                <w:rFonts w:ascii="宋体" w:hAnsi="宋体" w:cs="宋体" w:eastAsia="宋体" w:hint="default"/>
                <w:sz w:val="18"/>
                <w:szCs w:val="18"/>
              </w:rPr>
              <w:t>主要原因是为了提高资金使用 </w:t>
            </w:r>
            <w:r>
              <w:rPr>
                <w:rFonts w:ascii="宋体" w:hAnsi="宋体" w:cs="宋体" w:eastAsia="宋体" w:hint="default"/>
                <w:spacing w:val="-2"/>
                <w:sz w:val="18"/>
                <w:szCs w:val="18"/>
              </w:rPr>
              <w:t>效率，经董事会同意，增加自有资金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购买短期保本类理财产品额度，导致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货币资金流出所致。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23,959,442.97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6.52%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16,749,408.88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4.72%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1.80%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firstLine="360"/>
              <w:jc w:val="left"/>
              <w:rPr>
                <w:rFonts w:ascii="宋体" w:hAnsi="宋体" w:cs="宋体" w:eastAsia="宋体" w:hint="default"/>
                <w:sz w:val="18"/>
                <w:szCs w:val="18"/>
              </w:rPr>
            </w:pPr>
            <w:r>
              <w:rPr>
                <w:rFonts w:ascii="宋体" w:hAnsi="宋体" w:cs="宋体" w:eastAsia="宋体" w:hint="default"/>
                <w:sz w:val="18"/>
                <w:szCs w:val="18"/>
              </w:rPr>
              <w:t>主要是教育征订业务收入的应 </w:t>
            </w:r>
            <w:r>
              <w:rPr>
                <w:rFonts w:ascii="宋体" w:hAnsi="宋体" w:cs="宋体" w:eastAsia="宋体" w:hint="default"/>
                <w:spacing w:val="-2"/>
                <w:sz w:val="18"/>
                <w:szCs w:val="18"/>
              </w:rPr>
              <w:t>收账款增加，此类业务的实际付款方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是财政部门，应收账款的增加系财政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拨款延迟所致。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8,528,332.58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5,137,881.57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20,441,736.80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18,849,079.62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bookmarkStart w:name="5、募集资金使用情况" w:id="47"/>
      <w:bookmarkEnd w:id="47"/>
      <w:r>
        <w:rPr>
          <w:rFonts w:ascii="Times New Roman" w:hAnsi="Times New Roman" w:cs="Times New Roman" w:eastAsia="Times New Roman" w:hint="default"/>
        </w:rPr>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bookmarkStart w:name="（1）募集资金总体使用情况" w:id="48"/>
      <w:bookmarkEnd w:id="48"/>
      <w:r>
        <w:rPr>
          <w:rFonts w:ascii="Times New Roman" w:hAnsi="Times New Roman" w:cs="Times New Roman" w:eastAsia="Times New Roman" w:hint="default"/>
        </w:rPr>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33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18,563.28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1,382.71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16,418.03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338.77</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2,145.25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存放在募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99" w:right="0"/>
              <w:jc w:val="center"/>
              <w:rPr>
                <w:rFonts w:ascii="Times New Roman" w:hAnsi="Times New Roman" w:cs="Times New Roman" w:eastAsia="Times New Roman" w:hint="default"/>
                <w:sz w:val="18"/>
                <w:szCs w:val="18"/>
              </w:rPr>
            </w:pPr>
            <w:r>
              <w:rPr>
                <w:rFonts w:ascii="Times New Roman"/>
                <w:sz w:val="18"/>
              </w:rPr>
              <w:t>18,563.28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1,382.71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16,418.03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338.77</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1.83%</w:t>
            </w:r>
          </w:p>
        </w:tc>
        <w:tc>
          <w:tcPr>
            <w:tcW w:w="869" w:type="dxa"/>
            <w:tcBorders>
              <w:top w:val="single" w:sz="4" w:space="0" w:color="000000"/>
              <w:left w:val="single" w:sz="4" w:space="0" w:color="000000"/>
              <w:bottom w:val="single" w:sz="4" w:space="0" w:color="000000"/>
              <w:right w:val="single" w:sz="14" w:space="0" w:color="D4D4D4"/>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z w:val="18"/>
              </w:rPr>
              <w:t>2,145.25</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firstLine="360"/>
              <w:jc w:val="both"/>
              <w:rPr>
                <w:rFonts w:ascii="宋体" w:hAnsi="宋体" w:cs="宋体" w:eastAsia="宋体" w:hint="default"/>
                <w:sz w:val="18"/>
                <w:szCs w:val="18"/>
              </w:rPr>
            </w:pPr>
            <w:r>
              <w:rPr>
                <w:rFonts w:ascii="宋体" w:hAnsi="宋体" w:cs="宋体" w:eastAsia="宋体" w:hint="default"/>
                <w:spacing w:val="-11"/>
                <w:sz w:val="18"/>
                <w:szCs w:val="18"/>
              </w:rPr>
              <w:t>公司严格按照《公司法》、《证券法》、《深圳证券交易所创业板股票上市规则》、《深圳证券交易所创业板上市公司规范</w:t>
            </w:r>
            <w:r>
              <w:rPr>
                <w:rFonts w:ascii="宋体" w:hAnsi="宋体" w:cs="宋体" w:eastAsia="宋体" w:hint="default"/>
                <w:sz w:val="18"/>
                <w:szCs w:val="18"/>
              </w:rPr>
              <w:t> </w:t>
            </w:r>
            <w:r>
              <w:rPr>
                <w:rFonts w:ascii="宋体" w:hAnsi="宋体" w:cs="宋体" w:eastAsia="宋体" w:hint="default"/>
                <w:spacing w:val="-2"/>
                <w:sz w:val="18"/>
                <w:szCs w:val="18"/>
              </w:rPr>
              <w:t>运作指引》以及中国证监会相关法律法规的规定和要求、《募集资金管理制度》等规定使用募集资金，并及时、真实、准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确、完整履行相关信息披露工作，不存在违规使用募集资金的情形。</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333" w:firstLine="0"/>
        <w:jc w:val="right"/>
        <w:rPr>
          <w:rFonts w:ascii="宋体" w:hAnsi="宋体" w:cs="宋体" w:eastAsia="宋体" w:hint="default"/>
          <w:sz w:val="18"/>
          <w:szCs w:val="18"/>
        </w:rPr>
      </w:pPr>
      <w:bookmarkStart w:name="（2）募集资金承诺项目情况" w:id="49"/>
      <w:bookmarkEnd w:id="49"/>
      <w:r>
        <w:rPr/>
      </w: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708"/>
        <w:gridCol w:w="710"/>
        <w:gridCol w:w="850"/>
        <w:gridCol w:w="850"/>
        <w:gridCol w:w="727"/>
        <w:gridCol w:w="718"/>
        <w:gridCol w:w="1106"/>
        <w:gridCol w:w="710"/>
        <w:gridCol w:w="708"/>
        <w:gridCol w:w="425"/>
        <w:gridCol w:w="631"/>
      </w:tblGrid>
      <w:tr>
        <w:trPr>
          <w:trHeight w:val="1650"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84" w:right="35"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0" w:right="46"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9"/>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7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1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5" w:right="98"/>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9"/>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845"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中小学英语同步 教育软件项目升级及 版本扩产项目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503.14</w:t>
            </w:r>
            <w:r>
              <w:rPr>
                <w:rFonts w:ascii="Times New Roman"/>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3,700.77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1,225.74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4,020.7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中小学多学科（不</w:t>
            </w:r>
            <w:r>
              <w:rPr>
                <w:rFonts w:ascii="宋体" w:hAnsi="宋体" w:cs="宋体" w:eastAsia="宋体" w:hint="default"/>
                <w:sz w:val="18"/>
                <w:szCs w:val="18"/>
              </w:rPr>
              <w:t> 含英语）同步教育软 件项目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382.21</w:t>
            </w:r>
            <w:r>
              <w:rPr>
                <w:rFonts w:ascii="Times New Roman"/>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1,729.03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63.47%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247.36</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512.54</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营销服务中心建 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2,361.23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研发中心建设项 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497.36</w:t>
            </w:r>
            <w:r>
              <w:rPr>
                <w:rFonts w:ascii="Times New Roman"/>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1,221.64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800"/>
        </w:sectPr>
      </w:pPr>
    </w:p>
    <w:p>
      <w:pPr>
        <w:spacing w:line="240" w:lineRule="auto" w:before="0"/>
        <w:rPr>
          <w:rFonts w:ascii="宋体" w:hAnsi="宋体" w:cs="宋体" w:eastAsia="宋体" w:hint="default"/>
          <w:sz w:val="20"/>
          <w:szCs w:val="20"/>
        </w:rPr>
      </w:pPr>
      <w:r>
        <w:rPr/>
        <w:pict>
          <v:shape style="position:absolute;margin-left:56.400002pt;margin-top:71.999985pt;width:493pt;height:696.8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7"/>
                    <w:gridCol w:w="707"/>
                    <w:gridCol w:w="716"/>
                    <w:gridCol w:w="850"/>
                    <w:gridCol w:w="850"/>
                    <w:gridCol w:w="744"/>
                    <w:gridCol w:w="108"/>
                    <w:gridCol w:w="593"/>
                    <w:gridCol w:w="1101"/>
                    <w:gridCol w:w="716"/>
                    <w:gridCol w:w="715"/>
                    <w:gridCol w:w="419"/>
                    <w:gridCol w:w="631"/>
                  </w:tblGrid>
                  <w:tr>
                    <w:trPr>
                      <w:trHeight w:val="402" w:hRule="exact"/>
                    </w:trPr>
                    <w:tc>
                      <w:tcPr>
                        <w:tcW w:w="1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80"/>
                          <w:jc w:val="right"/>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1,382.71</w:t>
                        </w:r>
                      </w:p>
                    </w:tc>
                    <w:tc>
                      <w:tcPr>
                        <w:tcW w:w="744"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9,012.67</w:t>
                        </w:r>
                      </w:p>
                    </w:tc>
                    <w:tc>
                      <w:tcPr>
                        <w:tcW w:w="70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477"/>
                          <w:jc w:val="right"/>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1,473.1</w:t>
                        </w:r>
                      </w:p>
                    </w:tc>
                    <w:tc>
                      <w:tcPr>
                        <w:tcW w:w="71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4,533.24</w:t>
                        </w:r>
                      </w:p>
                    </w:tc>
                    <w:tc>
                      <w:tcPr>
                        <w:tcW w:w="4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47"/>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845"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其他与主营业务 相关的营运资金项目</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8,411.28</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8,411.28</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7,405.36</w:t>
                        </w:r>
                      </w:p>
                    </w:tc>
                    <w:tc>
                      <w:tcPr>
                        <w:tcW w:w="593"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280"/>
                          <w:jc w:val="right"/>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8,411.28</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8,411.28</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7,405.36</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482"/>
                          <w:jc w:val="right"/>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247"/>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 w:type="dxa"/>
                        <w:tcBorders>
                          <w:top w:val="single" w:sz="4" w:space="0" w:color="000000"/>
                          <w:left w:val="single" w:sz="4" w:space="0" w:color="000000"/>
                          <w:bottom w:val="nil" w:sz="6" w:space="0" w:color="auto"/>
                          <w:right w:val="single" w:sz="4" w:space="0" w:color="000000"/>
                        </w:tcBorders>
                        <w:shd w:val="clear" w:color="auto" w:fill="D4D4D4"/>
                      </w:tcPr>
                      <w:p>
                        <w:pPr/>
                      </w:p>
                    </w:tc>
                    <w:tc>
                      <w:tcPr>
                        <w:tcW w:w="716" w:type="dxa"/>
                        <w:vMerge w:val="restart"/>
                        <w:tcBorders>
                          <w:top w:val="single" w:sz="4" w:space="0" w:color="000000"/>
                          <w:left w:val="single" w:sz="10" w:space="0" w:color="D4D4D4"/>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18,563.2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18,563.28</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1,382.71</w:t>
                        </w:r>
                      </w:p>
                    </w:tc>
                    <w:tc>
                      <w:tcPr>
                        <w:tcW w:w="852"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16,418.03</w:t>
                        </w:r>
                      </w:p>
                    </w:tc>
                    <w:tc>
                      <w:tcPr>
                        <w:tcW w:w="5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0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1,473.1</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4,533.24</w:t>
                        </w:r>
                      </w:p>
                    </w:tc>
                    <w:tc>
                      <w:tcPr>
                        <w:tcW w:w="41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6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6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80"/>
                          <w:jc w:val="right"/>
                          <w:rPr>
                            <w:rFonts w:ascii="Times New Roman" w:hAnsi="Times New Roman" w:cs="Times New Roman" w:eastAsia="Times New Roman" w:hint="default"/>
                            <w:sz w:val="18"/>
                            <w:szCs w:val="18"/>
                          </w:rPr>
                        </w:pPr>
                        <w:r>
                          <w:rPr>
                            <w:rFonts w:ascii="Times New Roman"/>
                            <w:sz w:val="18"/>
                          </w:rPr>
                          <w:t>--</w:t>
                        </w:r>
                      </w:p>
                    </w:tc>
                    <w:tc>
                      <w:tcPr>
                        <w:tcW w:w="716" w:type="dxa"/>
                        <w:vMerge/>
                        <w:tcBorders>
                          <w:left w:val="single" w:sz="10" w:space="0" w:color="D4D4D4"/>
                          <w:right w:val="single" w:sz="4" w:space="0" w:color="000000"/>
                        </w:tcBorders>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gridSpan w:val="2"/>
                        <w:vMerge/>
                        <w:tcBorders>
                          <w:left w:val="single" w:sz="4" w:space="0" w:color="000000"/>
                          <w:right w:val="single" w:sz="4" w:space="0" w:color="000000"/>
                        </w:tcBorders>
                      </w:tcPr>
                      <w:p>
                        <w:pPr/>
                      </w:p>
                    </w:tc>
                    <w:tc>
                      <w:tcPr>
                        <w:tcW w:w="593" w:type="dxa"/>
                        <w:vMerge/>
                        <w:tcBorders>
                          <w:left w:val="single" w:sz="4" w:space="0" w:color="000000"/>
                          <w:right w:val="single" w:sz="4" w:space="0" w:color="000000"/>
                        </w:tcBorders>
                        <w:shd w:val="clear" w:color="auto" w:fill="D4D4D4"/>
                      </w:tcPr>
                      <w:p>
                        <w:pPr/>
                      </w:p>
                    </w:tc>
                    <w:tc>
                      <w:tcPr>
                        <w:tcW w:w="1101" w:type="dxa"/>
                        <w:vMerge/>
                        <w:tcBorders>
                          <w:left w:val="single" w:sz="4" w:space="0" w:color="000000"/>
                          <w:right w:val="single" w:sz="4" w:space="0" w:color="000000"/>
                        </w:tcBorders>
                        <w:shd w:val="clear" w:color="auto" w:fill="D4D4D4"/>
                      </w:tcPr>
                      <w:p>
                        <w:pPr/>
                      </w:p>
                    </w:tc>
                    <w:tc>
                      <w:tcPr>
                        <w:tcW w:w="716"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419" w:type="dxa"/>
                        <w:vMerge/>
                        <w:tcBorders>
                          <w:left w:val="single" w:sz="4" w:space="0" w:color="000000"/>
                          <w:right w:val="single" w:sz="4" w:space="0" w:color="000000"/>
                        </w:tcBorders>
                        <w:shd w:val="clear" w:color="auto" w:fill="D4D4D4"/>
                      </w:tcPr>
                      <w:p>
                        <w:pPr/>
                      </w:p>
                    </w:tc>
                    <w:tc>
                      <w:tcPr>
                        <w:tcW w:w="631" w:type="dxa"/>
                        <w:vMerge/>
                        <w:tcBorders>
                          <w:left w:val="single" w:sz="4" w:space="0" w:color="000000"/>
                          <w:right w:val="single" w:sz="4" w:space="0" w:color="000000"/>
                        </w:tcBorders>
                        <w:shd w:val="clear" w:color="auto" w:fill="D4D4D4"/>
                      </w:tcPr>
                      <w:p>
                        <w:pPr/>
                      </w:p>
                    </w:tc>
                  </w:tr>
                  <w:tr>
                    <w:trPr>
                      <w:trHeight w:val="161" w:hRule="exact"/>
                    </w:trPr>
                    <w:tc>
                      <w:tcPr>
                        <w:tcW w:w="16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7" w:type="dxa"/>
                        <w:tcBorders>
                          <w:top w:val="nil" w:sz="6" w:space="0" w:color="auto"/>
                          <w:left w:val="single" w:sz="4" w:space="0" w:color="000000"/>
                          <w:bottom w:val="single" w:sz="4" w:space="0" w:color="000000"/>
                          <w:right w:val="single" w:sz="4" w:space="0" w:color="000000"/>
                        </w:tcBorders>
                        <w:shd w:val="clear" w:color="auto" w:fill="D4D4D4"/>
                      </w:tcPr>
                      <w:p>
                        <w:pPr/>
                      </w:p>
                    </w:tc>
                    <w:tc>
                      <w:tcPr>
                        <w:tcW w:w="716" w:type="dxa"/>
                        <w:vMerge/>
                        <w:tcBorders>
                          <w:left w:val="single" w:sz="10" w:space="0" w:color="D4D4D4"/>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gridSpan w:val="2"/>
                        <w:vMerge/>
                        <w:tcBorders>
                          <w:left w:val="single" w:sz="4" w:space="0" w:color="000000"/>
                          <w:bottom w:val="single" w:sz="4" w:space="0" w:color="000000"/>
                          <w:right w:val="single" w:sz="4" w:space="0" w:color="000000"/>
                        </w:tcBorders>
                      </w:tcPr>
                      <w:p>
                        <w:pPr/>
                      </w:p>
                    </w:tc>
                    <w:tc>
                      <w:tcPr>
                        <w:tcW w:w="593" w:type="dxa"/>
                        <w:vMerge/>
                        <w:tcBorders>
                          <w:left w:val="single" w:sz="4" w:space="0" w:color="000000"/>
                          <w:bottom w:val="single" w:sz="4" w:space="0" w:color="000000"/>
                          <w:right w:val="single" w:sz="4" w:space="0" w:color="000000"/>
                        </w:tcBorders>
                        <w:shd w:val="clear" w:color="auto" w:fill="D4D4D4"/>
                      </w:tcPr>
                      <w:p>
                        <w:pPr/>
                      </w:p>
                    </w:tc>
                    <w:tc>
                      <w:tcPr>
                        <w:tcW w:w="1101" w:type="dxa"/>
                        <w:vMerge/>
                        <w:tcBorders>
                          <w:left w:val="single" w:sz="4" w:space="0" w:color="000000"/>
                          <w:bottom w:val="single" w:sz="4" w:space="0" w:color="000000"/>
                          <w:right w:val="single" w:sz="4" w:space="0" w:color="000000"/>
                        </w:tcBorders>
                        <w:shd w:val="clear" w:color="auto" w:fill="D4D4D4"/>
                      </w:tcPr>
                      <w:p>
                        <w:pPr/>
                      </w:p>
                    </w:tc>
                    <w:tc>
                      <w:tcPr>
                        <w:tcW w:w="716"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419" w:type="dxa"/>
                        <w:vMerge/>
                        <w:tcBorders>
                          <w:left w:val="single" w:sz="4" w:space="0" w:color="000000"/>
                          <w:bottom w:val="single" w:sz="4" w:space="0" w:color="000000"/>
                          <w:right w:val="single" w:sz="4" w:space="0" w:color="000000"/>
                        </w:tcBorders>
                        <w:shd w:val="clear" w:color="auto" w:fill="D4D4D4"/>
                      </w:tcPr>
                      <w:p>
                        <w:pPr/>
                      </w:p>
                    </w:tc>
                    <w:tc>
                      <w:tcPr>
                        <w:tcW w:w="631" w:type="dxa"/>
                        <w:vMerge/>
                        <w:tcBorders>
                          <w:left w:val="single" w:sz="4" w:space="0" w:color="000000"/>
                          <w:bottom w:val="single" w:sz="4" w:space="0" w:color="000000"/>
                          <w:right w:val="single" w:sz="4" w:space="0" w:color="000000"/>
                        </w:tcBorders>
                        <w:shd w:val="clear" w:color="auto" w:fill="D4D4D4"/>
                      </w:tcPr>
                      <w:p>
                        <w:pPr/>
                      </w:p>
                    </w:tc>
                  </w:tr>
                  <w:tr>
                    <w:trPr>
                      <w:trHeight w:val="319" w:hRule="exact"/>
                    </w:trPr>
                    <w:tc>
                      <w:tcPr>
                        <w:tcW w:w="169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8" w:type="dxa"/>
                        <w:gridSpan w:val="12"/>
                        <w:vMerge w:val="restart"/>
                        <w:tcBorders>
                          <w:top w:val="single" w:sz="4" w:space="0" w:color="000000"/>
                          <w:left w:val="single" w:sz="9" w:space="0" w:color="D4D4D4"/>
                          <w:right w:val="single" w:sz="4" w:space="0" w:color="000000"/>
                        </w:tcBorders>
                      </w:tcPr>
                      <w:p>
                        <w:pPr>
                          <w:pStyle w:val="TableParagraph"/>
                          <w:spacing w:line="316" w:lineRule="auto" w:before="51"/>
                          <w:ind w:left="22" w:right="17" w:firstLine="360"/>
                          <w:jc w:val="left"/>
                          <w:rPr>
                            <w:rFonts w:ascii="宋体" w:hAnsi="宋体" w:cs="宋体" w:eastAsia="宋体" w:hint="default"/>
                            <w:sz w:val="18"/>
                            <w:szCs w:val="18"/>
                          </w:rPr>
                        </w:pPr>
                        <w:r>
                          <w:rPr>
                            <w:rFonts w:ascii="宋体" w:hAnsi="宋体" w:cs="宋体" w:eastAsia="宋体" w:hint="default"/>
                            <w:spacing w:val="-3"/>
                            <w:sz w:val="18"/>
                            <w:szCs w:val="18"/>
                          </w:rPr>
                          <w:t>中小学多学科（不含英语）同步教育软件项目：《中小学多学科同步教育软件项目》计划开发语文</w:t>
                        </w:r>
                        <w:r>
                          <w:rPr>
                            <w:rFonts w:ascii="宋体" w:hAnsi="宋体" w:cs="宋体" w:eastAsia="宋体" w:hint="default"/>
                            <w:sz w:val="18"/>
                            <w:szCs w:val="18"/>
                          </w:rPr>
                          <w:t> 及数学学科的同步配套软件。受国家教育政策影响，语文新教材的发展方向不明确，新教材的审核及选 </w:t>
                        </w:r>
                        <w:r>
                          <w:rPr>
                            <w:rFonts w:ascii="宋体" w:hAnsi="宋体" w:cs="宋体" w:eastAsia="宋体" w:hint="default"/>
                            <w:spacing w:val="-3"/>
                            <w:sz w:val="18"/>
                            <w:szCs w:val="18"/>
                          </w:rPr>
                          <w:t>用一直没有明确的政策。如果按现有教材开发相关产品，会面临新产品刚上市就可能报废的风险。因此</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公司放缓了语文产品的开发，致使该募投项目的投入及利润均未达到原计划水平。在宏观政策不明确的</w:t>
                        </w:r>
                        <w:r>
                          <w:rPr>
                            <w:rFonts w:ascii="宋体" w:hAnsi="宋体" w:cs="宋体" w:eastAsia="宋体" w:hint="default"/>
                            <w:sz w:val="18"/>
                            <w:szCs w:val="18"/>
                          </w:rPr>
                          <w:t> 情况下，结合多学科的市场需求，</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年计划以碎片化的制作方式，推进多学科资源的建设。</w:t>
                        </w:r>
                      </w:p>
                    </w:tc>
                  </w:tr>
                  <w:tr>
                    <w:trPr>
                      <w:trHeight w:val="1015" w:hRule="exact"/>
                    </w:trPr>
                    <w:tc>
                      <w:tcPr>
                        <w:tcW w:w="16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4"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148" w:type="dxa"/>
                        <w:gridSpan w:val="12"/>
                        <w:vMerge/>
                        <w:tcBorders>
                          <w:left w:val="single" w:sz="9" w:space="0" w:color="D4D4D4"/>
                          <w:right w:val="single" w:sz="4" w:space="0" w:color="000000"/>
                        </w:tcBorders>
                      </w:tcPr>
                      <w:p>
                        <w:pPr/>
                      </w:p>
                    </w:tc>
                  </w:tr>
                  <w:tr>
                    <w:trPr>
                      <w:trHeight w:val="317" w:hRule="exact"/>
                    </w:trPr>
                    <w:tc>
                      <w:tcPr>
                        <w:tcW w:w="1697"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8" w:type="dxa"/>
                        <w:gridSpan w:val="12"/>
                        <w:vMerge/>
                        <w:tcBorders>
                          <w:left w:val="single" w:sz="9" w:space="0" w:color="D4D4D4"/>
                          <w:bottom w:val="single" w:sz="4" w:space="0" w:color="000000"/>
                          <w:right w:val="single" w:sz="4" w:space="0" w:color="000000"/>
                        </w:tcBorders>
                      </w:tcPr>
                      <w:p>
                        <w:pPr/>
                      </w:p>
                    </w:tc>
                  </w:tr>
                  <w:tr>
                    <w:trPr>
                      <w:trHeight w:val="713" w:hRule="exact"/>
                    </w:trPr>
                    <w:tc>
                      <w:tcPr>
                        <w:tcW w:w="1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148" w:type="dxa"/>
                        <w:gridSpan w:val="12"/>
                        <w:tcBorders>
                          <w:top w:val="single" w:sz="4" w:space="0" w:color="000000"/>
                          <w:left w:val="single" w:sz="9"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9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5" w:hRule="exact"/>
                    </w:trPr>
                    <w:tc>
                      <w:tcPr>
                        <w:tcW w:w="16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8148" w:type="dxa"/>
                        <w:gridSpan w:val="12"/>
                        <w:vMerge w:val="restart"/>
                        <w:tcBorders>
                          <w:top w:val="single" w:sz="4" w:space="0" w:color="000000"/>
                          <w:left w:val="single" w:sz="9" w:space="0" w:color="D4D4D4"/>
                          <w:right w:val="single" w:sz="4" w:space="0" w:color="000000"/>
                        </w:tcBorders>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超募资金金额为 </w:t>
                        </w:r>
                        <w:r>
                          <w:rPr>
                            <w:rFonts w:ascii="Times New Roman" w:hAnsi="Times New Roman" w:cs="Times New Roman" w:eastAsia="Times New Roman" w:hint="default"/>
                            <w:sz w:val="18"/>
                            <w:szCs w:val="18"/>
                          </w:rPr>
                          <w:t>8,411.28 </w:t>
                        </w:r>
                        <w:r>
                          <w:rPr>
                            <w:rFonts w:ascii="宋体" w:hAnsi="宋体" w:cs="宋体" w:eastAsia="宋体" w:hint="default"/>
                            <w:sz w:val="18"/>
                            <w:szCs w:val="18"/>
                          </w:rPr>
                          <w:t>万元，截至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日超募资金已使用 </w:t>
                        </w:r>
                        <w:r>
                          <w:rPr>
                            <w:rFonts w:ascii="Times New Roman" w:hAnsi="Times New Roman" w:cs="Times New Roman" w:eastAsia="Times New Roman" w:hint="default"/>
                            <w:sz w:val="18"/>
                            <w:szCs w:val="18"/>
                          </w:rPr>
                          <w:t>7,405.36   </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万元，用于</w:t>
                        </w:r>
                      </w:p>
                      <w:p>
                        <w:pPr>
                          <w:pStyle w:val="TableParagraph"/>
                          <w:spacing w:line="300" w:lineRule="auto" w:before="62"/>
                          <w:ind w:left="22" w:right="53"/>
                          <w:jc w:val="left"/>
                          <w:rPr>
                            <w:rFonts w:ascii="宋体" w:hAnsi="宋体" w:cs="宋体" w:eastAsia="宋体" w:hint="default"/>
                            <w:sz w:val="18"/>
                            <w:szCs w:val="18"/>
                          </w:rPr>
                        </w:pPr>
                        <w:r>
                          <w:rPr>
                            <w:rFonts w:ascii="宋体" w:hAnsi="宋体" w:cs="宋体" w:eastAsia="宋体" w:hint="default"/>
                            <w:sz w:val="18"/>
                            <w:szCs w:val="18"/>
                          </w:rPr>
                          <w:t>购置深圳办公房产。该超募资金的使用经公司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年第一次临时股东大会及公司第二届董事会第八次 会议审议通过。尚未使用的超募资金均存放在公司的募集资金专户。</w:t>
                        </w:r>
                      </w:p>
                    </w:tc>
                  </w:tr>
                  <w:tr>
                    <w:trPr>
                      <w:trHeight w:val="360" w:hRule="exact"/>
                    </w:trPr>
                    <w:tc>
                      <w:tcPr>
                        <w:tcW w:w="1697"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8" w:type="dxa"/>
                        <w:gridSpan w:val="12"/>
                        <w:vMerge/>
                        <w:tcBorders>
                          <w:left w:val="single" w:sz="9" w:space="0" w:color="D4D4D4"/>
                          <w:bottom w:val="single" w:sz="4" w:space="0" w:color="000000"/>
                          <w:right w:val="single" w:sz="4" w:space="0" w:color="000000"/>
                        </w:tcBorders>
                      </w:tcPr>
                      <w:p>
                        <w:pPr/>
                      </w:p>
                    </w:tc>
                  </w:tr>
                  <w:tr>
                    <w:trPr>
                      <w:trHeight w:val="403" w:hRule="exact"/>
                    </w:trPr>
                    <w:tc>
                      <w:tcPr>
                        <w:tcW w:w="1697" w:type="dxa"/>
                        <w:vMerge w:val="restart"/>
                        <w:tcBorders>
                          <w:top w:val="single" w:sz="4" w:space="0" w:color="000000"/>
                          <w:left w:val="single" w:sz="4" w:space="0" w:color="000000"/>
                          <w:right w:val="single" w:sz="4" w:space="0" w:color="000000"/>
                        </w:tcBorders>
                        <w:shd w:val="clear" w:color="auto" w:fill="D4D4D4"/>
                      </w:tcPr>
                      <w:p>
                        <w:pPr/>
                      </w:p>
                    </w:tc>
                    <w:tc>
                      <w:tcPr>
                        <w:tcW w:w="814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9" w:hRule="exact"/>
                    </w:trPr>
                    <w:tc>
                      <w:tcPr>
                        <w:tcW w:w="1697" w:type="dxa"/>
                        <w:vMerge/>
                        <w:tcBorders>
                          <w:left w:val="single" w:sz="4" w:space="0" w:color="000000"/>
                          <w:bottom w:val="nil" w:sz="6" w:space="0" w:color="auto"/>
                          <w:right w:val="single" w:sz="4" w:space="0" w:color="000000"/>
                        </w:tcBorders>
                        <w:shd w:val="clear" w:color="auto" w:fill="D4D4D4"/>
                      </w:tcPr>
                      <w:p>
                        <w:pPr/>
                      </w:p>
                    </w:tc>
                    <w:tc>
                      <w:tcPr>
                        <w:tcW w:w="814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61" w:hRule="exact"/>
                    </w:trPr>
                    <w:tc>
                      <w:tcPr>
                        <w:tcW w:w="16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7"/>
                          <w:ind w:left="24" w:right="4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148" w:type="dxa"/>
                        <w:gridSpan w:val="12"/>
                        <w:vMerge w:val="restart"/>
                        <w:tcBorders>
                          <w:top w:val="single" w:sz="4" w:space="0" w:color="000000"/>
                          <w:left w:val="single" w:sz="9" w:space="0" w:color="D4D4D4"/>
                          <w:right w:val="single" w:sz="4" w:space="0" w:color="000000"/>
                        </w:tcBorders>
                      </w:tcPr>
                      <w:p>
                        <w:pPr>
                          <w:pStyle w:val="TableParagraph"/>
                          <w:spacing w:line="304" w:lineRule="auto" w:before="93"/>
                          <w:ind w:left="22" w:right="19"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日公告《关于募投项目部分实施地变更》，将中小学英语同步教育软件升级及新</w:t>
                        </w:r>
                        <w:r>
                          <w:rPr>
                            <w:rFonts w:ascii="宋体" w:hAnsi="宋体" w:cs="宋体" w:eastAsia="宋体" w:hint="default"/>
                            <w:sz w:val="18"/>
                            <w:szCs w:val="18"/>
                          </w:rPr>
                          <w:t> 版本开发项目、中小学多学科（不含英语）同步教育软件项目和研发中心建设项目的部分工作移至长沙 分公司展开，募投项目部分实施地点变更为长沙市高新区桐梓坡西路 </w:t>
                        </w:r>
                        <w:r>
                          <w:rPr>
                            <w:rFonts w:ascii="Times New Roman" w:hAnsi="Times New Roman" w:cs="Times New Roman" w:eastAsia="Times New Roman" w:hint="default"/>
                            <w:sz w:val="18"/>
                            <w:szCs w:val="18"/>
                          </w:rPr>
                          <w:t>229 </w:t>
                        </w:r>
                        <w:r>
                          <w:rPr>
                            <w:rFonts w:ascii="宋体" w:hAnsi="宋体" w:cs="宋体" w:eastAsia="宋体" w:hint="default"/>
                            <w:sz w:val="18"/>
                            <w:szCs w:val="18"/>
                          </w:rPr>
                          <w:t>号麓谷国际工业园孵化楼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栋</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1001</w:t>
                        </w:r>
                        <w:r>
                          <w:rPr>
                            <w:rFonts w:ascii="宋体" w:hAnsi="宋体" w:cs="宋体" w:eastAsia="宋体" w:hint="default"/>
                            <w:sz w:val="18"/>
                            <w:szCs w:val="18"/>
                          </w:rPr>
                          <w:t>。</w:t>
                        </w:r>
                      </w:p>
                    </w:tc>
                  </w:tr>
                  <w:tr>
                    <w:trPr>
                      <w:trHeight w:val="720" w:hRule="exact"/>
                    </w:trPr>
                    <w:tc>
                      <w:tcPr>
                        <w:tcW w:w="1697"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8" w:type="dxa"/>
                        <w:gridSpan w:val="12"/>
                        <w:vMerge/>
                        <w:tcBorders>
                          <w:left w:val="single" w:sz="9" w:space="0" w:color="D4D4D4"/>
                          <w:bottom w:val="single" w:sz="4" w:space="0" w:color="000000"/>
                          <w:right w:val="single" w:sz="4" w:space="0" w:color="000000"/>
                        </w:tcBorders>
                      </w:tcPr>
                      <w:p>
                        <w:pPr/>
                      </w:p>
                    </w:tc>
                  </w:tr>
                  <w:tr>
                    <w:trPr>
                      <w:trHeight w:val="252" w:hRule="exact"/>
                    </w:trPr>
                    <w:tc>
                      <w:tcPr>
                        <w:tcW w:w="169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8" w:type="dxa"/>
                        <w:gridSpan w:val="12"/>
                        <w:vMerge w:val="restart"/>
                        <w:tcBorders>
                          <w:top w:val="single" w:sz="4" w:space="0" w:color="000000"/>
                          <w:left w:val="single" w:sz="9" w:space="0" w:color="D4D4D4"/>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 w:hRule="exact"/>
                    </w:trPr>
                    <w:tc>
                      <w:tcPr>
                        <w:tcW w:w="1697"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148" w:type="dxa"/>
                        <w:gridSpan w:val="12"/>
                        <w:vMerge/>
                        <w:tcBorders>
                          <w:left w:val="single" w:sz="9" w:space="0" w:color="D4D4D4"/>
                          <w:bottom w:val="single" w:sz="4" w:space="0" w:color="000000"/>
                          <w:right w:val="single" w:sz="4" w:space="0" w:color="000000"/>
                        </w:tcBorders>
                      </w:tcPr>
                      <w:p>
                        <w:pPr/>
                      </w:p>
                    </w:tc>
                  </w:tr>
                  <w:tr>
                    <w:trPr>
                      <w:trHeight w:val="403" w:hRule="exact"/>
                    </w:trPr>
                    <w:tc>
                      <w:tcPr>
                        <w:tcW w:w="1697" w:type="dxa"/>
                        <w:vMerge/>
                        <w:tcBorders>
                          <w:left w:val="single" w:sz="4" w:space="0" w:color="000000"/>
                          <w:right w:val="single" w:sz="4" w:space="0" w:color="000000"/>
                        </w:tcBorders>
                        <w:shd w:val="clear" w:color="auto" w:fill="D4D4D4"/>
                      </w:tcPr>
                      <w:p>
                        <w:pPr/>
                      </w:p>
                    </w:tc>
                    <w:tc>
                      <w:tcPr>
                        <w:tcW w:w="8148" w:type="dxa"/>
                        <w:gridSpan w:val="12"/>
                        <w:tcBorders>
                          <w:top w:val="single" w:sz="4" w:space="0" w:color="000000"/>
                          <w:left w:val="single" w:sz="9" w:space="0" w:color="D4D4D4"/>
                          <w:bottom w:val="single" w:sz="4" w:space="0" w:color="000000"/>
                          <w:right w:val="single" w:sz="4" w:space="0" w:color="000000"/>
                        </w:tcBorders>
                      </w:tcPr>
                      <w:p>
                        <w:pPr/>
                      </w:p>
                    </w:tc>
                  </w:tr>
                  <w:tr>
                    <w:trPr>
                      <w:trHeight w:val="151" w:hRule="exact"/>
                    </w:trPr>
                    <w:tc>
                      <w:tcPr>
                        <w:tcW w:w="1697" w:type="dxa"/>
                        <w:vMerge/>
                        <w:tcBorders>
                          <w:left w:val="single" w:sz="4" w:space="0" w:color="000000"/>
                          <w:bottom w:val="nil" w:sz="6" w:space="0" w:color="auto"/>
                          <w:right w:val="single" w:sz="4" w:space="0" w:color="000000"/>
                        </w:tcBorders>
                        <w:shd w:val="clear" w:color="auto" w:fill="D4D4D4"/>
                      </w:tcPr>
                      <w:p>
                        <w:pPr/>
                      </w:p>
                    </w:tc>
                    <w:tc>
                      <w:tcPr>
                        <w:tcW w:w="8148" w:type="dxa"/>
                        <w:gridSpan w:val="12"/>
                        <w:vMerge w:val="restart"/>
                        <w:tcBorders>
                          <w:top w:val="single" w:sz="4" w:space="0" w:color="000000"/>
                          <w:left w:val="single" w:sz="9" w:space="0" w:color="D4D4D4"/>
                          <w:right w:val="single" w:sz="4" w:space="0" w:color="000000"/>
                        </w:tcBorders>
                      </w:tcPr>
                      <w:p>
                        <w:pPr/>
                      </w:p>
                    </w:tc>
                  </w:tr>
                  <w:tr>
                    <w:trPr>
                      <w:trHeight w:val="250" w:hRule="exact"/>
                    </w:trPr>
                    <w:tc>
                      <w:tcPr>
                        <w:tcW w:w="1697"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8" w:type="dxa"/>
                        <w:gridSpan w:val="12"/>
                        <w:vMerge/>
                        <w:tcBorders>
                          <w:left w:val="single" w:sz="9" w:space="0" w:color="D4D4D4"/>
                          <w:bottom w:val="single" w:sz="4" w:space="0" w:color="000000"/>
                          <w:right w:val="single" w:sz="4" w:space="0" w:color="000000"/>
                        </w:tcBorders>
                      </w:tcPr>
                      <w:p>
                        <w:pPr/>
                      </w:p>
                    </w:tc>
                  </w:tr>
                  <w:tr>
                    <w:trPr>
                      <w:trHeight w:val="403" w:hRule="exact"/>
                    </w:trPr>
                    <w:tc>
                      <w:tcPr>
                        <w:tcW w:w="16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4" w:right="4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148" w:type="dxa"/>
                        <w:gridSpan w:val="12"/>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97" w:type="dxa"/>
                        <w:vMerge/>
                        <w:tcBorders>
                          <w:left w:val="single" w:sz="4" w:space="0" w:color="000000"/>
                          <w:bottom w:val="single" w:sz="4" w:space="0" w:color="000000"/>
                          <w:right w:val="single" w:sz="4" w:space="0" w:color="000000"/>
                        </w:tcBorders>
                        <w:shd w:val="clear" w:color="auto" w:fill="D4D4D4"/>
                      </w:tcPr>
                      <w:p>
                        <w:pPr/>
                      </w:p>
                    </w:tc>
                    <w:tc>
                      <w:tcPr>
                        <w:tcW w:w="8148" w:type="dxa"/>
                        <w:gridSpan w:val="12"/>
                        <w:tcBorders>
                          <w:top w:val="single" w:sz="4" w:space="0" w:color="000000"/>
                          <w:left w:val="single" w:sz="9" w:space="0" w:color="D4D4D4"/>
                          <w:bottom w:val="single" w:sz="4" w:space="0" w:color="000000"/>
                          <w:right w:val="single" w:sz="4" w:space="0" w:color="000000"/>
                        </w:tcBorders>
                      </w:tcPr>
                      <w:p>
                        <w:pPr/>
                      </w:p>
                    </w:tc>
                  </w:tr>
                  <w:tr>
                    <w:trPr>
                      <w:trHeight w:val="403" w:hRule="exact"/>
                    </w:trPr>
                    <w:tc>
                      <w:tcPr>
                        <w:tcW w:w="16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4" w:right="4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148" w:type="dxa"/>
                        <w:gridSpan w:val="12"/>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97" w:type="dxa"/>
                        <w:vMerge/>
                        <w:tcBorders>
                          <w:left w:val="single" w:sz="4" w:space="0" w:color="000000"/>
                          <w:bottom w:val="single" w:sz="4" w:space="0" w:color="000000"/>
                          <w:right w:val="single" w:sz="4" w:space="0" w:color="000000"/>
                        </w:tcBorders>
                        <w:shd w:val="clear" w:color="auto" w:fill="D4D4D4"/>
                      </w:tcPr>
                      <w:p>
                        <w:pPr/>
                      </w:p>
                    </w:tc>
                    <w:tc>
                      <w:tcPr>
                        <w:tcW w:w="8148" w:type="dxa"/>
                        <w:gridSpan w:val="12"/>
                        <w:tcBorders>
                          <w:top w:val="single" w:sz="4" w:space="0" w:color="000000"/>
                          <w:left w:val="single" w:sz="9" w:space="0" w:color="D4D4D4"/>
                          <w:bottom w:val="single" w:sz="4" w:space="0" w:color="000000"/>
                          <w:right w:val="single" w:sz="4" w:space="0" w:color="000000"/>
                        </w:tcBorders>
                      </w:tcPr>
                      <w:p>
                        <w:pPr/>
                      </w:p>
                    </w:tc>
                  </w:tr>
                  <w:tr>
                    <w:trPr>
                      <w:trHeight w:val="403" w:hRule="exact"/>
                    </w:trPr>
                    <w:tc>
                      <w:tcPr>
                        <w:tcW w:w="16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4" w:right="4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148" w:type="dxa"/>
                        <w:gridSpan w:val="12"/>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97" w:type="dxa"/>
                        <w:vMerge/>
                        <w:tcBorders>
                          <w:left w:val="single" w:sz="4" w:space="0" w:color="000000"/>
                          <w:bottom w:val="single" w:sz="4" w:space="0" w:color="000000"/>
                          <w:right w:val="single" w:sz="4" w:space="0" w:color="000000"/>
                        </w:tcBorders>
                        <w:shd w:val="clear" w:color="auto" w:fill="D4D4D4"/>
                      </w:tcPr>
                      <w:p>
                        <w:pPr/>
                      </w:p>
                    </w:tc>
                    <w:tc>
                      <w:tcPr>
                        <w:tcW w:w="8148" w:type="dxa"/>
                        <w:gridSpan w:val="12"/>
                        <w:tcBorders>
                          <w:top w:val="single" w:sz="4" w:space="0" w:color="000000"/>
                          <w:left w:val="single" w:sz="9" w:space="0" w:color="D4D4D4"/>
                          <w:bottom w:val="single" w:sz="4" w:space="0" w:color="000000"/>
                          <w:right w:val="single" w:sz="4" w:space="0" w:color="000000"/>
                        </w:tcBorders>
                      </w:tcPr>
                      <w:p>
                        <w:pPr/>
                      </w:p>
                    </w:tc>
                  </w:tr>
                  <w:tr>
                    <w:trPr>
                      <w:trHeight w:val="715" w:hRule="exact"/>
                    </w:trPr>
                    <w:tc>
                      <w:tcPr>
                        <w:tcW w:w="1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148" w:type="dxa"/>
                        <w:gridSpan w:val="12"/>
                        <w:tcBorders>
                          <w:top w:val="single" w:sz="4" w:space="0" w:color="000000"/>
                          <w:left w:val="single" w:sz="9" w:space="0" w:color="D4D4D4"/>
                          <w:bottom w:val="single" w:sz="4" w:space="0" w:color="000000"/>
                          <w:right w:val="single" w:sz="4" w:space="0" w:color="000000"/>
                        </w:tcBorders>
                      </w:tcPr>
                      <w:p>
                        <w:pPr>
                          <w:pStyle w:val="TableParagraph"/>
                          <w:spacing w:line="297" w:lineRule="auto" w:before="51"/>
                          <w:ind w:left="22" w:right="95" w:firstLine="360"/>
                          <w:jc w:val="left"/>
                          <w:rPr>
                            <w:rFonts w:ascii="宋体" w:hAnsi="宋体" w:cs="宋体" w:eastAsia="宋体" w:hint="default"/>
                            <w:sz w:val="18"/>
                            <w:szCs w:val="18"/>
                          </w:rPr>
                        </w:pPr>
                        <w:r>
                          <w:rPr>
                            <w:rFonts w:ascii="宋体" w:hAnsi="宋体" w:cs="宋体" w:eastAsia="宋体" w:hint="default"/>
                            <w:sz w:val="18"/>
                            <w:szCs w:val="18"/>
                          </w:rPr>
                          <w:t>购买银行理财产品的金额为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该募集资金的使用经公司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年第一次临时股东大会及公 司第二届董事会第十五次会议审议通过。尚未使用的募集资金均存放在公司的募集资金专户。</w:t>
                        </w:r>
                      </w:p>
                    </w:tc>
                  </w:tr>
                  <w:tr>
                    <w:trPr>
                      <w:trHeight w:val="1027" w:hRule="exact"/>
                    </w:trPr>
                    <w:tc>
                      <w:tcPr>
                        <w:tcW w:w="1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148" w:type="dxa"/>
                        <w:gridSpan w:val="12"/>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44"/>
        <w:ind w:left="0" w:right="10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2" w:top="1060" w:bottom="1180" w:left="980" w:right="76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出售重大股权情况" w:id="50"/>
      <w:bookmarkEnd w:id="50"/>
      <w:r>
        <w:rPr>
          <w:b w:val="0"/>
          <w:bCs w:val="0"/>
        </w:rPr>
      </w:r>
      <w:bookmarkStart w:name="七、主要控股参股公司分析" w:id="51"/>
      <w:bookmarkEnd w:id="51"/>
      <w:r>
        <w:rPr>
          <w:b w:val="0"/>
          <w:bCs w:val="0"/>
        </w:rPr>
      </w:r>
      <w:r>
        <w:rPr/>
        <w:t>（</w:t>
      </w:r>
      <w:bookmarkStart w:name="（3）募集资金变更项目情况" w:id="52"/>
      <w:bookmarkEnd w:id="52"/>
      <w:r>
        <w:rPr/>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
        <w:gridCol w:w="958"/>
        <w:gridCol w:w="958"/>
        <w:gridCol w:w="958"/>
        <w:gridCol w:w="958"/>
        <w:gridCol w:w="955"/>
        <w:gridCol w:w="958"/>
        <w:gridCol w:w="955"/>
        <w:gridCol w:w="958"/>
        <w:gridCol w:w="958"/>
      </w:tblGrid>
      <w:tr>
        <w:trPr>
          <w:trHeight w:val="1337" w:hRule="exact"/>
        </w:trPr>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exact" w:before="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营销服务中 心建设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338.77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338.77</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338.77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338.77</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899"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w:t>
            </w:r>
            <w:r>
              <w:rPr>
                <w:rFonts w:ascii="宋体" w:hAnsi="宋体" w:cs="宋体" w:eastAsia="宋体" w:hint="default"/>
                <w:sz w:val="18"/>
                <w:szCs w:val="18"/>
              </w:rPr>
              <w:t>营销服务中心建设</w:t>
            </w:r>
            <w:r>
              <w:rPr>
                <w:rFonts w:ascii="Times New Roman" w:hAnsi="Times New Roman" w:cs="Times New Roman" w:eastAsia="Times New Roman" w:hint="default"/>
                <w:sz w:val="18"/>
                <w:szCs w:val="18"/>
              </w:rPr>
              <w:t>”</w:t>
            </w:r>
            <w:r>
              <w:rPr>
                <w:rFonts w:ascii="宋体" w:hAnsi="宋体" w:cs="宋体" w:eastAsia="宋体" w:hint="default"/>
                <w:sz w:val="18"/>
                <w:szCs w:val="18"/>
              </w:rPr>
              <w:t>项目累计投入募集资金</w:t>
            </w:r>
          </w:p>
          <w:p>
            <w:pPr>
              <w:pStyle w:val="TableParagraph"/>
              <w:spacing w:line="312" w:lineRule="auto" w:before="60"/>
              <w:ind w:left="24"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2,361.23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万元，结余募集资金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338.77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万元。为了更好地发挥募集资金的效能，提高资 金的使用效率，实现股东利益最大化，根据《深圳证券交易所创业板上市公司规范运 作指引》等法律法规及规范性文件的规定，公司将营销服务中心建设项目进行结项， 将该项目结余募集资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338.77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万元转回超募资金专户管理，并根据《创业板信息披露业</w:t>
            </w:r>
          </w:p>
          <w:p>
            <w:pPr>
              <w:pStyle w:val="TableParagraph"/>
              <w:spacing w:line="240" w:lineRule="auto" w:before="3"/>
              <w:ind w:left="24" w:right="0"/>
              <w:jc w:val="both"/>
              <w:rPr>
                <w:rFonts w:ascii="宋体" w:hAnsi="宋体" w:cs="宋体" w:eastAsia="宋体" w:hint="default"/>
                <w:sz w:val="18"/>
                <w:szCs w:val="18"/>
              </w:rPr>
            </w:pPr>
            <w:r>
              <w:rPr>
                <w:rFonts w:ascii="宋体" w:hAnsi="宋体" w:cs="宋体" w:eastAsia="宋体" w:hint="default"/>
                <w:sz w:val="18"/>
                <w:szCs w:val="18"/>
              </w:rPr>
              <w:t>务备忘录第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w:t>
            </w:r>
            <w:r>
              <w:rPr>
                <w:rFonts w:ascii="宋体" w:hAnsi="宋体" w:cs="宋体" w:eastAsia="宋体" w:hint="default"/>
                <w:spacing w:val="-3"/>
                <w:sz w:val="18"/>
                <w:szCs w:val="18"/>
              </w:rPr>
              <w:t>金</w:t>
            </w:r>
            <w:r>
              <w:rPr>
                <w:rFonts w:ascii="宋体" w:hAnsi="宋体" w:cs="宋体" w:eastAsia="宋体" w:hint="default"/>
                <w:sz w:val="18"/>
                <w:szCs w:val="18"/>
              </w:rPr>
              <w:t>及闲置募集资金使</w:t>
            </w:r>
            <w:r>
              <w:rPr>
                <w:rFonts w:ascii="宋体" w:hAnsi="宋体" w:cs="宋体" w:eastAsia="宋体" w:hint="default"/>
                <w:spacing w:val="-68"/>
                <w:sz w:val="18"/>
                <w:szCs w:val="18"/>
              </w:rPr>
              <w:t>用</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月修订</w:t>
            </w:r>
            <w:r>
              <w:rPr>
                <w:rFonts w:ascii="宋体" w:hAnsi="宋体" w:cs="宋体" w:eastAsia="宋体" w:hint="default"/>
                <w:spacing w:val="-92"/>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和公</w:t>
            </w:r>
            <w:r>
              <w:rPr>
                <w:rFonts w:ascii="宋体" w:hAnsi="宋体" w:cs="宋体" w:eastAsia="宋体" w:hint="default"/>
                <w:spacing w:val="-68"/>
                <w:sz w:val="18"/>
                <w:szCs w:val="18"/>
              </w:rPr>
              <w:t>司</w:t>
            </w:r>
            <w:r>
              <w:rPr>
                <w:rFonts w:ascii="宋体" w:hAnsi="宋体" w:cs="宋体" w:eastAsia="宋体" w:hint="default"/>
                <w:sz w:val="18"/>
                <w:szCs w:val="18"/>
              </w:rPr>
              <w:t>《募</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集资金管理制度》等相关法律、法规和规范性文件规定进行管理和使用。</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300" w:lineRule="auto" w:before="63"/>
              <w:ind w:left="24" w:right="48"/>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第二届董事会第十五次会议和第二届监事会第十四次会议审议通过了《关于 </w:t>
            </w:r>
            <w:r>
              <w:rPr>
                <w:rFonts w:ascii="宋体" w:hAnsi="宋体" w:cs="宋体" w:eastAsia="宋体" w:hint="default"/>
                <w:spacing w:val="-3"/>
                <w:sz w:val="18"/>
                <w:szCs w:val="18"/>
              </w:rPr>
              <w:t>部分募集资金投资项目结项并将结余募集资金及利息转回超募资金账户的议案》。</w:t>
            </w:r>
          </w:p>
        </w:tc>
      </w:tr>
      <w:tr>
        <w:trPr>
          <w:trHeight w:val="713"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2" w:top="1060" w:bottom="1180" w:left="980" w:right="98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bookmarkStart w:name="六、重大资产和股权出售" w:id="53"/>
      <w:bookmarkEnd w:id="53"/>
      <w:r>
        <w:rPr/>
      </w: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850" w:space="3168"/>
            <w:col w:w="1932"/>
          </w:cols>
        </w:sectPr>
      </w:pP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054"/>
        <w:gridCol w:w="862"/>
        <w:gridCol w:w="1274"/>
        <w:gridCol w:w="922"/>
        <w:gridCol w:w="1063"/>
        <w:gridCol w:w="1133"/>
        <w:gridCol w:w="1135"/>
        <w:gridCol w:w="1133"/>
        <w:gridCol w:w="1135"/>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2" w:right="0"/>
              <w:jc w:val="left"/>
              <w:rPr>
                <w:rFonts w:ascii="宋体" w:hAnsi="宋体" w:cs="宋体" w:eastAsia="宋体" w:hint="default"/>
                <w:sz w:val="18"/>
                <w:szCs w:val="18"/>
              </w:rPr>
            </w:pPr>
            <w:bookmarkStart w:name="1、出售重大资产情况" w:id="54"/>
            <w:bookmarkEnd w:id="54"/>
            <w:r>
              <w:rPr/>
            </w: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054"/>
        <w:gridCol w:w="862"/>
        <w:gridCol w:w="1274"/>
        <w:gridCol w:w="922"/>
        <w:gridCol w:w="1063"/>
        <w:gridCol w:w="1133"/>
        <w:gridCol w:w="1135"/>
        <w:gridCol w:w="1133"/>
        <w:gridCol w:w="1135"/>
      </w:tblGrid>
      <w:tr>
        <w:trPr>
          <w:trHeight w:val="227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深圳市连邦 信息技术有 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计算机软件、硬</w:t>
            </w:r>
            <w:r>
              <w:rPr>
                <w:rFonts w:ascii="宋体" w:hAnsi="宋体" w:cs="宋体" w:eastAsia="宋体" w:hint="default"/>
                <w:sz w:val="18"/>
                <w:szCs w:val="18"/>
              </w:rPr>
              <w:t> </w:t>
            </w:r>
            <w:r>
              <w:rPr>
                <w:rFonts w:ascii="宋体" w:hAnsi="宋体" w:cs="宋体" w:eastAsia="宋体" w:hint="default"/>
                <w:spacing w:val="-6"/>
                <w:sz w:val="18"/>
                <w:szCs w:val="18"/>
              </w:rPr>
              <w:t>件技术开发；视</w:t>
            </w:r>
            <w:r>
              <w:rPr>
                <w:rFonts w:ascii="宋体" w:hAnsi="宋体" w:cs="宋体" w:eastAsia="宋体" w:hint="default"/>
                <w:sz w:val="18"/>
                <w:szCs w:val="18"/>
              </w:rPr>
              <w:t> 频图像通讯系 统软件技术开 </w:t>
            </w:r>
            <w:r>
              <w:rPr>
                <w:rFonts w:ascii="宋体" w:hAnsi="宋体" w:cs="宋体" w:eastAsia="宋体" w:hint="default"/>
                <w:spacing w:val="-6"/>
                <w:sz w:val="18"/>
                <w:szCs w:val="18"/>
              </w:rPr>
              <w:t>发、销售及其技</w:t>
            </w:r>
            <w:r>
              <w:rPr>
                <w:rFonts w:ascii="宋体" w:hAnsi="宋体" w:cs="宋体" w:eastAsia="宋体" w:hint="default"/>
                <w:sz w:val="18"/>
                <w:szCs w:val="18"/>
              </w:rPr>
              <w:t> </w:t>
            </w:r>
            <w:r>
              <w:rPr>
                <w:rFonts w:ascii="宋体" w:hAnsi="宋体" w:cs="宋体" w:eastAsia="宋体" w:hint="default"/>
                <w:spacing w:val="-6"/>
                <w:sz w:val="18"/>
                <w:szCs w:val="18"/>
              </w:rPr>
              <w:t>术服务（不含限</w:t>
            </w:r>
            <w:r>
              <w:rPr>
                <w:rFonts w:ascii="宋体" w:hAnsi="宋体" w:cs="宋体" w:eastAsia="宋体" w:hint="default"/>
                <w:sz w:val="18"/>
                <w:szCs w:val="18"/>
              </w:rPr>
              <w:t> 制项目）</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6,142,054.63</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5,635,497.94</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565,301.20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-1,314,003.02</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-1,155,064.87</w:t>
            </w:r>
            <w:r>
              <w:rPr>
                <w:rFonts w:ascii="Times New Roman"/>
                <w:sz w:val="18"/>
              </w:rPr>
            </w:r>
          </w:p>
        </w:tc>
      </w:tr>
      <w:tr>
        <w:trPr>
          <w:trHeight w:val="289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深圳市科葩 信息技术有 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计算机生物识 别技术及其产 品的研发与销 </w:t>
            </w:r>
            <w:r>
              <w:rPr>
                <w:rFonts w:ascii="宋体" w:hAnsi="宋体" w:cs="宋体" w:eastAsia="宋体" w:hint="default"/>
                <w:spacing w:val="-6"/>
                <w:sz w:val="18"/>
                <w:szCs w:val="18"/>
              </w:rPr>
              <w:t>售；安全验证技</w:t>
            </w:r>
            <w:r>
              <w:rPr>
                <w:rFonts w:ascii="宋体" w:hAnsi="宋体" w:cs="宋体" w:eastAsia="宋体" w:hint="default"/>
                <w:sz w:val="18"/>
                <w:szCs w:val="18"/>
              </w:rPr>
              <w:t> 术及其产品的 </w:t>
            </w:r>
            <w:r>
              <w:rPr>
                <w:rFonts w:ascii="宋体" w:hAnsi="宋体" w:cs="宋体" w:eastAsia="宋体" w:hint="default"/>
                <w:spacing w:val="-6"/>
                <w:sz w:val="18"/>
                <w:szCs w:val="18"/>
              </w:rPr>
              <w:t>研发与销售；计</w:t>
            </w:r>
            <w:r>
              <w:rPr>
                <w:rFonts w:ascii="宋体" w:hAnsi="宋体" w:cs="宋体" w:eastAsia="宋体" w:hint="default"/>
                <w:sz w:val="18"/>
                <w:szCs w:val="18"/>
              </w:rPr>
              <w:t> 算机系统集成； 经营进出口业 务</w:t>
            </w:r>
            <w:r>
              <w:rPr>
                <w:rFonts w:ascii="Times New Roman" w:hAnsi="Times New Roman" w:cs="Times New Roman" w:eastAsia="Times New Roman" w:hint="default"/>
                <w:sz w:val="18"/>
                <w:szCs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621.43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4,565,152.57</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3,851,719.86</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2,051,615.42</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-5,454,600.90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-4,837,620.90</w:t>
            </w:r>
            <w:r>
              <w:rPr>
                <w:rFonts w:ascii="Times New Roman"/>
                <w:sz w:val="18"/>
              </w:rPr>
            </w:r>
          </w:p>
        </w:tc>
      </w:tr>
    </w:tbl>
    <w:p>
      <w:pPr>
        <w:spacing w:before="49"/>
        <w:ind w:left="152" w:right="106"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1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59"/>
        <w:ind w:right="106"/>
        <w:jc w:val="left"/>
        <w:rPr>
          <w:b w:val="0"/>
          <w:bCs w:val="0"/>
        </w:rPr>
      </w:pPr>
      <w:r>
        <w:rPr/>
        <w:t>主要控股参股公司情况说明</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2" w:right="1757" w:hanging="421"/>
        <w:jc w:val="left"/>
      </w:pPr>
      <w:r>
        <w:rPr>
          <w:rFonts w:ascii="宋体" w:hAnsi="宋体" w:cs="宋体" w:eastAsia="宋体" w:hint="default"/>
        </w:rPr>
        <w:t>1</w:t>
      </w:r>
      <w:r>
        <w:rPr/>
        <w:t>、报告期内，公司拥有深圳市连邦信息技术有限公司</w:t>
      </w:r>
      <w:r>
        <w:rPr>
          <w:rFonts w:ascii="宋体" w:hAnsi="宋体" w:cs="宋体" w:eastAsia="宋体" w:hint="default"/>
        </w:rPr>
        <w:t>1</w:t>
      </w:r>
      <w:r>
        <w:rPr>
          <w:rFonts w:ascii="宋体" w:hAnsi="宋体" w:cs="宋体" w:eastAsia="宋体" w:hint="default"/>
          <w:spacing w:val="-7"/>
        </w:rPr>
        <w:t> </w:t>
      </w:r>
      <w:r>
        <w:rPr/>
        <w:t>家全资子公司，基本情况如下：</w:t>
      </w:r>
      <w:r>
        <w:rPr>
          <w:w w:val="100"/>
        </w:rPr>
        <w:t> </w:t>
      </w:r>
      <w:r>
        <w:rPr/>
        <w:t>成立日期：</w:t>
      </w:r>
      <w:r>
        <w:rPr>
          <w:rFonts w:ascii="宋体" w:hAnsi="宋体" w:cs="宋体" w:eastAsia="宋体" w:hint="default"/>
        </w:rPr>
        <w:t>1996</w:t>
      </w:r>
      <w:r>
        <w:rPr>
          <w:rFonts w:ascii="宋体" w:hAnsi="宋体" w:cs="宋体" w:eastAsia="宋体" w:hint="default"/>
          <w:spacing w:val="-3"/>
        </w:rPr>
        <w:t> </w:t>
      </w:r>
      <w:r>
        <w:rPr/>
        <w:t>年</w:t>
      </w:r>
      <w:r>
        <w:rPr>
          <w:rFonts w:ascii="宋体" w:hAnsi="宋体" w:cs="宋体" w:eastAsia="宋体" w:hint="default"/>
        </w:rPr>
        <w:t>04</w:t>
      </w:r>
      <w:r>
        <w:rPr/>
        <w:t>月</w:t>
      </w:r>
      <w:r>
        <w:rPr>
          <w:rFonts w:ascii="宋体" w:hAnsi="宋体" w:cs="宋体" w:eastAsia="宋体" w:hint="default"/>
        </w:rPr>
        <w:t>12</w:t>
      </w:r>
      <w:r>
        <w:rPr/>
        <w:t>日</w:t>
      </w:r>
    </w:p>
    <w:p>
      <w:pPr>
        <w:pStyle w:val="BodyText"/>
        <w:spacing w:line="240" w:lineRule="auto"/>
        <w:ind w:left="572" w:right="106"/>
        <w:jc w:val="left"/>
        <w:rPr>
          <w:rFonts w:ascii="宋体" w:hAnsi="宋体" w:cs="宋体" w:eastAsia="宋体" w:hint="default"/>
        </w:rPr>
      </w:pPr>
      <w:r>
        <w:rPr/>
        <w:t>注册号：</w:t>
      </w:r>
      <w:r>
        <w:rPr>
          <w:rFonts w:ascii="宋体" w:hAnsi="宋体" w:cs="宋体" w:eastAsia="宋体" w:hint="default"/>
        </w:rPr>
        <w:t>440301103670631</w:t>
      </w:r>
    </w:p>
    <w:p>
      <w:pPr>
        <w:spacing w:line="240" w:lineRule="auto" w:before="10"/>
        <w:rPr>
          <w:rFonts w:ascii="宋体" w:hAnsi="宋体" w:cs="宋体" w:eastAsia="宋体" w:hint="default"/>
          <w:sz w:val="14"/>
          <w:szCs w:val="14"/>
        </w:rPr>
      </w:pPr>
    </w:p>
    <w:p>
      <w:pPr>
        <w:pStyle w:val="BodyText"/>
        <w:spacing w:line="408" w:lineRule="auto" w:before="0"/>
        <w:ind w:left="572" w:right="3861"/>
        <w:jc w:val="left"/>
      </w:pPr>
      <w:r>
        <w:rPr/>
        <w:t>注册资本：</w:t>
      </w:r>
      <w:r>
        <w:rPr>
          <w:rFonts w:ascii="宋体" w:hAnsi="宋体" w:cs="宋体" w:eastAsia="宋体" w:hint="default"/>
        </w:rPr>
        <w:t>200</w:t>
      </w:r>
      <w:r>
        <w:rPr>
          <w:rFonts w:ascii="宋体" w:hAnsi="宋体" w:cs="宋体" w:eastAsia="宋体" w:hint="default"/>
          <w:spacing w:val="-2"/>
        </w:rPr>
        <w:t> </w:t>
      </w:r>
      <w:r>
        <w:rPr/>
        <w:t>万元人民币</w:t>
      </w:r>
      <w:r>
        <w:rPr>
          <w:w w:val="100"/>
        </w:rPr>
        <w:t> </w:t>
      </w:r>
      <w:r>
        <w:rPr>
          <w:spacing w:val="-2"/>
        </w:rPr>
        <w:t>注册地址：深圳市南山区科技中二路深圳软件园</w:t>
      </w:r>
      <w:r>
        <w:rPr>
          <w:rFonts w:ascii="宋体" w:hAnsi="宋体" w:cs="宋体" w:eastAsia="宋体" w:hint="default"/>
          <w:spacing w:val="-2"/>
        </w:rPr>
        <w:t>12</w:t>
      </w:r>
      <w:r>
        <w:rPr>
          <w:spacing w:val="-2"/>
        </w:rPr>
        <w:t>号楼</w:t>
      </w:r>
      <w:r>
        <w:rPr>
          <w:rFonts w:ascii="宋体" w:hAnsi="宋体" w:cs="宋体" w:eastAsia="宋体" w:hint="default"/>
          <w:spacing w:val="-2"/>
        </w:rPr>
        <w:t>302-a</w:t>
      </w:r>
      <w:r>
        <w:rPr>
          <w:rFonts w:ascii="宋体" w:hAnsi="宋体" w:cs="宋体" w:eastAsia="宋体" w:hint="default"/>
          <w:spacing w:val="-48"/>
        </w:rPr>
        <w:t> </w:t>
      </w:r>
      <w:r>
        <w:rPr>
          <w:rFonts w:ascii="宋体" w:hAnsi="宋体" w:cs="宋体" w:eastAsia="宋体" w:hint="default"/>
          <w:spacing w:val="-48"/>
        </w:rPr>
      </w:r>
      <w:r>
        <w:rPr/>
        <w:t>法定代表人：陈克让</w:t>
      </w:r>
    </w:p>
    <w:p>
      <w:pPr>
        <w:pStyle w:val="BodyText"/>
        <w:spacing w:line="408" w:lineRule="auto"/>
        <w:ind w:right="106" w:firstLine="420"/>
        <w:jc w:val="left"/>
      </w:pPr>
      <w:r>
        <w:rPr>
          <w:spacing w:val="-2"/>
        </w:rPr>
        <w:t>经营范围：计算机软件、硬件技术开发；视频图像通讯系统软件技术开发、销售及其技术服务（不含</w:t>
      </w:r>
      <w:r>
        <w:rPr>
          <w:w w:val="100"/>
        </w:rPr>
        <w:t> </w:t>
      </w:r>
      <w:r>
        <w:rPr/>
        <w:t>限制项目） </w:t>
      </w:r>
      <w:r>
        <w:rPr>
          <w:spacing w:val="-4"/>
        </w:rPr>
        <w:t>经大华会计师事务所（特殊普通合伙）审计，截至本报告期末，该公司总资产为</w:t>
      </w:r>
      <w:r>
        <w:rPr>
          <w:rFonts w:ascii="宋体" w:hAnsi="宋体" w:cs="宋体" w:eastAsia="宋体" w:hint="default"/>
          <w:spacing w:val="-4"/>
        </w:rPr>
        <w:t>6,142,054.63</w:t>
      </w:r>
      <w:r>
        <w:rPr>
          <w:rFonts w:ascii="宋体" w:hAnsi="宋体" w:cs="宋体" w:eastAsia="宋体" w:hint="default"/>
          <w:spacing w:val="-56"/>
        </w:rPr>
        <w:t> </w:t>
      </w:r>
      <w:r>
        <w:rPr>
          <w:rFonts w:ascii="宋体" w:hAnsi="宋体" w:cs="宋体" w:eastAsia="宋体" w:hint="default"/>
          <w:spacing w:val="-56"/>
        </w:rPr>
      </w:r>
      <w:r>
        <w:rPr/>
        <w:t>元，净资产为</w:t>
      </w:r>
      <w:r>
        <w:rPr>
          <w:rFonts w:ascii="宋体" w:hAnsi="宋体" w:cs="宋体" w:eastAsia="宋体" w:hint="default"/>
        </w:rPr>
        <w:t>5,635,497.94</w:t>
      </w:r>
      <w:r>
        <w:rPr/>
        <w:t>元。</w:t>
      </w:r>
      <w:r>
        <w:rPr>
          <w:rFonts w:ascii="宋体" w:hAnsi="宋体" w:cs="宋体" w:eastAsia="宋体" w:hint="default"/>
        </w:rPr>
        <w:t>2015</w:t>
      </w:r>
      <w:r>
        <w:rPr/>
        <w:t>年度实现营业收入</w:t>
      </w:r>
      <w:r>
        <w:rPr>
          <w:rFonts w:ascii="宋体" w:hAnsi="宋体" w:cs="宋体" w:eastAsia="宋体" w:hint="default"/>
        </w:rPr>
        <w:t>565,301.20</w:t>
      </w:r>
      <w:r>
        <w:rPr/>
        <w:t>元，净利润</w:t>
      </w:r>
      <w:r>
        <w:rPr>
          <w:rFonts w:ascii="宋体" w:hAnsi="宋体" w:cs="宋体" w:eastAsia="宋体" w:hint="default"/>
        </w:rPr>
        <w:t>-1,155,064.87</w:t>
      </w:r>
      <w:r>
        <w:rPr/>
        <w:t>元。子公司</w:t>
      </w:r>
      <w:r>
        <w:rPr>
          <w:spacing w:val="-3"/>
          <w:w w:val="100"/>
        </w:rPr>
        <w:t> </w:t>
      </w:r>
      <w:r>
        <w:rPr>
          <w:spacing w:val="-2"/>
        </w:rPr>
        <w:t>净利润出现亏损，但金额较小，对公司净利润影响未达到</w:t>
      </w:r>
      <w:r>
        <w:rPr>
          <w:rFonts w:ascii="宋体" w:hAnsi="宋体" w:cs="宋体" w:eastAsia="宋体" w:hint="default"/>
          <w:spacing w:val="-2"/>
        </w:rPr>
        <w:t>10%</w:t>
      </w:r>
      <w:r>
        <w:rPr>
          <w:spacing w:val="-2"/>
        </w:rPr>
        <w:t>以上。对公司合并经营业绩未造成重大影响。</w:t>
      </w:r>
      <w:r>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before="0"/>
        <w:ind w:left="573" w:right="1967" w:hanging="421"/>
        <w:jc w:val="left"/>
      </w:pPr>
      <w:r>
        <w:rPr>
          <w:rFonts w:ascii="宋体" w:hAnsi="宋体" w:cs="宋体" w:eastAsia="宋体" w:hint="default"/>
        </w:rPr>
        <w:t>2</w:t>
      </w:r>
      <w:r>
        <w:rPr/>
        <w:t>、报告期内，公司拥有深圳市科葩信息技术有限公司</w:t>
      </w:r>
      <w:r>
        <w:rPr>
          <w:rFonts w:ascii="宋体" w:hAnsi="宋体" w:cs="宋体" w:eastAsia="宋体" w:hint="default"/>
        </w:rPr>
        <w:t>1</w:t>
      </w:r>
      <w:r>
        <w:rPr>
          <w:rFonts w:ascii="宋体" w:hAnsi="宋体" w:cs="宋体" w:eastAsia="宋体" w:hint="default"/>
          <w:spacing w:val="-8"/>
        </w:rPr>
        <w:t> </w:t>
      </w:r>
      <w:r>
        <w:rPr/>
        <w:t>家参股公司，基本情况如下：</w:t>
      </w:r>
      <w:r>
        <w:rPr>
          <w:w w:val="100"/>
        </w:rPr>
        <w:t> </w:t>
      </w:r>
      <w:r>
        <w:rPr/>
        <w:t>成立日期：</w:t>
      </w:r>
      <w:r>
        <w:rPr>
          <w:spacing w:val="-3"/>
        </w:rPr>
        <w:t> </w:t>
      </w:r>
      <w:r>
        <w:rPr>
          <w:rFonts w:ascii="宋体" w:hAnsi="宋体" w:cs="宋体" w:eastAsia="宋体" w:hint="default"/>
        </w:rPr>
        <w:t>2010</w:t>
      </w:r>
      <w:r>
        <w:rPr/>
        <w:t>年</w:t>
      </w:r>
      <w:r>
        <w:rPr>
          <w:rFonts w:ascii="宋体" w:hAnsi="宋体" w:cs="宋体" w:eastAsia="宋体" w:hint="default"/>
        </w:rPr>
        <w:t>06</w:t>
      </w:r>
      <w:r>
        <w:rPr/>
        <w:t>月</w:t>
      </w:r>
      <w:r>
        <w:rPr>
          <w:rFonts w:ascii="宋体" w:hAnsi="宋体" w:cs="宋体" w:eastAsia="宋体" w:hint="default"/>
        </w:rPr>
        <w:t>30</w:t>
      </w:r>
      <w:r>
        <w:rPr/>
        <w:t>日</w:t>
      </w:r>
    </w:p>
    <w:p>
      <w:pPr>
        <w:pStyle w:val="BodyText"/>
        <w:spacing w:line="240" w:lineRule="auto"/>
        <w:ind w:left="573" w:right="106"/>
        <w:jc w:val="left"/>
        <w:rPr>
          <w:rFonts w:ascii="宋体" w:hAnsi="宋体" w:cs="宋体" w:eastAsia="宋体" w:hint="default"/>
        </w:rPr>
      </w:pPr>
      <w:r>
        <w:rPr/>
        <w:t>注册号：</w:t>
      </w:r>
      <w:r>
        <w:rPr>
          <w:spacing w:val="-5"/>
        </w:rPr>
        <w:t> </w:t>
      </w:r>
      <w:r>
        <w:rPr>
          <w:rFonts w:ascii="宋体" w:hAnsi="宋体" w:cs="宋体" w:eastAsia="宋体" w:hint="default"/>
        </w:rPr>
        <w:t>440301104778709</w:t>
      </w:r>
    </w:p>
    <w:p>
      <w:pPr>
        <w:spacing w:line="240" w:lineRule="auto" w:before="10"/>
        <w:rPr>
          <w:rFonts w:ascii="宋体" w:hAnsi="宋体" w:cs="宋体" w:eastAsia="宋体" w:hint="default"/>
          <w:sz w:val="14"/>
          <w:szCs w:val="14"/>
        </w:rPr>
      </w:pPr>
    </w:p>
    <w:p>
      <w:pPr>
        <w:pStyle w:val="BodyText"/>
        <w:spacing w:line="408" w:lineRule="auto" w:before="0"/>
        <w:ind w:left="573" w:right="2706" w:hanging="1"/>
        <w:jc w:val="left"/>
      </w:pPr>
      <w:r>
        <w:rPr/>
        <w:t>注册资本：</w:t>
      </w:r>
      <w:r>
        <w:rPr>
          <w:rFonts w:ascii="宋体" w:hAnsi="宋体" w:cs="宋体" w:eastAsia="宋体" w:hint="default"/>
        </w:rPr>
        <w:t>621.43</w:t>
      </w:r>
      <w:r>
        <w:rPr/>
        <w:t>万元人民币</w:t>
      </w:r>
      <w:r>
        <w:rPr>
          <w:spacing w:val="-3"/>
          <w:w w:val="100"/>
        </w:rPr>
        <w:t> </w:t>
      </w:r>
      <w:r>
        <w:rPr>
          <w:spacing w:val="-2"/>
        </w:rPr>
        <w:t>注册地址：深圳市南山区科技园南区高新南四道</w:t>
      </w:r>
      <w:r>
        <w:rPr>
          <w:rFonts w:ascii="宋体" w:hAnsi="宋体" w:cs="宋体" w:eastAsia="宋体" w:hint="default"/>
          <w:spacing w:val="-2"/>
        </w:rPr>
        <w:t>23</w:t>
      </w:r>
      <w:r>
        <w:rPr>
          <w:spacing w:val="-2"/>
        </w:rPr>
        <w:t>号（</w:t>
      </w:r>
      <w:r>
        <w:rPr>
          <w:rFonts w:ascii="宋体" w:hAnsi="宋体" w:cs="宋体" w:eastAsia="宋体" w:hint="default"/>
          <w:spacing w:val="-2"/>
        </w:rPr>
        <w:t>R1-A)</w:t>
      </w:r>
      <w:r>
        <w:rPr>
          <w:spacing w:val="-2"/>
        </w:rPr>
        <w:t>现代大厦</w:t>
      </w:r>
      <w:r>
        <w:rPr>
          <w:rFonts w:ascii="宋体" w:hAnsi="宋体" w:cs="宋体" w:eastAsia="宋体" w:hint="default"/>
          <w:spacing w:val="-2"/>
        </w:rPr>
        <w:t>3</w:t>
      </w:r>
      <w:r>
        <w:rPr>
          <w:spacing w:val="-2"/>
        </w:rPr>
        <w:t>楼</w:t>
      </w:r>
    </w:p>
    <w:p>
      <w:pPr>
        <w:spacing w:after="0" w:line="408"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left="575" w:right="106"/>
        <w:jc w:val="left"/>
      </w:pPr>
      <w:r>
        <w:rPr/>
        <w:t>法定代表人：高汉平</w:t>
      </w:r>
      <w:r>
        <w:rPr>
          <w:spacing w:val="-3"/>
          <w:w w:val="100"/>
        </w:rPr>
        <w:t> </w:t>
      </w:r>
      <w:r>
        <w:rPr>
          <w:spacing w:val="-3"/>
        </w:rPr>
        <w:t>经营范围：计算机生物识别技术及其产品的研发与销售；安全验证技术及其产品的研发与销售；计算</w:t>
      </w:r>
      <w:r>
        <w:rPr/>
      </w:r>
    </w:p>
    <w:p>
      <w:pPr>
        <w:pStyle w:val="BodyText"/>
        <w:spacing w:line="408" w:lineRule="auto"/>
        <w:ind w:left="575" w:right="106" w:hanging="423"/>
        <w:jc w:val="left"/>
      </w:pPr>
      <w:r>
        <w:rPr/>
        <w:t>机系统集成；经营进出口业务。</w:t>
      </w:r>
      <w:r>
        <w:rPr>
          <w:w w:val="100"/>
        </w:rPr>
        <w:t> </w:t>
      </w:r>
      <w:r>
        <w:rPr>
          <w:spacing w:val="-2"/>
        </w:rPr>
        <w:t>深圳市科葩信息技术有限公司是一家专注于人脸识别技术与产品的研发、生产和销售的高科技企业，</w:t>
      </w:r>
    </w:p>
    <w:p>
      <w:pPr>
        <w:pStyle w:val="BodyText"/>
        <w:spacing w:line="408" w:lineRule="auto"/>
        <w:ind w:left="153" w:right="293" w:hanging="1"/>
        <w:jc w:val="left"/>
      </w:pPr>
      <w:r>
        <w:rPr>
          <w:spacing w:val="-2"/>
        </w:rPr>
        <w:t>致力于人脸识别技术在社会经济生活中的全方位应用。本公司</w:t>
      </w:r>
      <w:r>
        <w:rPr>
          <w:rFonts w:ascii="宋体" w:hAnsi="宋体" w:cs="宋体" w:eastAsia="宋体" w:hint="default"/>
          <w:spacing w:val="-2"/>
        </w:rPr>
        <w:t>2014</w:t>
      </w:r>
      <w:r>
        <w:rPr>
          <w:spacing w:val="-2"/>
        </w:rPr>
        <w:t>年参股深圳市科葩信息技术有限公司</w:t>
      </w:r>
      <w:r>
        <w:rPr>
          <w:rFonts w:ascii="宋体" w:hAnsi="宋体" w:cs="宋体" w:eastAsia="宋体" w:hint="default"/>
          <w:spacing w:val="-2"/>
        </w:rPr>
        <w:t>,</w:t>
      </w:r>
      <w:r>
        <w:rPr>
          <w:rFonts w:ascii="宋体" w:hAnsi="宋体" w:cs="宋体" w:eastAsia="宋体" w:hint="default"/>
          <w:spacing w:val="-16"/>
        </w:rPr>
        <w:t> </w:t>
      </w:r>
      <w:r>
        <w:rPr/>
        <w:t>投资金额</w:t>
      </w:r>
      <w:r>
        <w:rPr>
          <w:rFonts w:ascii="宋体" w:hAnsi="宋体" w:cs="宋体" w:eastAsia="宋体" w:hint="default"/>
        </w:rPr>
        <w:t>600</w:t>
      </w:r>
      <w:r>
        <w:rPr/>
        <w:t>万</w:t>
      </w:r>
      <w:r>
        <w:rPr>
          <w:rFonts w:ascii="宋体" w:hAnsi="宋体" w:cs="宋体" w:eastAsia="宋体" w:hint="default"/>
        </w:rPr>
        <w:t>,</w:t>
      </w:r>
      <w:r>
        <w:rPr/>
        <w:t>占</w:t>
      </w:r>
      <w:r>
        <w:rPr>
          <w:rFonts w:ascii="宋体" w:hAnsi="宋体" w:cs="宋体" w:eastAsia="宋体" w:hint="default"/>
        </w:rPr>
        <w:t>15%</w:t>
      </w:r>
      <w:r>
        <w:rPr/>
        <w:t>的股份</w:t>
      </w:r>
      <w:r>
        <w:rPr>
          <w:rFonts w:ascii="宋体" w:hAnsi="宋体" w:cs="宋体" w:eastAsia="宋体" w:hint="default"/>
        </w:rPr>
        <w:t>,</w:t>
      </w:r>
      <w:r>
        <w:rPr/>
        <w:t>按成本法进行核算。深圳市科葩信息技术有限公司</w:t>
      </w:r>
      <w:r>
        <w:rPr>
          <w:rFonts w:ascii="宋体" w:hAnsi="宋体" w:cs="宋体" w:eastAsia="宋体" w:hint="default"/>
        </w:rPr>
        <w:t>2015</w:t>
      </w:r>
      <w:r>
        <w:rPr/>
        <w:t>年报表数据未经审</w:t>
      </w:r>
      <w:r>
        <w:rPr>
          <w:w w:val="100"/>
        </w:rPr>
        <w:t> </w:t>
      </w:r>
      <w:r>
        <w:rPr/>
        <w:t>计</w:t>
      </w:r>
      <w:r>
        <w:rPr>
          <w:spacing w:val="2"/>
        </w:rPr>
        <w:t> </w:t>
      </w:r>
      <w:r>
        <w:rPr/>
        <w:t>。</w:t>
      </w:r>
    </w:p>
    <w:p>
      <w:pPr>
        <w:spacing w:line="240" w:lineRule="auto" w:before="8"/>
        <w:rPr>
          <w:rFonts w:ascii="宋体" w:hAnsi="宋体" w:cs="宋体" w:eastAsia="宋体" w:hint="default"/>
          <w:sz w:val="18"/>
          <w:szCs w:val="18"/>
        </w:rPr>
      </w:pPr>
    </w:p>
    <w:p>
      <w:pPr>
        <w:pStyle w:val="Heading2"/>
        <w:spacing w:line="240" w:lineRule="auto"/>
        <w:ind w:right="106"/>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1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6"/>
        <w:jc w:val="left"/>
        <w:rPr>
          <w:b w:val="0"/>
          <w:bCs w:val="0"/>
        </w:rPr>
      </w:pPr>
      <w:r>
        <w:rPr/>
        <w:t>九、公司未来发展的展望</w:t>
      </w:r>
      <w:r>
        <w:rPr>
          <w:b w:val="0"/>
          <w:bCs w:val="0"/>
        </w:rPr>
      </w:r>
    </w:p>
    <w:p>
      <w:pPr>
        <w:spacing w:line="240" w:lineRule="auto" w:before="0"/>
        <w:rPr>
          <w:rFonts w:ascii="宋体" w:hAnsi="宋体" w:cs="宋体" w:eastAsia="宋体" w:hint="default"/>
          <w:b/>
          <w:bCs/>
          <w:sz w:val="28"/>
          <w:szCs w:val="28"/>
        </w:rPr>
      </w:pPr>
    </w:p>
    <w:p>
      <w:pPr>
        <w:pStyle w:val="Heading3"/>
        <w:spacing w:line="240" w:lineRule="auto"/>
        <w:ind w:right="106"/>
        <w:jc w:val="left"/>
        <w:rPr>
          <w:b w:val="0"/>
          <w:bCs w:val="0"/>
        </w:rPr>
      </w:pPr>
      <w:r>
        <w:rPr/>
        <w:t>（一）、公司所处行业的发展趋势</w:t>
      </w:r>
      <w:r>
        <w:rPr>
          <w:b w:val="0"/>
          <w:bCs w:val="0"/>
        </w:rPr>
      </w:r>
    </w:p>
    <w:p>
      <w:pPr>
        <w:pStyle w:val="BodyText"/>
        <w:spacing w:line="720" w:lineRule="exact" w:before="45"/>
        <w:ind w:left="572" w:right="106" w:hanging="65"/>
        <w:jc w:val="left"/>
      </w:pPr>
      <w:r>
        <w:rPr>
          <w:rFonts w:ascii="Times New Roman" w:hAnsi="Times New Roman" w:cs="Times New Roman" w:eastAsia="Times New Roman" w:hint="default"/>
          <w:b/>
          <w:bCs/>
        </w:rPr>
        <w:t>1</w:t>
      </w:r>
      <w:r>
        <w:rPr>
          <w:rFonts w:ascii="宋体" w:hAnsi="宋体" w:cs="宋体" w:eastAsia="宋体" w:hint="default"/>
          <w:b/>
          <w:bCs/>
        </w:rPr>
        <w:t>、行业发展趋势简析</w:t>
      </w:r>
      <w:r>
        <w:rPr>
          <w:rFonts w:ascii="宋体" w:hAnsi="宋体" w:cs="宋体" w:eastAsia="宋体" w:hint="default"/>
          <w:b/>
          <w:bCs/>
          <w:spacing w:val="-101"/>
        </w:rPr>
        <w:t> </w:t>
      </w:r>
      <w:r>
        <w:rPr>
          <w:rFonts w:ascii="宋体" w:hAnsi="宋体" w:cs="宋体" w:eastAsia="宋体" w:hint="default"/>
          <w:b/>
          <w:bCs/>
          <w:spacing w:val="-101"/>
        </w:rPr>
      </w:r>
      <w:r>
        <w:rPr>
          <w:spacing w:val="-2"/>
        </w:rPr>
        <w:t>随着中国经济的不断发展，居民收</w:t>
      </w:r>
      <w:bookmarkStart w:name="八、公司控制的结构化主体情况" w:id="55"/>
      <w:bookmarkEnd w:id="55"/>
      <w:r>
        <w:rPr>
          <w:spacing w:val="-2"/>
        </w:rPr>
        <w:t>入</w:t>
      </w:r>
      <w:r>
        <w:rPr>
          <w:spacing w:val="-2"/>
        </w:rPr>
        <w:t>水平的不</w:t>
      </w:r>
      <w:bookmarkStart w:name="九、公司未来发展的展望" w:id="56"/>
      <w:bookmarkEnd w:id="56"/>
      <w:r>
        <w:rPr>
          <w:spacing w:val="-2"/>
        </w:rPr>
        <w:t>断</w:t>
      </w:r>
      <w:r>
        <w:rPr>
          <w:spacing w:val="-2"/>
        </w:rPr>
        <w:t>提高，国民教育消费观念的进一步加强，我国义务教</w:t>
      </w:r>
    </w:p>
    <w:p>
      <w:pPr>
        <w:pStyle w:val="BodyText"/>
        <w:spacing w:line="410" w:lineRule="auto" w:before="78"/>
        <w:ind w:left="0" w:right="187"/>
        <w:jc w:val="right"/>
      </w:pPr>
      <w:r>
        <w:rPr>
          <w:spacing w:val="-2"/>
        </w:rPr>
        <w:t>育阶段的中小学生人数催生了庞大的教育行业市场需求。目前我国教育事业发展迅速并逐步产业化，但与</w:t>
      </w:r>
      <w:r>
        <w:rPr>
          <w:spacing w:val="-82"/>
        </w:rPr>
        <w:t> </w:t>
      </w:r>
      <w:r>
        <w:rPr>
          <w:spacing w:val="-82"/>
        </w:rPr>
      </w:r>
      <w:r>
        <w:rPr>
          <w:spacing w:val="-2"/>
        </w:rPr>
        <w:t>之相匹配的同步教育服务市场目前还不能满足教育产业发展的需求，市场供需缺口较大。随着教育行业大</w:t>
      </w:r>
      <w:r>
        <w:rPr>
          <w:spacing w:val="-86"/>
        </w:rPr>
        <w:t> </w:t>
      </w:r>
      <w:r>
        <w:rPr>
          <w:spacing w:val="-86"/>
        </w:rPr>
      </w:r>
      <w:r>
        <w:rPr>
          <w:spacing w:val="-2"/>
        </w:rPr>
        <w:t>环境的改变，相关政策的支持推动，预计未来几年我国中小学同步教育服务市场规模仍将维持高速增长。</w:t>
      </w:r>
    </w:p>
    <w:p>
      <w:pPr>
        <w:spacing w:line="240" w:lineRule="auto" w:before="13"/>
        <w:rPr>
          <w:rFonts w:ascii="宋体" w:hAnsi="宋体" w:cs="宋体" w:eastAsia="宋体" w:hint="default"/>
          <w:sz w:val="22"/>
          <w:szCs w:val="22"/>
        </w:rPr>
      </w:pPr>
    </w:p>
    <w:p>
      <w:pPr>
        <w:pStyle w:val="BodyText"/>
        <w:spacing w:line="408" w:lineRule="auto" w:before="0"/>
        <w:ind w:right="207" w:firstLine="419"/>
        <w:jc w:val="both"/>
      </w:pPr>
      <w:r>
        <w:rPr>
          <w:rFonts w:ascii="宋体" w:hAnsi="宋体" w:cs="宋体" w:eastAsia="宋体" w:hint="default"/>
        </w:rPr>
        <w:t>2016</w:t>
      </w:r>
      <w:r>
        <w:rPr/>
        <w:t>年是</w:t>
      </w:r>
      <w:r>
        <w:rPr>
          <w:rFonts w:ascii="宋体" w:hAnsi="宋体" w:cs="宋体" w:eastAsia="宋体" w:hint="default"/>
        </w:rPr>
        <w:t>“</w:t>
      </w:r>
      <w:r>
        <w:rPr/>
        <w:t>十三五</w:t>
      </w:r>
      <w:r>
        <w:rPr>
          <w:rFonts w:ascii="宋体" w:hAnsi="宋体" w:cs="宋体" w:eastAsia="宋体" w:hint="default"/>
        </w:rPr>
        <w:t>”</w:t>
      </w:r>
      <w:r>
        <w:rPr/>
        <w:t>的开局之年，李克强总理在政府工作报告提出制定</w:t>
      </w:r>
      <w:r>
        <w:rPr>
          <w:rFonts w:ascii="宋体" w:hAnsi="宋体" w:cs="宋体" w:eastAsia="宋体" w:hint="default"/>
        </w:rPr>
        <w:t>“</w:t>
      </w:r>
      <w:r>
        <w:rPr/>
        <w:t>互联网</w:t>
      </w:r>
      <w:r>
        <w:rPr>
          <w:rFonts w:ascii="宋体" w:hAnsi="宋体" w:cs="宋体" w:eastAsia="宋体" w:hint="default"/>
        </w:rPr>
        <w:t>+”</w:t>
      </w:r>
      <w:r>
        <w:rPr/>
        <w:t>行动计划之后，</w:t>
      </w:r>
      <w:r>
        <w:rPr>
          <w:w w:val="100"/>
        </w:rPr>
        <w:t> </w:t>
      </w:r>
      <w:r>
        <w:rPr>
          <w:rFonts w:ascii="宋体" w:hAnsi="宋体" w:cs="宋体" w:eastAsia="宋体" w:hint="default"/>
          <w:spacing w:val="-2"/>
        </w:rPr>
        <w:t>“</w:t>
      </w:r>
      <w:r>
        <w:rPr>
          <w:spacing w:val="-2"/>
        </w:rPr>
        <w:t>互联网</w:t>
      </w:r>
      <w:r>
        <w:rPr>
          <w:rFonts w:ascii="宋体" w:hAnsi="宋体" w:cs="宋体" w:eastAsia="宋体" w:hint="default"/>
          <w:spacing w:val="-2"/>
        </w:rPr>
        <w:t>+</w:t>
      </w:r>
      <w:r>
        <w:rPr>
          <w:spacing w:val="-2"/>
        </w:rPr>
        <w:t>教育</w:t>
      </w:r>
      <w:r>
        <w:rPr>
          <w:rFonts w:ascii="宋体" w:hAnsi="宋体" w:cs="宋体" w:eastAsia="宋体" w:hint="default"/>
          <w:spacing w:val="-2"/>
        </w:rPr>
        <w:t>”</w:t>
      </w:r>
      <w:r>
        <w:rPr>
          <w:spacing w:val="-2"/>
        </w:rPr>
        <w:t>、</w:t>
      </w:r>
      <w:r>
        <w:rPr>
          <w:rFonts w:ascii="宋体" w:hAnsi="宋体" w:cs="宋体" w:eastAsia="宋体" w:hint="default"/>
          <w:spacing w:val="-2"/>
        </w:rPr>
        <w:t>“</w:t>
      </w:r>
      <w:r>
        <w:rPr>
          <w:spacing w:val="-2"/>
        </w:rPr>
        <w:t>互联网</w:t>
      </w:r>
      <w:r>
        <w:rPr>
          <w:rFonts w:ascii="宋体" w:hAnsi="宋体" w:cs="宋体" w:eastAsia="宋体" w:hint="default"/>
          <w:spacing w:val="-2"/>
        </w:rPr>
        <w:t>+</w:t>
      </w:r>
      <w:r>
        <w:rPr>
          <w:spacing w:val="-2"/>
        </w:rPr>
        <w:t>文化</w:t>
      </w:r>
      <w:r>
        <w:rPr>
          <w:rFonts w:ascii="宋体" w:hAnsi="宋体" w:cs="宋体" w:eastAsia="宋体" w:hint="default"/>
          <w:spacing w:val="-2"/>
        </w:rPr>
        <w:t>”</w:t>
      </w:r>
      <w:r>
        <w:rPr>
          <w:spacing w:val="-2"/>
        </w:rPr>
        <w:t>也成为文化教育产业领域的新趋势，文化教育产业越来越受到各地政</w:t>
      </w:r>
      <w:r>
        <w:rPr>
          <w:spacing w:val="-44"/>
        </w:rPr>
        <w:t> </w:t>
      </w:r>
      <w:r>
        <w:rPr>
          <w:spacing w:val="-44"/>
        </w:rPr>
      </w:r>
      <w:r>
        <w:rPr/>
        <w:t>府的重视，同时互联网亦催生了很多教育产业新业态，创造了更多发展机会。在</w:t>
      </w:r>
      <w:r>
        <w:rPr>
          <w:rFonts w:ascii="宋体" w:hAnsi="宋体" w:cs="宋体" w:eastAsia="宋体" w:hint="default"/>
        </w:rPr>
        <w:t>“</w:t>
      </w:r>
      <w:r>
        <w:rPr/>
        <w:t>互联网</w:t>
      </w:r>
      <w:r>
        <w:rPr>
          <w:rFonts w:ascii="宋体" w:hAnsi="宋体" w:cs="宋体" w:eastAsia="宋体" w:hint="default"/>
        </w:rPr>
        <w:t>+”</w:t>
      </w:r>
      <w:r>
        <w:rPr/>
        <w:t>政策的引导</w:t>
      </w:r>
      <w:r>
        <w:rPr>
          <w:spacing w:val="-25"/>
        </w:rPr>
        <w:t> </w:t>
      </w:r>
      <w:r>
        <w:rPr>
          <w:spacing w:val="-25"/>
        </w:rPr>
      </w:r>
      <w:r>
        <w:rPr/>
        <w:t>下，激发了诸多行业热潮，教育行业由传统教育体系向</w:t>
      </w:r>
      <w:r>
        <w:rPr>
          <w:rFonts w:ascii="宋体" w:hAnsi="宋体" w:cs="宋体" w:eastAsia="宋体" w:hint="default"/>
        </w:rPr>
        <w:t>“</w:t>
      </w:r>
      <w:r>
        <w:rPr/>
        <w:t>互联网</w:t>
      </w:r>
      <w:r>
        <w:rPr>
          <w:rFonts w:ascii="宋体" w:hAnsi="宋体" w:cs="宋体" w:eastAsia="宋体" w:hint="default"/>
        </w:rPr>
        <w:t>+”</w:t>
      </w:r>
      <w:r>
        <w:rPr/>
        <w:t>过度，传统的线下教育与在线教育相</w:t>
      </w:r>
      <w:r>
        <w:rPr>
          <w:spacing w:val="-25"/>
        </w:rPr>
        <w:t> </w:t>
      </w:r>
      <w:r>
        <w:rPr>
          <w:spacing w:val="-25"/>
        </w:rPr>
      </w:r>
      <w:r>
        <w:rPr/>
        <w:t>结合，相关教育受众用户也在逐步认同和接受教育的互联网</w:t>
      </w:r>
      <w:r>
        <w:rPr>
          <w:rFonts w:ascii="宋体" w:hAnsi="宋体" w:cs="宋体" w:eastAsia="宋体" w:hint="default"/>
        </w:rPr>
        <w:t>+</w:t>
      </w:r>
      <w:r>
        <w:rPr/>
        <w:t>革新。但从目前市场发展形势看，市场仍处</w:t>
      </w:r>
      <w:r>
        <w:rPr>
          <w:spacing w:val="-25"/>
        </w:rPr>
        <w:t> </w:t>
      </w:r>
      <w:r>
        <w:rPr>
          <w:spacing w:val="-25"/>
        </w:rPr>
      </w:r>
      <w:r>
        <w:rPr>
          <w:spacing w:val="-2"/>
        </w:rPr>
        <w:t>于发展的初步阶段，行业仍未形成标准的产业化格局，</w:t>
      </w:r>
      <w:r>
        <w:rPr>
          <w:rFonts w:ascii="宋体" w:hAnsi="宋体" w:cs="宋体" w:eastAsia="宋体" w:hint="default"/>
          <w:spacing w:val="-2"/>
        </w:rPr>
        <w:t>2015</w:t>
      </w:r>
      <w:r>
        <w:rPr>
          <w:spacing w:val="-2"/>
        </w:rPr>
        <w:t>年，资本的疯狂涌入为教育行业企业提供了诸</w:t>
      </w:r>
      <w:r>
        <w:rPr>
          <w:spacing w:val="-40"/>
        </w:rPr>
        <w:t> </w:t>
      </w:r>
      <w:r>
        <w:rPr>
          <w:spacing w:val="-40"/>
        </w:rPr>
      </w:r>
      <w:r>
        <w:rPr/>
        <w:t>多发展机遇，但亦让互联网</w:t>
      </w:r>
      <w:r>
        <w:rPr>
          <w:rFonts w:ascii="宋体" w:hAnsi="宋体" w:cs="宋体" w:eastAsia="宋体" w:hint="default"/>
        </w:rPr>
        <w:t>+</w:t>
      </w:r>
      <w:r>
        <w:rPr/>
        <w:t>教育概念高度膨胀乃至泡沫化，促使教育行业提前进入快速整合期。教育行</w:t>
      </w:r>
      <w:r>
        <w:rPr>
          <w:spacing w:val="-25"/>
        </w:rPr>
        <w:t> </w:t>
      </w:r>
      <w:r>
        <w:rPr>
          <w:spacing w:val="-25"/>
        </w:rPr>
      </w:r>
      <w:r>
        <w:rPr/>
        <w:t>业的未来是机会亦是挑战！</w:t>
      </w:r>
    </w:p>
    <w:p>
      <w:pPr>
        <w:spacing w:line="240" w:lineRule="auto" w:before="1"/>
        <w:rPr>
          <w:rFonts w:ascii="宋体" w:hAnsi="宋体" w:cs="宋体" w:eastAsia="宋体" w:hint="default"/>
          <w:sz w:val="19"/>
          <w:szCs w:val="19"/>
        </w:rPr>
      </w:pPr>
    </w:p>
    <w:p>
      <w:pPr>
        <w:pStyle w:val="BodyText"/>
        <w:spacing w:line="559" w:lineRule="auto" w:before="0"/>
        <w:ind w:left="572" w:right="106" w:firstLine="2"/>
        <w:jc w:val="left"/>
      </w:pPr>
      <w:r>
        <w:rPr>
          <w:rFonts w:ascii="Times New Roman" w:hAnsi="Times New Roman" w:cs="Times New Roman" w:eastAsia="Times New Roman" w:hint="default"/>
          <w:b/>
          <w:bCs/>
        </w:rPr>
        <w:t>2</w:t>
      </w:r>
      <w:r>
        <w:rPr>
          <w:rFonts w:ascii="宋体" w:hAnsi="宋体" w:cs="宋体" w:eastAsia="宋体" w:hint="default"/>
          <w:b/>
          <w:bCs/>
        </w:rPr>
        <w:t>、行业相关政策改革</w:t>
      </w:r>
      <w:r>
        <w:rPr>
          <w:rFonts w:ascii="宋体" w:hAnsi="宋体" w:cs="宋体" w:eastAsia="宋体" w:hint="default"/>
          <w:b/>
          <w:bCs/>
          <w:w w:val="100"/>
        </w:rPr>
        <w:t> </w:t>
      </w:r>
      <w:r>
        <w:rPr>
          <w:spacing w:val="-5"/>
        </w:rPr>
        <w:t>公司致力于为广大中小学教师与学生提供优质、同步、配套的教育软件及互联网在线全面系统的服务，</w:t>
      </w:r>
    </w:p>
    <w:p>
      <w:pPr>
        <w:spacing w:after="0" w:line="559"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8"/>
        <w:ind w:right="106"/>
        <w:jc w:val="left"/>
      </w:pPr>
      <w:r>
        <w:rPr/>
        <w:t>涉及教育、软件、出版、动漫和互联网等多个领域，相关行业政策改革也影响着公司未来发展。</w:t>
      </w:r>
    </w:p>
    <w:p>
      <w:pPr>
        <w:spacing w:line="240" w:lineRule="auto" w:before="9"/>
        <w:rPr>
          <w:rFonts w:ascii="宋体" w:hAnsi="宋体" w:cs="宋体" w:eastAsia="宋体" w:hint="default"/>
          <w:sz w:val="28"/>
          <w:szCs w:val="28"/>
        </w:rPr>
      </w:pPr>
    </w:p>
    <w:p>
      <w:pPr>
        <w:pStyle w:val="Heading3"/>
        <w:spacing w:line="240" w:lineRule="auto"/>
        <w:ind w:left="575" w:right="106"/>
        <w:jc w:val="left"/>
        <w:rPr>
          <w:b w:val="0"/>
          <w:bCs w:val="0"/>
        </w:rPr>
      </w:pPr>
      <w:r>
        <w:rPr/>
        <w:t>（</w:t>
      </w:r>
      <w:r>
        <w:rPr>
          <w:rFonts w:ascii="Times New Roman" w:hAnsi="Times New Roman" w:cs="Times New Roman" w:eastAsia="Times New Roman" w:hint="default"/>
        </w:rPr>
        <w:t>1</w:t>
      </w:r>
      <w:r>
        <w:rPr/>
        <w:t>）教育行业相关新政策</w:t>
      </w:r>
      <w:r>
        <w:rPr>
          <w:b w:val="0"/>
          <w:bCs w:val="0"/>
        </w:rPr>
      </w:r>
    </w:p>
    <w:p>
      <w:pPr>
        <w:spacing w:line="240" w:lineRule="auto" w:before="4"/>
        <w:rPr>
          <w:rFonts w:ascii="宋体" w:hAnsi="宋体" w:cs="宋体" w:eastAsia="宋体" w:hint="default"/>
          <w:b/>
          <w:bCs/>
          <w:sz w:val="27"/>
          <w:szCs w:val="27"/>
        </w:rPr>
      </w:pPr>
    </w:p>
    <w:p>
      <w:pPr>
        <w:pStyle w:val="BodyText"/>
        <w:spacing w:line="410" w:lineRule="auto" w:before="0"/>
        <w:ind w:right="106" w:firstLine="420"/>
        <w:jc w:val="left"/>
      </w:pPr>
      <w:r>
        <w:rPr>
          <w:rFonts w:ascii="宋体" w:hAnsi="宋体" w:cs="宋体" w:eastAsia="宋体" w:hint="default"/>
        </w:rPr>
        <w:t>2015</w:t>
      </w:r>
      <w:r>
        <w:rPr/>
        <w:t>年</w:t>
      </w:r>
      <w:r>
        <w:rPr>
          <w:rFonts w:ascii="宋体" w:hAnsi="宋体" w:cs="宋体" w:eastAsia="宋体" w:hint="default"/>
        </w:rPr>
        <w:t>5</w:t>
      </w:r>
      <w:r>
        <w:rPr/>
        <w:t>月，国务院办公厅印发《关于深化高等学校创新创业教育改革的实施意见》，提出从</w:t>
      </w:r>
      <w:r>
        <w:rPr>
          <w:rFonts w:ascii="宋体" w:hAnsi="宋体" w:cs="宋体" w:eastAsia="宋体" w:hint="default"/>
        </w:rPr>
        <w:t>2015</w:t>
      </w:r>
      <w:r>
        <w:rPr/>
        <w:t>年</w:t>
      </w:r>
      <w:r>
        <w:rPr>
          <w:w w:val="100"/>
        </w:rPr>
        <w:t> </w:t>
      </w:r>
      <w:r>
        <w:rPr>
          <w:spacing w:val="-5"/>
        </w:rPr>
        <w:t>起全面深化高校创新创业教育改革。具体措施包括：一、完善人才培养质量标准；二、创新人才培养机制；</w:t>
      </w:r>
      <w:r>
        <w:rPr>
          <w:spacing w:val="-20"/>
        </w:rPr>
        <w:t> </w:t>
      </w:r>
      <w:r>
        <w:rPr>
          <w:spacing w:val="-20"/>
        </w:rPr>
      </w:r>
      <w:r>
        <w:rPr>
          <w:spacing w:val="-3"/>
        </w:rPr>
        <w:t>三、健全创新创业教育课程体系；四、改革教学方法和考核方式；五、强化创新创业实践；六、改革教学</w:t>
      </w:r>
      <w:r>
        <w:rPr>
          <w:spacing w:val="-6"/>
        </w:rPr>
        <w:t> </w:t>
      </w:r>
      <w:r>
        <w:rPr>
          <w:spacing w:val="-6"/>
        </w:rPr>
      </w:r>
      <w:r>
        <w:rPr>
          <w:spacing w:val="-2"/>
        </w:rPr>
        <w:t>和学籍管理制度；七、加强教师创新创业教育教学能力建设；八、改进学生创业指导服务；九、完善创新</w:t>
      </w:r>
      <w:r>
        <w:rPr>
          <w:spacing w:val="-46"/>
        </w:rPr>
        <w:t> </w:t>
      </w:r>
      <w:r>
        <w:rPr>
          <w:spacing w:val="-46"/>
        </w:rPr>
      </w:r>
      <w:r>
        <w:rPr/>
        <w:t>创业资金支持和政策保障体系。</w:t>
      </w:r>
    </w:p>
    <w:p>
      <w:pPr>
        <w:spacing w:line="240" w:lineRule="auto" w:before="13"/>
        <w:rPr>
          <w:rFonts w:ascii="宋体" w:hAnsi="宋体" w:cs="宋体" w:eastAsia="宋体" w:hint="default"/>
          <w:sz w:val="22"/>
          <w:szCs w:val="22"/>
        </w:rPr>
      </w:pPr>
    </w:p>
    <w:p>
      <w:pPr>
        <w:pStyle w:val="BodyText"/>
        <w:spacing w:line="408" w:lineRule="auto" w:before="0"/>
        <w:ind w:right="208" w:firstLine="420"/>
        <w:jc w:val="both"/>
      </w:pPr>
      <w:r>
        <w:rPr>
          <w:rFonts w:ascii="宋体" w:hAnsi="宋体" w:cs="宋体" w:eastAsia="宋体" w:hint="default"/>
          <w:spacing w:val="-3"/>
        </w:rPr>
        <w:t>2015</w:t>
      </w:r>
      <w:r>
        <w:rPr>
          <w:spacing w:val="-3"/>
        </w:rPr>
        <w:t>年</w:t>
      </w:r>
      <w:r>
        <w:rPr>
          <w:rFonts w:ascii="宋体" w:hAnsi="宋体" w:cs="宋体" w:eastAsia="宋体" w:hint="default"/>
          <w:spacing w:val="-3"/>
        </w:rPr>
        <w:t>10</w:t>
      </w:r>
      <w:r>
        <w:rPr>
          <w:spacing w:val="-3"/>
        </w:rPr>
        <w:t>月，教育部、国家发展改革委、财政部三部委联合发布《引导部分地方普通本科高校向应用</w:t>
      </w:r>
      <w:r>
        <w:rPr>
          <w:spacing w:val="-3"/>
          <w:w w:val="100"/>
        </w:rPr>
        <w:t> </w:t>
      </w:r>
      <w:r>
        <w:rPr>
          <w:spacing w:val="-3"/>
        </w:rPr>
        <w:t>型转变的指导意见》，提出：一、明确类型定位和转型路径；二、加快融入区域经济社会发展；三、抓住</w:t>
      </w:r>
      <w:r>
        <w:rPr>
          <w:spacing w:val="-9"/>
        </w:rPr>
        <w:t> </w:t>
      </w:r>
      <w:r>
        <w:rPr>
          <w:spacing w:val="-9"/>
        </w:rPr>
      </w:r>
      <w:r>
        <w:rPr>
          <w:spacing w:val="-2"/>
        </w:rPr>
        <w:t>新产业、新业态和新技术发展机遇；四、建立行业企业合作发展平台；五、建立紧密对接产业链、创新链</w:t>
      </w:r>
      <w:r>
        <w:rPr>
          <w:spacing w:val="-42"/>
        </w:rPr>
        <w:t> </w:t>
      </w:r>
      <w:r>
        <w:rPr>
          <w:spacing w:val="-42"/>
        </w:rPr>
      </w:r>
      <w:r>
        <w:rPr>
          <w:spacing w:val="-2"/>
        </w:rPr>
        <w:t>的专业体系；六、创新应用型技术技能型人才培养模式；七、深化人才培养方案和课程体系改革；八、加</w:t>
      </w:r>
      <w:r>
        <w:rPr>
          <w:spacing w:val="-43"/>
        </w:rPr>
        <w:t> </w:t>
      </w:r>
      <w:r>
        <w:rPr>
          <w:spacing w:val="-43"/>
        </w:rPr>
      </w:r>
      <w:r>
        <w:rPr>
          <w:spacing w:val="-2"/>
        </w:rPr>
        <w:t>强实验实训实习基地建设；九、促进与中职、专科层次高职有机衔接；十、开展面向一线技术技能人才的</w:t>
      </w:r>
      <w:r>
        <w:rPr>
          <w:spacing w:val="-43"/>
        </w:rPr>
        <w:t> </w:t>
      </w:r>
      <w:r>
        <w:rPr>
          <w:spacing w:val="-43"/>
        </w:rPr>
      </w:r>
      <w:r>
        <w:rPr>
          <w:spacing w:val="-2"/>
        </w:rPr>
        <w:t>继续教育；十一、深化考试招生制度改革；十二、加强</w:t>
      </w:r>
      <w:r>
        <w:rPr>
          <w:rFonts w:ascii="宋体" w:hAnsi="宋体" w:cs="宋体" w:eastAsia="宋体" w:hint="default"/>
          <w:spacing w:val="-2"/>
        </w:rPr>
        <w:t>“</w:t>
      </w:r>
      <w:r>
        <w:rPr>
          <w:spacing w:val="-2"/>
        </w:rPr>
        <w:t>双师双能型</w:t>
      </w:r>
      <w:r>
        <w:rPr>
          <w:rFonts w:ascii="宋体" w:hAnsi="宋体" w:cs="宋体" w:eastAsia="宋体" w:hint="default"/>
          <w:spacing w:val="-2"/>
        </w:rPr>
        <w:t>”</w:t>
      </w:r>
      <w:r>
        <w:rPr>
          <w:spacing w:val="-2"/>
        </w:rPr>
        <w:t>教师队伍建设；十三、提升以应用</w:t>
      </w:r>
      <w:r>
        <w:rPr>
          <w:spacing w:val="-47"/>
        </w:rPr>
        <w:t> </w:t>
      </w:r>
      <w:r>
        <w:rPr>
          <w:spacing w:val="-47"/>
        </w:rPr>
      </w:r>
      <w:r>
        <w:rPr/>
        <w:t>为驱动的创新能力；十四、完善校内评价制度和信息公开制度。</w:t>
      </w:r>
    </w:p>
    <w:p>
      <w:pPr>
        <w:spacing w:line="240" w:lineRule="auto" w:before="2"/>
        <w:rPr>
          <w:rFonts w:ascii="宋体" w:hAnsi="宋体" w:cs="宋体" w:eastAsia="宋体" w:hint="default"/>
          <w:sz w:val="23"/>
          <w:szCs w:val="23"/>
        </w:rPr>
      </w:pPr>
    </w:p>
    <w:p>
      <w:pPr>
        <w:pStyle w:val="BodyText"/>
        <w:spacing w:line="408" w:lineRule="auto" w:before="0"/>
        <w:ind w:right="96" w:firstLine="419"/>
        <w:jc w:val="left"/>
      </w:pPr>
      <w:r>
        <w:rPr>
          <w:rFonts w:ascii="宋体" w:hAnsi="宋体" w:cs="宋体" w:eastAsia="宋体" w:hint="default"/>
        </w:rPr>
        <w:t>2015</w:t>
      </w:r>
      <w:r>
        <w:rPr/>
        <w:t>年</w:t>
      </w:r>
      <w:r>
        <w:rPr>
          <w:rFonts w:ascii="宋体" w:hAnsi="宋体" w:cs="宋体" w:eastAsia="宋体" w:hint="default"/>
        </w:rPr>
        <w:t>7</w:t>
      </w:r>
      <w:r>
        <w:rPr/>
        <w:t>月，国务院提出《国务院关于积极推进</w:t>
      </w:r>
      <w:r>
        <w:rPr>
          <w:rFonts w:ascii="宋体" w:hAnsi="宋体" w:cs="宋体" w:eastAsia="宋体" w:hint="default"/>
        </w:rPr>
        <w:t>“</w:t>
      </w:r>
      <w:r>
        <w:rPr/>
        <w:t>互联网</w:t>
      </w:r>
      <w:r>
        <w:rPr>
          <w:rFonts w:ascii="宋体" w:hAnsi="宋体" w:cs="宋体" w:eastAsia="宋体" w:hint="default"/>
        </w:rPr>
        <w:t>+</w:t>
      </w:r>
      <w:r>
        <w:rPr/>
        <w:t>”行动的指导意见》（国发</w:t>
      </w:r>
      <w:r>
        <w:rPr>
          <w:spacing w:val="-26"/>
        </w:rPr>
        <w:t> </w:t>
      </w:r>
      <w:r>
        <w:rPr/>
        <w:t>〔</w:t>
      </w:r>
      <w:r>
        <w:rPr>
          <w:rFonts w:ascii="宋体" w:hAnsi="宋体" w:cs="宋体" w:eastAsia="宋体" w:hint="default"/>
        </w:rPr>
        <w:t>2015</w:t>
      </w:r>
      <w:r>
        <w:rPr/>
        <w:t>〕</w:t>
      </w:r>
      <w:r>
        <w:rPr>
          <w:rFonts w:ascii="宋体" w:hAnsi="宋体" w:cs="宋体" w:eastAsia="宋体" w:hint="default"/>
        </w:rPr>
        <w:t>40</w:t>
      </w:r>
      <w:r>
        <w:rPr/>
        <w:t>号）</w:t>
      </w:r>
      <w:r>
        <w:rPr>
          <w:w w:val="100"/>
        </w:rPr>
        <w:t> </w:t>
      </w:r>
      <w:r>
        <w:rPr/>
        <w:t>提出</w:t>
      </w:r>
      <w:r>
        <w:rPr>
          <w:rFonts w:ascii="宋体" w:hAnsi="宋体" w:cs="宋体" w:eastAsia="宋体" w:hint="default"/>
        </w:rPr>
        <w:t>“</w:t>
      </w:r>
      <w:r>
        <w:rPr/>
        <w:t>互联网</w:t>
      </w:r>
      <w:r>
        <w:rPr>
          <w:rFonts w:ascii="宋体" w:hAnsi="宋体" w:cs="宋体" w:eastAsia="宋体" w:hint="default"/>
        </w:rPr>
        <w:t>+</w:t>
      </w:r>
      <w:r>
        <w:rPr/>
        <w:t>教育</w:t>
      </w:r>
      <w:r>
        <w:rPr>
          <w:rFonts w:ascii="宋体" w:hAnsi="宋体" w:cs="宋体" w:eastAsia="宋体" w:hint="default"/>
        </w:rPr>
        <w:t>”</w:t>
      </w:r>
      <w:r>
        <w:rPr/>
        <w:t>行动要求，要求探索新型教育服务供给方式。鼓励互联网企业与社会教育机构根据</w:t>
      </w:r>
      <w:r>
        <w:rPr>
          <w:spacing w:val="-25"/>
        </w:rPr>
        <w:t> </w:t>
      </w:r>
      <w:r>
        <w:rPr>
          <w:spacing w:val="-25"/>
        </w:rPr>
      </w:r>
      <w:r>
        <w:rPr>
          <w:spacing w:val="-2"/>
        </w:rPr>
        <w:t>市场需求开发数字教育资源，提供网络化教育服务。鼓励学校利用数字教育资源及教育服务平台，逐步探</w:t>
      </w:r>
      <w:r>
        <w:rPr>
          <w:spacing w:val="-44"/>
        </w:rPr>
        <w:t> </w:t>
      </w:r>
      <w:r>
        <w:rPr>
          <w:spacing w:val="-44"/>
        </w:rPr>
      </w:r>
      <w:r>
        <w:rPr>
          <w:spacing w:val="-5"/>
        </w:rPr>
        <w:t>索网络化教育新模式，扩大优质教育资源覆盖面，促进教育公平。鼓励学校通过与互联网企业合作等方式，</w:t>
      </w:r>
      <w:r>
        <w:rPr>
          <w:spacing w:val="-4"/>
        </w:rPr>
        <w:t> </w:t>
      </w:r>
      <w:r>
        <w:rPr>
          <w:spacing w:val="-4"/>
        </w:rPr>
      </w:r>
      <w:r>
        <w:rPr>
          <w:spacing w:val="-2"/>
        </w:rPr>
        <w:t>对接线上线下教育资源，探索基础教育、职业教育等教育公共服务提供新方式。推动开展学历教育在线课</w:t>
      </w:r>
      <w:r>
        <w:rPr>
          <w:spacing w:val="-43"/>
        </w:rPr>
        <w:t> </w:t>
      </w:r>
      <w:r>
        <w:rPr>
          <w:spacing w:val="-43"/>
        </w:rPr>
      </w:r>
      <w:r>
        <w:rPr/>
        <w:t>程资源共享，推广大规模在线开放课程等网络学习模式，探索建立网络学习学分认定与学分转换等制度，</w:t>
      </w:r>
      <w:r>
        <w:rPr>
          <w:w w:val="100"/>
        </w:rPr>
        <w:t> </w:t>
      </w:r>
      <w:r>
        <w:rPr/>
        <w:t>加快推动高等教育服务模式变革。</w:t>
      </w:r>
    </w:p>
    <w:p>
      <w:pPr>
        <w:spacing w:line="240" w:lineRule="auto" w:before="1"/>
        <w:rPr>
          <w:rFonts w:ascii="宋体" w:hAnsi="宋体" w:cs="宋体" w:eastAsia="宋体" w:hint="default"/>
          <w:sz w:val="19"/>
          <w:szCs w:val="19"/>
        </w:rPr>
      </w:pPr>
    </w:p>
    <w:p>
      <w:pPr>
        <w:pStyle w:val="Heading3"/>
        <w:spacing w:line="240" w:lineRule="auto"/>
        <w:ind w:left="575" w:right="106"/>
        <w:jc w:val="left"/>
        <w:rPr>
          <w:b w:val="0"/>
          <w:bCs w:val="0"/>
        </w:rPr>
      </w:pPr>
      <w:r>
        <w:rPr/>
        <w:t>（</w:t>
      </w:r>
      <w:r>
        <w:rPr>
          <w:rFonts w:ascii="Times New Roman" w:hAnsi="Times New Roman" w:cs="Times New Roman" w:eastAsia="Times New Roman" w:hint="default"/>
        </w:rPr>
        <w:t>2</w:t>
      </w:r>
      <w:r>
        <w:rPr/>
        <w:t>）软件行业相关新政策</w:t>
      </w:r>
      <w:r>
        <w:rPr>
          <w:b w:val="0"/>
          <w:bCs w:val="0"/>
        </w:rPr>
      </w:r>
    </w:p>
    <w:p>
      <w:pPr>
        <w:spacing w:line="240" w:lineRule="auto" w:before="7"/>
        <w:rPr>
          <w:rFonts w:ascii="宋体" w:hAnsi="宋体" w:cs="宋体" w:eastAsia="宋体" w:hint="default"/>
          <w:b/>
          <w:bCs/>
          <w:sz w:val="29"/>
          <w:szCs w:val="29"/>
        </w:rPr>
      </w:pPr>
    </w:p>
    <w:p>
      <w:pPr>
        <w:pStyle w:val="BodyText"/>
        <w:spacing w:line="410" w:lineRule="auto" w:before="0"/>
        <w:ind w:right="207" w:firstLine="420"/>
        <w:jc w:val="both"/>
      </w:pPr>
      <w:r>
        <w:rPr>
          <w:spacing w:val="-2"/>
        </w:rPr>
        <w:t>国务院办公厅《</w:t>
      </w:r>
      <w:r>
        <w:rPr>
          <w:rFonts w:ascii="宋体" w:hAnsi="宋体" w:cs="宋体" w:eastAsia="宋体" w:hint="default"/>
          <w:spacing w:val="-2"/>
        </w:rPr>
        <w:t>2006—2020</w:t>
      </w:r>
      <w:r>
        <w:rPr>
          <w:spacing w:val="-2"/>
        </w:rPr>
        <w:t>年国家信息化发展战略》提出，我国信息化发展的战略重点是推进社会信</w:t>
      </w:r>
      <w:r>
        <w:rPr>
          <w:w w:val="100"/>
        </w:rPr>
        <w:t> </w:t>
      </w:r>
      <w:r>
        <w:rPr>
          <w:spacing w:val="-2"/>
        </w:rPr>
        <w:t>息化和加快教育科研信息化步伐。</w:t>
      </w:r>
      <w:r>
        <w:rPr>
          <w:rFonts w:ascii="宋体" w:hAnsi="宋体" w:cs="宋体" w:eastAsia="宋体" w:hint="default"/>
          <w:spacing w:val="-2"/>
        </w:rPr>
        <w:t>2009</w:t>
      </w:r>
      <w:r>
        <w:rPr>
          <w:spacing w:val="-2"/>
        </w:rPr>
        <w:t>年初，《电子信息产业振兴规划》从财政、税收优惠与减免、扩大</w:t>
      </w:r>
      <w:r>
        <w:rPr>
          <w:spacing w:val="-39"/>
        </w:rPr>
        <w:t> </w:t>
      </w:r>
      <w:r>
        <w:rPr>
          <w:spacing w:val="-39"/>
        </w:rPr>
      </w:r>
      <w:r>
        <w:rPr/>
        <w:t>投资、改善软硬件环境等多角度制订了十项政策措施，这些优惠措施将对软件企业带来实质利好。</w:t>
      </w:r>
    </w:p>
    <w:p>
      <w:pPr>
        <w:spacing w:line="240" w:lineRule="auto" w:before="13"/>
        <w:rPr>
          <w:rFonts w:ascii="宋体" w:hAnsi="宋体" w:cs="宋体" w:eastAsia="宋体" w:hint="default"/>
          <w:sz w:val="22"/>
          <w:szCs w:val="22"/>
        </w:rPr>
      </w:pPr>
    </w:p>
    <w:p>
      <w:pPr>
        <w:pStyle w:val="BodyText"/>
        <w:spacing w:line="240" w:lineRule="auto" w:before="0"/>
        <w:ind w:left="572" w:right="106"/>
        <w:jc w:val="left"/>
      </w:pPr>
      <w:r>
        <w:rPr/>
        <w:t>国家及相关部门对软件相关行业制定了税收优惠政策，根据国务院《关于印发鼓励软件企业和集成电</w:t>
      </w:r>
    </w:p>
    <w:p>
      <w:pPr>
        <w:spacing w:after="0" w:line="240"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410" w:lineRule="auto" w:before="175"/>
        <w:ind w:right="207"/>
        <w:jc w:val="both"/>
      </w:pPr>
      <w:r>
        <w:rPr>
          <w:spacing w:val="-2"/>
        </w:rPr>
        <w:t>路产业发展若干政策的通知》（国发</w:t>
      </w:r>
      <w:r>
        <w:rPr>
          <w:rFonts w:ascii="宋体" w:hAnsi="宋体" w:cs="宋体" w:eastAsia="宋体" w:hint="default"/>
          <w:spacing w:val="-2"/>
        </w:rPr>
        <w:t>[2000]18</w:t>
      </w:r>
      <w:r>
        <w:rPr>
          <w:spacing w:val="-2"/>
        </w:rPr>
        <w:t>号）和《财政部、国家税务总局关于部分货物适用增值税低</w:t>
      </w:r>
      <w:r>
        <w:rPr>
          <w:spacing w:val="-35"/>
        </w:rPr>
        <w:t> </w:t>
      </w:r>
      <w:r>
        <w:rPr>
          <w:spacing w:val="-35"/>
        </w:rPr>
      </w:r>
      <w:r>
        <w:rPr/>
        <w:t>税率和简易办法征收增值税政策的通知》（财税</w:t>
      </w:r>
      <w:r>
        <w:rPr>
          <w:rFonts w:ascii="宋体" w:hAnsi="宋体" w:cs="宋体" w:eastAsia="宋体" w:hint="default"/>
        </w:rPr>
        <w:t>[2009]9</w:t>
      </w:r>
      <w:r>
        <w:rPr/>
        <w:t>号）文有关精神，</w:t>
      </w:r>
      <w:r>
        <w:rPr>
          <w:rFonts w:ascii="宋体" w:hAnsi="宋体" w:cs="宋体" w:eastAsia="宋体" w:hint="default"/>
        </w:rPr>
        <w:t>2012</w:t>
      </w:r>
      <w:r>
        <w:rPr/>
        <w:t>年底以前，自行开发研制</w:t>
      </w:r>
      <w:r>
        <w:rPr>
          <w:spacing w:val="-24"/>
        </w:rPr>
        <w:t> </w:t>
      </w:r>
      <w:r>
        <w:rPr>
          <w:spacing w:val="-24"/>
        </w:rPr>
      </w:r>
      <w:r>
        <w:rPr/>
        <w:t>软件产品销售收入按</w:t>
      </w:r>
      <w:r>
        <w:rPr>
          <w:rFonts w:ascii="宋体" w:hAnsi="宋体" w:cs="宋体" w:eastAsia="宋体" w:hint="default"/>
        </w:rPr>
        <w:t>13%</w:t>
      </w:r>
      <w:r>
        <w:rPr/>
        <w:t>的法定税率计缴增值税，对实际税负超过</w:t>
      </w:r>
      <w:r>
        <w:rPr>
          <w:rFonts w:ascii="宋体" w:hAnsi="宋体" w:cs="宋体" w:eastAsia="宋体" w:hint="default"/>
        </w:rPr>
        <w:t>3%</w:t>
      </w:r>
      <w:r>
        <w:rPr/>
        <w:t>的部分实行即征即退政策。</w:t>
      </w:r>
    </w:p>
    <w:p>
      <w:pPr>
        <w:spacing w:line="240" w:lineRule="auto" w:before="13"/>
        <w:rPr>
          <w:rFonts w:ascii="宋体" w:hAnsi="宋体" w:cs="宋体" w:eastAsia="宋体" w:hint="default"/>
          <w:sz w:val="22"/>
          <w:szCs w:val="22"/>
        </w:rPr>
      </w:pPr>
    </w:p>
    <w:p>
      <w:pPr>
        <w:pStyle w:val="BodyText"/>
        <w:spacing w:line="410" w:lineRule="auto" w:before="0"/>
        <w:ind w:left="153" w:right="206" w:firstLine="420"/>
        <w:jc w:val="both"/>
      </w:pPr>
      <w:r>
        <w:rPr>
          <w:rFonts w:ascii="宋体" w:hAnsi="宋体" w:cs="宋体" w:eastAsia="宋体" w:hint="default"/>
        </w:rPr>
        <w:t>2015</w:t>
      </w:r>
      <w:r>
        <w:rPr/>
        <w:t>年</w:t>
      </w:r>
      <w:r>
        <w:rPr>
          <w:rFonts w:ascii="宋体" w:hAnsi="宋体" w:cs="宋体" w:eastAsia="宋体" w:hint="default"/>
        </w:rPr>
        <w:t>4</w:t>
      </w:r>
      <w:r>
        <w:rPr/>
        <w:t>月，国务院办公厅印发《</w:t>
      </w:r>
      <w:r>
        <w:rPr>
          <w:rFonts w:ascii="宋体" w:hAnsi="宋体" w:cs="宋体" w:eastAsia="宋体" w:hint="default"/>
        </w:rPr>
        <w:t>2015</w:t>
      </w:r>
      <w:r>
        <w:rPr/>
        <w:t>年全国打击侵犯知识产权和制售假冒伪劣商品工作要点》，明</w:t>
      </w:r>
      <w:r>
        <w:rPr>
          <w:w w:val="100"/>
        </w:rPr>
        <w:t> </w:t>
      </w:r>
      <w:r>
        <w:rPr/>
        <w:t>确了</w:t>
      </w:r>
      <w:r>
        <w:rPr>
          <w:rFonts w:ascii="宋体" w:hAnsi="宋体" w:cs="宋体" w:eastAsia="宋体" w:hint="default"/>
        </w:rPr>
        <w:t>6</w:t>
      </w:r>
      <w:r>
        <w:rPr/>
        <w:t>个方面、</w:t>
      </w:r>
      <w:r>
        <w:rPr>
          <w:rFonts w:ascii="宋体" w:hAnsi="宋体" w:cs="宋体" w:eastAsia="宋体" w:hint="default"/>
        </w:rPr>
        <w:t>24</w:t>
      </w:r>
      <w:r>
        <w:rPr/>
        <w:t>项重点工作，要求深入推进法规制度建设，依法加强市场监管和集中整治，营造公平竞</w:t>
      </w:r>
      <w:r>
        <w:rPr>
          <w:spacing w:val="-26"/>
        </w:rPr>
        <w:t> </w:t>
      </w:r>
      <w:r>
        <w:rPr>
          <w:spacing w:val="-26"/>
        </w:rPr>
      </w:r>
      <w:r>
        <w:rPr>
          <w:spacing w:val="-3"/>
        </w:rPr>
        <w:t>争、放心消费的市场环境。将打击互联网领域侵权假冒专项行动延长至年底，深化源头治理，强化重点网</w:t>
      </w:r>
      <w:r>
        <w:rPr>
          <w:spacing w:val="-8"/>
        </w:rPr>
        <w:t> </w:t>
      </w:r>
      <w:r>
        <w:rPr>
          <w:spacing w:val="-8"/>
        </w:rPr>
      </w:r>
      <w:r>
        <w:rPr>
          <w:spacing w:val="-2"/>
        </w:rPr>
        <w:t>站在线监测，严格跨境电子商务的执法监管。健全各级政府机关软件正版化制度，开展中央企业使用正版</w:t>
      </w:r>
      <w:r>
        <w:rPr>
          <w:spacing w:val="-43"/>
        </w:rPr>
        <w:t> </w:t>
      </w:r>
      <w:r>
        <w:rPr>
          <w:spacing w:val="-43"/>
        </w:rPr>
      </w:r>
      <w:r>
        <w:rPr/>
        <w:t>软件检查。继</w:t>
      </w:r>
      <w:r>
        <w:rPr>
          <w:rFonts w:ascii="宋体" w:hAnsi="宋体" w:cs="宋体" w:eastAsia="宋体" w:hint="default"/>
        </w:rPr>
        <w:t>“</w:t>
      </w:r>
      <w:r>
        <w:rPr/>
        <w:t>互联网</w:t>
      </w:r>
      <w:r>
        <w:rPr>
          <w:rFonts w:ascii="宋体" w:hAnsi="宋体" w:cs="宋体" w:eastAsia="宋体" w:hint="default"/>
        </w:rPr>
        <w:t>+</w:t>
      </w:r>
      <w:r>
        <w:rPr/>
        <w:t>”纳入政府工作报告，政策对于软件产业的扶持力度颇大。</w:t>
      </w:r>
    </w:p>
    <w:p>
      <w:pPr>
        <w:spacing w:line="240" w:lineRule="auto" w:before="13"/>
        <w:rPr>
          <w:rFonts w:ascii="宋体" w:hAnsi="宋体" w:cs="宋体" w:eastAsia="宋体" w:hint="default"/>
          <w:sz w:val="18"/>
          <w:szCs w:val="18"/>
        </w:rPr>
      </w:pPr>
    </w:p>
    <w:p>
      <w:pPr>
        <w:pStyle w:val="Heading3"/>
        <w:spacing w:line="240" w:lineRule="auto"/>
        <w:ind w:left="575" w:right="106"/>
        <w:jc w:val="left"/>
        <w:rPr>
          <w:b w:val="0"/>
          <w:bCs w:val="0"/>
        </w:rPr>
      </w:pPr>
      <w:r>
        <w:rPr/>
        <w:t>（</w:t>
      </w:r>
      <w:r>
        <w:rPr>
          <w:rFonts w:ascii="Times New Roman" w:hAnsi="Times New Roman" w:cs="Times New Roman" w:eastAsia="Times New Roman" w:hint="default"/>
        </w:rPr>
        <w:t>3</w:t>
      </w:r>
      <w:r>
        <w:rPr/>
        <w:t>）出版行业相关新政策</w:t>
      </w:r>
      <w:r>
        <w:rPr>
          <w:b w:val="0"/>
          <w:bCs w:val="0"/>
        </w:rPr>
      </w:r>
    </w:p>
    <w:p>
      <w:pPr>
        <w:spacing w:line="240" w:lineRule="auto" w:before="7"/>
        <w:rPr>
          <w:rFonts w:ascii="宋体" w:hAnsi="宋体" w:cs="宋体" w:eastAsia="宋体" w:hint="default"/>
          <w:b/>
          <w:bCs/>
          <w:sz w:val="29"/>
          <w:szCs w:val="29"/>
        </w:rPr>
      </w:pPr>
    </w:p>
    <w:p>
      <w:pPr>
        <w:pStyle w:val="BodyText"/>
        <w:spacing w:line="408" w:lineRule="auto" w:before="0"/>
        <w:ind w:right="106" w:firstLine="419"/>
        <w:jc w:val="left"/>
      </w:pPr>
      <w:r>
        <w:rPr/>
        <w:t>根据《国家</w:t>
      </w:r>
      <w:r>
        <w:rPr>
          <w:rFonts w:ascii="宋体" w:hAnsi="宋体" w:cs="宋体" w:eastAsia="宋体" w:hint="default"/>
        </w:rPr>
        <w:t>“</w:t>
      </w:r>
      <w:r>
        <w:rPr/>
        <w:t>十一五</w:t>
      </w:r>
      <w:r>
        <w:rPr>
          <w:rFonts w:ascii="宋体" w:hAnsi="宋体" w:cs="宋体" w:eastAsia="宋体" w:hint="default"/>
        </w:rPr>
        <w:t>”</w:t>
      </w:r>
      <w:r>
        <w:rPr/>
        <w:t>时期文化发展规划纲要》，国家共制定了四十八项与文化产业发展相关的政策</w:t>
      </w:r>
      <w:r>
        <w:rPr>
          <w:w w:val="100"/>
        </w:rPr>
        <w:t> </w:t>
      </w:r>
      <w:r>
        <w:rPr/>
        <w:t>和指导方针，文中指出：支持出版物发行企业开展跨地区、跨行业、跨所有制经营，重点发展连锁经营、</w:t>
      </w:r>
      <w:r>
        <w:rPr>
          <w:spacing w:val="-3"/>
          <w:w w:val="100"/>
        </w:rPr>
        <w:t> </w:t>
      </w:r>
      <w:r>
        <w:rPr>
          <w:spacing w:val="-2"/>
        </w:rPr>
        <w:t>现代物流和网络书店等现代出版物流通系统，形成若干大型发行集团，建设全国统一、开放、竞争、有序</w:t>
      </w:r>
      <w:r>
        <w:rPr>
          <w:spacing w:val="-43"/>
        </w:rPr>
        <w:t> </w:t>
      </w:r>
      <w:r>
        <w:rPr>
          <w:spacing w:val="-43"/>
        </w:rPr>
      </w:r>
      <w:r>
        <w:rPr>
          <w:spacing w:val="-6"/>
        </w:rPr>
        <w:t>的出版物市场。根据新闻出版总署关于进一步推动新闻出版产业发展的指导意见（新出政发〔</w:t>
      </w:r>
      <w:r>
        <w:rPr>
          <w:rFonts w:ascii="宋体" w:hAnsi="宋体" w:cs="宋体" w:eastAsia="宋体" w:hint="default"/>
          <w:spacing w:val="-6"/>
        </w:rPr>
        <w:t>2012</w:t>
      </w:r>
      <w:r>
        <w:rPr>
          <w:spacing w:val="-6"/>
        </w:rPr>
        <w:t>〕</w:t>
      </w:r>
      <w:r>
        <w:rPr>
          <w:rFonts w:ascii="宋体" w:hAnsi="宋体" w:cs="宋体" w:eastAsia="宋体" w:hint="default"/>
          <w:spacing w:val="-6"/>
        </w:rPr>
        <w:t>1</w:t>
      </w:r>
      <w:r>
        <w:rPr>
          <w:spacing w:val="-6"/>
        </w:rPr>
        <w:t>号），</w:t>
      </w:r>
      <w:r>
        <w:rPr>
          <w:spacing w:val="-48"/>
        </w:rPr>
        <w:t> </w:t>
      </w:r>
      <w:r>
        <w:rPr>
          <w:spacing w:val="-48"/>
        </w:rPr>
      </w:r>
      <w:r>
        <w:rPr>
          <w:spacing w:val="-2"/>
        </w:rPr>
        <w:t>提出</w:t>
      </w:r>
      <w:r>
        <w:rPr>
          <w:rFonts w:ascii="宋体" w:hAnsi="宋体" w:cs="宋体" w:eastAsia="宋体" w:hint="default"/>
          <w:spacing w:val="-2"/>
        </w:rPr>
        <w:t>“</w:t>
      </w:r>
      <w:r>
        <w:rPr>
          <w:spacing w:val="-2"/>
        </w:rPr>
        <w:t>重点支持语言文字技术、声音技术、图形图像技术、内容采集与处理技术、知识组织管理技术、协</w:t>
      </w:r>
      <w:r>
        <w:rPr>
          <w:spacing w:val="-43"/>
        </w:rPr>
        <w:t> </w:t>
      </w:r>
      <w:r>
        <w:rPr>
          <w:spacing w:val="-43"/>
        </w:rPr>
      </w:r>
      <w:r>
        <w:rPr/>
        <w:t>同编辑管理技术等新闻出版产业支撑技术的发展和应用</w:t>
      </w:r>
      <w:r>
        <w:rPr>
          <w:rFonts w:ascii="宋体" w:hAnsi="宋体" w:cs="宋体" w:eastAsia="宋体" w:hint="default"/>
        </w:rPr>
        <w:t>”</w:t>
      </w:r>
      <w:r>
        <w:rPr/>
        <w:t>。</w:t>
      </w:r>
    </w:p>
    <w:p>
      <w:pPr>
        <w:spacing w:line="240" w:lineRule="auto" w:before="2"/>
        <w:rPr>
          <w:rFonts w:ascii="宋体" w:hAnsi="宋体" w:cs="宋体" w:eastAsia="宋体" w:hint="default"/>
          <w:sz w:val="23"/>
          <w:szCs w:val="23"/>
        </w:rPr>
      </w:pPr>
    </w:p>
    <w:p>
      <w:pPr>
        <w:pStyle w:val="BodyText"/>
        <w:spacing w:line="408" w:lineRule="auto" w:before="0"/>
        <w:ind w:right="206" w:firstLine="420"/>
        <w:jc w:val="both"/>
      </w:pP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31</w:t>
      </w:r>
      <w:r>
        <w:rPr/>
        <w:t>日，国家新闻出版广电总局、中华人民共和国财政部印发《关于推动传统出版和新兴出</w:t>
      </w:r>
      <w:r>
        <w:rPr>
          <w:w w:val="100"/>
        </w:rPr>
        <w:t> </w:t>
      </w:r>
      <w:r>
        <w:rPr>
          <w:spacing w:val="-3"/>
        </w:rPr>
        <w:t>版融合发展的指导意见》。其中提出了：推动传统出版和新兴出版融合发展，把传统出版的影响力向网络</w:t>
      </w:r>
      <w:r>
        <w:rPr>
          <w:spacing w:val="-8"/>
        </w:rPr>
        <w:t> </w:t>
      </w:r>
      <w:r>
        <w:rPr>
          <w:spacing w:val="-8"/>
        </w:rPr>
      </w:r>
      <w:r>
        <w:rPr>
          <w:spacing w:val="-3"/>
        </w:rPr>
        <w:t>空间延伸，是出版业巩固壮大宣传思想文化阵地的迫切需要，是履行文化职责的迫切需要，是自身生存发</w:t>
      </w:r>
      <w:r>
        <w:rPr>
          <w:spacing w:val="-8"/>
        </w:rPr>
        <w:t> </w:t>
      </w:r>
      <w:r>
        <w:rPr>
          <w:spacing w:val="-8"/>
        </w:rPr>
      </w:r>
      <w:r>
        <w:rPr>
          <w:spacing w:val="-3"/>
        </w:rPr>
        <w:t>展的迫切需要。推动内容生产向实时生产、数据化生产、用户参与生产转变，实现内容生产模式的升级和</w:t>
      </w:r>
      <w:r>
        <w:rPr>
          <w:spacing w:val="-12"/>
        </w:rPr>
        <w:t> </w:t>
      </w:r>
      <w:r>
        <w:rPr>
          <w:spacing w:val="-12"/>
        </w:rPr>
      </w:r>
      <w:r>
        <w:rPr>
          <w:spacing w:val="-2"/>
        </w:rPr>
        <w:t>创新。顺应互联网传播移动化、社交化、视频化、互动化趋势，综合运用多媒体表现形式，生产满足用户</w:t>
      </w:r>
      <w:r>
        <w:rPr>
          <w:spacing w:val="-45"/>
        </w:rPr>
        <w:t> </w:t>
      </w:r>
      <w:r>
        <w:rPr>
          <w:spacing w:val="-45"/>
        </w:rPr>
      </w:r>
      <w:r>
        <w:rPr>
          <w:spacing w:val="-2"/>
        </w:rPr>
        <w:t>多样化、个性化需求和多终端传播的出版产品。强化用户理念和体验至上的服务意识，既做到按需提供服</w:t>
      </w:r>
      <w:r>
        <w:rPr>
          <w:spacing w:val="-44"/>
        </w:rPr>
        <w:t> </w:t>
      </w:r>
      <w:r>
        <w:rPr>
          <w:spacing w:val="-44"/>
        </w:rPr>
      </w:r>
      <w:r>
        <w:rPr/>
        <w:t>务、精准推送产品，又做到在互动中服务、在服务中引导，不断增强用户的参与度、关注度和满意度。</w:t>
      </w:r>
    </w:p>
    <w:p>
      <w:pPr>
        <w:spacing w:line="240" w:lineRule="auto" w:before="12"/>
        <w:rPr>
          <w:rFonts w:ascii="宋体" w:hAnsi="宋体" w:cs="宋体" w:eastAsia="宋体" w:hint="default"/>
          <w:sz w:val="18"/>
          <w:szCs w:val="18"/>
        </w:rPr>
      </w:pPr>
    </w:p>
    <w:p>
      <w:pPr>
        <w:pStyle w:val="Heading3"/>
        <w:spacing w:line="240" w:lineRule="auto"/>
        <w:ind w:left="575" w:right="106"/>
        <w:jc w:val="left"/>
        <w:rPr>
          <w:b w:val="0"/>
          <w:bCs w:val="0"/>
        </w:rPr>
      </w:pPr>
      <w:r>
        <w:rPr/>
        <w:t>（</w:t>
      </w:r>
      <w:r>
        <w:rPr>
          <w:rFonts w:ascii="Times New Roman" w:hAnsi="Times New Roman" w:cs="Times New Roman" w:eastAsia="Times New Roman" w:hint="default"/>
        </w:rPr>
        <w:t>4</w:t>
      </w:r>
      <w:r>
        <w:rPr/>
        <w:t>）文化产业相关新政策</w:t>
      </w:r>
      <w:r>
        <w:rPr>
          <w:b w:val="0"/>
          <w:bCs w:val="0"/>
        </w:rPr>
      </w:r>
    </w:p>
    <w:p>
      <w:pPr>
        <w:spacing w:line="240" w:lineRule="auto" w:before="9"/>
        <w:rPr>
          <w:rFonts w:ascii="宋体" w:hAnsi="宋体" w:cs="宋体" w:eastAsia="宋体" w:hint="default"/>
          <w:b/>
          <w:bCs/>
          <w:sz w:val="29"/>
          <w:szCs w:val="29"/>
        </w:rPr>
      </w:pPr>
    </w:p>
    <w:p>
      <w:pPr>
        <w:pStyle w:val="BodyText"/>
        <w:spacing w:line="408" w:lineRule="auto" w:before="0"/>
        <w:ind w:right="207" w:firstLine="420"/>
        <w:jc w:val="both"/>
      </w:pPr>
      <w:r>
        <w:rPr>
          <w:spacing w:val="-2"/>
        </w:rPr>
        <w:t>党的十八大，明确提出要坚持把社会效益放在首位、社会效益和经济效益相统一，推动文化事业全面</w:t>
      </w:r>
      <w:r>
        <w:rPr>
          <w:w w:val="100"/>
        </w:rPr>
        <w:t> </w:t>
      </w:r>
      <w:r>
        <w:rPr>
          <w:spacing w:val="-3"/>
        </w:rPr>
        <w:t>繁荣、文化产业快速发展新思路；十八届三中全会，提出进一步深化文化体制改革，构建现代文化市场体</w:t>
      </w:r>
      <w:r>
        <w:rPr>
          <w:spacing w:val="-12"/>
        </w:rPr>
        <w:t> </w:t>
      </w:r>
      <w:r>
        <w:rPr>
          <w:spacing w:val="-12"/>
        </w:rPr>
      </w:r>
      <w:r>
        <w:rPr>
          <w:spacing w:val="-2"/>
        </w:rPr>
        <w:t>系和公共文化服务体系的发展格局；十八届四中全会将法制建设提到了新的高度，也对文化立法提出了新</w:t>
      </w:r>
      <w:r>
        <w:rPr>
          <w:spacing w:val="-42"/>
        </w:rPr>
        <w:t> </w:t>
      </w:r>
      <w:r>
        <w:rPr>
          <w:spacing w:val="-42"/>
        </w:rPr>
      </w:r>
      <w:r>
        <w:rPr>
          <w:spacing w:val="-2"/>
        </w:rPr>
        <w:t>的要求；十八届五中全会提出了推进基本公共文化服务标准化均等化发展，推动文化产业成为国民经济支</w:t>
      </w:r>
    </w:p>
    <w:p>
      <w:pPr>
        <w:spacing w:after="0" w:line="408" w:lineRule="auto"/>
        <w:jc w:val="both"/>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410" w:lineRule="auto" w:before="175"/>
        <w:ind w:left="153" w:right="101" w:hanging="1"/>
        <w:jc w:val="both"/>
      </w:pPr>
      <w:r>
        <w:rPr>
          <w:spacing w:val="-8"/>
        </w:rPr>
        <w:t>柱性产业的战略布局。过去一年文化发展相关政策密集、系统出台，内容涵盖公共文化服务、</w:t>
      </w:r>
      <w:r>
        <w:rPr>
          <w:rFonts w:ascii="宋体" w:hAnsi="宋体" w:cs="宋体" w:eastAsia="宋体" w:hint="default"/>
          <w:spacing w:val="-8"/>
        </w:rPr>
        <w:t>“</w:t>
      </w:r>
      <w:r>
        <w:rPr>
          <w:spacing w:val="-8"/>
        </w:rPr>
        <w:t>互联网</w:t>
      </w:r>
      <w:r>
        <w:rPr>
          <w:rFonts w:ascii="宋体" w:hAnsi="宋体" w:cs="宋体" w:eastAsia="宋体" w:hint="default"/>
          <w:spacing w:val="-8"/>
        </w:rPr>
        <w:t>+</w:t>
      </w:r>
      <w:r>
        <w:rPr>
          <w:spacing w:val="-8"/>
        </w:rPr>
        <w:t>”、</w:t>
      </w:r>
      <w:r>
        <w:rPr>
          <w:spacing w:val="-16"/>
        </w:rPr>
        <w:t> </w:t>
      </w:r>
      <w:r>
        <w:rPr/>
        <w:t>创业创新、文化企业扶持、双效统一等多个方面，这些政策与党的会议精神一脉相承， </w:t>
      </w:r>
      <w:r>
        <w:rPr>
          <w:rFonts w:ascii="宋体" w:hAnsi="宋体" w:cs="宋体" w:eastAsia="宋体" w:hint="default"/>
        </w:rPr>
        <w:t>2015</w:t>
      </w:r>
      <w:r>
        <w:rPr/>
        <w:t>年是战略部</w:t>
      </w:r>
      <w:r>
        <w:rPr>
          <w:spacing w:val="-28"/>
        </w:rPr>
        <w:t> </w:t>
      </w:r>
      <w:r>
        <w:rPr>
          <w:spacing w:val="-28"/>
        </w:rPr>
      </w:r>
      <w:r>
        <w:rPr>
          <w:spacing w:val="-5"/>
        </w:rPr>
        <w:t>署转化为具体产业政策的一年。随着文化产业、公共文化建设的不断推进，我国文化政策体系将不断完善， </w:t>
      </w:r>
      <w:r>
        <w:rPr>
          <w:spacing w:val="-5"/>
        </w:rPr>
      </w:r>
      <w:r>
        <w:rPr/>
        <w:t>政策红利将继续惠及各方，对公司未来的发展也有很好的推进作用。</w:t>
      </w:r>
    </w:p>
    <w:p>
      <w:pPr>
        <w:spacing w:line="240" w:lineRule="auto" w:before="13"/>
        <w:rPr>
          <w:rFonts w:ascii="宋体" w:hAnsi="宋体" w:cs="宋体" w:eastAsia="宋体" w:hint="default"/>
          <w:sz w:val="22"/>
          <w:szCs w:val="22"/>
        </w:rPr>
      </w:pPr>
    </w:p>
    <w:p>
      <w:pPr>
        <w:pStyle w:val="BodyText"/>
        <w:spacing w:line="408" w:lineRule="auto" w:before="0"/>
        <w:ind w:left="153" w:right="106" w:firstLine="420"/>
        <w:jc w:val="left"/>
      </w:pPr>
      <w:r>
        <w:rPr>
          <w:spacing w:val="-2"/>
        </w:rPr>
        <w:t>国家各部委还推出一系列旨在推动云计算、互联网以及扶持创意文化的新政策法规，如国务院《关于</w:t>
      </w:r>
      <w:r>
        <w:rPr>
          <w:w w:val="100"/>
        </w:rPr>
        <w:t> </w:t>
      </w:r>
      <w:r>
        <w:rPr>
          <w:spacing w:val="-2"/>
        </w:rPr>
        <w:t>促进云计算创新发展培育信息产业新业态的意见》以及《关于深化体制机制改革加快实施创新驱动发展战</w:t>
      </w:r>
      <w:r>
        <w:rPr>
          <w:spacing w:val="-43"/>
        </w:rPr>
        <w:t> </w:t>
      </w:r>
      <w:r>
        <w:rPr>
          <w:spacing w:val="-43"/>
        </w:rPr>
      </w:r>
      <w:r>
        <w:rPr>
          <w:spacing w:val="-2"/>
        </w:rPr>
        <w:t>略的若干意见》等都明确提出要大力强化文化创新所带来的内生经济增长活力，进一步夯实文化产业与创</w:t>
      </w:r>
      <w:r>
        <w:rPr>
          <w:spacing w:val="-43"/>
        </w:rPr>
        <w:t> </w:t>
      </w:r>
      <w:r>
        <w:rPr>
          <w:spacing w:val="-43"/>
        </w:rPr>
      </w:r>
      <w:r>
        <w:rPr>
          <w:spacing w:val="-6"/>
        </w:rPr>
        <w:t>新、创业的内在联系，促进大众创业、万众创新的新局面、新常态。由此可见，政策导向将</w:t>
      </w:r>
      <w:r>
        <w:rPr>
          <w:rFonts w:ascii="宋体" w:hAnsi="宋体" w:cs="宋体" w:eastAsia="宋体" w:hint="default"/>
          <w:spacing w:val="-6"/>
        </w:rPr>
        <w:t>“</w:t>
      </w:r>
      <w:r>
        <w:rPr>
          <w:spacing w:val="-6"/>
        </w:rPr>
        <w:t>文化</w:t>
      </w:r>
      <w:r>
        <w:rPr>
          <w:rFonts w:ascii="宋体" w:hAnsi="宋体" w:cs="宋体" w:eastAsia="宋体" w:hint="default"/>
          <w:spacing w:val="-6"/>
        </w:rPr>
        <w:t>+</w:t>
      </w:r>
      <w:r>
        <w:rPr>
          <w:spacing w:val="-6"/>
        </w:rPr>
        <w:t>”“互</w:t>
      </w:r>
      <w:r>
        <w:rPr>
          <w:spacing w:val="-36"/>
        </w:rPr>
        <w:t> </w:t>
      </w:r>
      <w:r>
        <w:rPr>
          <w:spacing w:val="-36"/>
        </w:rPr>
      </w:r>
      <w:r>
        <w:rPr/>
        <w:t>联网</w:t>
      </w:r>
      <w:r>
        <w:rPr>
          <w:rFonts w:ascii="宋体" w:hAnsi="宋体" w:cs="宋体" w:eastAsia="宋体" w:hint="default"/>
        </w:rPr>
        <w:t>+</w:t>
      </w:r>
      <w:r>
        <w:rPr/>
        <w:t>”“创业</w:t>
      </w:r>
      <w:r>
        <w:rPr>
          <w:rFonts w:ascii="宋体" w:hAnsi="宋体" w:cs="宋体" w:eastAsia="宋体" w:hint="default"/>
        </w:rPr>
        <w:t>+</w:t>
      </w:r>
      <w:r>
        <w:rPr/>
        <w:t>”“创意</w:t>
      </w:r>
      <w:r>
        <w:rPr>
          <w:rFonts w:ascii="宋体" w:hAnsi="宋体" w:cs="宋体" w:eastAsia="宋体" w:hint="default"/>
        </w:rPr>
        <w:t>+</w:t>
      </w:r>
      <w:r>
        <w:rPr/>
        <w:t>”等因素更好地融合在一起，更注重在探索其相互结合过程中成功的经验、方</w:t>
      </w:r>
      <w:r>
        <w:rPr>
          <w:spacing w:val="-25"/>
        </w:rPr>
        <w:t> </w:t>
      </w:r>
      <w:r>
        <w:rPr>
          <w:spacing w:val="-25"/>
        </w:rPr>
      </w:r>
      <w:r>
        <w:rPr>
          <w:spacing w:val="-2"/>
        </w:rPr>
        <w:t>式、方法，并形成更加合理、行之有效的市场化机制，以深入助推国民经济的转型升级。在此大背景下，</w:t>
      </w:r>
      <w:r>
        <w:rPr>
          <w:spacing w:val="-21"/>
        </w:rPr>
        <w:t> </w:t>
      </w:r>
      <w:r>
        <w:rPr>
          <w:spacing w:val="-21"/>
        </w:rPr>
      </w:r>
      <w:r>
        <w:rPr/>
        <w:t>也对公司未来发展提出新要求，想企业各个硬件要素不断融合，全方面融会贯通，加速企业全面转型。</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t>（二）、公司未来的发展战略</w:t>
      </w:r>
      <w:r>
        <w:rPr>
          <w:b w:val="0"/>
          <w:bCs w:val="0"/>
        </w:rPr>
      </w:r>
    </w:p>
    <w:p>
      <w:pPr>
        <w:spacing w:line="240" w:lineRule="auto" w:before="13"/>
        <w:rPr>
          <w:rFonts w:ascii="宋体" w:hAnsi="宋体" w:cs="宋体" w:eastAsia="宋体" w:hint="default"/>
          <w:b/>
          <w:bCs/>
          <w:sz w:val="27"/>
          <w:szCs w:val="27"/>
        </w:rPr>
      </w:pPr>
    </w:p>
    <w:p>
      <w:pPr>
        <w:pStyle w:val="Heading3"/>
        <w:spacing w:line="240" w:lineRule="auto"/>
        <w:ind w:left="575" w:right="106"/>
        <w:jc w:val="left"/>
        <w:rPr>
          <w:b w:val="0"/>
          <w:bCs w:val="0"/>
        </w:rPr>
      </w:pPr>
      <w:r>
        <w:rPr>
          <w:rFonts w:ascii="Times New Roman" w:hAnsi="Times New Roman" w:cs="Times New Roman" w:eastAsia="Times New Roman" w:hint="default"/>
        </w:rPr>
        <w:t>1</w:t>
      </w:r>
      <w:r>
        <w:rPr/>
        <w:t>、公司需要的变革</w:t>
      </w:r>
      <w:r>
        <w:rPr>
          <w:b w:val="0"/>
          <w:bCs w:val="0"/>
        </w:rPr>
      </w:r>
    </w:p>
    <w:p>
      <w:pPr>
        <w:spacing w:line="240" w:lineRule="auto" w:before="6"/>
        <w:rPr>
          <w:rFonts w:ascii="宋体" w:hAnsi="宋体" w:cs="宋体" w:eastAsia="宋体" w:hint="default"/>
          <w:b/>
          <w:bCs/>
          <w:sz w:val="27"/>
          <w:szCs w:val="27"/>
        </w:rPr>
      </w:pPr>
    </w:p>
    <w:p>
      <w:pPr>
        <w:pStyle w:val="BodyText"/>
        <w:spacing w:line="410" w:lineRule="auto" w:before="0"/>
        <w:ind w:right="207" w:firstLine="419"/>
        <w:jc w:val="both"/>
      </w:pPr>
      <w:r>
        <w:rPr>
          <w:spacing w:val="-2"/>
        </w:rPr>
        <w:t>（</w:t>
      </w:r>
      <w:r>
        <w:rPr>
          <w:rFonts w:ascii="宋体" w:hAnsi="宋体" w:cs="宋体" w:eastAsia="宋体" w:hint="default"/>
          <w:spacing w:val="-2"/>
        </w:rPr>
        <w:t>1</w:t>
      </w:r>
      <w:r>
        <w:rPr>
          <w:spacing w:val="-2"/>
        </w:rPr>
        <w:t>）公司在自有</w:t>
      </w:r>
      <w:r>
        <w:rPr>
          <w:rFonts w:ascii="宋体" w:hAnsi="宋体" w:cs="宋体" w:eastAsia="宋体" w:hint="default"/>
          <w:spacing w:val="-2"/>
        </w:rPr>
        <w:t>MOD</w:t>
      </w:r>
      <w:r>
        <w:rPr>
          <w:spacing w:val="-2"/>
        </w:rPr>
        <w:t>资源平台的基础上，将继续以优质配套和同步为产品和服务的准则，为学校教师</w:t>
      </w:r>
      <w:r>
        <w:rPr>
          <w:w w:val="100"/>
        </w:rPr>
        <w:t> </w:t>
      </w:r>
      <w:r>
        <w:rPr>
          <w:spacing w:val="-2"/>
        </w:rPr>
        <w:t>家长和学生提供优质服务，在不断建设自有知识产权的同时，还需要获得网络出版资质，建立以互联网云</w:t>
      </w:r>
      <w:r>
        <w:rPr>
          <w:spacing w:val="-44"/>
        </w:rPr>
        <w:t> </w:t>
      </w:r>
      <w:r>
        <w:rPr>
          <w:spacing w:val="-44"/>
        </w:rPr>
      </w:r>
      <w:r>
        <w:rPr/>
        <w:t>平台为技术基础的优质数字化资源教育资源整体坚决方案</w:t>
      </w:r>
      <w:r>
        <w:rPr>
          <w:rFonts w:ascii="宋体" w:hAnsi="宋体" w:cs="宋体" w:eastAsia="宋体" w:hint="default"/>
        </w:rPr>
        <w:t>,</w:t>
      </w:r>
      <w:r>
        <w:rPr/>
        <w:t>为开放式在线教育运营奠定坚实的基础；</w:t>
      </w:r>
    </w:p>
    <w:p>
      <w:pPr>
        <w:spacing w:line="240" w:lineRule="auto" w:before="13"/>
        <w:rPr>
          <w:rFonts w:ascii="宋体" w:hAnsi="宋体" w:cs="宋体" w:eastAsia="宋体" w:hint="default"/>
          <w:sz w:val="22"/>
          <w:szCs w:val="22"/>
        </w:rPr>
      </w:pPr>
    </w:p>
    <w:p>
      <w:pPr>
        <w:pStyle w:val="BodyText"/>
        <w:spacing w:line="410" w:lineRule="auto" w:before="0"/>
        <w:ind w:right="207" w:firstLine="420"/>
        <w:jc w:val="both"/>
      </w:pPr>
      <w:r>
        <w:rPr/>
        <w:t>（</w:t>
      </w:r>
      <w:r>
        <w:rPr>
          <w:rFonts w:ascii="宋体" w:hAnsi="宋体" w:cs="宋体" w:eastAsia="宋体" w:hint="default"/>
        </w:rPr>
        <w:t>2</w:t>
      </w:r>
      <w:r>
        <w:rPr/>
        <w:t>）公司将从以往的传统树状管理模式逐步转向项目经理管理模式，让营销部门和开发部门员工共</w:t>
      </w:r>
      <w:r>
        <w:rPr>
          <w:w w:val="100"/>
        </w:rPr>
        <w:t> </w:t>
      </w:r>
      <w:r>
        <w:rPr>
          <w:spacing w:val="-2"/>
        </w:rPr>
        <w:t>享项目效益，让有理想有追求的员工成为项目经理管理者，利用股权激励手段，让公司突出的骨干人才共</w:t>
      </w:r>
      <w:r>
        <w:rPr>
          <w:spacing w:val="-42"/>
        </w:rPr>
        <w:t> </w:t>
      </w:r>
      <w:r>
        <w:rPr>
          <w:spacing w:val="-42"/>
        </w:rPr>
      </w:r>
      <w:r>
        <w:rPr/>
        <w:t>享公司未来的成长业绩；</w:t>
      </w:r>
    </w:p>
    <w:p>
      <w:pPr>
        <w:spacing w:line="240" w:lineRule="auto" w:before="13"/>
        <w:rPr>
          <w:rFonts w:ascii="宋体" w:hAnsi="宋体" w:cs="宋体" w:eastAsia="宋体" w:hint="default"/>
          <w:sz w:val="22"/>
          <w:szCs w:val="22"/>
        </w:rPr>
      </w:pPr>
    </w:p>
    <w:p>
      <w:pPr>
        <w:pStyle w:val="BodyText"/>
        <w:spacing w:line="410" w:lineRule="auto" w:before="0"/>
        <w:ind w:right="211" w:firstLine="420"/>
        <w:jc w:val="both"/>
      </w:pPr>
      <w:r>
        <w:rPr/>
        <w:t>（</w:t>
      </w:r>
      <w:r>
        <w:rPr>
          <w:rFonts w:ascii="宋体" w:hAnsi="宋体" w:cs="宋体" w:eastAsia="宋体" w:hint="default"/>
        </w:rPr>
        <w:t>3</w:t>
      </w:r>
      <w:r>
        <w:rPr/>
        <w:t>）在</w:t>
      </w:r>
      <w:r>
        <w:rPr>
          <w:rFonts w:ascii="宋体" w:hAnsi="宋体" w:cs="宋体" w:eastAsia="宋体" w:hint="default"/>
        </w:rPr>
        <w:t>2015</w:t>
      </w:r>
      <w:r>
        <w:rPr/>
        <w:t>年将配套教材全面改版升级完成后，公司将利用三年的时间从产品销售全面转向互联网</w:t>
      </w:r>
      <w:r>
        <w:rPr>
          <w:w w:val="100"/>
        </w:rPr>
        <w:t> </w:t>
      </w:r>
      <w:r>
        <w:rPr/>
        <w:t>在线教育营运模式，完成营销顶层设计并加以实施；</w:t>
      </w:r>
    </w:p>
    <w:p>
      <w:pPr>
        <w:spacing w:line="240" w:lineRule="auto" w:before="2"/>
        <w:rPr>
          <w:rFonts w:ascii="宋体" w:hAnsi="宋体" w:cs="宋体" w:eastAsia="宋体" w:hint="default"/>
          <w:sz w:val="23"/>
          <w:szCs w:val="23"/>
        </w:rPr>
      </w:pPr>
    </w:p>
    <w:p>
      <w:pPr>
        <w:pStyle w:val="BodyText"/>
        <w:spacing w:line="410" w:lineRule="auto" w:before="0"/>
        <w:ind w:right="214" w:firstLine="420"/>
        <w:jc w:val="both"/>
      </w:pPr>
      <w:r>
        <w:rPr/>
        <w:t>（</w:t>
      </w:r>
      <w:r>
        <w:rPr>
          <w:rFonts w:ascii="宋体" w:hAnsi="宋体" w:cs="宋体" w:eastAsia="宋体" w:hint="default"/>
        </w:rPr>
        <w:t>4</w:t>
      </w:r>
      <w:r>
        <w:rPr/>
        <w:t>）在高层决策方式上，公司将从以经验决策为导向转变为以科学实证决策，特别是在民主科学的</w:t>
      </w:r>
      <w:r>
        <w:rPr>
          <w:w w:val="100"/>
        </w:rPr>
        <w:t> </w:t>
      </w:r>
      <w:r>
        <w:rPr/>
        <w:t>基础上提高决策效率。</w:t>
      </w:r>
    </w:p>
    <w:p>
      <w:pPr>
        <w:spacing w:line="240" w:lineRule="auto" w:before="2"/>
        <w:rPr>
          <w:rFonts w:ascii="宋体" w:hAnsi="宋体" w:cs="宋体" w:eastAsia="宋体" w:hint="default"/>
          <w:sz w:val="17"/>
          <w:szCs w:val="17"/>
        </w:rPr>
      </w:pPr>
    </w:p>
    <w:p>
      <w:pPr>
        <w:pStyle w:val="Heading3"/>
        <w:spacing w:line="240" w:lineRule="auto"/>
        <w:ind w:left="575" w:right="106"/>
        <w:jc w:val="left"/>
        <w:rPr>
          <w:b w:val="0"/>
          <w:bCs w:val="0"/>
        </w:rPr>
      </w:pPr>
      <w:r>
        <w:rPr>
          <w:rFonts w:ascii="Times New Roman" w:hAnsi="Times New Roman" w:cs="Times New Roman" w:eastAsia="Times New Roman" w:hint="default"/>
        </w:rPr>
        <w:t>2</w:t>
      </w:r>
      <w:r>
        <w:rPr/>
        <w:t>、整体发展战略目标</w:t>
      </w:r>
      <w:r>
        <w:rPr>
          <w:b w:val="0"/>
          <w:bCs w:val="0"/>
        </w:rPr>
      </w:r>
    </w:p>
    <w:p>
      <w:pPr>
        <w:spacing w:line="240" w:lineRule="auto" w:before="6"/>
        <w:rPr>
          <w:rFonts w:ascii="宋体" w:hAnsi="宋体" w:cs="宋体" w:eastAsia="宋体" w:hint="default"/>
          <w:b/>
          <w:bCs/>
          <w:sz w:val="27"/>
          <w:szCs w:val="27"/>
        </w:rPr>
      </w:pPr>
    </w:p>
    <w:p>
      <w:pPr>
        <w:pStyle w:val="BodyText"/>
        <w:spacing w:line="240" w:lineRule="auto" w:before="0"/>
        <w:ind w:left="572" w:right="106"/>
        <w:jc w:val="left"/>
        <w:rPr>
          <w:rFonts w:ascii="宋体" w:hAnsi="宋体" w:cs="宋体" w:eastAsia="宋体" w:hint="default"/>
        </w:rPr>
      </w:pPr>
      <w:r>
        <w:rPr>
          <w:rFonts w:ascii="宋体" w:hAnsi="宋体" w:cs="宋体" w:eastAsia="宋体" w:hint="default"/>
        </w:rPr>
        <w:t>2015</w:t>
      </w:r>
      <w:r>
        <w:rPr/>
        <w:t>年到</w:t>
      </w:r>
      <w:r>
        <w:rPr>
          <w:rFonts w:ascii="宋体" w:hAnsi="宋体" w:cs="宋体" w:eastAsia="宋体" w:hint="default"/>
        </w:rPr>
        <w:t>2017</w:t>
      </w:r>
      <w:r>
        <w:rPr/>
        <w:t>年是方直科技公司转型过程中最具挑战性的三年。方直科技按照适应未来变革的要求</w:t>
      </w:r>
      <w:r>
        <w:rPr>
          <w:rFonts w:ascii="宋体" w:hAnsi="宋体" w:cs="宋体" w:eastAsia="宋体" w:hint="default"/>
        </w:rPr>
        <w:t>,</w:t>
      </w:r>
    </w:p>
    <w:p>
      <w:pPr>
        <w:spacing w:after="0" w:line="240" w:lineRule="auto"/>
        <w:jc w:val="left"/>
        <w:rPr>
          <w:rFonts w:ascii="宋体" w:hAnsi="宋体" w:cs="宋体" w:eastAsia="宋体" w:hint="default"/>
        </w:rPr>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410" w:lineRule="auto" w:before="175"/>
        <w:ind w:right="106"/>
        <w:jc w:val="left"/>
      </w:pPr>
      <w:r>
        <w:rPr/>
        <w:t>将以公司现有的同步教育资源、人力资源、品牌渠道资源和资金平台资源为企业核心战略资源</w:t>
      </w:r>
      <w:r>
        <w:rPr>
          <w:rFonts w:ascii="宋体" w:hAnsi="宋体" w:cs="宋体" w:eastAsia="宋体" w:hint="default"/>
        </w:rPr>
        <w:t>,</w:t>
      </w:r>
      <w:r>
        <w:rPr/>
        <w:t>并以长期</w:t>
      </w:r>
      <w:r>
        <w:rPr>
          <w:spacing w:val="-24"/>
        </w:rPr>
        <w:t> </w:t>
      </w:r>
      <w:r>
        <w:rPr>
          <w:spacing w:val="-24"/>
        </w:rPr>
      </w:r>
      <w:r>
        <w:rPr/>
        <w:t>建设企业核心战略资源为指导思想来制定方直科技未来的整体发展战略：</w:t>
      </w:r>
    </w:p>
    <w:p>
      <w:pPr>
        <w:spacing w:line="240" w:lineRule="auto" w:before="2"/>
        <w:rPr>
          <w:rFonts w:ascii="宋体" w:hAnsi="宋体" w:cs="宋体" w:eastAsia="宋体" w:hint="default"/>
          <w:sz w:val="23"/>
          <w:szCs w:val="23"/>
        </w:rPr>
      </w:pPr>
    </w:p>
    <w:p>
      <w:pPr>
        <w:pStyle w:val="BodyText"/>
        <w:spacing w:line="240" w:lineRule="auto" w:before="0"/>
        <w:ind w:left="572" w:right="106"/>
        <w:jc w:val="left"/>
      </w:pPr>
      <w:r>
        <w:rPr/>
        <w:t>（</w:t>
      </w:r>
      <w:r>
        <w:rPr>
          <w:rFonts w:ascii="宋体" w:hAnsi="宋体" w:cs="宋体" w:eastAsia="宋体" w:hint="default"/>
        </w:rPr>
        <w:t>1</w:t>
      </w:r>
      <w:r>
        <w:rPr/>
        <w:t>）产品和技术战略</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410" w:lineRule="auto" w:before="0"/>
        <w:ind w:right="210" w:firstLine="420"/>
        <w:jc w:val="both"/>
      </w:pPr>
      <w:r>
        <w:rPr/>
        <w:t>公司利用互联网技术、移动通讯技术、数据库技术和云计算技术，同时将</w:t>
      </w:r>
      <w:r>
        <w:rPr>
          <w:rFonts w:ascii="宋体" w:hAnsi="宋体" w:cs="宋体" w:eastAsia="宋体" w:hint="default"/>
        </w:rPr>
        <w:t>MOD</w:t>
      </w:r>
      <w:r>
        <w:rPr/>
        <w:t>资源平台进一步升级，</w:t>
      </w:r>
      <w:r>
        <w:rPr>
          <w:w w:val="100"/>
        </w:rPr>
        <w:t> </w:t>
      </w:r>
      <w:r>
        <w:rPr/>
        <w:t>进一步提升对学校和政府教育管理部门的功能。</w:t>
      </w:r>
    </w:p>
    <w:p>
      <w:pPr>
        <w:spacing w:line="240" w:lineRule="auto" w:before="13"/>
        <w:rPr>
          <w:rFonts w:ascii="宋体" w:hAnsi="宋体" w:cs="宋体" w:eastAsia="宋体" w:hint="default"/>
          <w:sz w:val="22"/>
          <w:szCs w:val="22"/>
        </w:rPr>
      </w:pPr>
    </w:p>
    <w:p>
      <w:pPr>
        <w:pStyle w:val="BodyText"/>
        <w:spacing w:line="410" w:lineRule="auto" w:before="0"/>
        <w:ind w:left="153" w:right="206" w:firstLine="419"/>
        <w:jc w:val="both"/>
      </w:pPr>
      <w:r>
        <w:rPr>
          <w:rFonts w:ascii="宋体" w:hAnsi="宋体" w:cs="宋体" w:eastAsia="宋体" w:hint="default"/>
          <w:spacing w:val="-2"/>
        </w:rPr>
        <w:t>2015</w:t>
      </w:r>
      <w:r>
        <w:rPr>
          <w:spacing w:val="-2"/>
        </w:rPr>
        <w:t>年完成了部分版本的在线教育资源运营，</w:t>
      </w:r>
      <w:r>
        <w:rPr>
          <w:rFonts w:ascii="宋体" w:hAnsi="宋体" w:cs="宋体" w:eastAsia="宋体" w:hint="default"/>
          <w:spacing w:val="-2"/>
        </w:rPr>
        <w:t>2016</w:t>
      </w:r>
      <w:r>
        <w:rPr>
          <w:spacing w:val="-2"/>
        </w:rPr>
        <w:t>年完成小学语文、数学、英语重点版本产品的全部</w:t>
      </w:r>
      <w:r>
        <w:rPr>
          <w:w w:val="100"/>
        </w:rPr>
        <w:t> </w:t>
      </w:r>
      <w:r>
        <w:rPr>
          <w:spacing w:val="-2"/>
        </w:rPr>
        <w:t>四化建设，</w:t>
      </w:r>
      <w:r>
        <w:rPr>
          <w:rFonts w:ascii="宋体" w:hAnsi="宋体" w:cs="宋体" w:eastAsia="宋体" w:hint="default"/>
          <w:spacing w:val="-2"/>
        </w:rPr>
        <w:t>2017</w:t>
      </w:r>
      <w:r>
        <w:rPr>
          <w:spacing w:val="-2"/>
        </w:rPr>
        <w:t>年完成中学全部学科的重点版本线上资源建设，做到全学科全学段资源覆盖。实现将优质</w:t>
      </w:r>
      <w:r>
        <w:rPr>
          <w:spacing w:val="-41"/>
        </w:rPr>
        <w:t> </w:t>
      </w:r>
      <w:r>
        <w:rPr>
          <w:spacing w:val="-41"/>
        </w:rPr>
      </w:r>
      <w:r>
        <w:rPr/>
        <w:t>教育数字资源建设成为企业核心资源的目标。</w:t>
      </w:r>
    </w:p>
    <w:p>
      <w:pPr>
        <w:spacing w:line="240" w:lineRule="auto" w:before="13"/>
        <w:rPr>
          <w:rFonts w:ascii="宋体" w:hAnsi="宋体" w:cs="宋体" w:eastAsia="宋体" w:hint="default"/>
          <w:sz w:val="22"/>
          <w:szCs w:val="22"/>
        </w:rPr>
      </w:pPr>
    </w:p>
    <w:p>
      <w:pPr>
        <w:pStyle w:val="BodyText"/>
        <w:spacing w:line="410" w:lineRule="auto" w:before="0"/>
        <w:ind w:left="153" w:right="206" w:firstLine="420"/>
        <w:jc w:val="both"/>
      </w:pPr>
      <w:r>
        <w:rPr>
          <w:spacing w:val="-2"/>
        </w:rPr>
        <w:t>公司将在产品和服务体系上采用分层设计和模块化设计，形成积木式价格体系，在提升市场覆盖率的</w:t>
      </w:r>
      <w:r>
        <w:rPr>
          <w:w w:val="100"/>
        </w:rPr>
        <w:t> </w:t>
      </w:r>
      <w:r>
        <w:rPr/>
        <w:t>基础上，提升高端产品的盈利能力。</w:t>
      </w:r>
    </w:p>
    <w:p>
      <w:pPr>
        <w:spacing w:line="240" w:lineRule="auto" w:before="5"/>
        <w:rPr>
          <w:rFonts w:ascii="宋体" w:hAnsi="宋体" w:cs="宋体" w:eastAsia="宋体" w:hint="default"/>
          <w:sz w:val="23"/>
          <w:szCs w:val="23"/>
        </w:rPr>
      </w:pPr>
    </w:p>
    <w:p>
      <w:pPr>
        <w:pStyle w:val="BodyText"/>
        <w:spacing w:line="240" w:lineRule="auto" w:before="0"/>
        <w:ind w:left="572" w:right="106"/>
        <w:jc w:val="left"/>
      </w:pPr>
      <w:r>
        <w:rPr/>
        <w:t>（</w:t>
      </w:r>
      <w:r>
        <w:rPr>
          <w:rFonts w:ascii="宋体" w:hAnsi="宋体" w:cs="宋体" w:eastAsia="宋体" w:hint="default"/>
        </w:rPr>
        <w:t>2</w:t>
      </w:r>
      <w:r>
        <w:rPr/>
        <w:t>）市场战略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410" w:lineRule="auto" w:before="0"/>
        <w:ind w:right="206" w:firstLine="420"/>
        <w:jc w:val="both"/>
      </w:pPr>
      <w:r>
        <w:rPr>
          <w:spacing w:val="-2"/>
        </w:rPr>
        <w:t>公司将全面展开资源平台对外开放运营，积极推进行业内外的战略合作。将在原有业务的基础上发展</w:t>
      </w:r>
      <w:r>
        <w:rPr>
          <w:w w:val="100"/>
        </w:rPr>
        <w:t> </w:t>
      </w:r>
      <w:r>
        <w:rPr>
          <w:spacing w:val="-3"/>
        </w:rPr>
        <w:t>更多的业务集群，我们将进一步服务好出版机构、发行机构、教育部门以及电信运营商，还将开展和教育</w:t>
      </w:r>
      <w:r>
        <w:rPr>
          <w:spacing w:val="-12"/>
        </w:rPr>
        <w:t> </w:t>
      </w:r>
      <w:r>
        <w:rPr>
          <w:spacing w:val="-12"/>
        </w:rPr>
      </w:r>
      <w:r>
        <w:rPr/>
        <w:t>信息化平台公司和系统集成公司的合作，实现多方长期共赢。</w:t>
      </w:r>
    </w:p>
    <w:p>
      <w:pPr>
        <w:spacing w:line="240" w:lineRule="auto" w:before="13"/>
        <w:rPr>
          <w:rFonts w:ascii="宋体" w:hAnsi="宋体" w:cs="宋体" w:eastAsia="宋体" w:hint="default"/>
          <w:sz w:val="22"/>
          <w:szCs w:val="22"/>
        </w:rPr>
      </w:pPr>
    </w:p>
    <w:p>
      <w:pPr>
        <w:pStyle w:val="BodyText"/>
        <w:spacing w:line="410" w:lineRule="auto" w:before="0"/>
        <w:ind w:right="106" w:firstLine="420"/>
        <w:jc w:val="left"/>
      </w:pPr>
      <w:r>
        <w:rPr>
          <w:spacing w:val="-5"/>
        </w:rPr>
        <w:t>公司还将重点紧密与各出版单位、教育部门配合，在稳固原有市场的基础上不断开拓新市场和新渠道，</w:t>
      </w:r>
      <w:r>
        <w:rPr>
          <w:w w:val="100"/>
        </w:rPr>
        <w:t> </w:t>
      </w:r>
      <w:r>
        <w:rPr/>
        <w:t>展开出版后市场的全媒体综合服务，重点加快征订业务的互联网增值服务，快速占领市场。</w:t>
      </w:r>
    </w:p>
    <w:p>
      <w:pPr>
        <w:spacing w:line="240" w:lineRule="auto" w:before="2"/>
        <w:rPr>
          <w:rFonts w:ascii="宋体" w:hAnsi="宋体" w:cs="宋体" w:eastAsia="宋体" w:hint="default"/>
          <w:sz w:val="23"/>
          <w:szCs w:val="23"/>
        </w:rPr>
      </w:pPr>
    </w:p>
    <w:p>
      <w:pPr>
        <w:pStyle w:val="BodyText"/>
        <w:spacing w:line="410" w:lineRule="auto" w:before="0"/>
        <w:ind w:right="206" w:firstLine="419"/>
        <w:jc w:val="both"/>
      </w:pPr>
      <w:r>
        <w:rPr/>
        <w:t>公司将会针对</w:t>
      </w:r>
      <w:r>
        <w:rPr>
          <w:rFonts w:ascii="宋体" w:hAnsi="宋体" w:cs="宋体" w:eastAsia="宋体" w:hint="default"/>
        </w:rPr>
        <w:t>MOD</w:t>
      </w:r>
      <w:r>
        <w:rPr/>
        <w:t>平台内的资源进行高度标准化的战略分类管理。以此为基础形成一个多样化、多层</w:t>
      </w:r>
      <w:r>
        <w:rPr>
          <w:w w:val="100"/>
        </w:rPr>
        <w:t> </w:t>
      </w:r>
      <w:r>
        <w:rPr>
          <w:spacing w:val="-2"/>
        </w:rPr>
        <w:t>次的产品服务类别来满足不同客户的需求。公司将以此来将客户群体划分为三类：集团客户、平台产品客</w:t>
      </w:r>
      <w:r>
        <w:rPr>
          <w:spacing w:val="-44"/>
        </w:rPr>
        <w:t> </w:t>
      </w:r>
      <w:r>
        <w:rPr>
          <w:spacing w:val="-44"/>
        </w:rPr>
      </w:r>
      <w:r>
        <w:rPr>
          <w:spacing w:val="-2"/>
        </w:rPr>
        <w:t>户和个人消费客户。采取优先集团销售引导个人消费的策略，有效将原有光盘客户引导到互联网持续消费</w:t>
      </w:r>
      <w:r>
        <w:rPr>
          <w:spacing w:val="-42"/>
        </w:rPr>
        <w:t> </w:t>
      </w:r>
      <w:r>
        <w:rPr>
          <w:spacing w:val="-42"/>
        </w:rPr>
      </w:r>
      <w:r>
        <w:rPr/>
        <w:t>上来。</w:t>
      </w:r>
    </w:p>
    <w:p>
      <w:pPr>
        <w:spacing w:line="240" w:lineRule="auto" w:before="2"/>
        <w:rPr>
          <w:rFonts w:ascii="宋体" w:hAnsi="宋体" w:cs="宋体" w:eastAsia="宋体" w:hint="default"/>
          <w:sz w:val="23"/>
          <w:szCs w:val="23"/>
        </w:rPr>
      </w:pPr>
    </w:p>
    <w:p>
      <w:pPr>
        <w:pStyle w:val="BodyText"/>
        <w:spacing w:line="240" w:lineRule="auto" w:before="0"/>
        <w:ind w:left="572" w:right="106"/>
        <w:jc w:val="left"/>
      </w:pPr>
      <w:r>
        <w:rPr/>
        <w:t>（</w:t>
      </w:r>
      <w:r>
        <w:rPr>
          <w:rFonts w:ascii="宋体" w:hAnsi="宋体" w:cs="宋体" w:eastAsia="宋体" w:hint="default"/>
        </w:rPr>
        <w:t>3</w:t>
      </w:r>
      <w:r>
        <w:rPr/>
        <w:t>）人才战略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410" w:lineRule="auto" w:before="0"/>
        <w:ind w:right="206" w:firstLine="420"/>
        <w:jc w:val="both"/>
      </w:pPr>
      <w:r>
        <w:rPr>
          <w:spacing w:val="-2"/>
        </w:rPr>
        <w:t>公司将继续以人力资源作为公司的核心战略资源为导向，积极打造一片培养人才的沃土。按照人才资</w:t>
      </w:r>
      <w:r>
        <w:rPr>
          <w:w w:val="100"/>
        </w:rPr>
        <w:t> </w:t>
      </w:r>
      <w:r>
        <w:rPr>
          <w:spacing w:val="2"/>
        </w:rPr>
        <w:t>源建设优于财务指标的发展方针，将公司现有的职业化树状管理模式全面向产品制项目管理模式进行转</w:t>
      </w:r>
      <w:r>
        <w:rPr>
          <w:spacing w:val="-28"/>
        </w:rPr>
        <w:t> </w:t>
      </w:r>
      <w:r>
        <w:rPr>
          <w:spacing w:val="-28"/>
        </w:rPr>
      </w:r>
      <w:r>
        <w:rPr/>
        <w:t>变，让更多的优秀人才成长起来。</w:t>
      </w:r>
    </w:p>
    <w:p>
      <w:pPr>
        <w:spacing w:after="0" w:line="410" w:lineRule="auto"/>
        <w:jc w:val="both"/>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8"/>
        <w:ind w:left="572" w:right="106"/>
        <w:jc w:val="left"/>
      </w:pPr>
      <w:r>
        <w:rPr/>
        <w:t>（</w:t>
      </w:r>
      <w:r>
        <w:rPr>
          <w:rFonts w:ascii="宋体" w:hAnsi="宋体" w:cs="宋体" w:eastAsia="宋体" w:hint="default"/>
        </w:rPr>
        <w:t>4</w:t>
      </w:r>
      <w:r>
        <w:rPr/>
        <w:t>）品牌质量战略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410" w:lineRule="auto" w:before="0"/>
        <w:ind w:right="104" w:firstLine="420"/>
        <w:jc w:val="both"/>
      </w:pPr>
      <w:r>
        <w:rPr/>
        <w:t>全面推动质量改进小组（</w:t>
      </w:r>
      <w:r>
        <w:rPr>
          <w:rFonts w:ascii="宋体" w:hAnsi="宋体" w:cs="宋体" w:eastAsia="宋体" w:hint="default"/>
        </w:rPr>
        <w:t>QCC</w:t>
      </w:r>
      <w:r>
        <w:rPr/>
        <w:t>）活动，规范质量改进活动的管理，激励员工开展改进创新活动；深入</w:t>
      </w:r>
      <w:r>
        <w:rPr>
          <w:w w:val="100"/>
        </w:rPr>
        <w:t> </w:t>
      </w:r>
      <w:r>
        <w:rPr/>
        <w:t>开展质量文化建设工作，进一步提高员工的精品质量意识。促使公司的</w:t>
      </w:r>
      <w:r>
        <w:rPr>
          <w:spacing w:val="-21"/>
        </w:rPr>
        <w:t> </w:t>
      </w:r>
      <w:r>
        <w:rPr>
          <w:rFonts w:ascii="宋体" w:hAnsi="宋体" w:cs="宋体" w:eastAsia="宋体" w:hint="default"/>
        </w:rPr>
        <w:t>“KINGSUN</w:t>
      </w:r>
      <w:r>
        <w:rPr/>
        <w:t>”品牌发挥核心竞争力</w:t>
      </w:r>
      <w:r>
        <w:rPr>
          <w:spacing w:val="-3"/>
          <w:w w:val="100"/>
        </w:rPr>
        <w:t> </w:t>
      </w:r>
      <w:r>
        <w:rPr>
          <w:spacing w:val="-5"/>
        </w:rPr>
        <w:t>的作用，最终为公司获取长期的差别化利润。树立强烈的精品品牌意识，建立品牌战略下的高效质量体系。</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r>
        <w:rPr/>
        <w:t>（三）、公司</w:t>
      </w:r>
      <w:r>
        <w:rPr>
          <w:rFonts w:ascii="Times New Roman" w:hAnsi="Times New Roman" w:cs="Times New Roman" w:eastAsia="Times New Roman" w:hint="default"/>
        </w:rPr>
        <w:t>2016</w:t>
      </w:r>
      <w:r>
        <w:rPr/>
        <w:t>年经营工作计划</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1"/>
        <w:ind w:right="207" w:firstLine="420"/>
        <w:jc w:val="both"/>
      </w:pPr>
      <w:r>
        <w:rPr>
          <w:rFonts w:ascii="宋体" w:hAnsi="宋体" w:cs="宋体" w:eastAsia="宋体" w:hint="default"/>
          <w:spacing w:val="-2"/>
        </w:rPr>
        <w:t>2016</w:t>
      </w:r>
      <w:r>
        <w:rPr>
          <w:spacing w:val="-2"/>
        </w:rPr>
        <w:t>年将是方直科技新业务拓展元年，公司将继续依照科技服务于教育的经营理念大力发展在线教育</w:t>
      </w:r>
      <w:r>
        <w:rPr>
          <w:w w:val="100"/>
        </w:rPr>
        <w:t> </w:t>
      </w:r>
      <w:r>
        <w:rPr>
          <w:spacing w:val="-3"/>
        </w:rPr>
        <w:t>资源运营和服务，紧密围绕发展战略，加快业务发展，推进资源整合和投资并购，进一步推动经营业绩的</w:t>
      </w:r>
      <w:r>
        <w:rPr>
          <w:spacing w:val="-12"/>
        </w:rPr>
        <w:t> </w:t>
      </w:r>
      <w:r>
        <w:rPr>
          <w:spacing w:val="-12"/>
        </w:rPr>
      </w:r>
      <w:r>
        <w:rPr/>
        <w:t>快速提升和业务结构的转型跨越。为确保</w:t>
      </w:r>
      <w:r>
        <w:rPr>
          <w:rFonts w:ascii="宋体" w:hAnsi="宋体" w:cs="宋体" w:eastAsia="宋体" w:hint="default"/>
        </w:rPr>
        <w:t>2016</w:t>
      </w:r>
      <w:r>
        <w:rPr/>
        <w:t>年经营目标的实现，公司司将着重做好以下工作：</w:t>
      </w:r>
    </w:p>
    <w:p>
      <w:pPr>
        <w:spacing w:line="240" w:lineRule="auto" w:before="13"/>
        <w:rPr>
          <w:rFonts w:ascii="宋体" w:hAnsi="宋体" w:cs="宋体" w:eastAsia="宋体" w:hint="default"/>
          <w:sz w:val="22"/>
          <w:szCs w:val="22"/>
        </w:rPr>
      </w:pPr>
    </w:p>
    <w:p>
      <w:pPr>
        <w:pStyle w:val="Heading3"/>
        <w:spacing w:line="240" w:lineRule="auto"/>
        <w:ind w:left="575" w:right="106"/>
        <w:jc w:val="left"/>
        <w:rPr>
          <w:b w:val="0"/>
          <w:bCs w:val="0"/>
        </w:rPr>
      </w:pPr>
      <w:r>
        <w:rPr>
          <w:rFonts w:ascii="Times New Roman" w:hAnsi="Times New Roman" w:cs="Times New Roman" w:eastAsia="Times New Roman" w:hint="default"/>
        </w:rPr>
        <w:t>1</w:t>
      </w:r>
      <w:r>
        <w:rPr/>
        <w:t>、推进产品升级，做好技术革新</w:t>
      </w:r>
      <w:r>
        <w:rPr>
          <w:b w:val="0"/>
          <w:bCs w:val="0"/>
        </w:rPr>
      </w:r>
    </w:p>
    <w:p>
      <w:pPr>
        <w:pStyle w:val="BodyText"/>
        <w:spacing w:line="758" w:lineRule="exact" w:before="15"/>
        <w:ind w:left="575" w:right="106"/>
        <w:jc w:val="left"/>
      </w:pPr>
      <w:r>
        <w:rPr/>
        <w:t>（</w:t>
      </w:r>
      <w:r>
        <w:rPr>
          <w:rFonts w:ascii="宋体" w:hAnsi="宋体" w:cs="宋体" w:eastAsia="宋体" w:hint="default"/>
        </w:rPr>
        <w:t>1</w:t>
      </w:r>
      <w:r>
        <w:rPr/>
        <w:t>）产品计划</w:t>
      </w:r>
      <w:r>
        <w:rPr>
          <w:spacing w:val="-3"/>
          <w:w w:val="100"/>
        </w:rPr>
        <w:t> </w:t>
      </w:r>
      <w:r>
        <w:rPr/>
        <w:t>在</w:t>
      </w:r>
      <w:r>
        <w:rPr>
          <w:rFonts w:ascii="宋体" w:hAnsi="宋体" w:cs="宋体" w:eastAsia="宋体" w:hint="default"/>
        </w:rPr>
        <w:t>“</w:t>
      </w:r>
      <w:r>
        <w:rPr/>
        <w:t>互联网</w:t>
      </w:r>
      <w:r>
        <w:rPr>
          <w:rFonts w:ascii="宋体" w:hAnsi="宋体" w:cs="宋体" w:eastAsia="宋体" w:hint="default"/>
        </w:rPr>
        <w:t>+</w:t>
      </w:r>
      <w:r>
        <w:rPr/>
        <w:t>”与教学相结合的教育信息化的背景下，</w:t>
      </w:r>
      <w:r>
        <w:rPr>
          <w:rFonts w:ascii="宋体" w:hAnsi="宋体" w:cs="宋体" w:eastAsia="宋体" w:hint="default"/>
        </w:rPr>
        <w:t>2016</w:t>
      </w:r>
      <w:r>
        <w:rPr/>
        <w:t>年公司一方面将进一步推进精品资源的建</w:t>
      </w:r>
    </w:p>
    <w:p>
      <w:pPr>
        <w:pStyle w:val="BodyText"/>
        <w:spacing w:line="408" w:lineRule="auto" w:before="71"/>
        <w:ind w:right="188"/>
        <w:jc w:val="both"/>
      </w:pPr>
      <w:r>
        <w:rPr>
          <w:spacing w:val="-2"/>
        </w:rPr>
        <w:t>设，继续巩固强化公司在内容资源方面的优势，建立和完善语文、英语、数学等多学科、多版本的同步教</w:t>
      </w:r>
      <w:r>
        <w:rPr>
          <w:spacing w:val="-43"/>
        </w:rPr>
        <w:t> </w:t>
      </w:r>
      <w:r>
        <w:rPr>
          <w:spacing w:val="-43"/>
        </w:rPr>
      </w:r>
      <w:r>
        <w:rPr>
          <w:spacing w:val="-3"/>
        </w:rPr>
        <w:t>学资源开发，覆盖主流教学版本。另一方面，重点拓建</w:t>
      </w:r>
      <w:r>
        <w:rPr>
          <w:rFonts w:ascii="宋体" w:hAnsi="宋体" w:cs="宋体" w:eastAsia="宋体" w:hint="default"/>
          <w:spacing w:val="-3"/>
        </w:rPr>
        <w:t>“</w:t>
      </w:r>
      <w:r>
        <w:rPr>
          <w:spacing w:val="-3"/>
        </w:rPr>
        <w:t>优教学云服务整体教育解决方案</w:t>
      </w:r>
      <w:r>
        <w:rPr>
          <w:rFonts w:ascii="宋体" w:hAnsi="宋体" w:cs="宋体" w:eastAsia="宋体" w:hint="default"/>
          <w:spacing w:val="-3"/>
        </w:rPr>
        <w:t>”</w:t>
      </w:r>
      <w:r>
        <w:rPr>
          <w:spacing w:val="-3"/>
        </w:rPr>
        <w:t>体系，新增教</w:t>
      </w:r>
      <w:r>
        <w:rPr>
          <w:spacing w:val="-8"/>
        </w:rPr>
        <w:t> </w:t>
      </w:r>
      <w:r>
        <w:rPr>
          <w:spacing w:val="-8"/>
        </w:rPr>
      </w:r>
      <w:r>
        <w:rPr>
          <w:spacing w:val="-2"/>
        </w:rPr>
        <w:t>学任务系统，实现教学过程课前、课中和课后的全过程封覆盖；新增学业评价系统，为客户提供更专业的</w:t>
      </w:r>
      <w:r>
        <w:rPr>
          <w:spacing w:val="-50"/>
        </w:rPr>
        <w:t> </w:t>
      </w:r>
      <w:r>
        <w:rPr>
          <w:spacing w:val="-50"/>
        </w:rPr>
      </w:r>
      <w:r>
        <w:rPr>
          <w:spacing w:val="-2"/>
        </w:rPr>
        <w:t>评测功能，为教师、家长、学生和学校提供有针对性的评价报告，指导教学过程，提升教学效果。与此同</w:t>
      </w:r>
      <w:r>
        <w:rPr>
          <w:spacing w:val="-42"/>
        </w:rPr>
        <w:t> </w:t>
      </w:r>
      <w:r>
        <w:rPr>
          <w:spacing w:val="-42"/>
        </w:rPr>
      </w:r>
      <w:r>
        <w:rPr/>
        <w:t>时，公司将进一步实现互联网产品和无线终端产品的无缝对接，丰富</w:t>
      </w:r>
      <w:r>
        <w:rPr>
          <w:rFonts w:ascii="宋体" w:hAnsi="宋体" w:cs="宋体" w:eastAsia="宋体" w:hint="default"/>
        </w:rPr>
        <w:t>APP</w:t>
      </w:r>
      <w:r>
        <w:rPr/>
        <w:t>产品集群，对传统产品进行跨平</w:t>
      </w:r>
      <w:r>
        <w:rPr>
          <w:spacing w:val="-28"/>
        </w:rPr>
        <w:t> </w:t>
      </w:r>
      <w:r>
        <w:rPr>
          <w:spacing w:val="-28"/>
        </w:rPr>
      </w:r>
      <w:r>
        <w:rPr>
          <w:spacing w:val="-3"/>
        </w:rPr>
        <w:t>台升级，完成各应用端全覆盖，计划推出阳光课堂学生端、同步练等一系列新产品，满足学生在移动学习</w:t>
      </w:r>
      <w:r>
        <w:rPr>
          <w:spacing w:val="-14"/>
        </w:rPr>
        <w:t> </w:t>
      </w:r>
      <w:r>
        <w:rPr>
          <w:spacing w:val="-14"/>
        </w:rPr>
      </w:r>
      <w:r>
        <w:rPr>
          <w:spacing w:val="-2"/>
        </w:rPr>
        <w:t>方式下的学习需求。将</w:t>
      </w:r>
      <w:r>
        <w:rPr>
          <w:rFonts w:ascii="宋体" w:hAnsi="宋体" w:cs="宋体" w:eastAsia="宋体" w:hint="default"/>
          <w:spacing w:val="-2"/>
        </w:rPr>
        <w:t>“</w:t>
      </w:r>
      <w:r>
        <w:rPr>
          <w:spacing w:val="-2"/>
        </w:rPr>
        <w:t>软件</w:t>
      </w:r>
      <w:r>
        <w:rPr>
          <w:rFonts w:ascii="宋体" w:hAnsi="宋体" w:cs="宋体" w:eastAsia="宋体" w:hint="default"/>
          <w:spacing w:val="-2"/>
        </w:rPr>
        <w:t>+</w:t>
      </w:r>
      <w:r>
        <w:rPr>
          <w:spacing w:val="-2"/>
        </w:rPr>
        <w:t>内容</w:t>
      </w:r>
      <w:r>
        <w:rPr>
          <w:rFonts w:ascii="宋体" w:hAnsi="宋体" w:cs="宋体" w:eastAsia="宋体" w:hint="default"/>
          <w:spacing w:val="-2"/>
        </w:rPr>
        <w:t>+</w:t>
      </w:r>
      <w:r>
        <w:rPr>
          <w:spacing w:val="-2"/>
        </w:rPr>
        <w:t>硬件</w:t>
      </w:r>
      <w:r>
        <w:rPr>
          <w:rFonts w:ascii="宋体" w:hAnsi="宋体" w:cs="宋体" w:eastAsia="宋体" w:hint="default"/>
          <w:spacing w:val="-2"/>
        </w:rPr>
        <w:t>”</w:t>
      </w:r>
      <w:r>
        <w:rPr>
          <w:spacing w:val="-2"/>
        </w:rPr>
        <w:t>相融合，分别针对教育的</w:t>
      </w:r>
      <w:r>
        <w:rPr>
          <w:rFonts w:ascii="宋体" w:hAnsi="宋体" w:cs="宋体" w:eastAsia="宋体" w:hint="default"/>
          <w:spacing w:val="-2"/>
        </w:rPr>
        <w:t>“</w:t>
      </w:r>
      <w:r>
        <w:rPr>
          <w:spacing w:val="-2"/>
        </w:rPr>
        <w:t>学、练、测、评</w:t>
      </w:r>
      <w:r>
        <w:rPr>
          <w:rFonts w:ascii="宋体" w:hAnsi="宋体" w:cs="宋体" w:eastAsia="宋体" w:hint="default"/>
          <w:spacing w:val="-2"/>
        </w:rPr>
        <w:t>”</w:t>
      </w:r>
      <w:r>
        <w:rPr>
          <w:spacing w:val="-2"/>
        </w:rPr>
        <w:t>四个主要环节，</w:t>
      </w:r>
      <w:r>
        <w:rPr>
          <w:spacing w:val="-24"/>
        </w:rPr>
        <w:t> </w:t>
      </w:r>
      <w:r>
        <w:rPr>
          <w:spacing w:val="-24"/>
        </w:rPr>
      </w:r>
      <w:r>
        <w:rPr>
          <w:spacing w:val="-2"/>
        </w:rPr>
        <w:t>建立以金太阳</w:t>
      </w:r>
      <w:r>
        <w:rPr>
          <w:rFonts w:ascii="宋体" w:hAnsi="宋体" w:cs="宋体" w:eastAsia="宋体" w:hint="default"/>
          <w:spacing w:val="-2"/>
        </w:rPr>
        <w:t>Kingsun</w:t>
      </w:r>
      <w:r>
        <w:rPr>
          <w:spacing w:val="-2"/>
        </w:rPr>
        <w:t>产品体系为核心的教育教学服务系统，打造</w:t>
      </w:r>
      <w:r>
        <w:rPr>
          <w:rFonts w:ascii="宋体" w:hAnsi="宋体" w:cs="宋体" w:eastAsia="宋体" w:hint="default"/>
          <w:spacing w:val="-2"/>
        </w:rPr>
        <w:t>K12</w:t>
      </w:r>
      <w:r>
        <w:rPr>
          <w:spacing w:val="-2"/>
        </w:rPr>
        <w:t>在线教育垂直领域</w:t>
      </w:r>
      <w:r>
        <w:rPr>
          <w:rFonts w:ascii="宋体" w:hAnsi="宋体" w:cs="宋体" w:eastAsia="宋体" w:hint="default"/>
          <w:spacing w:val="-2"/>
        </w:rPr>
        <w:t>2B2C2O</w:t>
      </w:r>
      <w:r>
        <w:rPr>
          <w:spacing w:val="-2"/>
        </w:rPr>
        <w:t>多向服务平</w:t>
      </w:r>
      <w:r>
        <w:rPr>
          <w:spacing w:val="-34"/>
        </w:rPr>
        <w:t> </w:t>
      </w:r>
      <w:r>
        <w:rPr>
          <w:spacing w:val="-34"/>
        </w:rPr>
      </w:r>
      <w:r>
        <w:rPr/>
        <w:t>台。</w:t>
      </w:r>
    </w:p>
    <w:p>
      <w:pPr>
        <w:spacing w:line="240" w:lineRule="auto" w:before="7"/>
        <w:rPr>
          <w:rFonts w:ascii="宋体" w:hAnsi="宋体" w:cs="宋体" w:eastAsia="宋体" w:hint="default"/>
          <w:sz w:val="25"/>
          <w:szCs w:val="25"/>
        </w:rPr>
      </w:pPr>
    </w:p>
    <w:p>
      <w:pPr>
        <w:pStyle w:val="BodyText"/>
        <w:spacing w:line="240" w:lineRule="auto" w:before="0"/>
        <w:ind w:left="575" w:right="106"/>
        <w:jc w:val="left"/>
      </w:pPr>
      <w:r>
        <w:rPr/>
        <w:t>（</w:t>
      </w:r>
      <w:r>
        <w:rPr>
          <w:rFonts w:ascii="宋体" w:hAnsi="宋体" w:cs="宋体" w:eastAsia="宋体" w:hint="default"/>
        </w:rPr>
        <w:t>2</w:t>
      </w:r>
      <w:r>
        <w:rPr/>
        <w:t>）研发计划：</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408" w:lineRule="auto" w:before="0"/>
        <w:ind w:right="206" w:firstLine="422"/>
        <w:jc w:val="both"/>
      </w:pPr>
      <w:r>
        <w:rPr>
          <w:spacing w:val="-3"/>
        </w:rPr>
        <w:t>强化移动互联数字媒体信息处理技术</w:t>
      </w:r>
      <w:r>
        <w:rPr>
          <w:rFonts w:ascii="宋体" w:hAnsi="宋体" w:cs="宋体" w:eastAsia="宋体" w:hint="default"/>
          <w:spacing w:val="-3"/>
        </w:rPr>
        <w:t>,</w:t>
      </w:r>
      <w:r>
        <w:rPr>
          <w:spacing w:val="-3"/>
        </w:rPr>
        <w:t>包括模拟媒体信息的数字化、高效的压缩编码技术</w:t>
      </w:r>
      <w:r>
        <w:rPr>
          <w:rFonts w:ascii="宋体" w:hAnsi="宋体" w:cs="宋体" w:eastAsia="宋体" w:hint="default"/>
          <w:spacing w:val="-3"/>
        </w:rPr>
        <w:t>,</w:t>
      </w:r>
      <w:r>
        <w:rPr>
          <w:spacing w:val="-3"/>
        </w:rPr>
        <w:t>以及数字媒</w:t>
      </w:r>
      <w:r>
        <w:rPr>
          <w:spacing w:val="-3"/>
          <w:w w:val="100"/>
        </w:rPr>
        <w:t> </w:t>
      </w:r>
      <w:r>
        <w:rPr>
          <w:spacing w:val="-2"/>
        </w:rPr>
        <w:t>体信息的特征提取、分类与识别技术等，提升公司关键技术竞争力。研究和分析移动互联数字媒体资源在</w:t>
      </w:r>
      <w:r>
        <w:rPr>
          <w:spacing w:val="-44"/>
        </w:rPr>
        <w:t> </w:t>
      </w:r>
      <w:r>
        <w:rPr>
          <w:spacing w:val="-44"/>
        </w:rPr>
      </w:r>
      <w:r>
        <w:rPr/>
        <w:t>不同平台下对硬件资源占用，对数字媒体开发引擎进行匹配及优化。不断优化公司</w:t>
      </w:r>
      <w:r>
        <w:rPr>
          <w:rFonts w:ascii="宋体" w:hAnsi="宋体" w:cs="宋体" w:eastAsia="宋体" w:hint="default"/>
        </w:rPr>
        <w:t>APP</w:t>
      </w:r>
      <w:r>
        <w:rPr/>
        <w:t>集群，嵌入时下先</w:t>
      </w:r>
      <w:r>
        <w:rPr>
          <w:spacing w:val="-29"/>
        </w:rPr>
        <w:t> </w:t>
      </w:r>
      <w:r>
        <w:rPr>
          <w:spacing w:val="-29"/>
        </w:rPr>
      </w:r>
      <w:r>
        <w:rPr>
          <w:spacing w:val="-2"/>
        </w:rPr>
        <w:t>进移动技术，形成公司自有产品特色；进一步加强跨平台技术和框架的研究，实现同一套代码完成不同平</w:t>
      </w:r>
    </w:p>
    <w:p>
      <w:pPr>
        <w:spacing w:after="0" w:line="408" w:lineRule="auto"/>
        <w:jc w:val="both"/>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left="153" w:right="106" w:hanging="1"/>
        <w:jc w:val="left"/>
      </w:pPr>
      <w:r>
        <w:rPr>
          <w:spacing w:val="-2"/>
        </w:rPr>
        <w:t>台产品，提高研发效率。实现</w:t>
      </w:r>
      <w:r>
        <w:rPr>
          <w:rFonts w:ascii="宋体" w:hAnsi="宋体" w:cs="宋体" w:eastAsia="宋体" w:hint="default"/>
          <w:spacing w:val="-2"/>
        </w:rPr>
        <w:t>PC</w:t>
      </w:r>
      <w:r>
        <w:rPr>
          <w:spacing w:val="-2"/>
        </w:rPr>
        <w:t>客户端产品和移动</w:t>
      </w:r>
      <w:r>
        <w:rPr>
          <w:rFonts w:ascii="宋体" w:hAnsi="宋体" w:cs="宋体" w:eastAsia="宋体" w:hint="default"/>
          <w:spacing w:val="-2"/>
        </w:rPr>
        <w:t>APP</w:t>
      </w:r>
      <w:r>
        <w:rPr>
          <w:spacing w:val="-2"/>
        </w:rPr>
        <w:t>互补的形态，进一步形成以</w:t>
      </w:r>
      <w:r>
        <w:rPr>
          <w:rFonts w:ascii="宋体" w:hAnsi="宋体" w:cs="宋体" w:eastAsia="宋体" w:hint="default"/>
          <w:spacing w:val="-2"/>
        </w:rPr>
        <w:t>PC</w:t>
      </w:r>
      <w:r>
        <w:rPr>
          <w:spacing w:val="-2"/>
        </w:rPr>
        <w:t>客户端和移动</w:t>
      </w:r>
      <w:r>
        <w:rPr>
          <w:rFonts w:ascii="宋体" w:hAnsi="宋体" w:cs="宋体" w:eastAsia="宋体" w:hint="default"/>
          <w:spacing w:val="-2"/>
        </w:rPr>
        <w:t>APP</w:t>
      </w:r>
      <w:r>
        <w:rPr>
          <w:spacing w:val="-2"/>
        </w:rPr>
        <w:t>为支</w:t>
      </w:r>
      <w:r>
        <w:rPr>
          <w:spacing w:val="-45"/>
        </w:rPr>
        <w:t> </w:t>
      </w:r>
      <w:r>
        <w:rPr/>
        <w:t>撑的</w:t>
      </w:r>
      <w:r>
        <w:rPr>
          <w:rFonts w:ascii="宋体" w:hAnsi="宋体" w:cs="宋体" w:eastAsia="宋体" w:hint="default"/>
        </w:rPr>
        <w:t>MOD</w:t>
      </w:r>
      <w:r>
        <w:rPr/>
        <w:t>平台，实现</w:t>
      </w:r>
      <w:r>
        <w:rPr>
          <w:rFonts w:ascii="宋体" w:hAnsi="宋体" w:cs="宋体" w:eastAsia="宋体" w:hint="default"/>
        </w:rPr>
        <w:t>PAD</w:t>
      </w:r>
      <w:r>
        <w:rPr/>
        <w:t>、手机、</w:t>
      </w:r>
      <w:r>
        <w:rPr>
          <w:rFonts w:ascii="宋体" w:hAnsi="宋体" w:cs="宋体" w:eastAsia="宋体" w:hint="default"/>
        </w:rPr>
        <w:t>Web</w:t>
      </w:r>
      <w:r>
        <w:rPr/>
        <w:t>等多平台互通使用。</w:t>
      </w:r>
    </w:p>
    <w:p>
      <w:pPr>
        <w:spacing w:line="240" w:lineRule="auto" w:before="11"/>
        <w:rPr>
          <w:rFonts w:ascii="宋体" w:hAnsi="宋体" w:cs="宋体" w:eastAsia="宋体" w:hint="default"/>
          <w:sz w:val="19"/>
          <w:szCs w:val="19"/>
        </w:rPr>
      </w:pPr>
    </w:p>
    <w:p>
      <w:pPr>
        <w:pStyle w:val="Heading3"/>
        <w:spacing w:line="240" w:lineRule="auto"/>
        <w:ind w:left="575" w:right="106"/>
        <w:jc w:val="left"/>
        <w:rPr>
          <w:b w:val="0"/>
          <w:bCs w:val="0"/>
        </w:rPr>
      </w:pPr>
      <w:r>
        <w:rPr>
          <w:rFonts w:ascii="Times New Roman" w:hAnsi="Times New Roman" w:cs="Times New Roman" w:eastAsia="Times New Roman" w:hint="default"/>
        </w:rPr>
        <w:t>2</w:t>
      </w:r>
      <w:r>
        <w:rPr/>
        <w:t>、加快推进投资并购，持续推动外延式发展</w:t>
      </w:r>
      <w:r>
        <w:rPr>
          <w:b w:val="0"/>
          <w:bCs w:val="0"/>
        </w:rPr>
      </w:r>
    </w:p>
    <w:p>
      <w:pPr>
        <w:spacing w:line="240" w:lineRule="auto" w:before="9"/>
        <w:rPr>
          <w:rFonts w:ascii="宋体" w:hAnsi="宋体" w:cs="宋体" w:eastAsia="宋体" w:hint="default"/>
          <w:b/>
          <w:bCs/>
          <w:sz w:val="29"/>
          <w:szCs w:val="29"/>
        </w:rPr>
      </w:pPr>
    </w:p>
    <w:p>
      <w:pPr>
        <w:pStyle w:val="BodyText"/>
        <w:spacing w:line="408" w:lineRule="auto" w:before="0"/>
        <w:ind w:right="106" w:firstLine="422"/>
        <w:jc w:val="left"/>
      </w:pPr>
      <w:r>
        <w:rPr>
          <w:rFonts w:ascii="宋体" w:hAnsi="宋体" w:cs="宋体" w:eastAsia="宋体" w:hint="default"/>
          <w:spacing w:val="-3"/>
        </w:rPr>
        <w:t>2016</w:t>
      </w:r>
      <w:r>
        <w:rPr>
          <w:spacing w:val="-3"/>
        </w:rPr>
        <w:t>年，公司将总结之前并购重组经验，在未来经营中，继续遵循内生式增长与外延式扩张相结合的</w:t>
      </w:r>
      <w:r>
        <w:rPr>
          <w:spacing w:val="-3"/>
          <w:w w:val="100"/>
        </w:rPr>
        <w:t> </w:t>
      </w:r>
      <w:r>
        <w:rPr>
          <w:spacing w:val="-5"/>
        </w:rPr>
        <w:t>发展战略，在做好现有主营业务的基础上，积极寻求优质标的，通过兼并、收购等方式实现扩张的可能性，</w:t>
      </w:r>
      <w:r>
        <w:rPr>
          <w:spacing w:val="-9"/>
        </w:rPr>
        <w:t> </w:t>
      </w:r>
      <w:r>
        <w:rPr>
          <w:spacing w:val="-9"/>
        </w:rPr>
      </w:r>
      <w:r>
        <w:rPr>
          <w:spacing w:val="-5"/>
        </w:rPr>
        <w:t>重点推进并购重组教育、互联网相关企业，构建互联网教育产业链，推进公司向互联网教育企业全面转型， </w:t>
      </w:r>
      <w:r>
        <w:rPr>
          <w:spacing w:val="-5"/>
        </w:rPr>
      </w:r>
      <w:r>
        <w:rPr/>
        <w:t>寻找新的盈利增长点，提升公司综合竞争力，不断将企业做大做强。</w:t>
      </w:r>
    </w:p>
    <w:p>
      <w:pPr>
        <w:spacing w:line="240" w:lineRule="auto" w:before="7"/>
        <w:rPr>
          <w:rFonts w:ascii="宋体" w:hAnsi="宋体" w:cs="宋体" w:eastAsia="宋体" w:hint="default"/>
          <w:sz w:val="25"/>
          <w:szCs w:val="25"/>
        </w:rPr>
      </w:pPr>
    </w:p>
    <w:p>
      <w:pPr>
        <w:pStyle w:val="BodyText"/>
        <w:spacing w:line="408" w:lineRule="auto" w:before="0"/>
        <w:ind w:right="206" w:firstLine="422"/>
        <w:jc w:val="both"/>
      </w:pPr>
      <w:r>
        <w:rPr>
          <w:spacing w:val="-2"/>
        </w:rPr>
        <w:t>同时，公司将严格按照中国证监会和深交所的各项规定，规范、有效地使用募集资金，积极推进募投</w:t>
      </w:r>
      <w:r>
        <w:rPr>
          <w:w w:val="100"/>
        </w:rPr>
        <w:t> </w:t>
      </w:r>
      <w:r>
        <w:rPr>
          <w:spacing w:val="-2"/>
        </w:rPr>
        <w:t>项目建设，努力提高募集资金使用效率，尽快使募投项目产生效益。同时，公司将合理安排自有资金，积</w:t>
      </w:r>
      <w:r>
        <w:rPr>
          <w:spacing w:val="-43"/>
        </w:rPr>
        <w:t> </w:t>
      </w:r>
      <w:r>
        <w:rPr>
          <w:spacing w:val="-43"/>
        </w:rPr>
      </w:r>
      <w:r>
        <w:rPr/>
        <w:t>极筹备资本运作，收购或投资同行业公司，为公司的长远发展奠定基础。</w:t>
      </w:r>
    </w:p>
    <w:p>
      <w:pPr>
        <w:spacing w:line="240" w:lineRule="auto" w:before="11"/>
        <w:rPr>
          <w:rFonts w:ascii="宋体" w:hAnsi="宋体" w:cs="宋体" w:eastAsia="宋体" w:hint="default"/>
          <w:sz w:val="19"/>
          <w:szCs w:val="19"/>
        </w:rPr>
      </w:pPr>
    </w:p>
    <w:p>
      <w:pPr>
        <w:pStyle w:val="Heading3"/>
        <w:spacing w:line="240" w:lineRule="auto"/>
        <w:ind w:left="575" w:right="106"/>
        <w:jc w:val="left"/>
        <w:rPr>
          <w:b w:val="0"/>
          <w:bCs w:val="0"/>
        </w:rPr>
      </w:pPr>
      <w:r>
        <w:rPr>
          <w:rFonts w:ascii="Times New Roman" w:hAnsi="Times New Roman" w:cs="Times New Roman" w:eastAsia="Times New Roman" w:hint="default"/>
        </w:rPr>
        <w:t>3</w:t>
      </w:r>
      <w:r>
        <w:rPr/>
        <w:t>、市场发展计划</w:t>
      </w:r>
      <w:r>
        <w:rPr>
          <w:b w:val="0"/>
          <w:bCs w:val="0"/>
        </w:rPr>
      </w:r>
    </w:p>
    <w:p>
      <w:pPr>
        <w:spacing w:line="240" w:lineRule="auto" w:before="9"/>
        <w:rPr>
          <w:rFonts w:ascii="宋体" w:hAnsi="宋体" w:cs="宋体" w:eastAsia="宋体" w:hint="default"/>
          <w:b/>
          <w:bCs/>
          <w:sz w:val="29"/>
          <w:szCs w:val="29"/>
        </w:rPr>
      </w:pPr>
    </w:p>
    <w:p>
      <w:pPr>
        <w:pStyle w:val="BodyText"/>
        <w:spacing w:line="408" w:lineRule="auto" w:before="0"/>
        <w:ind w:right="207" w:firstLine="422"/>
        <w:jc w:val="both"/>
      </w:pPr>
      <w:r>
        <w:rPr/>
        <w:t>（</w:t>
      </w:r>
      <w:r>
        <w:rPr>
          <w:rFonts w:ascii="宋体" w:hAnsi="宋体" w:cs="宋体" w:eastAsia="宋体" w:hint="default"/>
        </w:rPr>
        <w:t>1</w:t>
      </w:r>
      <w:r>
        <w:rPr/>
        <w:t>）结合现有教育信息化市场趋势，推动业务模式的升级，重点推广</w:t>
      </w:r>
      <w:r>
        <w:rPr>
          <w:spacing w:val="-31"/>
        </w:rPr>
        <w:t> </w:t>
      </w:r>
      <w:r>
        <w:rPr>
          <w:rFonts w:ascii="宋体" w:hAnsi="宋体" w:cs="宋体" w:eastAsia="宋体" w:hint="default"/>
        </w:rPr>
        <w:t>“</w:t>
      </w:r>
      <w:r>
        <w:rPr/>
        <w:t>优教学云服务整体教育解决</w:t>
      </w:r>
      <w:r>
        <w:rPr>
          <w:w w:val="100"/>
        </w:rPr>
        <w:t> </w:t>
      </w:r>
      <w:r>
        <w:rPr>
          <w:spacing w:val="-2"/>
        </w:rPr>
        <w:t>方案</w:t>
      </w:r>
      <w:r>
        <w:rPr>
          <w:rFonts w:ascii="宋体" w:hAnsi="宋体" w:cs="宋体" w:eastAsia="宋体" w:hint="default"/>
          <w:spacing w:val="-2"/>
        </w:rPr>
        <w:t>”</w:t>
      </w:r>
      <w:r>
        <w:rPr>
          <w:spacing w:val="-2"/>
        </w:rPr>
        <w:t>，发展下游代理商，提升优教学市场覆盖率，并加强对教师端、学生端的产品服务升级，促使更多</w:t>
      </w:r>
      <w:r>
        <w:rPr>
          <w:spacing w:val="-43"/>
        </w:rPr>
        <w:t> </w:t>
      </w:r>
      <w:r>
        <w:rPr>
          <w:spacing w:val="-43"/>
        </w:rPr>
      </w:r>
      <w:r>
        <w:rPr/>
        <w:t>的使用用户转化为购买用户，从而带动</w:t>
      </w:r>
      <w:r>
        <w:rPr>
          <w:rFonts w:ascii="宋体" w:hAnsi="宋体" w:cs="宋体" w:eastAsia="宋体" w:hint="default"/>
        </w:rPr>
        <w:t>2B2C</w:t>
      </w:r>
      <w:r>
        <w:rPr/>
        <w:t>的市场渗透率的提升。</w:t>
      </w:r>
    </w:p>
    <w:p>
      <w:pPr>
        <w:spacing w:line="240" w:lineRule="auto" w:before="9"/>
        <w:rPr>
          <w:rFonts w:ascii="宋体" w:hAnsi="宋体" w:cs="宋体" w:eastAsia="宋体" w:hint="default"/>
          <w:sz w:val="25"/>
          <w:szCs w:val="25"/>
        </w:rPr>
      </w:pPr>
    </w:p>
    <w:p>
      <w:pPr>
        <w:pStyle w:val="BodyText"/>
        <w:spacing w:line="408" w:lineRule="auto" w:before="0"/>
        <w:ind w:right="206" w:firstLine="422"/>
        <w:jc w:val="both"/>
      </w:pPr>
      <w:r>
        <w:rPr/>
        <w:t>（</w:t>
      </w:r>
      <w:r>
        <w:rPr>
          <w:rFonts w:ascii="宋体" w:hAnsi="宋体" w:cs="宋体" w:eastAsia="宋体" w:hint="default"/>
        </w:rPr>
        <w:t>2</w:t>
      </w:r>
      <w:r>
        <w:rPr/>
        <w:t>）重点城市的开拓与建设：继续加强北京、上海、深圳、广州等一线城市及部分二线城市渗透发</w:t>
      </w:r>
      <w:r>
        <w:rPr>
          <w:w w:val="100"/>
        </w:rPr>
        <w:t> </w:t>
      </w:r>
      <w:r>
        <w:rPr>
          <w:spacing w:val="-2"/>
        </w:rPr>
        <w:t>展，通过由一线城市向二三线城市复制，提升公司产品市场占有率，通过原有传统产品积累的用户群体逐</w:t>
      </w:r>
      <w:r>
        <w:rPr>
          <w:spacing w:val="-44"/>
        </w:rPr>
        <w:t> </w:t>
      </w:r>
      <w:r>
        <w:rPr>
          <w:spacing w:val="-44"/>
        </w:rPr>
      </w:r>
      <w:r>
        <w:rPr/>
        <w:t>步向互联网服务体系转化，加速新产品在客户群体的渗透推广。</w:t>
      </w:r>
    </w:p>
    <w:p>
      <w:pPr>
        <w:spacing w:line="240" w:lineRule="auto" w:before="9"/>
        <w:rPr>
          <w:rFonts w:ascii="宋体" w:hAnsi="宋体" w:cs="宋体" w:eastAsia="宋体" w:hint="default"/>
          <w:sz w:val="25"/>
          <w:szCs w:val="25"/>
        </w:rPr>
      </w:pPr>
    </w:p>
    <w:p>
      <w:pPr>
        <w:pStyle w:val="BodyText"/>
        <w:spacing w:line="408" w:lineRule="auto" w:before="0"/>
        <w:ind w:right="106" w:firstLine="422"/>
        <w:jc w:val="left"/>
      </w:pPr>
      <w:r>
        <w:rPr/>
        <w:t>（</w:t>
      </w:r>
      <w:r>
        <w:rPr>
          <w:rFonts w:ascii="宋体" w:hAnsi="宋体" w:cs="宋体" w:eastAsia="宋体" w:hint="default"/>
        </w:rPr>
        <w:t>3</w:t>
      </w:r>
      <w:r>
        <w:rPr/>
        <w:t>）加强多渠道顶层设计建设，构建全网营销型模式。一方面通过在各大电子商务平台，如天猫、</w:t>
      </w:r>
      <w:r>
        <w:rPr>
          <w:w w:val="100"/>
        </w:rPr>
        <w:t> </w:t>
      </w:r>
      <w:r>
        <w:rPr>
          <w:spacing w:val="-5"/>
        </w:rPr>
        <w:t>京东、当当、新华体系等大型电商平台开设旗舰店，同时不断优化升级自建商城，通过线上销售渠道铺设，</w:t>
      </w:r>
      <w:r>
        <w:rPr>
          <w:spacing w:val="-22"/>
        </w:rPr>
        <w:t> </w:t>
      </w:r>
      <w:r>
        <w:rPr>
          <w:spacing w:val="-22"/>
        </w:rPr>
      </w:r>
      <w:r>
        <w:rPr>
          <w:spacing w:val="-3"/>
        </w:rPr>
        <w:t>与传统线下直销相结合，拓展产品覆盖率，实现全网营销。另一方面加强与中国移动、中国电信等运营商</w:t>
      </w:r>
      <w:r>
        <w:rPr>
          <w:spacing w:val="-14"/>
        </w:rPr>
        <w:t> </w:t>
      </w:r>
      <w:r>
        <w:rPr>
          <w:spacing w:val="-14"/>
        </w:rPr>
      </w:r>
      <w:r>
        <w:rPr/>
        <w:t>合作，利用运营商渠道进行产品推广。</w:t>
      </w:r>
    </w:p>
    <w:p>
      <w:pPr>
        <w:spacing w:line="240" w:lineRule="auto" w:before="9"/>
        <w:rPr>
          <w:rFonts w:ascii="宋体" w:hAnsi="宋体" w:cs="宋体" w:eastAsia="宋体" w:hint="default"/>
          <w:sz w:val="25"/>
          <w:szCs w:val="25"/>
        </w:rPr>
      </w:pPr>
    </w:p>
    <w:p>
      <w:pPr>
        <w:pStyle w:val="BodyText"/>
        <w:spacing w:line="408" w:lineRule="auto" w:before="0"/>
        <w:ind w:right="206" w:firstLine="422"/>
        <w:jc w:val="both"/>
      </w:pPr>
      <w:r>
        <w:rPr/>
        <w:t>（</w:t>
      </w:r>
      <w:r>
        <w:rPr>
          <w:rFonts w:ascii="宋体" w:hAnsi="宋体" w:cs="宋体" w:eastAsia="宋体" w:hint="default"/>
        </w:rPr>
        <w:t>4</w:t>
      </w:r>
      <w:r>
        <w:rPr/>
        <w:t>）数字出版开发服务：积极发展数字出版后端市场，利用网络及移动应用技术，为出版社提供全</w:t>
      </w:r>
      <w:r>
        <w:rPr>
          <w:w w:val="100"/>
        </w:rPr>
        <w:t> </w:t>
      </w:r>
      <w:r>
        <w:rPr>
          <w:spacing w:val="-3"/>
        </w:rPr>
        <w:t>方位的数字资源开发服务、平台建设服务。帮助出版社为教育主管部门、学校、师生教学资源数字化的立</w:t>
      </w:r>
      <w:r>
        <w:rPr>
          <w:spacing w:val="-9"/>
        </w:rPr>
        <w:t> </w:t>
      </w:r>
      <w:r>
        <w:rPr>
          <w:spacing w:val="-9"/>
        </w:rPr>
      </w:r>
      <w:r>
        <w:rPr>
          <w:spacing w:val="-2"/>
        </w:rPr>
        <w:t>体服务，让出版社的数字资源支持各类终端设备，为师生提供在原有基础上拥有更多的网络教学资源及移</w:t>
      </w:r>
      <w:r>
        <w:rPr>
          <w:spacing w:val="-43"/>
        </w:rPr>
        <w:t> </w:t>
      </w:r>
      <w:r>
        <w:rPr>
          <w:spacing w:val="-43"/>
        </w:rPr>
      </w:r>
      <w:r>
        <w:rPr/>
        <w:t>动应用服务，为学校提供教学管理、教学评估的平台及数据支持。</w:t>
      </w:r>
    </w:p>
    <w:p>
      <w:pPr>
        <w:spacing w:after="0" w:line="408" w:lineRule="auto"/>
        <w:jc w:val="both"/>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209" w:firstLine="422"/>
        <w:jc w:val="both"/>
      </w:pPr>
      <w:r>
        <w:rPr/>
        <w:t>（</w:t>
      </w:r>
      <w:r>
        <w:rPr>
          <w:rFonts w:ascii="宋体" w:hAnsi="宋体" w:cs="宋体" w:eastAsia="宋体" w:hint="default"/>
        </w:rPr>
        <w:t>5</w:t>
      </w:r>
      <w:r>
        <w:rPr/>
        <w:t>）线上线下同步推动：通过组织以资源建设为目标的教研课题活动，以教学研究、资源应用为核</w:t>
      </w:r>
      <w:r>
        <w:rPr>
          <w:w w:val="100"/>
        </w:rPr>
        <w:t> </w:t>
      </w:r>
      <w:r>
        <w:rPr/>
        <w:t>心的教学实践活动以及优化课堂教学为目的的全国示范课等线上线下赛事活动，构建以金太阳</w:t>
      </w:r>
      <w:r>
        <w:rPr>
          <w:rFonts w:ascii="宋体" w:hAnsi="宋体" w:cs="宋体" w:eastAsia="宋体" w:hint="default"/>
        </w:rPr>
        <w:t>Kingsun</w:t>
      </w:r>
      <w:r>
        <w:rPr/>
        <w:t>品</w:t>
      </w:r>
      <w:r>
        <w:rPr>
          <w:spacing w:val="-27"/>
        </w:rPr>
        <w:t> </w:t>
      </w:r>
      <w:r>
        <w:rPr>
          <w:spacing w:val="-3"/>
        </w:rPr>
        <w:t>牌为核心的教育教学服务体系，从而增加客户粘性，进一步提升品牌影响力，从而帮助渠道商提升市场份</w:t>
      </w:r>
      <w:r>
        <w:rPr>
          <w:spacing w:val="-6"/>
        </w:rPr>
        <w:t> </w:t>
      </w:r>
      <w:r>
        <w:rPr>
          <w:spacing w:val="-6"/>
        </w:rPr>
      </w:r>
      <w:r>
        <w:rPr/>
        <w:t>额和销售额。</w:t>
      </w:r>
    </w:p>
    <w:p>
      <w:pPr>
        <w:spacing w:line="240" w:lineRule="auto" w:before="11"/>
        <w:rPr>
          <w:rFonts w:ascii="宋体" w:hAnsi="宋体" w:cs="宋体" w:eastAsia="宋体" w:hint="default"/>
          <w:sz w:val="19"/>
          <w:szCs w:val="19"/>
        </w:rPr>
      </w:pPr>
    </w:p>
    <w:p>
      <w:pPr>
        <w:pStyle w:val="Heading3"/>
        <w:spacing w:line="240" w:lineRule="auto"/>
        <w:ind w:left="575" w:right="106"/>
        <w:jc w:val="left"/>
        <w:rPr>
          <w:b w:val="0"/>
          <w:bCs w:val="0"/>
        </w:rPr>
      </w:pPr>
      <w:r>
        <w:rPr>
          <w:rFonts w:ascii="Times New Roman" w:hAnsi="Times New Roman" w:cs="Times New Roman" w:eastAsia="Times New Roman" w:hint="default"/>
        </w:rPr>
        <w:t>4</w:t>
      </w:r>
      <w:r>
        <w:rPr/>
        <w:t>、人力资源计划</w:t>
      </w:r>
      <w:r>
        <w:rPr>
          <w:b w:val="0"/>
          <w:bCs w:val="0"/>
        </w:rPr>
      </w:r>
    </w:p>
    <w:p>
      <w:pPr>
        <w:spacing w:line="240" w:lineRule="auto" w:before="9"/>
        <w:rPr>
          <w:rFonts w:ascii="宋体" w:hAnsi="宋体" w:cs="宋体" w:eastAsia="宋体" w:hint="default"/>
          <w:b/>
          <w:bCs/>
          <w:sz w:val="29"/>
          <w:szCs w:val="29"/>
        </w:rPr>
      </w:pPr>
    </w:p>
    <w:p>
      <w:pPr>
        <w:pStyle w:val="BodyText"/>
        <w:spacing w:line="408" w:lineRule="auto" w:before="0"/>
        <w:ind w:right="106" w:firstLine="422"/>
        <w:jc w:val="left"/>
      </w:pPr>
      <w:r>
        <w:rPr>
          <w:rFonts w:ascii="宋体" w:hAnsi="宋体" w:cs="宋体" w:eastAsia="宋体" w:hint="default"/>
          <w:spacing w:val="-2"/>
        </w:rPr>
        <w:t>2016</w:t>
      </w:r>
      <w:r>
        <w:rPr>
          <w:spacing w:val="-2"/>
        </w:rPr>
        <w:t>年，公司将持续坚持人才战略优于财务战略的人力资源战略体系。建立和培养有竞争力的优秀人</w:t>
      </w:r>
      <w:r>
        <w:rPr>
          <w:w w:val="100"/>
        </w:rPr>
        <w:t> </w:t>
      </w:r>
      <w:r>
        <w:rPr>
          <w:spacing w:val="-2"/>
        </w:rPr>
        <w:t>才梯队，持续推进公司现有的职业化树状管理模式向产品经理制项目管理模式转变，建立以产品经理为主</w:t>
      </w:r>
      <w:r>
        <w:rPr>
          <w:spacing w:val="-50"/>
        </w:rPr>
        <w:t> </w:t>
      </w:r>
      <w:r>
        <w:rPr>
          <w:spacing w:val="-50"/>
        </w:rPr>
      </w:r>
      <w:r>
        <w:rPr>
          <w:spacing w:val="-3"/>
        </w:rPr>
        <w:t>的绩效体系，让更多的优秀人才成长起来。新的项目、新的渠道也急需引进人才储备，特别是具有互联网</w:t>
      </w:r>
      <w:r>
        <w:rPr>
          <w:spacing w:val="-13"/>
        </w:rPr>
        <w:t> </w:t>
      </w:r>
      <w:r>
        <w:rPr>
          <w:spacing w:val="-13"/>
        </w:rPr>
      </w:r>
      <w:r>
        <w:rPr>
          <w:spacing w:val="-5"/>
        </w:rPr>
        <w:t>思维，具有拼搏精神及专业素质的营销人才和技术人才，打造一支高素质、高执行、高战斗力的人才队伍。</w:t>
      </w:r>
      <w:r>
        <w:rPr>
          <w:spacing w:val="-20"/>
        </w:rPr>
        <w:t> </w:t>
      </w:r>
      <w:r>
        <w:rPr>
          <w:spacing w:val="-20"/>
        </w:rPr>
      </w:r>
      <w:r>
        <w:rPr>
          <w:spacing w:val="-2"/>
        </w:rPr>
        <w:t>在完善员工晋升机制的同时，加强员工学习新知识新技能的意识，追求精益求精的企业文化。坚持优化员</w:t>
      </w:r>
      <w:r>
        <w:rPr>
          <w:spacing w:val="-44"/>
        </w:rPr>
        <w:t> </w:t>
      </w:r>
      <w:r>
        <w:rPr>
          <w:spacing w:val="-44"/>
        </w:rPr>
      </w:r>
      <w:r>
        <w:rPr/>
        <w:t>工薪酬结构，完善股权激励体系，坚定地实施人才发展优于财务发展的道路。</w:t>
      </w:r>
    </w:p>
    <w:p>
      <w:pPr>
        <w:spacing w:line="240" w:lineRule="auto" w:before="9"/>
        <w:rPr>
          <w:rFonts w:ascii="宋体" w:hAnsi="宋体" w:cs="宋体" w:eastAsia="宋体" w:hint="default"/>
          <w:sz w:val="19"/>
          <w:szCs w:val="19"/>
        </w:rPr>
      </w:pPr>
    </w:p>
    <w:p>
      <w:pPr>
        <w:pStyle w:val="Heading3"/>
        <w:spacing w:line="240" w:lineRule="auto"/>
        <w:ind w:left="575" w:right="106"/>
        <w:jc w:val="left"/>
        <w:rPr>
          <w:b w:val="0"/>
          <w:bCs w:val="0"/>
        </w:rPr>
      </w:pPr>
      <w:r>
        <w:rPr>
          <w:rFonts w:ascii="Times New Roman" w:hAnsi="Times New Roman" w:cs="Times New Roman" w:eastAsia="Times New Roman" w:hint="default"/>
        </w:rPr>
        <w:t>5</w:t>
      </w:r>
      <w:r>
        <w:rPr/>
        <w:t>、内部管理计划</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1"/>
        <w:ind w:right="209" w:firstLine="420"/>
        <w:jc w:val="both"/>
      </w:pPr>
      <w:r>
        <w:rPr>
          <w:spacing w:val="-3"/>
        </w:rPr>
        <w:t>按照百年企业质量至上的原则，为进一步提高质量管理水平。深入开展质量文化建设工作，进一步提</w:t>
      </w:r>
      <w:r>
        <w:rPr>
          <w:spacing w:val="-3"/>
          <w:w w:val="100"/>
        </w:rPr>
        <w:t> </w:t>
      </w:r>
      <w:r>
        <w:rPr>
          <w:spacing w:val="-2"/>
        </w:rPr>
        <w:t>高员工的精品质量意识。促使公司的</w:t>
      </w:r>
      <w:r>
        <w:rPr>
          <w:spacing w:val="50"/>
        </w:rPr>
        <w:t> </w:t>
      </w:r>
      <w:r>
        <w:rPr>
          <w:rFonts w:ascii="宋体" w:hAnsi="宋体" w:cs="宋体" w:eastAsia="宋体" w:hint="default"/>
          <w:spacing w:val="-2"/>
        </w:rPr>
        <w:t>“KINGSUN”</w:t>
      </w:r>
      <w:r>
        <w:rPr>
          <w:spacing w:val="-2"/>
        </w:rPr>
        <w:t>品牌发挥核心竞争力的作用，建立品牌战略下的高效质</w:t>
      </w:r>
      <w:r>
        <w:rPr>
          <w:spacing w:val="-92"/>
        </w:rPr>
        <w:t> </w:t>
      </w:r>
      <w:r>
        <w:rPr>
          <w:spacing w:val="-92"/>
        </w:rPr>
      </w:r>
      <w:r>
        <w:rPr>
          <w:spacing w:val="-3"/>
        </w:rPr>
        <w:t>量体系。为确保方直销售业绩稳步增长，加强员工培训，提升员工素质，健全员工任职资格和职业发展规</w:t>
      </w:r>
      <w:r>
        <w:rPr>
          <w:spacing w:val="-10"/>
        </w:rPr>
        <w:t> </w:t>
      </w:r>
      <w:r>
        <w:rPr>
          <w:spacing w:val="-10"/>
        </w:rPr>
      </w:r>
      <w:r>
        <w:rPr/>
        <w:t>划体系，建立利益分享机制将是</w:t>
      </w:r>
      <w:r>
        <w:rPr>
          <w:rFonts w:ascii="宋体" w:hAnsi="宋体" w:cs="宋体" w:eastAsia="宋体" w:hint="default"/>
        </w:rPr>
        <w:t>2016</w:t>
      </w:r>
      <w:r>
        <w:rPr/>
        <w:t>年公司内部管理工作的重要组成部分。</w:t>
      </w:r>
    </w:p>
    <w:p>
      <w:pPr>
        <w:spacing w:line="240" w:lineRule="auto" w:before="9"/>
        <w:rPr>
          <w:rFonts w:ascii="宋体" w:hAnsi="宋体" w:cs="宋体" w:eastAsia="宋体" w:hint="default"/>
          <w:sz w:val="23"/>
          <w:szCs w:val="23"/>
        </w:rPr>
      </w:pPr>
    </w:p>
    <w:p>
      <w:pPr>
        <w:pStyle w:val="Heading3"/>
        <w:spacing w:line="240" w:lineRule="auto"/>
        <w:ind w:left="575" w:right="106"/>
        <w:jc w:val="left"/>
        <w:rPr>
          <w:b w:val="0"/>
          <w:bCs w:val="0"/>
        </w:rPr>
      </w:pPr>
      <w:r>
        <w:rPr/>
        <w:t>（五）、公司未来发展可能面临的风险</w:t>
      </w:r>
      <w:r>
        <w:rPr>
          <w:b w:val="0"/>
          <w:bCs w:val="0"/>
        </w:rPr>
      </w:r>
    </w:p>
    <w:p>
      <w:pPr>
        <w:pStyle w:val="BodyText"/>
        <w:spacing w:line="720" w:lineRule="exact" w:before="45"/>
        <w:ind w:left="572" w:right="106" w:firstLine="2"/>
        <w:jc w:val="left"/>
      </w:pPr>
      <w:r>
        <w:rPr>
          <w:rFonts w:ascii="Times New Roman" w:hAnsi="Times New Roman" w:cs="Times New Roman" w:eastAsia="Times New Roman" w:hint="default"/>
          <w:b/>
          <w:bCs/>
        </w:rPr>
        <w:t>1</w:t>
      </w:r>
      <w:r>
        <w:rPr>
          <w:rFonts w:ascii="宋体" w:hAnsi="宋体" w:cs="宋体" w:eastAsia="宋体" w:hint="default"/>
          <w:b/>
          <w:bCs/>
        </w:rPr>
        <w:t>、宏观政策的风险</w:t>
      </w:r>
      <w:r>
        <w:rPr>
          <w:rFonts w:ascii="宋体" w:hAnsi="宋体" w:cs="宋体" w:eastAsia="宋体" w:hint="default"/>
          <w:b/>
          <w:bCs/>
          <w:w w:val="100"/>
        </w:rPr>
        <w:t> </w:t>
      </w:r>
      <w:r>
        <w:rPr>
          <w:spacing w:val="-2"/>
        </w:rPr>
        <w:t>随着教育改革的深入，国家教育部在</w:t>
      </w:r>
      <w:r>
        <w:rPr>
          <w:rFonts w:ascii="宋体" w:hAnsi="宋体" w:cs="宋体" w:eastAsia="宋体" w:hint="default"/>
          <w:spacing w:val="-2"/>
        </w:rPr>
        <w:t>2011</w:t>
      </w:r>
      <w:r>
        <w:rPr>
          <w:spacing w:val="-2"/>
        </w:rPr>
        <w:t>年颁布新课标并要求现有教材重新送审，将会给公司带来签</w:t>
      </w:r>
    </w:p>
    <w:p>
      <w:pPr>
        <w:pStyle w:val="BodyText"/>
        <w:spacing w:line="408" w:lineRule="auto" w:before="78"/>
        <w:ind w:right="206"/>
        <w:jc w:val="both"/>
      </w:pPr>
      <w:r>
        <w:rPr>
          <w:spacing w:val="-2"/>
        </w:rPr>
        <w:t>署著作权合作的风险和新版教材产品开发成本增加的风险。公司将强化与著作权人的合作关系，并根据教</w:t>
      </w:r>
      <w:r>
        <w:rPr>
          <w:spacing w:val="-43"/>
        </w:rPr>
        <w:t> </w:t>
      </w:r>
      <w:r>
        <w:rPr>
          <w:spacing w:val="-43"/>
        </w:rPr>
      </w:r>
      <w:r>
        <w:rPr>
          <w:spacing w:val="-3"/>
        </w:rPr>
        <w:t>材变化和教学改革要求完善配套软件内容，升级产品和建设更为快捷高效的开发平台。同时，公司将进一</w:t>
      </w:r>
      <w:r>
        <w:rPr>
          <w:spacing w:val="-6"/>
        </w:rPr>
        <w:t> </w:t>
      </w:r>
      <w:r>
        <w:rPr>
          <w:spacing w:val="-6"/>
        </w:rPr>
      </w:r>
      <w:r>
        <w:rPr/>
        <w:t>步积极研发创新产品，提升公司的创新能力和完善自主产品。</w:t>
      </w:r>
    </w:p>
    <w:p>
      <w:pPr>
        <w:spacing w:line="240" w:lineRule="auto" w:before="8"/>
        <w:rPr>
          <w:rFonts w:ascii="宋体" w:hAnsi="宋体" w:cs="宋体" w:eastAsia="宋体" w:hint="default"/>
          <w:sz w:val="17"/>
          <w:szCs w:val="17"/>
        </w:rPr>
      </w:pPr>
    </w:p>
    <w:p>
      <w:pPr>
        <w:pStyle w:val="Heading3"/>
        <w:spacing w:line="240" w:lineRule="auto"/>
        <w:ind w:left="575" w:right="106"/>
        <w:jc w:val="left"/>
        <w:rPr>
          <w:b w:val="0"/>
          <w:bCs w:val="0"/>
        </w:rPr>
      </w:pPr>
      <w:r>
        <w:rPr>
          <w:rFonts w:ascii="Times New Roman" w:hAnsi="Times New Roman" w:cs="Times New Roman" w:eastAsia="Times New Roman" w:hint="default"/>
        </w:rPr>
        <w:t>2</w:t>
      </w:r>
      <w:r>
        <w:rPr/>
        <w:t>、客户相对集中的风险</w:t>
      </w:r>
      <w:r>
        <w:rPr>
          <w:b w:val="0"/>
          <w:bCs w:val="0"/>
        </w:rPr>
      </w:r>
    </w:p>
    <w:p>
      <w:pPr>
        <w:spacing w:line="240" w:lineRule="auto" w:before="4"/>
        <w:rPr>
          <w:rFonts w:ascii="宋体" w:hAnsi="宋体" w:cs="宋体" w:eastAsia="宋体" w:hint="default"/>
          <w:b/>
          <w:bCs/>
          <w:sz w:val="27"/>
          <w:szCs w:val="27"/>
        </w:rPr>
      </w:pPr>
    </w:p>
    <w:p>
      <w:pPr>
        <w:pStyle w:val="BodyText"/>
        <w:spacing w:line="408" w:lineRule="auto" w:before="0"/>
        <w:ind w:right="106" w:firstLine="420"/>
        <w:jc w:val="left"/>
      </w:pPr>
      <w:r>
        <w:rPr>
          <w:spacing w:val="-2"/>
        </w:rPr>
        <w:t>目前公司的销售区域仍主要以珠三角，长三角及京津地区等大中城市为主，市场区域相对集中并存在</w:t>
      </w:r>
      <w:r>
        <w:rPr>
          <w:w w:val="100"/>
        </w:rPr>
        <w:t> </w:t>
      </w:r>
      <w:r>
        <w:rPr/>
        <w:t>一定风险，可能对本公司未来盈利能力造成影响。</w:t>
      </w:r>
    </w:p>
    <w:p>
      <w:pPr>
        <w:spacing w:after="0" w:line="408"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185" w:firstLine="420"/>
        <w:jc w:val="both"/>
      </w:pPr>
      <w:r>
        <w:rPr>
          <w:spacing w:val="-2"/>
        </w:rPr>
        <w:t>公司将通过技术研发和产品拓展计划，营销渠道拓展计划解决上述产品及销售区域较为集中的风险。</w:t>
      </w:r>
      <w:r>
        <w:rPr>
          <w:w w:val="100"/>
        </w:rPr>
        <w:t> </w:t>
      </w:r>
      <w:r>
        <w:rPr>
          <w:spacing w:val="-2"/>
        </w:rPr>
        <w:t>一方面通过开发语文、数学等其他学科的研发，将各学科发展均衡。另一方面，公司将把开创新的销售区</w:t>
      </w:r>
      <w:r>
        <w:rPr>
          <w:spacing w:val="-50"/>
        </w:rPr>
        <w:t> </w:t>
      </w:r>
      <w:r>
        <w:rPr>
          <w:spacing w:val="-50"/>
        </w:rPr>
      </w:r>
      <w:r>
        <w:rPr>
          <w:spacing w:val="-2"/>
        </w:rPr>
        <w:t>域作为战略重点，通过与现有的主流出版社、教研系统所建立的良好的合作关系，充分把握各地中小学教</w:t>
      </w:r>
      <w:r>
        <w:rPr>
          <w:spacing w:val="-47"/>
        </w:rPr>
        <w:t> </w:t>
      </w:r>
      <w:r>
        <w:rPr>
          <w:spacing w:val="-47"/>
        </w:rPr>
      </w:r>
      <w:r>
        <w:rPr>
          <w:spacing w:val="-3"/>
        </w:rPr>
        <w:t>材的新特点、新趋势，对潜在用户的市场需求进行调研分析，积极开发地方版本系列以满足二、三线城市</w:t>
      </w:r>
      <w:r>
        <w:rPr>
          <w:spacing w:val="-11"/>
        </w:rPr>
        <w:t> </w:t>
      </w:r>
      <w:r>
        <w:rPr>
          <w:spacing w:val="-11"/>
        </w:rPr>
      </w:r>
      <w:r>
        <w:rPr/>
        <w:t>的拓展需求。</w:t>
      </w:r>
    </w:p>
    <w:p>
      <w:pPr>
        <w:spacing w:line="240" w:lineRule="auto" w:before="8"/>
        <w:rPr>
          <w:rFonts w:ascii="宋体" w:hAnsi="宋体" w:cs="宋体" w:eastAsia="宋体" w:hint="default"/>
          <w:sz w:val="17"/>
          <w:szCs w:val="17"/>
        </w:rPr>
      </w:pPr>
    </w:p>
    <w:p>
      <w:pPr>
        <w:pStyle w:val="Heading3"/>
        <w:spacing w:line="240" w:lineRule="auto"/>
        <w:ind w:left="575" w:right="106"/>
        <w:jc w:val="left"/>
        <w:rPr>
          <w:b w:val="0"/>
          <w:bCs w:val="0"/>
        </w:rPr>
      </w:pPr>
      <w:r>
        <w:rPr>
          <w:rFonts w:ascii="Times New Roman" w:hAnsi="Times New Roman" w:cs="Times New Roman" w:eastAsia="Times New Roman" w:hint="default"/>
        </w:rPr>
        <w:t>3</w:t>
      </w:r>
      <w:r>
        <w:rPr/>
        <w:t>、新产品开发和技术更新换代的风险</w:t>
      </w:r>
      <w:r>
        <w:rPr>
          <w:b w:val="0"/>
          <w:bCs w:val="0"/>
        </w:rPr>
      </w:r>
    </w:p>
    <w:p>
      <w:pPr>
        <w:spacing w:line="240" w:lineRule="auto" w:before="4"/>
        <w:rPr>
          <w:rFonts w:ascii="宋体" w:hAnsi="宋体" w:cs="宋体" w:eastAsia="宋体" w:hint="default"/>
          <w:b/>
          <w:bCs/>
          <w:sz w:val="27"/>
          <w:szCs w:val="27"/>
        </w:rPr>
      </w:pPr>
    </w:p>
    <w:p>
      <w:pPr>
        <w:pStyle w:val="BodyText"/>
        <w:spacing w:line="408" w:lineRule="auto" w:before="0"/>
        <w:ind w:right="206" w:firstLine="420"/>
        <w:jc w:val="both"/>
      </w:pPr>
      <w:r>
        <w:rPr>
          <w:spacing w:val="-2"/>
        </w:rPr>
        <w:t>市场需求不断变化，教育技术不断发展，如果公司对行业关键技术的发展动态不能及时掌控，对教育</w:t>
      </w:r>
      <w:r>
        <w:rPr>
          <w:w w:val="100"/>
        </w:rPr>
        <w:t> </w:t>
      </w:r>
      <w:r>
        <w:rPr/>
        <w:t>教学当中的新理念以及广大教师和学生的教学需求不能正确把握，研发的产品将不具备竞争力。</w:t>
      </w:r>
    </w:p>
    <w:p>
      <w:pPr>
        <w:pStyle w:val="BodyText"/>
        <w:spacing w:line="408" w:lineRule="auto"/>
        <w:ind w:right="206" w:firstLine="420"/>
        <w:jc w:val="both"/>
      </w:pPr>
      <w:r>
        <w:rPr>
          <w:spacing w:val="-2"/>
        </w:rPr>
        <w:t>公司积极投入同步教学软件及在线教育网络服务开发平台的开发，使公司开发的同步教育服务类产品</w:t>
      </w:r>
      <w:r>
        <w:rPr>
          <w:w w:val="100"/>
        </w:rPr>
        <w:t> </w:t>
      </w:r>
      <w:r>
        <w:rPr>
          <w:spacing w:val="-2"/>
        </w:rPr>
        <w:t>具有更强的针对性和实用性；同时加强基础教育项目研究，在开发实施过程中进行有效管理、把握开发周</w:t>
      </w:r>
      <w:r>
        <w:rPr>
          <w:spacing w:val="-43"/>
        </w:rPr>
        <w:t> </w:t>
      </w:r>
      <w:r>
        <w:rPr>
          <w:spacing w:val="-43"/>
        </w:rPr>
      </w:r>
      <w:r>
        <w:rPr/>
        <w:t>期、降低开发成本。</w:t>
      </w:r>
    </w:p>
    <w:p>
      <w:pPr>
        <w:spacing w:line="240" w:lineRule="auto" w:before="8"/>
        <w:rPr>
          <w:rFonts w:ascii="宋体" w:hAnsi="宋体" w:cs="宋体" w:eastAsia="宋体" w:hint="default"/>
          <w:sz w:val="17"/>
          <w:szCs w:val="17"/>
        </w:rPr>
      </w:pPr>
    </w:p>
    <w:p>
      <w:pPr>
        <w:pStyle w:val="Heading3"/>
        <w:spacing w:line="240" w:lineRule="auto"/>
        <w:ind w:left="575" w:right="106"/>
        <w:jc w:val="left"/>
        <w:rPr>
          <w:b w:val="0"/>
          <w:bCs w:val="0"/>
        </w:rPr>
      </w:pPr>
      <w:r>
        <w:rPr>
          <w:rFonts w:ascii="Times New Roman" w:hAnsi="Times New Roman" w:cs="Times New Roman" w:eastAsia="Times New Roman" w:hint="default"/>
        </w:rPr>
        <w:t>4</w:t>
      </w:r>
      <w:r>
        <w:rPr/>
        <w:t>、公司规模扩大带来的管理风险</w:t>
      </w:r>
      <w:r>
        <w:rPr>
          <w:b w:val="0"/>
          <w:bCs w:val="0"/>
        </w:rPr>
      </w:r>
    </w:p>
    <w:p>
      <w:pPr>
        <w:spacing w:line="240" w:lineRule="auto" w:before="2"/>
        <w:rPr>
          <w:rFonts w:ascii="宋体" w:hAnsi="宋体" w:cs="宋体" w:eastAsia="宋体" w:hint="default"/>
          <w:b/>
          <w:bCs/>
          <w:sz w:val="27"/>
          <w:szCs w:val="27"/>
        </w:rPr>
      </w:pPr>
    </w:p>
    <w:p>
      <w:pPr>
        <w:pStyle w:val="BodyText"/>
        <w:spacing w:line="408" w:lineRule="auto" w:before="0"/>
        <w:ind w:right="206" w:firstLine="420"/>
        <w:jc w:val="both"/>
      </w:pPr>
      <w:r>
        <w:rPr>
          <w:spacing w:val="-2"/>
        </w:rPr>
        <w:t>同步教育产品行业需要大量具有一定教育背景和技术背景的专业人员。尽管公司凭借多年教育服务行</w:t>
      </w:r>
      <w:r>
        <w:rPr>
          <w:w w:val="100"/>
        </w:rPr>
        <w:t> </w:t>
      </w:r>
      <w:r>
        <w:rPr>
          <w:spacing w:val="-2"/>
        </w:rPr>
        <w:t>业的优势及网络技术开发经验已经培养出一批符合公司现有业务架构需要的复合型人才，但随着行业竞争</w:t>
      </w:r>
      <w:r>
        <w:rPr>
          <w:spacing w:val="-43"/>
        </w:rPr>
        <w:t> </w:t>
      </w:r>
      <w:r>
        <w:rPr>
          <w:spacing w:val="-43"/>
        </w:rPr>
      </w:r>
      <w:r>
        <w:rPr/>
        <w:t>的日趋激烈，公司的不断发展和投资规模的扩大，仍可能面临管理、营销和技术人才匮乏的风险。</w:t>
      </w:r>
    </w:p>
    <w:p>
      <w:pPr>
        <w:pStyle w:val="BodyText"/>
        <w:spacing w:line="408" w:lineRule="auto"/>
        <w:ind w:right="103" w:firstLine="420"/>
        <w:jc w:val="both"/>
      </w:pPr>
      <w:r>
        <w:rPr/>
        <w:t>公司为此制定了详细的管理、营销和技术等专业人才的引进和培养计划，促使公司人才架构更为科学</w:t>
      </w:r>
      <w:r>
        <w:rPr>
          <w:w w:val="100"/>
        </w:rPr>
        <w:t> </w:t>
      </w:r>
      <w:r>
        <w:rPr>
          <w:spacing w:val="-2"/>
        </w:rPr>
        <w:t>化。通过企业文化建设，不断加强公司的凝聚力。同时，建立了基础培训、技能培训、经验库培训以及上</w:t>
      </w:r>
      <w:r>
        <w:rPr>
          <w:spacing w:val="-42"/>
        </w:rPr>
        <w:t> </w:t>
      </w:r>
      <w:r>
        <w:rPr>
          <w:spacing w:val="-42"/>
        </w:rPr>
      </w:r>
      <w:r>
        <w:rPr>
          <w:spacing w:val="-5"/>
        </w:rPr>
        <w:t>岗专人指导培训等人才培养制度，有效带动了后续人才的补充和发展，保证公司在高速发展中的人才需要。</w:t>
      </w:r>
    </w:p>
    <w:p>
      <w:pPr>
        <w:spacing w:line="240" w:lineRule="auto" w:before="8"/>
        <w:rPr>
          <w:rFonts w:ascii="宋体" w:hAnsi="宋体" w:cs="宋体" w:eastAsia="宋体" w:hint="default"/>
          <w:sz w:val="17"/>
          <w:szCs w:val="17"/>
        </w:rPr>
      </w:pPr>
    </w:p>
    <w:p>
      <w:pPr>
        <w:pStyle w:val="Heading3"/>
        <w:spacing w:line="240" w:lineRule="auto"/>
        <w:ind w:left="575" w:right="106"/>
        <w:jc w:val="left"/>
        <w:rPr>
          <w:b w:val="0"/>
          <w:bCs w:val="0"/>
        </w:rPr>
      </w:pPr>
      <w:r>
        <w:rPr>
          <w:rFonts w:ascii="Times New Roman" w:hAnsi="Times New Roman" w:cs="Times New Roman" w:eastAsia="Times New Roman" w:hint="default"/>
        </w:rPr>
        <w:t>5</w:t>
      </w:r>
      <w:r>
        <w:rPr/>
        <w:t>、募集资金投资项目风险</w:t>
      </w:r>
      <w:r>
        <w:rPr>
          <w:b w:val="0"/>
          <w:bCs w:val="0"/>
        </w:rPr>
      </w:r>
    </w:p>
    <w:p>
      <w:pPr>
        <w:spacing w:line="240" w:lineRule="auto" w:before="4"/>
        <w:rPr>
          <w:rFonts w:ascii="宋体" w:hAnsi="宋体" w:cs="宋体" w:eastAsia="宋体" w:hint="default"/>
          <w:b/>
          <w:bCs/>
          <w:sz w:val="27"/>
          <w:szCs w:val="27"/>
        </w:rPr>
      </w:pPr>
    </w:p>
    <w:p>
      <w:pPr>
        <w:pStyle w:val="BodyText"/>
        <w:spacing w:line="408" w:lineRule="auto" w:before="0"/>
        <w:ind w:right="103" w:firstLine="420"/>
        <w:jc w:val="both"/>
      </w:pPr>
      <w:r>
        <w:rPr>
          <w:spacing w:val="-3"/>
        </w:rPr>
        <w:t>公司公开发行股票募集的资金分别用于中小学多学科（不含英语）同步教育软件项目、中小学英语同</w:t>
      </w:r>
      <w:r>
        <w:rPr>
          <w:spacing w:val="-3"/>
          <w:w w:val="100"/>
        </w:rPr>
        <w:t> </w:t>
      </w:r>
      <w:r>
        <w:rPr/>
        <w:t>步教育软件升级及新版本开发项目、研发中心建设项目和营销网络扩建项目与主营业务相关的营运资金。</w:t>
      </w:r>
      <w:r>
        <w:rPr>
          <w:w w:val="100"/>
        </w:rPr>
        <w:t> </w:t>
      </w:r>
      <w:r>
        <w:rPr>
          <w:spacing w:val="-2"/>
        </w:rPr>
        <w:t>募集资金投资项目的顺利实施，将进一步增强公司的研发实力，扩大公司在既有市场的占有率并开拓新市</w:t>
      </w:r>
      <w:r>
        <w:rPr>
          <w:spacing w:val="-43"/>
        </w:rPr>
        <w:t> </w:t>
      </w:r>
      <w:r>
        <w:rPr>
          <w:spacing w:val="-43"/>
        </w:rPr>
      </w:r>
      <w:r>
        <w:rPr>
          <w:spacing w:val="-2"/>
        </w:rPr>
        <w:t>场，提升公司的综合竞争力。尽管公司已经做好相应的技术准备和市场准备，但在项目的具体实施过程中</w:t>
      </w:r>
      <w:r>
        <w:rPr>
          <w:spacing w:val="-43"/>
        </w:rPr>
        <w:t> </w:t>
      </w:r>
      <w:r>
        <w:rPr>
          <w:spacing w:val="-43"/>
        </w:rPr>
      </w:r>
      <w:r>
        <w:rPr>
          <w:spacing w:val="-2"/>
        </w:rPr>
        <w:t>仍可能遇到技术更新效果不佳、市场开拓不力、市场环境发生变化、国家教育部颁布新课标和现有教材重</w:t>
      </w:r>
      <w:r>
        <w:rPr>
          <w:spacing w:val="-45"/>
        </w:rPr>
        <w:t> </w:t>
      </w:r>
      <w:r>
        <w:rPr>
          <w:spacing w:val="-45"/>
        </w:rPr>
      </w:r>
      <w:r>
        <w:rPr>
          <w:spacing w:val="-5"/>
        </w:rPr>
        <w:t>新送审改版等不利情形，从而可能导致募集资金投资项目的实际收益低于预期，带来一定的项目投资风险。</w:t>
      </w:r>
    </w:p>
    <w:p>
      <w:pPr>
        <w:spacing w:line="240" w:lineRule="auto" w:before="8"/>
        <w:rPr>
          <w:rFonts w:ascii="宋体" w:hAnsi="宋体" w:cs="宋体" w:eastAsia="宋体" w:hint="default"/>
          <w:sz w:val="17"/>
          <w:szCs w:val="17"/>
        </w:rPr>
      </w:pPr>
    </w:p>
    <w:p>
      <w:pPr>
        <w:pStyle w:val="Heading3"/>
        <w:spacing w:line="240" w:lineRule="auto"/>
        <w:ind w:left="575" w:right="106"/>
        <w:jc w:val="left"/>
        <w:rPr>
          <w:b w:val="0"/>
          <w:bCs w:val="0"/>
        </w:rPr>
      </w:pPr>
      <w:r>
        <w:rPr/>
        <w:t>（五）前期披露的发展战略和经营计划在报告期内的进展情况</w:t>
      </w:r>
      <w:r>
        <w:rPr>
          <w:b w:val="0"/>
          <w:bCs w:val="0"/>
        </w:rPr>
      </w:r>
    </w:p>
    <w:p>
      <w:pPr>
        <w:spacing w:after="0" w:line="240" w:lineRule="auto"/>
        <w:jc w:val="left"/>
        <w:sectPr>
          <w:pgSz w:w="11910" w:h="16840"/>
          <w:pgMar w:header="745" w:footer="982" w:top="1060" w:bottom="1180" w:left="980" w:right="920"/>
        </w:sectPr>
      </w:pPr>
    </w:p>
    <w:p>
      <w:pPr>
        <w:spacing w:line="240" w:lineRule="auto" w:before="0"/>
        <w:rPr>
          <w:rFonts w:ascii="宋体" w:hAnsi="宋体" w:cs="宋体" w:eastAsia="宋体" w:hint="default"/>
          <w:b/>
          <w:bCs/>
          <w:sz w:val="20"/>
          <w:szCs w:val="20"/>
        </w:rPr>
      </w:pPr>
    </w:p>
    <w:p>
      <w:pPr>
        <w:pStyle w:val="BodyText"/>
        <w:spacing w:line="408" w:lineRule="auto" w:before="175"/>
        <w:ind w:right="0" w:firstLine="420"/>
        <w:jc w:val="left"/>
      </w:pPr>
      <w:r>
        <w:rPr>
          <w:spacing w:val="-3"/>
        </w:rPr>
        <w:t>报告期内，公司按照年初制定的经营计划，顺利开展各项工作，实现主营业务的增长，主要经营情况</w:t>
      </w:r>
      <w:r>
        <w:rPr>
          <w:w w:val="100"/>
        </w:rPr>
        <w:t> </w:t>
      </w:r>
      <w:r>
        <w:rPr/>
        <w:t>详见</w:t>
      </w:r>
      <w:r>
        <w:rPr>
          <w:rFonts w:ascii="宋体" w:hAnsi="宋体" w:cs="宋体" w:eastAsia="宋体" w:hint="default"/>
        </w:rPr>
        <w:t>“</w:t>
      </w:r>
      <w:r>
        <w:rPr/>
        <w:t>第四节一、概述</w:t>
      </w:r>
      <w:r>
        <w:rPr>
          <w:rFonts w:ascii="宋体" w:hAnsi="宋体" w:cs="宋体" w:eastAsia="宋体" w:hint="default"/>
        </w:rPr>
        <w:t>”</w:t>
      </w:r>
      <w:r>
        <w:rPr/>
        <w:t>。</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十、接</w:t>
      </w:r>
      <w:bookmarkStart w:name="十、接待调研、沟通、采访等活动情况" w:id="57"/>
      <w:bookmarkEnd w:id="57"/>
      <w:r>
        <w:rPr/>
        <w:t>待调</w:t>
      </w:r>
      <w:r>
        <w:rPr/>
        <w:t>研、沟通、采访等活动情况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w:t>
      </w:r>
      <w:bookmarkStart w:name="1、报告期内接待调研、沟通、采访等活动登记表" w:id="58"/>
      <w:bookmarkEnd w:id="58"/>
      <w:r>
        <w:rPr/>
        <w:t>研、</w:t>
      </w:r>
      <w:r>
        <w:rPr/>
        <w:t>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5"/>
                <w:sz w:val="18"/>
                <w:szCs w:val="18"/>
              </w:rPr>
              <w:t>网上业绩说明会、公司经营情况、发展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战略等</w:t>
            </w:r>
          </w:p>
        </w:tc>
      </w:tr>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公司经营状况、未来并购计划、市场发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展情况等</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6"/>
              <w:jc w:val="center"/>
              <w:rPr>
                <w:rFonts w:ascii="宋体" w:hAnsi="宋体" w:cs="宋体" w:eastAsia="宋体" w:hint="default"/>
                <w:sz w:val="18"/>
                <w:szCs w:val="18"/>
              </w:rPr>
            </w:pPr>
            <w:r>
              <w:rPr>
                <w:rFonts w:ascii="宋体" w:hAnsi="宋体" w:cs="宋体" w:eastAsia="宋体" w:hint="default"/>
                <w:sz w:val="18"/>
                <w:szCs w:val="18"/>
              </w:rPr>
              <w:t>公司定增项目情况、在线教育布局等</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557"/>
        <w:jc w:val="center"/>
        <w:rPr>
          <w:b w:val="0"/>
          <w:bCs w:val="0"/>
        </w:rPr>
      </w:pPr>
      <w:bookmarkStart w:name="第五节 重要事项" w:id="59"/>
      <w:bookmarkEnd w:id="59"/>
      <w:r>
        <w:rPr>
          <w:b w:val="0"/>
          <w:bCs w:val="0"/>
        </w:rPr>
      </w:r>
      <w:bookmarkStart w:name="_bookmark3" w:id="60"/>
      <w:bookmarkEnd w:id="60"/>
      <w:r>
        <w:rPr>
          <w:b w:val="0"/>
          <w:bCs w:val="0"/>
        </w:rPr>
      </w:r>
      <w:r>
        <w:rPr/>
        <w:t>第五节</w:t>
      </w:r>
      <w:r>
        <w:rPr>
          <w:spacing w:val="-4"/>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w:t>
      </w:r>
      <w:bookmarkStart w:name="一、公司普通股利润分配及资本公积金转增股本情况" w:id="61"/>
      <w:bookmarkEnd w:id="61"/>
      <w:r>
        <w:rPr/>
        <w:t>股</w:t>
      </w:r>
      <w:r>
        <w:rPr/>
        <w:t>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7"/>
        <w:ind w:right="148" w:firstLine="419"/>
        <w:jc w:val="both"/>
      </w:pPr>
      <w:r>
        <w:rPr/>
        <w:t>公司于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16</w:t>
      </w:r>
      <w:r>
        <w:rPr/>
        <w:t>日召开了第二届董事会第十六次会议，审议通知《关于公司</w:t>
      </w:r>
      <w:r>
        <w:rPr>
          <w:rFonts w:ascii="宋体" w:hAnsi="宋体" w:cs="宋体" w:eastAsia="宋体" w:hint="default"/>
        </w:rPr>
        <w:t>2014</w:t>
      </w:r>
      <w:r>
        <w:rPr/>
        <w:t>年度利润分配的</w:t>
      </w:r>
      <w:r>
        <w:rPr>
          <w:w w:val="100"/>
        </w:rPr>
        <w:t> </w:t>
      </w:r>
      <w:r>
        <w:rPr/>
        <w:t>议案》，以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15,840</w:t>
      </w:r>
      <w:r>
        <w:rPr/>
        <w:t>万股为基数向全体股东每</w:t>
      </w:r>
      <w:r>
        <w:rPr>
          <w:rFonts w:ascii="宋体" w:hAnsi="宋体" w:cs="宋体" w:eastAsia="宋体" w:hint="default"/>
        </w:rPr>
        <w:t>10</w:t>
      </w:r>
      <w:r>
        <w:rPr/>
        <w:t>股派发现金股利</w:t>
      </w:r>
      <w:r>
        <w:rPr>
          <w:rFonts w:ascii="宋体" w:hAnsi="宋体" w:cs="宋体" w:eastAsia="宋体" w:hint="default"/>
        </w:rPr>
        <w:t>1</w:t>
      </w:r>
      <w:r>
        <w:rPr/>
        <w:t>元人民币（含</w:t>
      </w:r>
      <w:r>
        <w:rPr>
          <w:spacing w:val="-30"/>
        </w:rPr>
        <w:t> </w:t>
      </w:r>
      <w:r>
        <w:rPr>
          <w:spacing w:val="-30"/>
        </w:rPr>
      </w:r>
      <w:r>
        <w:rPr/>
        <w:t>税）。本次不进行资本公积金转增股本。</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15</w:t>
      </w:r>
      <w:r>
        <w:rPr/>
        <w:t>日，公司召开</w:t>
      </w:r>
      <w:r>
        <w:rPr>
          <w:rFonts w:ascii="宋体" w:hAnsi="宋体" w:cs="宋体" w:eastAsia="宋体" w:hint="default"/>
        </w:rPr>
        <w:t>2014</w:t>
      </w:r>
      <w:r>
        <w:rPr/>
        <w:t>年度股东大会，审议通过了《关</w:t>
      </w:r>
      <w:r>
        <w:rPr>
          <w:spacing w:val="-29"/>
        </w:rPr>
        <w:t> </w:t>
      </w:r>
      <w:r>
        <w:rPr>
          <w:spacing w:val="-29"/>
        </w:rPr>
      </w:r>
      <w:r>
        <w:rPr>
          <w:spacing w:val="-2"/>
        </w:rPr>
        <w:t>于公司</w:t>
      </w:r>
      <w:r>
        <w:rPr>
          <w:rFonts w:ascii="宋体" w:hAnsi="宋体" w:cs="宋体" w:eastAsia="宋体" w:hint="default"/>
          <w:spacing w:val="-2"/>
        </w:rPr>
        <w:t>2014</w:t>
      </w:r>
      <w:r>
        <w:rPr>
          <w:spacing w:val="-2"/>
        </w:rPr>
        <w:t>年度利润分配的议案》。</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8</w:t>
      </w:r>
      <w:r>
        <w:rPr>
          <w:spacing w:val="-2"/>
        </w:rPr>
        <w:t>日，公司发布</w:t>
      </w:r>
      <w:r>
        <w:rPr>
          <w:rFonts w:ascii="宋体" w:hAnsi="宋体" w:cs="宋体" w:eastAsia="宋体" w:hint="default"/>
          <w:spacing w:val="-2"/>
        </w:rPr>
        <w:t>2014</w:t>
      </w:r>
      <w:r>
        <w:rPr>
          <w:spacing w:val="-2"/>
        </w:rPr>
        <w:t>年度权益分派实施公告，拟定股权登记</w:t>
      </w:r>
      <w:r>
        <w:rPr>
          <w:spacing w:val="-42"/>
        </w:rPr>
        <w:t> </w:t>
      </w:r>
      <w:r>
        <w:rPr>
          <w:spacing w:val="-42"/>
        </w:rPr>
      </w:r>
      <w:r>
        <w:rPr/>
        <w:t>日为：</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15</w:t>
      </w:r>
      <w:r>
        <w:rPr/>
        <w:t>日，除权除息日为：</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16</w:t>
      </w:r>
      <w:r>
        <w:rPr/>
        <w:t>日。截至</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16</w:t>
      </w:r>
      <w:r>
        <w:rPr/>
        <w:t>日，公司关于</w:t>
      </w:r>
      <w:r>
        <w:rPr>
          <w:rFonts w:ascii="宋体" w:hAnsi="宋体" w:cs="宋体" w:eastAsia="宋体" w:hint="default"/>
        </w:rPr>
        <w:t>2014</w:t>
      </w:r>
      <w:r>
        <w:rPr/>
        <w:t>年度利润分</w:t>
      </w:r>
      <w:r>
        <w:rPr>
          <w:spacing w:val="-33"/>
        </w:rPr>
        <w:t> </w:t>
      </w:r>
      <w:r>
        <w:rPr>
          <w:spacing w:val="-33"/>
        </w:rPr>
      </w:r>
      <w:r>
        <w:rPr/>
        <w:t>配及资本公积金转增股本的方案实施完毕。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2" w:right="32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6"/>
        <w:gridCol w:w="5851"/>
      </w:tblGrid>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158,400,000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9,504,000.00</w:t>
            </w:r>
            <w:r>
              <w:rPr>
                <w:rFonts w:ascii="Times New Roman"/>
                <w:sz w:val="18"/>
              </w:rPr>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105,285,812.54</w:t>
            </w:r>
            <w:r>
              <w:rPr>
                <w:rFonts w:ascii="Times New Roman"/>
                <w:sz w:val="18"/>
              </w:rPr>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69"/>
      </w:tblGrid>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基于对公司未来发展预期与信心，结合公司未来发展战略，根据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年度盈利状况及公积金余额情况，为积极回报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广大投资者，持续健康发展。公司决定以截至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w:t>
            </w:r>
            <w:r>
              <w:rPr>
                <w:rFonts w:ascii="Times New Roman" w:hAnsi="Times New Roman" w:cs="Times New Roman" w:eastAsia="Times New Roman" w:hint="default"/>
                <w:sz w:val="18"/>
                <w:szCs w:val="18"/>
              </w:rPr>
              <w:t>(15,840 </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r>
              <w:rPr>
                <w:rFonts w:ascii="宋体" w:hAnsi="宋体" w:cs="宋体" w:eastAsia="宋体" w:hint="default"/>
                <w:sz w:val="18"/>
                <w:szCs w:val="18"/>
              </w:rPr>
              <w:t>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配现金红利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，本次不进行资本公积金转增股本。</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right="0"/>
        <w:jc w:val="left"/>
      </w:pPr>
      <w:r>
        <w:rPr>
          <w:spacing w:val="-3"/>
          <w:w w:val="100"/>
        </w:rPr>
        <w:t>公</w:t>
      </w:r>
      <w:r>
        <w:rPr>
          <w:w w:val="100"/>
        </w:rPr>
        <w:t>司近</w:t>
      </w:r>
      <w:r>
        <w:rPr>
          <w:spacing w:val="-53"/>
        </w:rPr>
        <w:t> </w:t>
      </w:r>
      <w:r>
        <w:rPr>
          <w:rFonts w:ascii="宋体" w:hAnsi="宋体" w:cs="宋体" w:eastAsia="宋体" w:hint="default"/>
          <w:w w:val="100"/>
        </w:rPr>
        <w:t>3</w:t>
      </w:r>
      <w:r>
        <w:rPr>
          <w:rFonts w:ascii="宋体" w:hAnsi="宋体" w:cs="宋体" w:eastAsia="宋体" w:hint="default"/>
          <w:spacing w:val="-53"/>
        </w:rPr>
        <w:t> </w:t>
      </w:r>
      <w:r>
        <w:rPr>
          <w:spacing w:val="-3"/>
          <w:w w:val="100"/>
        </w:rPr>
        <w:t>年</w:t>
      </w:r>
      <w:r>
        <w:rPr>
          <w:w w:val="100"/>
        </w:rPr>
        <w:t>（</w:t>
      </w:r>
      <w:r>
        <w:rPr>
          <w:spacing w:val="-3"/>
          <w:w w:val="100"/>
        </w:rPr>
        <w:t>包</w:t>
      </w:r>
      <w:r>
        <w:rPr>
          <w:w w:val="100"/>
        </w:rPr>
        <w:t>括</w:t>
      </w:r>
      <w:r>
        <w:rPr>
          <w:spacing w:val="-3"/>
          <w:w w:val="100"/>
        </w:rPr>
        <w:t>本</w:t>
      </w:r>
      <w:r>
        <w:rPr>
          <w:w w:val="100"/>
        </w:rPr>
        <w:t>报</w:t>
      </w:r>
      <w:r>
        <w:rPr>
          <w:spacing w:val="-3"/>
          <w:w w:val="100"/>
        </w:rPr>
        <w:t>告</w:t>
      </w:r>
      <w:r>
        <w:rPr>
          <w:w w:val="100"/>
        </w:rPr>
        <w:t>期）</w:t>
      </w:r>
      <w:r>
        <w:rPr>
          <w:spacing w:val="-3"/>
          <w:w w:val="100"/>
        </w:rPr>
        <w:t>的</w:t>
      </w:r>
      <w:r>
        <w:rPr>
          <w:w w:val="100"/>
        </w:rPr>
        <w:t>普</w:t>
      </w:r>
      <w:r>
        <w:rPr>
          <w:spacing w:val="-3"/>
          <w:w w:val="100"/>
        </w:rPr>
        <w:t>通</w:t>
      </w:r>
      <w:r>
        <w:rPr>
          <w:w w:val="100"/>
        </w:rPr>
        <w:t>股</w:t>
      </w:r>
      <w:r>
        <w:rPr>
          <w:spacing w:val="-3"/>
          <w:w w:val="100"/>
        </w:rPr>
        <w:t>股</w:t>
      </w:r>
      <w:r>
        <w:rPr>
          <w:w w:val="100"/>
        </w:rPr>
        <w:t>利</w:t>
      </w:r>
      <w:r>
        <w:rPr>
          <w:spacing w:val="-3"/>
          <w:w w:val="100"/>
        </w:rPr>
        <w:t>分</w:t>
      </w:r>
      <w:r>
        <w:rPr>
          <w:w w:val="100"/>
        </w:rPr>
        <w:t>配</w:t>
      </w:r>
      <w:r>
        <w:rPr>
          <w:spacing w:val="-3"/>
          <w:w w:val="100"/>
        </w:rPr>
        <w:t>方</w:t>
      </w:r>
      <w:r>
        <w:rPr>
          <w:w w:val="100"/>
        </w:rPr>
        <w:t>案（</w:t>
      </w:r>
      <w:r>
        <w:rPr>
          <w:spacing w:val="-3"/>
          <w:w w:val="100"/>
        </w:rPr>
        <w:t>预</w:t>
      </w:r>
      <w:r>
        <w:rPr>
          <w:w w:val="100"/>
        </w:rPr>
        <w:t>案</w:t>
      </w:r>
      <w:r>
        <w:rPr>
          <w:spacing w:val="-108"/>
          <w:w w:val="100"/>
        </w:rPr>
        <w:t>）</w:t>
      </w:r>
      <w:r>
        <w:rPr>
          <w:w w:val="100"/>
        </w:rPr>
        <w:t>、</w:t>
      </w:r>
      <w:r>
        <w:rPr>
          <w:spacing w:val="-3"/>
          <w:w w:val="100"/>
        </w:rPr>
        <w:t>资</w:t>
      </w:r>
      <w:r>
        <w:rPr>
          <w:w w:val="100"/>
        </w:rPr>
        <w:t>本</w:t>
      </w:r>
      <w:r>
        <w:rPr>
          <w:spacing w:val="-3"/>
          <w:w w:val="100"/>
        </w:rPr>
        <w:t>公</w:t>
      </w:r>
      <w:r>
        <w:rPr>
          <w:w w:val="100"/>
        </w:rPr>
        <w:t>积</w:t>
      </w:r>
      <w:r>
        <w:rPr>
          <w:spacing w:val="-3"/>
          <w:w w:val="100"/>
        </w:rPr>
        <w:t>金转</w:t>
      </w:r>
      <w:r>
        <w:rPr>
          <w:w w:val="100"/>
        </w:rPr>
        <w:t>增股</w:t>
      </w:r>
      <w:r>
        <w:rPr>
          <w:spacing w:val="-3"/>
          <w:w w:val="100"/>
        </w:rPr>
        <w:t>本</w:t>
      </w:r>
      <w:r>
        <w:rPr>
          <w:w w:val="100"/>
        </w:rPr>
        <w:t>方</w:t>
      </w:r>
      <w:r>
        <w:rPr>
          <w:spacing w:val="-3"/>
          <w:w w:val="100"/>
        </w:rPr>
        <w:t>案</w:t>
      </w:r>
      <w:r>
        <w:rPr>
          <w:w w:val="100"/>
        </w:rPr>
        <w:t>（</w:t>
      </w:r>
      <w:r>
        <w:rPr>
          <w:spacing w:val="-3"/>
          <w:w w:val="100"/>
        </w:rPr>
        <w:t>预</w:t>
      </w:r>
      <w:r>
        <w:rPr>
          <w:w w:val="100"/>
        </w:rPr>
        <w:t>案</w:t>
      </w:r>
      <w:r>
        <w:rPr>
          <w:spacing w:val="-3"/>
          <w:w w:val="100"/>
        </w:rPr>
        <w:t>）</w:t>
      </w:r>
      <w:r>
        <w:rPr>
          <w:w w:val="100"/>
        </w:rPr>
        <w:t>情况</w:t>
      </w:r>
    </w:p>
    <w:p>
      <w:pPr>
        <w:spacing w:line="240" w:lineRule="auto" w:before="6"/>
        <w:rPr>
          <w:rFonts w:ascii="宋体" w:hAnsi="宋体" w:cs="宋体" w:eastAsia="宋体" w:hint="default"/>
          <w:sz w:val="22"/>
          <w:szCs w:val="22"/>
        </w:rPr>
      </w:pPr>
    </w:p>
    <w:p>
      <w:pPr>
        <w:pStyle w:val="BodyText"/>
        <w:spacing w:line="408" w:lineRule="auto" w:before="0"/>
        <w:ind w:right="148" w:firstLine="420"/>
        <w:jc w:val="both"/>
      </w:pPr>
      <w:r>
        <w:rPr>
          <w:rFonts w:ascii="宋体" w:hAnsi="宋体" w:cs="宋体" w:eastAsia="宋体" w:hint="default"/>
        </w:rPr>
        <w:t>1</w:t>
      </w:r>
      <w:r>
        <w:rPr/>
        <w:t>、</w:t>
      </w:r>
      <w:r>
        <w:rPr>
          <w:rFonts w:ascii="宋体" w:hAnsi="宋体" w:cs="宋体" w:eastAsia="宋体" w:hint="default"/>
        </w:rPr>
        <w:t>2013</w:t>
      </w:r>
      <w:r>
        <w:rPr/>
        <w:t>年公司利润分配方案：公司以</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日总股本</w:t>
      </w:r>
      <w:r>
        <w:rPr>
          <w:spacing w:val="67"/>
        </w:rPr>
        <w:t> </w:t>
      </w:r>
      <w:r>
        <w:rPr>
          <w:rFonts w:ascii="宋体" w:hAnsi="宋体" w:cs="宋体" w:eastAsia="宋体" w:hint="default"/>
        </w:rPr>
        <w:t>8,800</w:t>
      </w:r>
      <w:r>
        <w:rPr/>
        <w:t>万股为基数向全体股东每</w:t>
      </w:r>
      <w:r>
        <w:rPr>
          <w:rFonts w:ascii="宋体" w:hAnsi="宋体" w:cs="宋体" w:eastAsia="宋体" w:hint="default"/>
        </w:rPr>
        <w:t>10</w:t>
      </w:r>
      <w:r>
        <w:rPr/>
        <w:t>股派</w:t>
      </w:r>
      <w:r>
        <w:rPr>
          <w:spacing w:val="2"/>
          <w:w w:val="100"/>
        </w:rPr>
        <w:t> </w:t>
      </w:r>
      <w:r>
        <w:rPr>
          <w:spacing w:val="-2"/>
        </w:rPr>
        <w:t>发现金股利</w:t>
      </w:r>
      <w:r>
        <w:rPr>
          <w:rFonts w:ascii="宋体" w:hAnsi="宋体" w:cs="宋体" w:eastAsia="宋体" w:hint="default"/>
          <w:spacing w:val="-2"/>
        </w:rPr>
        <w:t>0.6</w:t>
      </w:r>
      <w:r>
        <w:rPr>
          <w:spacing w:val="-2"/>
        </w:rPr>
        <w:t>元人民币（含税），同时进行资本公积金转增股本，以</w:t>
      </w:r>
      <w:r>
        <w:rPr>
          <w:rFonts w:ascii="宋体" w:hAnsi="宋体" w:cs="宋体" w:eastAsia="宋体" w:hint="default"/>
          <w:spacing w:val="-2"/>
        </w:rPr>
        <w:t>8,800</w:t>
      </w:r>
      <w:r>
        <w:rPr>
          <w:spacing w:val="-2"/>
        </w:rPr>
        <w:t>万股为基数向全体股东每</w:t>
      </w:r>
      <w:r>
        <w:rPr>
          <w:rFonts w:ascii="宋体" w:hAnsi="宋体" w:cs="宋体" w:eastAsia="宋体" w:hint="default"/>
          <w:spacing w:val="-2"/>
        </w:rPr>
        <w:t>10</w:t>
      </w:r>
      <w:r>
        <w:rPr>
          <w:spacing w:val="-2"/>
        </w:rPr>
        <w:t>股</w:t>
      </w:r>
      <w:r>
        <w:rPr>
          <w:spacing w:val="-41"/>
        </w:rPr>
        <w:t> </w:t>
      </w:r>
      <w:r>
        <w:rPr>
          <w:spacing w:val="-2"/>
        </w:rPr>
        <w:t>转增</w:t>
      </w:r>
      <w:r>
        <w:rPr>
          <w:rFonts w:ascii="宋体" w:hAnsi="宋体" w:cs="宋体" w:eastAsia="宋体" w:hint="default"/>
          <w:spacing w:val="-2"/>
        </w:rPr>
        <w:t>8</w:t>
      </w:r>
      <w:r>
        <w:rPr>
          <w:spacing w:val="-2"/>
        </w:rPr>
        <w:t>股，共计转增</w:t>
      </w:r>
      <w:r>
        <w:rPr>
          <w:rFonts w:ascii="宋体" w:hAnsi="宋体" w:cs="宋体" w:eastAsia="宋体" w:hint="default"/>
          <w:spacing w:val="-2"/>
        </w:rPr>
        <w:t>7,040</w:t>
      </w:r>
      <w:r>
        <w:rPr>
          <w:spacing w:val="-2"/>
        </w:rPr>
        <w:t>万股，转增后公司总股本将增加至</w:t>
      </w:r>
      <w:r>
        <w:rPr>
          <w:rFonts w:ascii="宋体" w:hAnsi="宋体" w:cs="宋体" w:eastAsia="宋体" w:hint="default"/>
          <w:spacing w:val="-2"/>
        </w:rPr>
        <w:t>15,840</w:t>
      </w:r>
      <w:r>
        <w:rPr>
          <w:spacing w:val="-2"/>
        </w:rPr>
        <w:t>万股。该次利润分配及资本公积金转增</w:t>
      </w:r>
      <w:r>
        <w:rPr>
          <w:spacing w:val="-36"/>
        </w:rPr>
        <w:t> </w:t>
      </w:r>
      <w:r>
        <w:rPr>
          <w:spacing w:val="-36"/>
        </w:rPr>
      </w:r>
      <w:r>
        <w:rPr/>
        <w:t>股本的预案经公司 </w:t>
      </w:r>
      <w:r>
        <w:rPr>
          <w:rFonts w:ascii="宋体" w:hAnsi="宋体" w:cs="宋体" w:eastAsia="宋体" w:hint="default"/>
        </w:rPr>
        <w:t>2013</w:t>
      </w:r>
      <w:r>
        <w:rPr>
          <w:rFonts w:ascii="宋体" w:hAnsi="宋体" w:cs="宋体" w:eastAsia="宋体" w:hint="default"/>
          <w:spacing w:val="-2"/>
        </w:rPr>
        <w:t> </w:t>
      </w:r>
      <w:r>
        <w:rPr/>
        <w:t>年度股东大会审议批准后实施完毕。</w:t>
      </w:r>
    </w:p>
    <w:p>
      <w:pPr>
        <w:pStyle w:val="BodyText"/>
        <w:spacing w:line="408" w:lineRule="auto" w:before="147"/>
        <w:ind w:right="151" w:firstLine="420"/>
        <w:jc w:val="both"/>
      </w:pPr>
      <w:r>
        <w:rPr>
          <w:rFonts w:ascii="宋体" w:hAnsi="宋体" w:cs="宋体" w:eastAsia="宋体" w:hint="default"/>
        </w:rPr>
        <w:t>2</w:t>
      </w:r>
      <w:r>
        <w:rPr/>
        <w:t>、</w:t>
      </w:r>
      <w:r>
        <w:rPr>
          <w:rFonts w:ascii="宋体" w:hAnsi="宋体" w:cs="宋体" w:eastAsia="宋体" w:hint="default"/>
        </w:rPr>
        <w:t>2014</w:t>
      </w:r>
      <w:r>
        <w:rPr/>
        <w:t>年利润分配方案：本次利润分配方案考虑到在满足公司未来业务发展需要的同时，又可使全</w:t>
      </w:r>
      <w:r>
        <w:rPr>
          <w:w w:val="100"/>
        </w:rPr>
        <w:t> </w:t>
      </w:r>
      <w:r>
        <w:rPr>
          <w:spacing w:val="-2"/>
        </w:rPr>
        <w:t>体股东分享公司成长的经营成果，公司决定以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15,840</w:t>
      </w:r>
      <w:r>
        <w:rPr>
          <w:spacing w:val="-2"/>
        </w:rPr>
        <w:t>万股为基数向全体股东每</w:t>
      </w:r>
      <w:r>
        <w:rPr>
          <w:spacing w:val="-39"/>
        </w:rPr>
        <w:t> </w:t>
      </w:r>
      <w:r>
        <w:rPr>
          <w:spacing w:val="-39"/>
        </w:rPr>
      </w:r>
      <w:r>
        <w:rPr>
          <w:rFonts w:ascii="宋体" w:hAnsi="宋体" w:cs="宋体" w:eastAsia="宋体" w:hint="default"/>
          <w:spacing w:val="-1"/>
          <w:w w:val="100"/>
        </w:rPr>
        <w:t>10</w:t>
      </w:r>
      <w:r>
        <w:rPr>
          <w:spacing w:val="-1"/>
          <w:w w:val="100"/>
        </w:rPr>
        <w:t>股派发现金股利</w:t>
      </w:r>
      <w:r>
        <w:rPr>
          <w:w w:val="100"/>
        </w:rPr>
        <w:t> </w:t>
      </w:r>
      <w:r>
        <w:rPr>
          <w:rFonts w:ascii="宋体" w:hAnsi="宋体" w:cs="宋体" w:eastAsia="宋体" w:hint="default"/>
          <w:spacing w:val="-11"/>
          <w:w w:val="100"/>
        </w:rPr>
        <w:t>1</w:t>
      </w:r>
      <w:r>
        <w:rPr>
          <w:spacing w:val="-11"/>
          <w:w w:val="100"/>
        </w:rPr>
        <w:t>元人民币（含税）。本次不进行资本公积金转增股本。该次利润分配的预案经公司</w:t>
      </w:r>
      <w:r>
        <w:rPr>
          <w:spacing w:val="13"/>
          <w:w w:val="100"/>
        </w:rPr>
        <w:t> </w:t>
      </w:r>
      <w:r>
        <w:rPr>
          <w:rFonts w:ascii="宋体" w:hAnsi="宋体" w:cs="宋体" w:eastAsia="宋体" w:hint="default"/>
          <w:spacing w:val="-3"/>
          <w:w w:val="100"/>
        </w:rPr>
        <w:t>2014 </w:t>
      </w:r>
      <w:r>
        <w:rPr/>
        <w:t>年度股东大会审议批准后实施完毕。</w:t>
      </w:r>
    </w:p>
    <w:p>
      <w:pPr>
        <w:pStyle w:val="BodyText"/>
        <w:spacing w:line="408" w:lineRule="auto" w:before="144"/>
        <w:ind w:left="153" w:right="150" w:firstLine="420"/>
        <w:jc w:val="both"/>
      </w:pPr>
      <w:r>
        <w:rPr>
          <w:rFonts w:ascii="宋体" w:hAnsi="宋体" w:cs="宋体" w:eastAsia="宋体" w:hint="default"/>
        </w:rPr>
        <w:t>3</w:t>
      </w:r>
      <w:r>
        <w:rPr/>
        <w:t>、</w:t>
      </w:r>
      <w:r>
        <w:rPr>
          <w:rFonts w:ascii="宋体" w:hAnsi="宋体" w:cs="宋体" w:eastAsia="宋体" w:hint="default"/>
        </w:rPr>
        <w:t>2015</w:t>
      </w:r>
      <w:r>
        <w:rPr/>
        <w:t>年利润分配预案：公司以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15,840</w:t>
      </w:r>
      <w:r>
        <w:rPr/>
        <w:t>万股为基数向全体股东每</w:t>
      </w:r>
      <w:r>
        <w:rPr>
          <w:rFonts w:ascii="宋体" w:hAnsi="宋体" w:cs="宋体" w:eastAsia="宋体" w:hint="default"/>
        </w:rPr>
        <w:t>10</w:t>
      </w:r>
      <w:r>
        <w:rPr/>
        <w:t>股派</w:t>
      </w:r>
      <w:r>
        <w:rPr>
          <w:w w:val="100"/>
        </w:rPr>
        <w:t> </w:t>
      </w:r>
      <w:r>
        <w:rPr/>
        <w:t>发现金股利</w:t>
      </w:r>
      <w:r>
        <w:rPr>
          <w:rFonts w:ascii="宋体" w:hAnsi="宋体" w:cs="宋体" w:eastAsia="宋体" w:hint="default"/>
        </w:rPr>
        <w:t>0.6</w:t>
      </w:r>
      <w:r>
        <w:rPr/>
        <w:t>元人民币（含税）。本次不进行资本公积金转增股本。本次利润分配的预案须经公司</w:t>
      </w:r>
      <w:r>
        <w:rPr>
          <w:spacing w:val="-27"/>
        </w:rPr>
        <w:t> </w:t>
      </w:r>
      <w:r>
        <w:rPr>
          <w:rFonts w:ascii="宋体" w:hAnsi="宋体" w:cs="宋体" w:eastAsia="宋体" w:hint="default"/>
          <w:spacing w:val="-3"/>
        </w:rPr>
        <w:t>2015</w:t>
      </w:r>
      <w:r>
        <w:rPr>
          <w:rFonts w:ascii="宋体" w:hAnsi="宋体" w:cs="宋体" w:eastAsia="宋体" w:hint="default"/>
          <w:spacing w:val="-3"/>
          <w:w w:val="100"/>
        </w:rPr>
        <w:t> </w:t>
      </w:r>
      <w:r>
        <w:rPr/>
        <w:t>年度股东大会审议批准后实施。</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9,504,000.00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22,228,072.58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22,523,905.35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5,280,000.00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23,311,990.32</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pStyle w:val="Heading2"/>
        <w:spacing w:line="240" w:lineRule="auto" w:before="27"/>
        <w:ind w:left="140" w:right="0"/>
        <w:jc w:val="left"/>
        <w:rPr>
          <w:b w:val="0"/>
          <w:bCs w:val="0"/>
        </w:rPr>
      </w:pPr>
      <w:r>
        <w:rPr/>
        <w:pict>
          <v:group style="position:absolute;margin-left:70.559998pt;margin-top:2.165622pt;width:700.8pt;height:.1pt;mso-position-horizontal-relative:page;mso-position-vertical-relative:paragraph;z-index:-1223776" coordorigin="1411,43" coordsize="14016,2">
            <v:shape style="position:absolute;left:1411;top:43;width:14016;height:2" coordorigin="1411,43" coordsize="14016,0" path="m1411,43l15427,43e" filled="false" stroked="true" strokeweight=".72pt" strokecolor="#000000">
              <v:path arrowok="t"/>
            </v:shape>
            <w10:wrap type="none"/>
          </v:group>
        </w:pict>
      </w:r>
      <w:bookmarkStart w:name="二、承诺事项履行情况" w:id="62"/>
      <w:bookmarkEnd w:id="62"/>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r>
        <w:rPr>
          <w:rFonts w:ascii="Times New Roman" w:hAnsi="Times New Roman" w:cs="Times New Roman" w:eastAsia="Times New Roman" w:hint="default"/>
        </w:rPr>
        <w:t>1</w:t>
      </w:r>
      <w:bookmarkStart w:name="1、公司、股东、实际控制人、收购人、董事、监事、高级管理人员或其他关联方在报告期" w:id="63"/>
      <w:bookmarkEnd w:id="63"/>
      <w:r>
        <w:rPr>
          <w:rFonts w:ascii="Times New Roman" w:hAnsi="Times New Roman" w:cs="Times New Roman" w:eastAsia="Times New Roman" w:hint="default"/>
        </w:rPr>
      </w:r>
      <w:r>
        <w:rPr/>
        <w:t>、公司、股东、实际控制人、收购人、董事、监事、高级管理人员或其他关联方在报告期内履行完毕及截至报告期末尚未履行完毕的承诺事项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702"/>
        <w:gridCol w:w="1702"/>
        <w:gridCol w:w="1560"/>
        <w:gridCol w:w="4250"/>
        <w:gridCol w:w="1702"/>
        <w:gridCol w:w="1277"/>
        <w:gridCol w:w="1918"/>
      </w:tblGrid>
      <w:tr>
        <w:trPr>
          <w:trHeight w:val="288" w:hRule="exact"/>
        </w:trPr>
        <w:tc>
          <w:tcPr>
            <w:tcW w:w="1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560" w:type="dxa"/>
            <w:tcBorders>
              <w:top w:val="single" w:sz="4" w:space="0" w:color="000000"/>
              <w:left w:val="single" w:sz="4" w:space="0" w:color="000000"/>
              <w:bottom w:val="nil" w:sz="6" w:space="0" w:color="auto"/>
              <w:right w:val="single" w:sz="4" w:space="0" w:color="000000"/>
            </w:tcBorders>
            <w:shd w:val="clear" w:color="auto" w:fill="D4D4D4"/>
          </w:tcPr>
          <w:p>
            <w:pPr/>
          </w:p>
        </w:tc>
        <w:tc>
          <w:tcPr>
            <w:tcW w:w="4250" w:type="dxa"/>
            <w:tcBorders>
              <w:top w:val="single" w:sz="4" w:space="0" w:color="000000"/>
              <w:left w:val="single" w:sz="4" w:space="0" w:color="000000"/>
              <w:bottom w:val="nil" w:sz="6" w:space="0" w:color="auto"/>
              <w:right w:val="single" w:sz="4" w:space="0" w:color="000000"/>
            </w:tcBorders>
            <w:shd w:val="clear" w:color="auto" w:fill="D4D4D4"/>
          </w:tcPr>
          <w:p>
            <w:pPr/>
          </w:p>
        </w:tc>
        <w:tc>
          <w:tcPr>
            <w:tcW w:w="1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277"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170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70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25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9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88" w:hRule="exact"/>
        </w:trPr>
        <w:tc>
          <w:tcPr>
            <w:tcW w:w="1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1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single" w:sz="4" w:space="0" w:color="000000"/>
              <w:right w:val="single" w:sz="4" w:space="0" w:color="000000"/>
            </w:tcBorders>
            <w:shd w:val="clear" w:color="auto" w:fill="D4D4D4"/>
          </w:tcPr>
          <w:p>
            <w:pPr/>
          </w:p>
        </w:tc>
        <w:tc>
          <w:tcPr>
            <w:tcW w:w="4250" w:type="dxa"/>
            <w:tcBorders>
              <w:top w:val="nil" w:sz="6" w:space="0" w:color="auto"/>
              <w:left w:val="single" w:sz="4" w:space="0" w:color="000000"/>
              <w:bottom w:val="single" w:sz="4" w:space="0" w:color="000000"/>
              <w:right w:val="single" w:sz="4" w:space="0" w:color="000000"/>
            </w:tcBorders>
            <w:shd w:val="clear" w:color="auto" w:fill="D4D4D4"/>
          </w:tcPr>
          <w:p>
            <w:pPr/>
          </w:p>
        </w:tc>
        <w:tc>
          <w:tcPr>
            <w:tcW w:w="1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1277"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44" w:hRule="exact"/>
        </w:trPr>
        <w:tc>
          <w:tcPr>
            <w:tcW w:w="1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702"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1" w:right="86"/>
              <w:jc w:val="left"/>
              <w:rPr>
                <w:rFonts w:ascii="宋体" w:hAnsi="宋体" w:cs="宋体" w:eastAsia="宋体" w:hint="default"/>
                <w:sz w:val="18"/>
                <w:szCs w:val="18"/>
              </w:rPr>
            </w:pPr>
            <w:r>
              <w:rPr>
                <w:rFonts w:ascii="宋体" w:hAnsi="宋体" w:cs="宋体" w:eastAsia="宋体" w:hint="default"/>
                <w:sz w:val="18"/>
                <w:szCs w:val="18"/>
              </w:rPr>
              <w:t>筹划重大资产重组 事项</w:t>
            </w:r>
          </w:p>
        </w:tc>
        <w:tc>
          <w:tcPr>
            <w:tcW w:w="42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09" w:lineRule="auto"/>
              <w:ind w:left="21" w:right="74"/>
              <w:jc w:val="both"/>
              <w:rPr>
                <w:rFonts w:ascii="宋体" w:hAnsi="宋体" w:cs="宋体" w:eastAsia="宋体" w:hint="default"/>
                <w:sz w:val="18"/>
                <w:szCs w:val="18"/>
              </w:rPr>
            </w:pPr>
            <w:r>
              <w:rPr>
                <w:rFonts w:ascii="宋体" w:hAnsi="宋体" w:cs="宋体" w:eastAsia="宋体" w:hint="default"/>
                <w:sz w:val="18"/>
                <w:szCs w:val="18"/>
              </w:rPr>
              <w:t>公司承诺自发布《关于终止重大资产重组事项暨公司 股票复牌的公告》之日起公司至少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个月内不再筹划 重大资产重组事项。</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作出承诺时至 承诺履行完毕</w:t>
            </w:r>
          </w:p>
        </w:tc>
        <w:tc>
          <w:tcPr>
            <w:tcW w:w="19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1" w:right="84"/>
              <w:jc w:val="both"/>
              <w:rPr>
                <w:rFonts w:ascii="宋体" w:hAnsi="宋体" w:cs="宋体" w:eastAsia="宋体" w:hint="default"/>
                <w:sz w:val="18"/>
                <w:szCs w:val="18"/>
              </w:rPr>
            </w:pPr>
            <w:r>
              <w:rPr>
                <w:rFonts w:ascii="宋体" w:hAnsi="宋体" w:cs="宋体" w:eastAsia="宋体" w:hint="default"/>
                <w:sz w:val="18"/>
                <w:szCs w:val="18"/>
              </w:rPr>
              <w:t>截止报告期末，承诺方 均遵守以上承诺，未有 违反上述承诺的情况。</w:t>
            </w: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702" w:type="dxa"/>
            <w:vMerge/>
            <w:tcBorders>
              <w:left w:val="single" w:sz="10" w:space="0" w:color="D4D4D4"/>
              <w:right w:val="single" w:sz="4" w:space="0" w:color="000000"/>
            </w:tcBorders>
          </w:tcPr>
          <w:p>
            <w:pPr/>
          </w:p>
        </w:tc>
        <w:tc>
          <w:tcPr>
            <w:tcW w:w="1560" w:type="dxa"/>
            <w:vMerge/>
            <w:tcBorders>
              <w:left w:val="single" w:sz="4" w:space="0" w:color="000000"/>
              <w:right w:val="single" w:sz="4" w:space="0" w:color="000000"/>
            </w:tcBorders>
          </w:tcPr>
          <w:p>
            <w:pPr/>
          </w:p>
        </w:tc>
        <w:tc>
          <w:tcPr>
            <w:tcW w:w="425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918" w:type="dxa"/>
            <w:vMerge/>
            <w:tcBorders>
              <w:left w:val="single" w:sz="4" w:space="0" w:color="000000"/>
              <w:right w:val="single" w:sz="4" w:space="0" w:color="000000"/>
            </w:tcBorders>
          </w:tcPr>
          <w:p>
            <w:pPr/>
          </w:p>
        </w:tc>
      </w:tr>
      <w:tr>
        <w:trPr>
          <w:trHeight w:val="446" w:hRule="exact"/>
        </w:trPr>
        <w:tc>
          <w:tcPr>
            <w:tcW w:w="1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1702" w:type="dxa"/>
            <w:vMerge/>
            <w:tcBorders>
              <w:left w:val="single" w:sz="10" w:space="0" w:color="D4D4D4"/>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918" w:type="dxa"/>
            <w:vMerge/>
            <w:tcBorders>
              <w:left w:val="single" w:sz="4" w:space="0" w:color="000000"/>
              <w:bottom w:val="single" w:sz="4" w:space="0" w:color="000000"/>
              <w:right w:val="single" w:sz="4" w:space="0" w:color="000000"/>
            </w:tcBorders>
          </w:tcPr>
          <w:p>
            <w:pPr/>
          </w:p>
        </w:tc>
      </w:tr>
      <w:tr>
        <w:trPr>
          <w:trHeight w:val="2422" w:hRule="exact"/>
        </w:trPr>
        <w:tc>
          <w:tcPr>
            <w:tcW w:w="1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702"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60" w:lineRule="auto"/>
              <w:ind w:left="14" w:right="48"/>
              <w:jc w:val="left"/>
              <w:rPr>
                <w:rFonts w:ascii="宋体" w:hAnsi="宋体" w:cs="宋体" w:eastAsia="宋体" w:hint="default"/>
                <w:sz w:val="18"/>
                <w:szCs w:val="18"/>
              </w:rPr>
            </w:pPr>
            <w:r>
              <w:rPr>
                <w:rFonts w:ascii="宋体" w:hAnsi="宋体" w:cs="宋体" w:eastAsia="宋体" w:hint="default"/>
                <w:sz w:val="18"/>
                <w:szCs w:val="18"/>
              </w:rPr>
              <w:t>发行人股东黄元忠、 黄晓峰、陈克让、 孙晓玲、杨颖、 监事艾倩兰、 周洁、朱文；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股份锁定承诺</w:t>
            </w:r>
          </w:p>
        </w:tc>
        <w:tc>
          <w:tcPr>
            <w:tcW w:w="42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1" w:right="77"/>
              <w:jc w:val="both"/>
              <w:rPr>
                <w:rFonts w:ascii="宋体" w:hAnsi="宋体" w:cs="宋体" w:eastAsia="宋体" w:hint="default"/>
                <w:sz w:val="18"/>
                <w:szCs w:val="18"/>
              </w:rPr>
            </w:pPr>
            <w:r>
              <w:rPr>
                <w:rFonts w:ascii="宋体" w:hAnsi="宋体" w:cs="宋体" w:eastAsia="宋体" w:hint="default"/>
                <w:sz w:val="18"/>
                <w:szCs w:val="18"/>
              </w:rPr>
              <w:t>担任发行人董事、监事、高级管理人员的直接或间接 股东黄元忠、黄晓峰、陈克让、孙晓玲、杨颖、艾倩 兰、周洁、朱文承诺：上述前述承诺期满后，在本人 任职期间，每年转让的发行人股份不超过本人直接或 间接持有的发行人股份总数的百分之二十五；在离职 后半年内，不转让直接或间接持有的发行人股份。</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作出承诺时至 承诺履行完毕</w:t>
            </w:r>
          </w:p>
        </w:tc>
        <w:tc>
          <w:tcPr>
            <w:tcW w:w="19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1" w:right="84"/>
              <w:jc w:val="both"/>
              <w:rPr>
                <w:rFonts w:ascii="宋体" w:hAnsi="宋体" w:cs="宋体" w:eastAsia="宋体" w:hint="default"/>
                <w:sz w:val="18"/>
                <w:szCs w:val="18"/>
              </w:rPr>
            </w:pPr>
            <w:r>
              <w:rPr>
                <w:rFonts w:ascii="宋体" w:hAnsi="宋体" w:cs="宋体" w:eastAsia="宋体" w:hint="default"/>
                <w:sz w:val="18"/>
                <w:szCs w:val="18"/>
              </w:rPr>
              <w:t>截止报告期末，承诺方 均遵守以上承诺，未有 违反上述承诺的情况。</w:t>
            </w:r>
          </w:p>
        </w:tc>
      </w:tr>
      <w:tr>
        <w:trPr>
          <w:trHeight w:val="125" w:hRule="exact"/>
        </w:trPr>
        <w:tc>
          <w:tcPr>
            <w:tcW w:w="170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702" w:type="dxa"/>
            <w:vMerge/>
            <w:tcBorders>
              <w:left w:val="single" w:sz="10" w:space="0" w:color="D4D4D4"/>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918" w:type="dxa"/>
            <w:vMerge/>
            <w:tcBorders>
              <w:left w:val="single" w:sz="4" w:space="0" w:color="000000"/>
              <w:bottom w:val="single" w:sz="4" w:space="0" w:color="000000"/>
              <w:right w:val="single" w:sz="4" w:space="0" w:color="000000"/>
            </w:tcBorders>
          </w:tcPr>
          <w:p>
            <w:pPr/>
          </w:p>
        </w:tc>
      </w:tr>
      <w:tr>
        <w:trPr>
          <w:trHeight w:val="581" w:hRule="exact"/>
        </w:trPr>
        <w:tc>
          <w:tcPr>
            <w:tcW w:w="1702" w:type="dxa"/>
            <w:vMerge/>
            <w:tcBorders>
              <w:left w:val="single" w:sz="4" w:space="0" w:color="000000"/>
              <w:bottom w:val="nil" w:sz="6" w:space="0" w:color="auto"/>
              <w:right w:val="single" w:sz="4" w:space="0" w:color="000000"/>
            </w:tcBorders>
            <w:shd w:val="clear" w:color="auto" w:fill="D4D4D4"/>
          </w:tcPr>
          <w:p>
            <w:pPr/>
          </w:p>
        </w:tc>
        <w:tc>
          <w:tcPr>
            <w:tcW w:w="1702" w:type="dxa"/>
            <w:vMerge w:val="restart"/>
            <w:tcBorders>
              <w:top w:val="single" w:sz="4" w:space="0" w:color="000000"/>
              <w:left w:val="single" w:sz="10" w:space="0" w:color="D4D4D4"/>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357" w:lineRule="auto"/>
              <w:ind w:left="14" w:right="48"/>
              <w:jc w:val="left"/>
              <w:rPr>
                <w:rFonts w:ascii="宋体" w:hAnsi="宋体" w:cs="宋体" w:eastAsia="宋体" w:hint="default"/>
                <w:sz w:val="18"/>
                <w:szCs w:val="18"/>
              </w:rPr>
            </w:pPr>
            <w:r>
              <w:rPr>
                <w:rFonts w:ascii="宋体" w:hAnsi="宋体" w:cs="宋体" w:eastAsia="宋体" w:hint="default"/>
                <w:sz w:val="18"/>
                <w:szCs w:val="18"/>
              </w:rPr>
              <w:t>发行人股东黄元忠、 黄晓峰、陈克让、 戈尔登公司；</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避免同业竞争承诺</w:t>
            </w:r>
          </w:p>
        </w:tc>
        <w:tc>
          <w:tcPr>
            <w:tcW w:w="42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1" w:right="77"/>
              <w:jc w:val="both"/>
              <w:rPr>
                <w:rFonts w:ascii="宋体" w:hAnsi="宋体" w:cs="宋体" w:eastAsia="宋体" w:hint="default"/>
                <w:sz w:val="18"/>
                <w:szCs w:val="18"/>
              </w:rPr>
            </w:pPr>
            <w:r>
              <w:rPr>
                <w:rFonts w:ascii="宋体" w:hAnsi="宋体" w:cs="宋体" w:eastAsia="宋体" w:hint="default"/>
                <w:sz w:val="18"/>
                <w:szCs w:val="18"/>
              </w:rPr>
              <w:t>为避免同业竞争损害公司及其他股东的利益，公司控 股股东、实际控制人黄元忠先生及其一致行动人、主 要股东黄晓峰先生、陈克让先生、戈尔登公司分别做 出避免同业竞争的承诺。</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作出承诺时至 承诺履行完毕</w:t>
            </w:r>
          </w:p>
        </w:tc>
        <w:tc>
          <w:tcPr>
            <w:tcW w:w="19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4"/>
              <w:ind w:left="21" w:right="84"/>
              <w:jc w:val="both"/>
              <w:rPr>
                <w:rFonts w:ascii="宋体" w:hAnsi="宋体" w:cs="宋体" w:eastAsia="宋体" w:hint="default"/>
                <w:sz w:val="18"/>
                <w:szCs w:val="18"/>
              </w:rPr>
            </w:pPr>
            <w:r>
              <w:rPr>
                <w:rFonts w:ascii="宋体" w:hAnsi="宋体" w:cs="宋体" w:eastAsia="宋体" w:hint="default"/>
                <w:sz w:val="18"/>
                <w:szCs w:val="18"/>
              </w:rPr>
              <w:t>截止报告期末，承诺方 均遵守以上承诺，未有 违反上述承诺的情况。</w:t>
            </w:r>
          </w:p>
        </w:tc>
      </w:tr>
      <w:tr>
        <w:trPr>
          <w:trHeight w:val="1123" w:hRule="exact"/>
        </w:trPr>
        <w:tc>
          <w:tcPr>
            <w:tcW w:w="1702" w:type="dxa"/>
            <w:vMerge w:val="restart"/>
            <w:tcBorders>
              <w:top w:val="nil" w:sz="6" w:space="0" w:color="auto"/>
              <w:left w:val="single" w:sz="4" w:space="0" w:color="000000"/>
              <w:right w:val="single" w:sz="4" w:space="0" w:color="000000"/>
            </w:tcBorders>
            <w:shd w:val="clear" w:color="auto" w:fill="D4D4D4"/>
          </w:tcPr>
          <w:p>
            <w:pPr/>
          </w:p>
        </w:tc>
        <w:tc>
          <w:tcPr>
            <w:tcW w:w="1702" w:type="dxa"/>
            <w:vMerge/>
            <w:tcBorders>
              <w:left w:val="single" w:sz="10" w:space="0" w:color="D4D4D4"/>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918" w:type="dxa"/>
            <w:vMerge/>
            <w:tcBorders>
              <w:left w:val="single" w:sz="4" w:space="0" w:color="000000"/>
              <w:bottom w:val="single" w:sz="4" w:space="0" w:color="000000"/>
              <w:right w:val="single" w:sz="4" w:space="0" w:color="000000"/>
            </w:tcBorders>
          </w:tcPr>
          <w:p>
            <w:pPr/>
          </w:p>
        </w:tc>
      </w:tr>
      <w:tr>
        <w:trPr>
          <w:trHeight w:val="1298" w:hRule="exact"/>
        </w:trPr>
        <w:tc>
          <w:tcPr>
            <w:tcW w:w="1702" w:type="dxa"/>
            <w:vMerge/>
            <w:tcBorders>
              <w:left w:val="single" w:sz="4" w:space="0" w:color="000000"/>
              <w:bottom w:val="single" w:sz="4" w:space="0" w:color="000000"/>
              <w:right w:val="single" w:sz="4" w:space="0" w:color="000000"/>
            </w:tcBorders>
            <w:shd w:val="clear" w:color="auto" w:fill="D4D4D4"/>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7"/>
              <w:ind w:left="21" w:right="48"/>
              <w:jc w:val="left"/>
              <w:rPr>
                <w:rFonts w:ascii="宋体" w:hAnsi="宋体" w:cs="宋体" w:eastAsia="宋体" w:hint="default"/>
                <w:sz w:val="18"/>
                <w:szCs w:val="18"/>
              </w:rPr>
            </w:pPr>
            <w:r>
              <w:rPr>
                <w:rFonts w:ascii="宋体" w:hAnsi="宋体" w:cs="宋体" w:eastAsia="宋体" w:hint="default"/>
                <w:sz w:val="18"/>
                <w:szCs w:val="18"/>
              </w:rPr>
              <w:t>发行人股东黄元忠、 黄晓峰、陈克让、 孙晓玲、杨颖；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1" w:right="86"/>
              <w:jc w:val="left"/>
              <w:rPr>
                <w:rFonts w:ascii="宋体" w:hAnsi="宋体" w:cs="宋体" w:eastAsia="宋体" w:hint="default"/>
                <w:sz w:val="18"/>
                <w:szCs w:val="18"/>
              </w:rPr>
            </w:pPr>
            <w:r>
              <w:rPr>
                <w:rFonts w:ascii="宋体" w:hAnsi="宋体" w:cs="宋体" w:eastAsia="宋体" w:hint="default"/>
                <w:sz w:val="18"/>
                <w:szCs w:val="18"/>
              </w:rPr>
              <w:t>不占用公司资金承 诺</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9"/>
              <w:jc w:val="both"/>
              <w:rPr>
                <w:rFonts w:ascii="宋体" w:hAnsi="宋体" w:cs="宋体" w:eastAsia="宋体" w:hint="default"/>
                <w:sz w:val="18"/>
                <w:szCs w:val="18"/>
              </w:rPr>
            </w:pPr>
            <w:r>
              <w:rPr>
                <w:rFonts w:ascii="宋体" w:hAnsi="宋体" w:cs="宋体" w:eastAsia="宋体" w:hint="default"/>
                <w:spacing w:val="-3"/>
                <w:sz w:val="18"/>
                <w:szCs w:val="18"/>
              </w:rPr>
              <w:t>公司控股股东、实际控制人黄元</w:t>
            </w:r>
            <w:r>
              <w:rPr>
                <w:rFonts w:ascii="宋体" w:hAnsi="宋体" w:cs="宋体" w:eastAsia="宋体" w:hint="default"/>
                <w:spacing w:val="8"/>
                <w:sz w:val="18"/>
                <w:szCs w:val="18"/>
              </w:rPr>
              <w:t> </w:t>
            </w:r>
            <w:r>
              <w:rPr>
                <w:rFonts w:ascii="宋体" w:hAnsi="宋体" w:cs="宋体" w:eastAsia="宋体" w:hint="default"/>
                <w:sz w:val="18"/>
                <w:szCs w:val="18"/>
              </w:rPr>
              <w:t>忠及其他主要股东陈</w:t>
            </w:r>
            <w:r>
              <w:rPr>
                <w:rFonts w:ascii="宋体" w:hAnsi="宋体" w:cs="宋体" w:eastAsia="宋体" w:hint="default"/>
                <w:sz w:val="18"/>
                <w:szCs w:val="18"/>
              </w:rPr>
              <w:t> 克让、黄晓峰、孙晓玲、杨颖分别承诺：截止本承诺 函出具日，本人不存在占用方直科技资金的情形；自 本承诺函出具日起，本人将严格遵守相关法律、法规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作出承诺时至 承诺履行完毕</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1" w:right="84"/>
              <w:jc w:val="both"/>
              <w:rPr>
                <w:rFonts w:ascii="宋体" w:hAnsi="宋体" w:cs="宋体" w:eastAsia="宋体" w:hint="default"/>
                <w:sz w:val="18"/>
                <w:szCs w:val="18"/>
              </w:rPr>
            </w:pPr>
            <w:r>
              <w:rPr>
                <w:rFonts w:ascii="宋体" w:hAnsi="宋体" w:cs="宋体" w:eastAsia="宋体" w:hint="default"/>
                <w:sz w:val="18"/>
                <w:szCs w:val="18"/>
              </w:rPr>
              <w:t>截止报告期末，承诺方 均遵守以上承诺，未有 违反上述承诺的情况。</w:t>
            </w:r>
          </w:p>
        </w:tc>
      </w:tr>
    </w:tbl>
    <w:p>
      <w:pPr>
        <w:spacing w:after="0" w:line="316" w:lineRule="auto"/>
        <w:jc w:val="both"/>
        <w:rPr>
          <w:rFonts w:ascii="宋体" w:hAnsi="宋体" w:cs="宋体" w:eastAsia="宋体" w:hint="default"/>
          <w:sz w:val="18"/>
          <w:szCs w:val="18"/>
        </w:rPr>
        <w:sectPr>
          <w:headerReference w:type="default" r:id="rId14"/>
          <w:footerReference w:type="default" r:id="rId15"/>
          <w:pgSz w:w="16840" w:h="11910" w:orient="landscape"/>
          <w:pgMar w:header="867" w:footer="982" w:top="1060" w:bottom="1180" w:left="1300" w:right="1160"/>
          <w:pgNumType w:start="36"/>
        </w:sectPr>
      </w:pPr>
    </w:p>
    <w:p>
      <w:pPr>
        <w:spacing w:line="240" w:lineRule="auto" w:before="2"/>
        <w:rPr>
          <w:rFonts w:ascii="Times New Roman" w:hAnsi="Times New Roman" w:cs="Times New Roman" w:eastAsia="Times New Roman" w:hint="default"/>
          <w:sz w:val="3"/>
          <w:szCs w:val="3"/>
        </w:rPr>
      </w:pPr>
      <w:r>
        <w:rPr/>
        <w:pict>
          <v:shape style="position:absolute;margin-left:409.806pt;margin-top:105.600006pt;width:207.75pt;height:61.45pt;mso-position-horizontal-relative:page;mso-position-vertical-relative:page;z-index:-1223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37"/>
                    <w:ind w:left="0" w:right="0" w:firstLine="0"/>
                    <w:jc w:val="left"/>
                    <w:rPr>
                      <w:rFonts w:ascii="宋体" w:hAnsi="宋体" w:cs="宋体" w:eastAsia="宋体" w:hint="default"/>
                      <w:sz w:val="18"/>
                      <w:szCs w:val="18"/>
                    </w:rPr>
                  </w:pPr>
                  <w:r>
                    <w:rPr>
                      <w:rFonts w:ascii="宋体" w:hAnsi="宋体" w:cs="宋体" w:eastAsia="宋体" w:hint="default"/>
                      <w:sz w:val="18"/>
                      <w:szCs w:val="18"/>
                    </w:rPr>
                    <w:t>二人为各自独立的自然人股东，</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702"/>
        <w:gridCol w:w="1702"/>
        <w:gridCol w:w="1560"/>
        <w:gridCol w:w="4250"/>
        <w:gridCol w:w="1702"/>
        <w:gridCol w:w="1277"/>
        <w:gridCol w:w="1918"/>
      </w:tblGrid>
      <w:tr>
        <w:trPr>
          <w:trHeight w:val="984" w:hRule="exact"/>
        </w:trPr>
        <w:tc>
          <w:tcPr>
            <w:tcW w:w="1702" w:type="dxa"/>
            <w:vMerge w:val="restart"/>
            <w:tcBorders>
              <w:top w:val="single" w:sz="15" w:space="0" w:color="000000"/>
              <w:left w:val="single" w:sz="4" w:space="0" w:color="000000"/>
              <w:right w:val="single" w:sz="4" w:space="0" w:color="000000"/>
            </w:tcBorders>
            <w:shd w:val="clear" w:color="auto" w:fill="D4D4D4"/>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42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及公司相关规定，不占用公司资金。</w:t>
            </w:r>
          </w:p>
        </w:tc>
        <w:tc>
          <w:tcPr>
            <w:tcW w:w="1702"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918" w:type="dxa"/>
            <w:tcBorders>
              <w:top w:val="single" w:sz="15" w:space="0" w:color="000000"/>
              <w:left w:val="single" w:sz="4" w:space="0" w:color="000000"/>
              <w:bottom w:val="single" w:sz="4" w:space="0" w:color="000000"/>
              <w:right w:val="single" w:sz="4" w:space="0" w:color="000000"/>
            </w:tcBorders>
          </w:tcPr>
          <w:p>
            <w:pPr/>
          </w:p>
        </w:tc>
      </w:tr>
      <w:tr>
        <w:trPr>
          <w:trHeight w:val="2861" w:hRule="exact"/>
        </w:trPr>
        <w:tc>
          <w:tcPr>
            <w:tcW w:w="1702" w:type="dxa"/>
            <w:vMerge/>
            <w:tcBorders>
              <w:left w:val="single" w:sz="4" w:space="0" w:color="000000"/>
              <w:bottom w:val="single" w:sz="4" w:space="0" w:color="000000"/>
              <w:right w:val="single" w:sz="4" w:space="0" w:color="000000"/>
            </w:tcBorders>
            <w:shd w:val="clear" w:color="auto" w:fill="D4D4D4"/>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黄晓峰、陈克让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1" w:right="86"/>
              <w:jc w:val="left"/>
              <w:rPr>
                <w:rFonts w:ascii="宋体" w:hAnsi="宋体" w:cs="宋体" w:eastAsia="宋体" w:hint="default"/>
                <w:sz w:val="18"/>
                <w:szCs w:val="18"/>
              </w:rPr>
            </w:pPr>
            <w:r>
              <w:rPr>
                <w:rFonts w:ascii="宋体" w:hAnsi="宋体" w:cs="宋体" w:eastAsia="宋体" w:hint="default"/>
                <w:sz w:val="18"/>
                <w:szCs w:val="18"/>
              </w:rPr>
              <w:t>不谋求实际控制权 承诺</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1" w:right="77"/>
              <w:jc w:val="left"/>
              <w:rPr>
                <w:rFonts w:ascii="宋体" w:hAnsi="宋体" w:cs="宋体" w:eastAsia="宋体" w:hint="default"/>
                <w:sz w:val="18"/>
                <w:szCs w:val="18"/>
              </w:rPr>
            </w:pPr>
            <w:r>
              <w:rPr>
                <w:rFonts w:ascii="宋体" w:hAnsi="宋体" w:cs="宋体" w:eastAsia="宋体" w:hint="default"/>
                <w:sz w:val="18"/>
                <w:szCs w:val="18"/>
              </w:rPr>
              <w:t>黄晓峰、陈克让承诺： 相互之间不存在关联关系，在作为发行人股东期间， 不相互转让股份，不通过受让其他股东持有的方直科 技股份、增资等途径取得方直科技的控股地位，不通 过与其他任何第三方签订一致行动协议或类似安排的 方式取得方直科技的实际控股地位，不得做出有损发 行人实际控制权及经营稳定、整体利益的行为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22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84.6pt;height:61.45pt;mso-position-horizontal-relative:char;mso-position-vertical-relative:line" coordorigin="0,0" coordsize="1692,1229">
                  <v:group style="position:absolute;left:0;top:0;width:1692;height:1229" coordorigin="0,0" coordsize="1692,1229">
                    <v:shape style="position:absolute;left:0;top:0;width:1692;height:1229" coordorigin="0,0" coordsize="1692,1229" path="m0,1229l1692,1229,1692,0,0,0,0,1229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作出承诺时至 承诺履行完毕</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1" w:right="84"/>
              <w:jc w:val="both"/>
              <w:rPr>
                <w:rFonts w:ascii="宋体" w:hAnsi="宋体" w:cs="宋体" w:eastAsia="宋体" w:hint="default"/>
                <w:sz w:val="18"/>
                <w:szCs w:val="18"/>
              </w:rPr>
            </w:pPr>
            <w:r>
              <w:rPr>
                <w:rFonts w:ascii="宋体" w:hAnsi="宋体" w:cs="宋体" w:eastAsia="宋体" w:hint="default"/>
                <w:sz w:val="18"/>
                <w:szCs w:val="18"/>
              </w:rPr>
              <w:t>截止报告期末，承诺方 均遵守以上承诺，未有 违反上述承诺的情况。</w:t>
            </w:r>
          </w:p>
        </w:tc>
      </w:tr>
      <w:tr>
        <w:trPr>
          <w:trHeight w:val="2124"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3"/>
              <w:ind w:left="23" w:right="47"/>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38" w:lineRule="auto"/>
              <w:ind w:left="21" w:right="48"/>
              <w:jc w:val="left"/>
              <w:rPr>
                <w:rFonts w:ascii="宋体" w:hAnsi="宋体" w:cs="宋体" w:eastAsia="宋体" w:hint="default"/>
                <w:sz w:val="18"/>
                <w:szCs w:val="18"/>
              </w:rPr>
            </w:pPr>
            <w:r>
              <w:rPr>
                <w:rFonts w:ascii="宋体" w:hAnsi="宋体" w:cs="宋体" w:eastAsia="宋体" w:hint="default"/>
                <w:sz w:val="18"/>
                <w:szCs w:val="18"/>
              </w:rPr>
              <w:t>公司董事兼副总经理 黄晓峰先生、 副总经理兼财务总监</w:t>
            </w:r>
          </w:p>
          <w:p>
            <w:pPr>
              <w:pStyle w:val="TableParagraph"/>
              <w:spacing w:line="360" w:lineRule="auto" w:before="2"/>
              <w:ind w:left="21" w:right="228"/>
              <w:jc w:val="left"/>
              <w:rPr>
                <w:rFonts w:ascii="宋体" w:hAnsi="宋体" w:cs="宋体" w:eastAsia="宋体" w:hint="default"/>
                <w:sz w:val="18"/>
                <w:szCs w:val="18"/>
              </w:rPr>
            </w:pPr>
            <w:r>
              <w:rPr>
                <w:rFonts w:ascii="宋体" w:hAnsi="宋体" w:cs="宋体" w:eastAsia="宋体" w:hint="default"/>
                <w:sz w:val="18"/>
                <w:szCs w:val="18"/>
              </w:rPr>
              <w:t>孙晓玲女士、 副总经理杨颖女士</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股票增持承诺</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07" w:lineRule="auto"/>
              <w:ind w:left="21" w:right="31"/>
              <w:jc w:val="both"/>
              <w:rPr>
                <w:rFonts w:ascii="宋体" w:hAnsi="宋体" w:cs="宋体" w:eastAsia="宋体" w:hint="default"/>
                <w:sz w:val="18"/>
                <w:szCs w:val="18"/>
              </w:rPr>
            </w:pPr>
            <w:r>
              <w:rPr>
                <w:rFonts w:ascii="宋体" w:hAnsi="宋体" w:cs="宋体" w:eastAsia="宋体" w:hint="default"/>
                <w:sz w:val="18"/>
                <w:szCs w:val="18"/>
              </w:rPr>
              <w:t>股份增持将根据中国证监会和深圳证券交易所的有关 规定将在增持股票之日起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个月内不转让其所持有的 本公司股份。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3"/>
              <w:ind w:left="24" w:right="161"/>
              <w:jc w:val="left"/>
              <w:rPr>
                <w:rFonts w:ascii="宋体" w:hAnsi="宋体" w:cs="宋体" w:eastAsia="宋体" w:hint="default"/>
                <w:sz w:val="18"/>
                <w:szCs w:val="18"/>
              </w:rPr>
            </w:pPr>
            <w:r>
              <w:rPr>
                <w:rFonts w:ascii="宋体" w:hAnsi="宋体" w:cs="宋体" w:eastAsia="宋体" w:hint="default"/>
                <w:sz w:val="18"/>
                <w:szCs w:val="18"/>
              </w:rPr>
              <w:t>作出承诺时至 承诺履行完毕</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1" w:right="0"/>
              <w:jc w:val="both"/>
              <w:rPr>
                <w:rFonts w:ascii="宋体" w:hAnsi="宋体" w:cs="宋体" w:eastAsia="宋体" w:hint="default"/>
                <w:sz w:val="18"/>
                <w:szCs w:val="18"/>
              </w:rPr>
            </w:pPr>
            <w:r>
              <w:rPr>
                <w:rFonts w:ascii="宋体" w:hAnsi="宋体" w:cs="宋体" w:eastAsia="宋体" w:hint="default"/>
                <w:sz w:val="18"/>
                <w:szCs w:val="18"/>
              </w:rPr>
              <w:t>承诺方于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1" w:right="43"/>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日前已通过资管计划 以在二级市场购买方式 完成增持本公司股票。 承诺履行完毕。</w:t>
            </w:r>
          </w:p>
        </w:tc>
      </w:tr>
      <w:tr>
        <w:trPr>
          <w:trHeight w:val="967"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4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82" w:top="1060" w:bottom="1180" w:left="1320" w:right="1160"/>
        </w:sectPr>
      </w:pPr>
    </w:p>
    <w:p>
      <w:pPr>
        <w:spacing w:line="240" w:lineRule="auto" w:before="8"/>
        <w:rPr>
          <w:rFonts w:ascii="Times New Roman" w:hAnsi="Times New Roman" w:cs="Times New Roman" w:eastAsia="Times New Roman" w:hint="default"/>
          <w:sz w:val="23"/>
          <w:szCs w:val="23"/>
        </w:rPr>
      </w:pPr>
    </w:p>
    <w:p>
      <w:pPr>
        <w:pStyle w:val="Heading3"/>
        <w:spacing w:line="259" w:lineRule="auto" w:before="36"/>
        <w:ind w:right="0"/>
        <w:jc w:val="left"/>
        <w:rPr>
          <w:b w:val="0"/>
          <w:bCs w:val="0"/>
        </w:rPr>
      </w:pPr>
      <w:bookmarkStart w:name="七、与上年度财务报告相比，合并报表范围发生变化的情况说明" w:id="64"/>
      <w:bookmarkEnd w:id="64"/>
      <w:r>
        <w:rPr>
          <w:b w:val="0"/>
          <w:bCs w:val="0"/>
        </w:rPr>
      </w:r>
      <w:bookmarkStart w:name="八、聘任、解聘会计师事务所情况" w:id="65"/>
      <w:bookmarkEnd w:id="65"/>
      <w:r>
        <w:rPr>
          <w:b w:val="0"/>
          <w:bCs w:val="0"/>
        </w:rPr>
      </w:r>
      <w:bookmarkStart w:name="九、年度报告披露后面临暂停上市和终止上市情况" w:id="66"/>
      <w:bookmarkEnd w:id="66"/>
      <w:r>
        <w:rPr>
          <w:b w:val="0"/>
          <w:bCs w:val="0"/>
        </w:rPr>
      </w:r>
      <w:r>
        <w:rPr>
          <w:rFonts w:ascii="Times New Roman" w:hAnsi="Times New Roman" w:cs="Times New Roman" w:eastAsia="Times New Roman" w:hint="default"/>
        </w:rPr>
        <w:t>2</w:t>
      </w:r>
      <w:bookmarkStart w:name="2、公司资产或项目存在盈利预测，且报告期仍处在盈利预测期间，公司就资产或项目达到" w:id="67"/>
      <w:bookmarkEnd w:id="67"/>
      <w:r>
        <w:rPr>
          <w:rFonts w:ascii="Times New Roman" w:hAnsi="Times New Roman" w:cs="Times New Roman" w:eastAsia="Times New Roman" w:hint="default"/>
        </w:rPr>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三、控股股东</w:t>
      </w:r>
      <w:bookmarkStart w:name="三、控股股东及其关联方对上市公司的非经营性占用资金情况" w:id="68"/>
      <w:bookmarkEnd w:id="68"/>
      <w:r>
        <w:rPr/>
        <w:t>及</w:t>
      </w:r>
      <w:r>
        <w:rPr/>
        <w:t>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w:t>
      </w:r>
      <w:bookmarkStart w:name="四、董事会对最近一期“非标准审计报告”相关情况的说明" w:id="69"/>
      <w:bookmarkEnd w:id="69"/>
      <w:r>
        <w:rPr/>
        <w:t>标</w:t>
      </w:r>
      <w:r>
        <w:rPr/>
        <w:t>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w:t>
      </w:r>
      <w:bookmarkStart w:name="五、董事会、监事会、独立董事（如有）对会计师事务所本报告期“非标准审计报告”的说" w:id="70"/>
      <w:bookmarkEnd w:id="70"/>
      <w:r>
        <w:rPr/>
        <w:t>对会</w:t>
      </w:r>
      <w:r>
        <w:rPr/>
        <w:t>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w:t>
      </w:r>
      <w:bookmarkStart w:name="六、董事会关于报告期会计政策、会计估计变更或重大会计差错更正的说明" w:id="71"/>
      <w:bookmarkEnd w:id="71"/>
      <w:r>
        <w:rPr/>
        <w:t>大会</w:t>
      </w:r>
      <w:r>
        <w:rPr/>
        <w:t>计差错更正的说明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39.15</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周灵芝、陈葆华</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16"/>
          <w:footerReference w:type="default" r:id="rId17"/>
          <w:pgSz w:w="11910" w:h="16840"/>
          <w:pgMar w:header="877" w:footer="982" w:top="1100" w:bottom="1180" w:left="980" w:right="980"/>
          <w:pgNumType w:start="38"/>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w:t>
      </w:r>
      <w:bookmarkStart w:name="十、破产重整相关事项" w:id="72"/>
      <w:bookmarkEnd w:id="72"/>
      <w:r>
        <w:rPr/>
        <w:t>、</w:t>
      </w:r>
      <w:r>
        <w:rPr/>
        <w:t>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十一、重大诉</w:t>
      </w:r>
      <w:bookmarkStart w:name="十一、重大诉讼、仲裁事项" w:id="73"/>
      <w:bookmarkEnd w:id="73"/>
      <w:r>
        <w:rPr/>
        <w:t>讼</w:t>
      </w:r>
      <w:r>
        <w:rPr/>
        <w:t>、仲裁事项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w:t>
      </w:r>
      <w:bookmarkStart w:name="十二、处罚及整改情况" w:id="74"/>
      <w:bookmarkEnd w:id="74"/>
      <w:r>
        <w:rPr/>
        <w:t>际控</w:t>
      </w:r>
      <w:r>
        <w:rPr/>
        <w:t>制人的</w:t>
      </w:r>
      <w:bookmarkStart w:name="十三、公司及其控股股东、实际控制人的诚信状况" w:id="75"/>
      <w:bookmarkEnd w:id="75"/>
      <w:r>
        <w:rPr/>
        <w:t>诚信</w:t>
      </w:r>
      <w:r>
        <w:rPr/>
        <w:t>状况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十四、公司股权激励计划、员工持股计划或其他员工</w:t>
      </w:r>
      <w:bookmarkStart w:name="十四、公司股权激励计划、员工持股计划或其他员工激励措施的实施情况" w:id="76"/>
      <w:bookmarkEnd w:id="76"/>
      <w:r>
        <w:rPr/>
        <w:t>激励</w:t>
      </w:r>
      <w:r>
        <w:rPr/>
        <w:t>措施的实施情况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7"/>
        <w:ind w:right="125" w:firstLine="371"/>
        <w:jc w:val="both"/>
      </w:pPr>
      <w:r>
        <w:rPr>
          <w:spacing w:val="-1"/>
        </w:rPr>
        <w:t>为了进一步完善公司治理结构，倡导公司与个人共同持续发展的理念，有效调动管理者和公司员工的</w:t>
      </w:r>
      <w:r>
        <w:rPr>
          <w:w w:val="100"/>
        </w:rPr>
        <w:t> </w:t>
      </w:r>
      <w:r>
        <w:rPr>
          <w:spacing w:val="-2"/>
        </w:rPr>
        <w:t>积极性。吸引和保留优秀管理人才和业务骨干，兼顾公司长期利益和近期利益，更灵活地吸引各种人才，</w:t>
      </w:r>
      <w:r>
        <w:rPr>
          <w:spacing w:val="-21"/>
        </w:rPr>
        <w:t> </w:t>
      </w:r>
      <w:r>
        <w:rPr>
          <w:spacing w:val="-21"/>
        </w:rPr>
      </w:r>
      <w:r>
        <w:rPr>
          <w:spacing w:val="-2"/>
        </w:rPr>
        <w:t>从而更好地促进公司长期、持续、健康发展。</w:t>
      </w:r>
      <w:r>
        <w:rPr>
          <w:rFonts w:ascii="宋体" w:hAnsi="宋体" w:cs="宋体" w:eastAsia="宋体" w:hint="default"/>
          <w:spacing w:val="-2"/>
        </w:rPr>
        <w:t>2015</w:t>
      </w:r>
      <w:r>
        <w:rPr>
          <w:spacing w:val="-2"/>
        </w:rPr>
        <w:t>年</w:t>
      </w:r>
      <w:r>
        <w:rPr>
          <w:rFonts w:ascii="宋体" w:hAnsi="宋体" w:cs="宋体" w:eastAsia="宋体" w:hint="default"/>
          <w:spacing w:val="-2"/>
        </w:rPr>
        <w:t>07</w:t>
      </w:r>
      <w:r>
        <w:rPr>
          <w:spacing w:val="-2"/>
        </w:rPr>
        <w:t>月</w:t>
      </w:r>
      <w:r>
        <w:rPr>
          <w:rFonts w:ascii="宋体" w:hAnsi="宋体" w:cs="宋体" w:eastAsia="宋体" w:hint="default"/>
          <w:spacing w:val="-2"/>
        </w:rPr>
        <w:t>19</w:t>
      </w:r>
      <w:r>
        <w:rPr>
          <w:spacing w:val="-2"/>
        </w:rPr>
        <w:t>日，公司召开第二届董事会第十九次会议，审</w:t>
      </w:r>
      <w:r>
        <w:rPr>
          <w:spacing w:val="-37"/>
        </w:rPr>
        <w:t> </w:t>
      </w:r>
      <w:r>
        <w:rPr>
          <w:spacing w:val="-37"/>
        </w:rPr>
      </w:r>
      <w:r>
        <w:rPr>
          <w:spacing w:val="-2"/>
        </w:rPr>
        <w:t>议通过了《关于</w:t>
      </w:r>
      <w:r>
        <w:rPr>
          <w:rFonts w:ascii="宋体" w:hAnsi="宋体" w:cs="宋体" w:eastAsia="宋体" w:hint="default"/>
          <w:spacing w:val="-2"/>
        </w:rPr>
        <w:t>&lt;</w:t>
      </w:r>
      <w:r>
        <w:rPr>
          <w:spacing w:val="-2"/>
        </w:rPr>
        <w:t>公司首期员工持股计划（草案）</w:t>
      </w:r>
      <w:r>
        <w:rPr>
          <w:rFonts w:ascii="宋体" w:hAnsi="宋体" w:cs="宋体" w:eastAsia="宋体" w:hint="default"/>
          <w:spacing w:val="-2"/>
        </w:rPr>
        <w:t>&gt;</w:t>
      </w:r>
      <w:r>
        <w:rPr>
          <w:spacing w:val="-2"/>
        </w:rPr>
        <w:t>及其摘要的议案》等相关议案，并提交至</w:t>
      </w:r>
      <w:r>
        <w:rPr>
          <w:rFonts w:ascii="宋体" w:hAnsi="宋体" w:cs="宋体" w:eastAsia="宋体" w:hint="default"/>
          <w:spacing w:val="-2"/>
        </w:rPr>
        <w:t>2015</w:t>
      </w:r>
      <w:r>
        <w:rPr>
          <w:spacing w:val="-2"/>
        </w:rPr>
        <w:t>年</w:t>
      </w:r>
      <w:r>
        <w:rPr>
          <w:rFonts w:ascii="宋体" w:hAnsi="宋体" w:cs="宋体" w:eastAsia="宋体" w:hint="default"/>
          <w:spacing w:val="-2"/>
        </w:rPr>
        <w:t>08</w:t>
      </w:r>
      <w:r>
        <w:rPr>
          <w:spacing w:val="-2"/>
        </w:rPr>
        <w:t>月</w:t>
      </w:r>
      <w:r>
        <w:rPr>
          <w:rFonts w:ascii="宋体" w:hAnsi="宋体" w:cs="宋体" w:eastAsia="宋体" w:hint="default"/>
          <w:spacing w:val="-2"/>
        </w:rPr>
        <w:t>14</w:t>
      </w:r>
      <w:r>
        <w:rPr>
          <w:rFonts w:ascii="宋体" w:hAnsi="宋体" w:cs="宋体" w:eastAsia="宋体" w:hint="default"/>
          <w:spacing w:val="-44"/>
        </w:rPr>
        <w:t> </w:t>
      </w:r>
      <w:r>
        <w:rPr>
          <w:spacing w:val="-2"/>
        </w:rPr>
        <w:t>日召开的公司</w:t>
      </w:r>
      <w:r>
        <w:rPr>
          <w:rFonts w:ascii="宋体" w:hAnsi="宋体" w:cs="宋体" w:eastAsia="宋体" w:hint="default"/>
          <w:spacing w:val="-2"/>
        </w:rPr>
        <w:t>2015</w:t>
      </w:r>
      <w:r>
        <w:rPr>
          <w:spacing w:val="-2"/>
        </w:rPr>
        <w:t>年第三次临时股东大会表决，相关议案获得通过。同意公司实施员工持股计划，通过二</w:t>
      </w:r>
      <w:r>
        <w:rPr>
          <w:spacing w:val="-47"/>
        </w:rPr>
        <w:t> </w:t>
      </w:r>
      <w:r>
        <w:rPr>
          <w:spacing w:val="-47"/>
        </w:rPr>
      </w:r>
      <w:r>
        <w:rPr/>
        <w:t>级市场购买的方式取得并持有公司股票，总金额不超过</w:t>
      </w:r>
      <w:r>
        <w:rPr>
          <w:rFonts w:ascii="宋体" w:hAnsi="宋体" w:cs="宋体" w:eastAsia="宋体" w:hint="default"/>
        </w:rPr>
        <w:t>3,450</w:t>
      </w:r>
      <w:r>
        <w:rPr/>
        <w:t>万元，本期员工持股计划的参加对象为公司</w:t>
      </w:r>
      <w:r>
        <w:rPr>
          <w:spacing w:val="-30"/>
        </w:rPr>
        <w:t> </w:t>
      </w:r>
      <w:r>
        <w:rPr>
          <w:spacing w:val="-30"/>
        </w:rPr>
      </w:r>
      <w:r>
        <w:rPr/>
        <w:t>董事、监事、高级管理人员及骨干员工。</w:t>
      </w:r>
    </w:p>
    <w:p>
      <w:pPr>
        <w:pStyle w:val="BodyText"/>
        <w:spacing w:line="408" w:lineRule="auto" w:before="87"/>
        <w:ind w:right="149" w:firstLine="372"/>
        <w:jc w:val="both"/>
      </w:pPr>
      <w:r>
        <w:rPr>
          <w:spacing w:val="-1"/>
        </w:rPr>
        <w:t>截至</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11</w:t>
      </w:r>
      <w:r>
        <w:rPr>
          <w:spacing w:val="-1"/>
        </w:rPr>
        <w:t>日，方直科技首期员工持股计划已完成股票购买，本次员工持股计划由</w:t>
      </w:r>
      <w:r>
        <w:rPr>
          <w:rFonts w:ascii="宋体" w:hAnsi="宋体" w:cs="宋体" w:eastAsia="宋体" w:hint="default"/>
          <w:spacing w:val="-1"/>
        </w:rPr>
        <w:t>“</w:t>
      </w:r>
      <w:r>
        <w:rPr>
          <w:spacing w:val="-1"/>
        </w:rPr>
        <w:t>平安证券</w:t>
      </w:r>
      <w:r>
        <w:rPr>
          <w:w w:val="100"/>
        </w:rPr>
        <w:t> </w:t>
      </w:r>
      <w:r>
        <w:rPr/>
        <w:t>方直</w:t>
      </w:r>
      <w:r>
        <w:rPr>
          <w:rFonts w:ascii="宋体" w:hAnsi="宋体" w:cs="宋体" w:eastAsia="宋体" w:hint="default"/>
        </w:rPr>
        <w:t>1</w:t>
      </w:r>
      <w:r>
        <w:rPr/>
        <w:t>号集合资产管理计划</w:t>
      </w:r>
      <w:r>
        <w:rPr>
          <w:rFonts w:ascii="宋体" w:hAnsi="宋体" w:cs="宋体" w:eastAsia="宋体" w:hint="default"/>
        </w:rPr>
        <w:t>”</w:t>
      </w:r>
      <w:r>
        <w:rPr>
          <w:rFonts w:ascii="宋体" w:hAnsi="宋体" w:cs="宋体" w:eastAsia="宋体" w:hint="default"/>
          <w:spacing w:val="68"/>
        </w:rPr>
        <w:t> </w:t>
      </w:r>
      <w:r>
        <w:rPr/>
        <w:t>通过二级市场购买的方式共计买入方直科技股票</w:t>
      </w:r>
      <w:r>
        <w:rPr>
          <w:rFonts w:ascii="宋体" w:hAnsi="宋体" w:cs="宋体" w:eastAsia="宋体" w:hint="default"/>
        </w:rPr>
        <w:t>1,046,600</w:t>
      </w:r>
      <w:r>
        <w:rPr/>
        <w:t>股，占公司总股</w:t>
      </w:r>
      <w:r>
        <w:rPr>
          <w:spacing w:val="-96"/>
        </w:rPr>
        <w:t> </w:t>
      </w:r>
      <w:r>
        <w:rPr>
          <w:spacing w:val="-96"/>
        </w:rPr>
      </w:r>
      <w:r>
        <w:rPr>
          <w:spacing w:val="-2"/>
        </w:rPr>
        <w:t>本的</w:t>
      </w:r>
      <w:r>
        <w:rPr>
          <w:rFonts w:ascii="宋体" w:hAnsi="宋体" w:cs="宋体" w:eastAsia="宋体" w:hint="default"/>
          <w:spacing w:val="-2"/>
        </w:rPr>
        <w:t>0.66%</w:t>
      </w:r>
      <w:r>
        <w:rPr>
          <w:spacing w:val="-2"/>
        </w:rPr>
        <w:t>，购买均价为</w:t>
      </w:r>
      <w:r>
        <w:rPr>
          <w:rFonts w:ascii="宋体" w:hAnsi="宋体" w:cs="宋体" w:eastAsia="宋体" w:hint="default"/>
          <w:spacing w:val="-2"/>
        </w:rPr>
        <w:t>31.98</w:t>
      </w:r>
      <w:r>
        <w:rPr>
          <w:spacing w:val="-2"/>
        </w:rPr>
        <w:t>元，公司首期员工持股计划所购买的股票锁定期为公司发布完成股票购买公</w:t>
      </w:r>
      <w:r>
        <w:rPr>
          <w:spacing w:val="-36"/>
        </w:rPr>
        <w:t> </w:t>
      </w:r>
      <w:r>
        <w:rPr>
          <w:spacing w:val="-36"/>
        </w:rPr>
      </w:r>
      <w:r>
        <w:rPr/>
        <w:t>告日起 </w:t>
      </w:r>
      <w:r>
        <w:rPr>
          <w:rFonts w:ascii="宋体" w:hAnsi="宋体" w:cs="宋体" w:eastAsia="宋体" w:hint="default"/>
        </w:rPr>
        <w:t>12</w:t>
      </w:r>
      <w:r>
        <w:rPr>
          <w:rFonts w:ascii="宋体" w:hAnsi="宋体" w:cs="宋体" w:eastAsia="宋体" w:hint="default"/>
          <w:spacing w:val="1"/>
        </w:rPr>
        <w:t> </w:t>
      </w:r>
      <w:r>
        <w:rPr/>
        <w:t>个月。</w:t>
      </w:r>
    </w:p>
    <w:p>
      <w:pPr>
        <w:pStyle w:val="BodyText"/>
        <w:spacing w:line="240" w:lineRule="auto" w:before="87"/>
        <w:ind w:left="524" w:right="0"/>
        <w:jc w:val="left"/>
      </w:pPr>
      <w:r>
        <w:rPr/>
        <w:t>本次员工持股事项相关信息披露如下：</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5966"/>
        <w:gridCol w:w="1702"/>
        <w:gridCol w:w="1843"/>
      </w:tblGrid>
      <w:tr>
        <w:trPr>
          <w:trHeight w:val="502" w:hRule="exact"/>
        </w:trPr>
        <w:tc>
          <w:tcPr>
            <w:tcW w:w="5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公告名称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84" w:right="0"/>
              <w:jc w:val="left"/>
              <w:rPr>
                <w:rFonts w:ascii="宋体" w:hAnsi="宋体" w:cs="宋体" w:eastAsia="宋体" w:hint="default"/>
                <w:sz w:val="22"/>
                <w:szCs w:val="22"/>
              </w:rPr>
            </w:pPr>
            <w:r>
              <w:rPr>
                <w:rFonts w:ascii="宋体" w:hAnsi="宋体" w:cs="宋体" w:eastAsia="宋体" w:hint="default"/>
                <w:sz w:val="22"/>
                <w:szCs w:val="22"/>
              </w:rPr>
              <w:t>公告披露日期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sz w:val="22"/>
                <w:szCs w:val="22"/>
              </w:rPr>
              <w:t>公告披露索引</w:t>
            </w:r>
          </w:p>
        </w:tc>
      </w:tr>
      <w:tr>
        <w:trPr>
          <w:trHeight w:val="636" w:hRule="exact"/>
        </w:trPr>
        <w:tc>
          <w:tcPr>
            <w:tcW w:w="5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58"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《第二届董事会第十九次会议决议公告》</w:t>
            </w:r>
          </w:p>
          <w:p>
            <w:pPr>
              <w:pStyle w:val="TableParagraph"/>
              <w:spacing w:line="240" w:lineRule="auto" w:before="76"/>
              <w:ind w:left="1358" w:right="0"/>
              <w:jc w:val="left"/>
              <w:rPr>
                <w:rFonts w:ascii="宋体" w:hAnsi="宋体" w:cs="宋体" w:eastAsia="宋体" w:hint="default"/>
                <w:sz w:val="18"/>
                <w:szCs w:val="18"/>
              </w:rPr>
            </w:pPr>
            <w:r>
              <w:rPr>
                <w:rFonts w:ascii="宋体" w:hAnsi="宋体" w:cs="宋体" w:eastAsia="宋体" w:hint="default"/>
                <w:sz w:val="18"/>
                <w:szCs w:val="18"/>
              </w:rPr>
              <w:t>《第二届监事会第十八次会议决议公告》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hyperlink r:id="rId13">
              <w:r>
                <w:rPr>
                  <w:rFonts w:ascii="宋体"/>
                  <w:sz w:val="18"/>
                </w:rPr>
                <w:t>www.cninfo.com.cn</w:t>
              </w:r>
            </w:hyperlink>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3"/>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5966"/>
        <w:gridCol w:w="1702"/>
        <w:gridCol w:w="1843"/>
      </w:tblGrid>
      <w:tr>
        <w:trPr>
          <w:trHeight w:val="1877" w:hRule="exact"/>
        </w:trPr>
        <w:tc>
          <w:tcPr>
            <w:tcW w:w="59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《监事会关于公司首期员工持股计划相关事项的审核意见》</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《独立董事关于公司第二届董事会第十九次会议相关事项的独立意见》</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《深圳市方直科技股份有限公司首期员工持股计划（草案）》</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《深圳市方直科技股份有限公司首期员工持股计划（草案）摘要》</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《深圳市方直科技股份有限公司首期员工持股计划管理办法》</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年第三次临时股东大会的通知》</w:t>
            </w:r>
          </w:p>
        </w:tc>
        <w:tc>
          <w:tcPr>
            <w:tcW w:w="1702"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r>
      <w:tr>
        <w:trPr>
          <w:trHeight w:val="502" w:hRule="exact"/>
        </w:trPr>
        <w:tc>
          <w:tcPr>
            <w:tcW w:w="5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《广东五维律师事务所关于公司首期员工持股计划的法律意见书》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hyperlink r:id="rId13">
              <w:r>
                <w:rPr>
                  <w:rFonts w:ascii="宋体"/>
                  <w:sz w:val="18"/>
                </w:rPr>
                <w:t>www.cninfo.com.cn</w:t>
              </w:r>
            </w:hyperlink>
          </w:p>
        </w:tc>
      </w:tr>
      <w:tr>
        <w:trPr>
          <w:trHeight w:val="502" w:hRule="exact"/>
        </w:trPr>
        <w:tc>
          <w:tcPr>
            <w:tcW w:w="5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《平安证券方直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号集合资产管理计划资产管理合同》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hyperlink r:id="rId13">
              <w:r>
                <w:rPr>
                  <w:rFonts w:ascii="宋体"/>
                  <w:sz w:val="18"/>
                </w:rPr>
                <w:t>www.cninfo.com.cn</w:t>
              </w:r>
            </w:hyperlink>
          </w:p>
        </w:tc>
      </w:tr>
      <w:tr>
        <w:trPr>
          <w:trHeight w:val="701" w:hRule="exact"/>
        </w:trPr>
        <w:tc>
          <w:tcPr>
            <w:tcW w:w="5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年第三次临时股东大会决议》</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年第三次临时股东大会法律意见书》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hyperlink r:id="rId13">
              <w:r>
                <w:rPr>
                  <w:rFonts w:ascii="宋体"/>
                  <w:sz w:val="18"/>
                </w:rPr>
                <w:t>www.cninfo.com.cn</w:t>
              </w:r>
            </w:hyperlink>
          </w:p>
        </w:tc>
      </w:tr>
      <w:tr>
        <w:trPr>
          <w:trHeight w:val="504" w:hRule="exact"/>
        </w:trPr>
        <w:tc>
          <w:tcPr>
            <w:tcW w:w="5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《关于员工持股计划实施进展的公告》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hyperlink r:id="rId13">
              <w:r>
                <w:rPr>
                  <w:rFonts w:ascii="宋体"/>
                  <w:sz w:val="18"/>
                </w:rPr>
                <w:t>www.cninfo.com.cn</w:t>
              </w:r>
            </w:hyperlink>
          </w:p>
        </w:tc>
      </w:tr>
      <w:tr>
        <w:trPr>
          <w:trHeight w:val="502" w:hRule="exact"/>
        </w:trPr>
        <w:tc>
          <w:tcPr>
            <w:tcW w:w="5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《关于首期员工持股计划完成购买的公告》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hyperlink r:id="rId13">
              <w:r>
                <w:rPr>
                  <w:rFonts w:ascii="宋体"/>
                  <w:sz w:val="18"/>
                </w:rPr>
                <w:t>www.cninfo.com.cn</w:t>
              </w:r>
            </w:hyperlink>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0"/>
        <w:ind w:right="0"/>
        <w:jc w:val="left"/>
        <w:rPr>
          <w:b w:val="0"/>
          <w:bCs w:val="0"/>
        </w:rPr>
      </w:pPr>
      <w:bookmarkStart w:name="十五、重大关联交易" w:id="77"/>
      <w:bookmarkEnd w:id="77"/>
      <w:r>
        <w:rPr>
          <w:b w:val="0"/>
          <w:bCs w:val="0"/>
        </w:rPr>
      </w:r>
      <w:bookmarkStart w:name="1、与日常经营相关的关联交易" w:id="78"/>
      <w:bookmarkEnd w:id="78"/>
      <w:r>
        <w:rPr>
          <w:b w:val="0"/>
          <w:bCs w:val="0"/>
        </w:rPr>
      </w:r>
      <w:bookmarkStart w:name="2、资产或股权收购、出售发生的关联交易" w:id="79"/>
      <w:bookmarkEnd w:id="79"/>
      <w:r>
        <w:rPr>
          <w:b w:val="0"/>
          <w:bCs w:val="0"/>
        </w:rPr>
      </w:r>
      <w:bookmarkStart w:name="3、共同对外投资的关联交易" w:id="80"/>
      <w:bookmarkEnd w:id="80"/>
      <w:r>
        <w:rPr>
          <w:b w:val="0"/>
          <w:bCs w:val="0"/>
        </w:rPr>
      </w:r>
      <w:bookmarkStart w:name="4、关联债权债务往来" w:id="81"/>
      <w:bookmarkEnd w:id="81"/>
      <w:r>
        <w:rPr>
          <w:b w:val="0"/>
          <w:bCs w:val="0"/>
        </w:rPr>
      </w:r>
      <w:bookmarkStart w:name="5、其他重大关联交易" w:id="82"/>
      <w:bookmarkEnd w:id="82"/>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after="0" w:line="3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2）承包情况" w:id="83"/>
      <w:bookmarkEnd w:id="83"/>
      <w:r>
        <w:rPr>
          <w:b w:val="0"/>
          <w:bCs w:val="0"/>
        </w:rPr>
      </w:r>
      <w:bookmarkStart w:name="（3）租赁情况" w:id="84"/>
      <w:bookmarkEnd w:id="84"/>
      <w:r>
        <w:rPr>
          <w:b w:val="0"/>
          <w:bCs w:val="0"/>
        </w:rPr>
      </w:r>
      <w:bookmarkStart w:name="2、重大担保" w:id="85"/>
      <w:bookmarkEnd w:id="85"/>
      <w:r>
        <w:rPr>
          <w:b w:val="0"/>
          <w:bCs w:val="0"/>
        </w:rPr>
      </w:r>
      <w:r>
        <w:rPr/>
        <w:t>十</w:t>
      </w:r>
      <w:bookmarkStart w:name="十六、重大合同及其履行情况" w:id="86"/>
      <w:bookmarkEnd w:id="86"/>
      <w:r>
        <w:rPr/>
        <w:t>六</w:t>
      </w:r>
      <w:r>
        <w:rPr/>
        <w:t>、重大合同及其履行情况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bookmarkStart w:name="1、托管、承包、租赁事项情况" w:id="87"/>
      <w:bookmarkEnd w:id="87"/>
      <w:r>
        <w:rPr>
          <w:rFonts w:ascii="Times New Roman" w:hAnsi="Times New Roman" w:cs="Times New Roman" w:eastAsia="Times New Roman" w:hint="default"/>
        </w:rPr>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1）托管情况" w:id="88"/>
      <w:bookmarkEnd w:id="88"/>
      <w:r>
        <w:rPr>
          <w:rFonts w:ascii="宋体" w:hAnsi="宋体" w:cs="宋体" w:eastAsia="宋体" w:hint="default"/>
          <w:sz w:val="18"/>
          <w:szCs w:val="18"/>
        </w:rPr>
        <w:t>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after="0" w:line="3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
          <w:szCs w:val="2"/>
        </w:rPr>
      </w:pPr>
    </w:p>
    <w:p>
      <w:pPr>
        <w:spacing w:line="20" w:lineRule="exact"/>
        <w:ind w:left="22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260" w:right="10478"/>
        <w:jc w:val="left"/>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60" w:right="10478"/>
        <w:jc w:val="left"/>
        <w:rPr>
          <w:b w:val="0"/>
          <w:bCs w:val="0"/>
        </w:rPr>
      </w:pPr>
      <w:r>
        <w:rPr/>
        <w:t>（</w:t>
      </w:r>
      <w:bookmarkStart w:name="（1）委托理财情况" w:id="90"/>
      <w:bookmarkEnd w:id="90"/>
      <w:r>
        <w:rPr/>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before="44"/>
        <w:ind w:left="260" w:right="104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94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284"/>
        <w:gridCol w:w="701"/>
        <w:gridCol w:w="1133"/>
        <w:gridCol w:w="852"/>
        <w:gridCol w:w="1702"/>
        <w:gridCol w:w="1702"/>
        <w:gridCol w:w="984"/>
        <w:gridCol w:w="1140"/>
        <w:gridCol w:w="1277"/>
        <w:gridCol w:w="850"/>
        <w:gridCol w:w="994"/>
        <w:gridCol w:w="1181"/>
      </w:tblGrid>
      <w:tr>
        <w:trPr>
          <w:trHeight w:val="905" w:hRule="exact"/>
        </w:trPr>
        <w:tc>
          <w:tcPr>
            <w:tcW w:w="1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7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145"/>
              <w:ind w:left="76" w:right="72"/>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产品类型</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145"/>
              <w:ind w:left="239" w:right="60"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145"/>
              <w:ind w:left="396" w:right="36" w:hanging="360"/>
              <w:jc w:val="left"/>
              <w:rPr>
                <w:rFonts w:ascii="宋体" w:hAnsi="宋体" w:cs="宋体" w:eastAsia="宋体" w:hint="default"/>
                <w:sz w:val="18"/>
                <w:szCs w:val="18"/>
              </w:rPr>
            </w:pPr>
            <w:r>
              <w:rPr>
                <w:rFonts w:ascii="宋体" w:hAnsi="宋体" w:cs="宋体" w:eastAsia="宋体" w:hint="default"/>
                <w:sz w:val="18"/>
                <w:szCs w:val="18"/>
              </w:rPr>
              <w:t>报酬确定方 式</w:t>
            </w:r>
          </w:p>
        </w:tc>
        <w:tc>
          <w:tcPr>
            <w:tcW w:w="11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145"/>
              <w:ind w:left="203" w:right="24" w:hanging="180"/>
              <w:jc w:val="left"/>
              <w:rPr>
                <w:rFonts w:ascii="宋体" w:hAnsi="宋体" w:cs="宋体" w:eastAsia="宋体" w:hint="default"/>
                <w:sz w:val="18"/>
                <w:szCs w:val="18"/>
              </w:rPr>
            </w:pPr>
            <w:r>
              <w:rPr>
                <w:rFonts w:ascii="宋体" w:hAnsi="宋体" w:cs="宋体" w:eastAsia="宋体" w:hint="default"/>
                <w:sz w:val="18"/>
                <w:szCs w:val="18"/>
              </w:rPr>
              <w:t>本期实际收回 本金金额</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145"/>
              <w:ind w:left="93" w:right="91"/>
              <w:jc w:val="left"/>
              <w:rPr>
                <w:rFonts w:ascii="宋体" w:hAnsi="宋体" w:cs="宋体" w:eastAsia="宋体" w:hint="default"/>
                <w:sz w:val="18"/>
                <w:szCs w:val="18"/>
              </w:rPr>
            </w:pPr>
            <w:r>
              <w:rPr>
                <w:rFonts w:ascii="宋体" w:hAnsi="宋体" w:cs="宋体" w:eastAsia="宋体" w:hint="default"/>
                <w:sz w:val="18"/>
                <w:szCs w:val="18"/>
              </w:rPr>
              <w:t>计提减值准备 金额（如有）</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145"/>
              <w:ind w:left="131" w:right="41" w:hanging="92"/>
              <w:jc w:val="left"/>
              <w:rPr>
                <w:rFonts w:ascii="宋体" w:hAnsi="宋体" w:cs="宋体" w:eastAsia="宋体" w:hint="default"/>
                <w:sz w:val="18"/>
                <w:szCs w:val="18"/>
              </w:rPr>
            </w:pPr>
            <w:r>
              <w:rPr>
                <w:rFonts w:ascii="宋体" w:hAnsi="宋体" w:cs="宋体" w:eastAsia="宋体" w:hint="default"/>
                <w:sz w:val="18"/>
                <w:szCs w:val="18"/>
              </w:rPr>
              <w:t>报告期实际 损益金额</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145"/>
              <w:ind w:left="247" w:right="23" w:hanging="180"/>
              <w:jc w:val="left"/>
              <w:rPr>
                <w:rFonts w:ascii="宋体" w:hAnsi="宋体" w:cs="宋体" w:eastAsia="宋体" w:hint="default"/>
                <w:sz w:val="18"/>
                <w:szCs w:val="18"/>
              </w:rPr>
            </w:pPr>
            <w:r>
              <w:rPr>
                <w:rFonts w:ascii="宋体" w:hAnsi="宋体" w:cs="宋体" w:eastAsia="宋体" w:hint="default"/>
                <w:sz w:val="18"/>
                <w:szCs w:val="18"/>
              </w:rPr>
              <w:t>报告期损益实 际收回情况</w:t>
            </w: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110.96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w:t>
            </w:r>
            <w:r>
              <w:rPr>
                <w:rFonts w:ascii="Times New Roman"/>
                <w:sz w:val="18"/>
              </w:rPr>
            </w: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包商银行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w:t>
            </w:r>
            <w:r>
              <w:rPr>
                <w:rFonts w:ascii="Times New Roman"/>
                <w:sz w:val="18"/>
              </w:rPr>
            </w: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20.96</w:t>
            </w: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w:t>
            </w:r>
            <w:r>
              <w:rPr>
                <w:rFonts w:ascii="Times New Roman"/>
                <w:sz w:val="18"/>
              </w:rPr>
            </w: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w:t>
            </w:r>
            <w:r>
              <w:rPr>
                <w:rFonts w:ascii="Times New Roman"/>
                <w:sz w:val="18"/>
              </w:rPr>
            </w: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w:t>
            </w:r>
            <w:r>
              <w:rPr>
                <w:rFonts w:ascii="Times New Roman"/>
                <w:sz w:val="18"/>
              </w:rPr>
            </w: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16.06</w:t>
            </w: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w:t>
            </w:r>
            <w:r>
              <w:rPr>
                <w:rFonts w:ascii="Times New Roman"/>
                <w:sz w:val="18"/>
              </w:rPr>
            </w: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w:t>
            </w:r>
            <w:r>
              <w:rPr>
                <w:rFonts w:ascii="Times New Roman"/>
                <w:sz w:val="18"/>
              </w:rPr>
            </w: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w:t>
            </w: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48.03</w:t>
            </w: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第一创业证券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88.77</w:t>
            </w: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35.63</w:t>
            </w: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包商银行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31.82</w:t>
            </w: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66.51</w:t>
            </w: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第一创业证券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90.25</w:t>
            </w:r>
          </w:p>
        </w:tc>
      </w:tr>
    </w:tbl>
    <w:p>
      <w:pPr>
        <w:spacing w:after="0" w:line="240" w:lineRule="auto"/>
        <w:jc w:val="right"/>
        <w:rPr>
          <w:rFonts w:ascii="Times New Roman" w:hAnsi="Times New Roman" w:cs="Times New Roman" w:eastAsia="Times New Roman" w:hint="default"/>
          <w:sz w:val="18"/>
          <w:szCs w:val="18"/>
        </w:rPr>
        <w:sectPr>
          <w:headerReference w:type="default" r:id="rId18"/>
          <w:footerReference w:type="default" r:id="rId19"/>
          <w:pgSz w:w="16840" w:h="11910" w:orient="landscape"/>
          <w:pgMar w:header="867" w:footer="982" w:top="1060" w:bottom="1180" w:left="1180" w:right="1300"/>
          <w:pgNumType w:start="42"/>
        </w:sectPr>
      </w:pPr>
    </w:p>
    <w:p>
      <w:pPr>
        <w:spacing w:line="240" w:lineRule="auto" w:before="2"/>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284"/>
        <w:gridCol w:w="701"/>
        <w:gridCol w:w="1133"/>
        <w:gridCol w:w="852"/>
        <w:gridCol w:w="1702"/>
        <w:gridCol w:w="1702"/>
        <w:gridCol w:w="984"/>
        <w:gridCol w:w="1140"/>
        <w:gridCol w:w="1277"/>
        <w:gridCol w:w="850"/>
        <w:gridCol w:w="994"/>
        <w:gridCol w:w="1181"/>
        <w:gridCol w:w="331"/>
      </w:tblGrid>
      <w:tr>
        <w:trPr>
          <w:trHeight w:val="418" w:hRule="exact"/>
        </w:trPr>
        <w:tc>
          <w:tcPr>
            <w:tcW w:w="12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广发银行</w:t>
            </w:r>
          </w:p>
        </w:tc>
        <w:tc>
          <w:tcPr>
            <w:tcW w:w="7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2,000</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4.50%</w:t>
            </w:r>
          </w:p>
        </w:tc>
        <w:tc>
          <w:tcPr>
            <w:tcW w:w="11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w:t>
            </w:r>
          </w:p>
        </w:tc>
        <w:tc>
          <w:tcPr>
            <w:tcW w:w="1277"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45.36</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45.12</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45.12</w:t>
            </w:r>
          </w:p>
        </w:tc>
        <w:tc>
          <w:tcPr>
            <w:tcW w:w="331" w:type="dxa"/>
            <w:vMerge w:val="restart"/>
            <w:tcBorders>
              <w:top w:val="single" w:sz="6" w:space="0" w:color="000000"/>
              <w:left w:val="single" w:sz="4" w:space="0" w:color="000000"/>
              <w:right w:val="nil" w:sz="6" w:space="0" w:color="auto"/>
            </w:tcBorders>
          </w:tcPr>
          <w:p>
            <w:pP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广发银行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w:t>
            </w:r>
            <w:r>
              <w:rPr>
                <w:rFonts w:ascii="Times New Roman"/>
                <w:sz w:val="18"/>
              </w:rPr>
            </w:r>
          </w:p>
        </w:tc>
        <w:tc>
          <w:tcPr>
            <w:tcW w:w="331" w:type="dxa"/>
            <w:vMerge/>
            <w:tcBorders>
              <w:left w:val="single" w:sz="4" w:space="0" w:color="000000"/>
              <w:right w:val="nil" w:sz="6" w:space="0" w:color="auto"/>
            </w:tcBorders>
          </w:tcPr>
          <w:p>
            <w:pP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25.9</w:t>
            </w:r>
          </w:p>
        </w:tc>
        <w:tc>
          <w:tcPr>
            <w:tcW w:w="331" w:type="dxa"/>
            <w:vMerge/>
            <w:tcBorders>
              <w:left w:val="single" w:sz="4" w:space="0" w:color="000000"/>
              <w:right w:val="nil" w:sz="6" w:space="0" w:color="auto"/>
            </w:tcBorders>
          </w:tcPr>
          <w:p>
            <w:pP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331" w:type="dxa"/>
            <w:vMerge/>
            <w:tcBorders>
              <w:left w:val="single" w:sz="4" w:space="0" w:color="000000"/>
              <w:right w:val="nil" w:sz="6" w:space="0" w:color="auto"/>
            </w:tcBorders>
          </w:tcPr>
          <w:p>
            <w:pP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包商银行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11.03</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331" w:type="dxa"/>
            <w:vMerge/>
            <w:tcBorders>
              <w:left w:val="single" w:sz="4" w:space="0" w:color="000000"/>
              <w:right w:val="nil" w:sz="6" w:space="0" w:color="auto"/>
            </w:tcBorders>
          </w:tcPr>
          <w:p>
            <w:pP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包商银行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331" w:type="dxa"/>
            <w:vMerge/>
            <w:tcBorders>
              <w:left w:val="single" w:sz="4" w:space="0" w:color="000000"/>
              <w:right w:val="nil" w:sz="6" w:space="0" w:color="auto"/>
            </w:tcBorders>
          </w:tcPr>
          <w:p>
            <w:pP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广发银行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331" w:type="dxa"/>
            <w:vMerge/>
            <w:tcBorders>
              <w:left w:val="single" w:sz="4" w:space="0" w:color="000000"/>
              <w:right w:val="nil" w:sz="6" w:space="0" w:color="auto"/>
            </w:tcBorders>
          </w:tcPr>
          <w:p>
            <w:pP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331" w:type="dxa"/>
            <w:vMerge/>
            <w:tcBorders>
              <w:left w:val="single" w:sz="4" w:space="0" w:color="000000"/>
              <w:right w:val="nil" w:sz="6" w:space="0" w:color="auto"/>
            </w:tcBorders>
          </w:tcPr>
          <w:p>
            <w:pP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331" w:type="dxa"/>
            <w:vMerge/>
            <w:tcBorders>
              <w:left w:val="single" w:sz="4" w:space="0" w:color="000000"/>
              <w:right w:val="nil" w:sz="6" w:space="0" w:color="auto"/>
            </w:tcBorders>
          </w:tcPr>
          <w:p>
            <w:pP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13.49</w:t>
            </w:r>
          </w:p>
        </w:tc>
        <w:tc>
          <w:tcPr>
            <w:tcW w:w="331" w:type="dxa"/>
            <w:vMerge/>
            <w:tcBorders>
              <w:left w:val="single" w:sz="4" w:space="0" w:color="000000"/>
              <w:right w:val="nil" w:sz="6" w:space="0" w:color="auto"/>
            </w:tcBorders>
          </w:tcPr>
          <w:p>
            <w:pP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25.5</w:t>
            </w:r>
          </w:p>
        </w:tc>
        <w:tc>
          <w:tcPr>
            <w:tcW w:w="331" w:type="dxa"/>
            <w:vMerge/>
            <w:tcBorders>
              <w:left w:val="single" w:sz="4" w:space="0" w:color="000000"/>
              <w:right w:val="nil" w:sz="6" w:space="0" w:color="auto"/>
            </w:tcBorders>
          </w:tcPr>
          <w:p>
            <w:pP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w:t>
            </w:r>
            <w:r>
              <w:rPr>
                <w:rFonts w:ascii="Times New Roman"/>
                <w:sz w:val="18"/>
              </w:rPr>
            </w:r>
          </w:p>
        </w:tc>
        <w:tc>
          <w:tcPr>
            <w:tcW w:w="331" w:type="dxa"/>
            <w:vMerge/>
            <w:tcBorders>
              <w:left w:val="single" w:sz="4" w:space="0" w:color="000000"/>
              <w:right w:val="nil" w:sz="6" w:space="0" w:color="auto"/>
            </w:tcBorders>
          </w:tcPr>
          <w:p>
            <w:pP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14.5</w:t>
            </w:r>
          </w:p>
        </w:tc>
        <w:tc>
          <w:tcPr>
            <w:tcW w:w="331" w:type="dxa"/>
            <w:vMerge/>
            <w:tcBorders>
              <w:left w:val="single" w:sz="4" w:space="0" w:color="000000"/>
              <w:right w:val="nil" w:sz="6" w:space="0" w:color="auto"/>
            </w:tcBorders>
          </w:tcPr>
          <w:p>
            <w:pP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331" w:type="dxa"/>
            <w:vMerge/>
            <w:tcBorders>
              <w:left w:val="single" w:sz="4" w:space="0" w:color="000000"/>
              <w:right w:val="nil" w:sz="6" w:space="0" w:color="auto"/>
            </w:tcBorders>
          </w:tcPr>
          <w:p>
            <w:pP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w:t>
            </w:r>
            <w:r>
              <w:rPr>
                <w:rFonts w:ascii="Times New Roman"/>
                <w:sz w:val="18"/>
              </w:rPr>
            </w:r>
          </w:p>
        </w:tc>
        <w:tc>
          <w:tcPr>
            <w:tcW w:w="331" w:type="dxa"/>
            <w:vMerge/>
            <w:tcBorders>
              <w:left w:val="single" w:sz="4" w:space="0" w:color="000000"/>
              <w:right w:val="nil" w:sz="6" w:space="0" w:color="auto"/>
            </w:tcBorders>
          </w:tcPr>
          <w:p>
            <w:pP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w:t>
            </w:r>
            <w:r>
              <w:rPr>
                <w:rFonts w:ascii="Times New Roman"/>
                <w:sz w:val="18"/>
              </w:rPr>
            </w:r>
          </w:p>
        </w:tc>
        <w:tc>
          <w:tcPr>
            <w:tcW w:w="331" w:type="dxa"/>
            <w:vMerge/>
            <w:tcBorders>
              <w:left w:val="single" w:sz="4" w:space="0" w:color="000000"/>
              <w:right w:val="nil" w:sz="6" w:space="0" w:color="auto"/>
            </w:tcBorders>
          </w:tcPr>
          <w:p>
            <w:pP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0.94</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331" w:type="dxa"/>
            <w:vMerge/>
            <w:tcBorders>
              <w:left w:val="single" w:sz="4" w:space="0" w:color="000000"/>
              <w:right w:val="nil" w:sz="6" w:space="0" w:color="auto"/>
            </w:tcBorders>
          </w:tcPr>
          <w:p>
            <w:pP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w:t>
            </w:r>
            <w:r>
              <w:rPr>
                <w:rFonts w:ascii="Times New Roman"/>
                <w:sz w:val="18"/>
              </w:rPr>
            </w:r>
          </w:p>
        </w:tc>
        <w:tc>
          <w:tcPr>
            <w:tcW w:w="331" w:type="dxa"/>
            <w:vMerge/>
            <w:tcBorders>
              <w:left w:val="single" w:sz="4" w:space="0" w:color="000000"/>
              <w:right w:val="nil" w:sz="6" w:space="0" w:color="auto"/>
            </w:tcBorders>
          </w:tcPr>
          <w:p>
            <w:pPr/>
          </w:p>
        </w:tc>
      </w:tr>
      <w:tr>
        <w:trPr>
          <w:trHeight w:val="40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上海浦发银行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13.88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13.88</w:t>
            </w:r>
          </w:p>
        </w:tc>
        <w:tc>
          <w:tcPr>
            <w:tcW w:w="331" w:type="dxa"/>
            <w:vMerge/>
            <w:tcBorders>
              <w:left w:val="single" w:sz="4" w:space="0" w:color="000000"/>
              <w:right w:val="nil" w:sz="6" w:space="0" w:color="auto"/>
            </w:tcBorders>
          </w:tcPr>
          <w:p>
            <w:pPr/>
          </w:p>
        </w:tc>
      </w:tr>
      <w:tr>
        <w:trPr>
          <w:trHeight w:val="44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保本保收益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z w:val="18"/>
              </w:rPr>
              <w:t>0</w:t>
            </w:r>
          </w:p>
        </w:tc>
        <w:tc>
          <w:tcPr>
            <w:tcW w:w="331" w:type="dxa"/>
            <w:vMerge/>
            <w:tcBorders>
              <w:left w:val="single" w:sz="4" w:space="0" w:color="000000"/>
              <w:right w:val="nil" w:sz="6" w:space="0" w:color="auto"/>
            </w:tcBorders>
          </w:tcPr>
          <w:p>
            <w:pPr/>
          </w:p>
        </w:tc>
      </w:tr>
      <w:tr>
        <w:trPr>
          <w:trHeight w:val="403" w:hRule="exact"/>
        </w:trPr>
        <w:tc>
          <w:tcPr>
            <w:tcW w:w="311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66,247</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5"/>
              <w:jc w:val="center"/>
              <w:rPr>
                <w:rFonts w:ascii="Times New Roman" w:hAnsi="Times New Roman" w:cs="Times New Roman" w:eastAsia="Times New Roman" w:hint="default"/>
                <w:sz w:val="18"/>
                <w:szCs w:val="18"/>
              </w:rPr>
            </w:pPr>
            <w:r>
              <w:rPr>
                <w:rFonts w:ascii="Times New Roman"/>
                <w:sz w:val="18"/>
              </w:rPr>
              <w:t>--</w:t>
            </w:r>
          </w:p>
        </w:tc>
        <w:tc>
          <w:tcPr>
            <w:tcW w:w="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11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51,047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1,202.46</w:t>
            </w:r>
          </w:p>
        </w:tc>
        <w:tc>
          <w:tcPr>
            <w:tcW w:w="994" w:type="dxa"/>
            <w:tcBorders>
              <w:top w:val="single" w:sz="4" w:space="0" w:color="000000"/>
              <w:left w:val="single" w:sz="4" w:space="0" w:color="000000"/>
              <w:bottom w:val="single" w:sz="4" w:space="0" w:color="000000"/>
              <w:right w:val="single" w:sz="12" w:space="0" w:color="D4D4D4"/>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713.52</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331" w:type="dxa"/>
            <w:vMerge/>
            <w:tcBorders>
              <w:left w:val="single" w:sz="4" w:space="0" w:color="000000"/>
              <w:right w:val="nil" w:sz="6" w:space="0" w:color="auto"/>
            </w:tcBorders>
          </w:tcPr>
          <w:p>
            <w:pPr/>
          </w:p>
        </w:tc>
      </w:tr>
      <w:tr>
        <w:trPr>
          <w:trHeight w:val="402" w:hRule="exact"/>
        </w:trPr>
        <w:tc>
          <w:tcPr>
            <w:tcW w:w="311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1068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企业自有资金及部分募集资金</w:t>
            </w:r>
          </w:p>
        </w:tc>
        <w:tc>
          <w:tcPr>
            <w:tcW w:w="331" w:type="dxa"/>
            <w:vMerge/>
            <w:tcBorders>
              <w:left w:val="single" w:sz="4" w:space="0" w:color="000000"/>
              <w:right w:val="nil" w:sz="6" w:space="0" w:color="auto"/>
            </w:tcBorders>
          </w:tcPr>
          <w:p>
            <w:pPr/>
          </w:p>
        </w:tc>
      </w:tr>
      <w:tr>
        <w:trPr>
          <w:trHeight w:val="466" w:hRule="exact"/>
        </w:trPr>
        <w:tc>
          <w:tcPr>
            <w:tcW w:w="311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1068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15,200</w:t>
            </w:r>
          </w:p>
        </w:tc>
        <w:tc>
          <w:tcPr>
            <w:tcW w:w="331"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982" w:top="1060" w:bottom="1180" w:left="118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115"/>
        <w:gridCol w:w="10680"/>
        <w:gridCol w:w="331"/>
      </w:tblGrid>
      <w:tr>
        <w:trPr>
          <w:trHeight w:val="418" w:hRule="exact"/>
        </w:trPr>
        <w:tc>
          <w:tcPr>
            <w:tcW w:w="3115"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106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31" w:type="dxa"/>
            <w:vMerge w:val="restart"/>
            <w:tcBorders>
              <w:top w:val="single" w:sz="6" w:space="0" w:color="000000"/>
              <w:left w:val="single" w:sz="4" w:space="0" w:color="000000"/>
              <w:right w:val="nil" w:sz="6" w:space="0" w:color="auto"/>
            </w:tcBorders>
          </w:tcPr>
          <w:p>
            <w:pPr/>
          </w:p>
        </w:tc>
      </w:tr>
      <w:tr>
        <w:trPr>
          <w:trHeight w:val="754" w:hRule="exact"/>
        </w:trPr>
        <w:tc>
          <w:tcPr>
            <w:tcW w:w="31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w:t>
            </w:r>
          </w:p>
          <w:p>
            <w:pPr>
              <w:pStyle w:val="TableParagraph"/>
              <w:spacing w:line="240" w:lineRule="auto" w:before="115"/>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10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31" w:type="dxa"/>
            <w:vMerge/>
            <w:tcBorders>
              <w:left w:val="single" w:sz="4" w:space="0" w:color="000000"/>
              <w:right w:val="nil" w:sz="6" w:space="0" w:color="auto"/>
            </w:tcBorders>
          </w:tcPr>
          <w:p>
            <w:pPr/>
          </w:p>
        </w:tc>
      </w:tr>
      <w:tr>
        <w:trPr>
          <w:trHeight w:val="754" w:hRule="exact"/>
        </w:trPr>
        <w:tc>
          <w:tcPr>
            <w:tcW w:w="31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委托理财审批股东会公告披露日期</w:t>
            </w:r>
          </w:p>
          <w:p>
            <w:pPr>
              <w:pStyle w:val="TableParagraph"/>
              <w:spacing w:line="240" w:lineRule="auto" w:before="117"/>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10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31" w:type="dxa"/>
            <w:vMerge/>
            <w:tcBorders>
              <w:left w:val="single" w:sz="4" w:space="0" w:color="000000"/>
              <w:right w:val="nil" w:sz="6" w:space="0" w:color="auto"/>
            </w:tcBorders>
          </w:tcPr>
          <w:p>
            <w:pPr/>
          </w:p>
        </w:tc>
      </w:tr>
      <w:tr>
        <w:trPr>
          <w:trHeight w:val="420" w:hRule="exact"/>
        </w:trPr>
        <w:tc>
          <w:tcPr>
            <w:tcW w:w="31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0"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10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委托理财主要是向银行和证券购买保本保收益理财产品</w:t>
            </w:r>
          </w:p>
        </w:tc>
        <w:tc>
          <w:tcPr>
            <w:tcW w:w="331" w:type="dxa"/>
            <w:vMerge/>
            <w:tcBorders>
              <w:left w:val="single" w:sz="4" w:space="0" w:color="000000"/>
              <w:bottom w:val="nil" w:sz="6" w:space="0" w:color="auto"/>
              <w:right w:val="nil" w:sz="6" w:space="0" w:color="auto"/>
            </w:tcBorders>
          </w:tcPr>
          <w:p>
            <w:pPr/>
          </w:p>
        </w:tc>
      </w:tr>
    </w:tbl>
    <w:p>
      <w:pPr>
        <w:spacing w:line="240" w:lineRule="auto" w:before="7"/>
        <w:rPr>
          <w:rFonts w:ascii="Times New Roman" w:hAnsi="Times New Roman" w:cs="Times New Roman" w:eastAsia="Times New Roman" w:hint="default"/>
          <w:sz w:val="21"/>
          <w:szCs w:val="21"/>
        </w:rPr>
      </w:pPr>
    </w:p>
    <w:p>
      <w:pPr>
        <w:pStyle w:val="Heading3"/>
        <w:spacing w:line="240" w:lineRule="auto" w:before="36"/>
        <w:ind w:left="260" w:right="10478"/>
        <w:jc w:val="left"/>
        <w:rPr>
          <w:b w:val="0"/>
          <w:bCs w:val="0"/>
        </w:rPr>
      </w:pPr>
      <w:bookmarkStart w:name="4、其他重大合同" w:id="91"/>
      <w:bookmarkEnd w:id="91"/>
      <w:r>
        <w:rPr>
          <w:b w:val="0"/>
          <w:bCs w:val="0"/>
        </w:rPr>
      </w:r>
      <w:bookmarkStart w:name="十七、其他重大事项的说明" w:id="92"/>
      <w:bookmarkEnd w:id="92"/>
      <w:r>
        <w:rPr>
          <w:b w:val="0"/>
          <w:bCs w:val="0"/>
        </w:rPr>
      </w:r>
      <w:bookmarkStart w:name="十八、公司子公司重大事项"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260" w:right="11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2）委托贷款情况" w:id="94"/>
      <w:bookmarkEnd w:id="94"/>
      <w:r>
        <w:rPr>
          <w:rFonts w:ascii="宋体" w:hAnsi="宋体" w:cs="宋体" w:eastAsia="宋体" w:hint="default"/>
          <w:sz w:val="18"/>
          <w:szCs w:val="18"/>
        </w:rPr>
        <w:t>公司报告期不存在委托贷款。</w:t>
      </w:r>
    </w:p>
    <w:p>
      <w:pPr>
        <w:spacing w:line="240" w:lineRule="auto" w:before="5"/>
        <w:rPr>
          <w:rFonts w:ascii="宋体" w:hAnsi="宋体" w:cs="宋体" w:eastAsia="宋体" w:hint="default"/>
          <w:sz w:val="21"/>
          <w:szCs w:val="21"/>
        </w:rPr>
      </w:pPr>
    </w:p>
    <w:p>
      <w:pPr>
        <w:pStyle w:val="Heading3"/>
        <w:spacing w:line="240" w:lineRule="auto"/>
        <w:ind w:left="260" w:right="10478"/>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38" w:lineRule="auto" w:before="0"/>
        <w:ind w:left="260" w:right="113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left="260" w:right="10478"/>
        <w:jc w:val="left"/>
        <w:rPr>
          <w:b w:val="0"/>
          <w:bCs w:val="0"/>
        </w:rPr>
      </w:pPr>
      <w:r>
        <w:rPr/>
        <w:t>十七、其他重大事项的说明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260" w:right="104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left="260" w:right="10478"/>
        <w:jc w:val="left"/>
        <w:rPr>
          <w:b w:val="0"/>
          <w:bCs w:val="0"/>
        </w:rPr>
      </w:pPr>
      <w:r>
        <w:rPr/>
        <w:t>十八、公司子公司重大事项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260" w:right="104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6840" w:h="11910" w:orient="landscape"/>
          <w:pgMar w:header="867" w:footer="982" w:top="1060" w:bottom="1180" w:left="1180" w:right="130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w:t>
      </w:r>
      <w:bookmarkStart w:name="十九、社会责任情况" w:id="95"/>
      <w:bookmarkEnd w:id="95"/>
      <w:r>
        <w:rPr/>
        <w:t>九</w:t>
      </w:r>
      <w:r>
        <w:rPr/>
        <w:t>、社会责任情况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7"/>
        <w:ind w:right="147" w:firstLine="420"/>
        <w:jc w:val="both"/>
      </w:pPr>
      <w:r>
        <w:rPr>
          <w:spacing w:val="-7"/>
        </w:rPr>
        <w:t>公司以自身责任与担当坚持投身公益事业，回馈社会，贡献价值，以实际行动践行企业社会责任。</w:t>
      </w:r>
      <w:r>
        <w:rPr>
          <w:rFonts w:ascii="宋体" w:hAnsi="宋体" w:cs="宋体" w:eastAsia="宋体" w:hint="default"/>
          <w:spacing w:val="-7"/>
        </w:rPr>
        <w:t>2015</w:t>
      </w:r>
      <w:r>
        <w:rPr>
          <w:rFonts w:ascii="宋体" w:hAnsi="宋体" w:cs="宋体" w:eastAsia="宋体" w:hint="default"/>
          <w:w w:val="100"/>
        </w:rPr>
        <w:t> </w:t>
      </w:r>
      <w:r>
        <w:rPr/>
        <w:t>年</w:t>
      </w:r>
      <w:r>
        <w:rPr>
          <w:rFonts w:ascii="宋体" w:hAnsi="宋体" w:cs="宋体" w:eastAsia="宋体" w:hint="default"/>
        </w:rPr>
        <w:t>9</w:t>
      </w:r>
      <w:r>
        <w:rPr/>
        <w:t>月，公司倡导全体员工向西藏日喀则南木林县卡孜乡普章岗村捐赠一批冬季衣物，为偏远山区的孩子</w:t>
      </w:r>
      <w:r>
        <w:rPr>
          <w:spacing w:val="-25"/>
        </w:rPr>
        <w:t> </w:t>
      </w:r>
      <w:r>
        <w:rPr>
          <w:spacing w:val="-25"/>
        </w:rPr>
      </w:r>
      <w:r>
        <w:rPr>
          <w:spacing w:val="-2"/>
        </w:rPr>
        <w:t>们送去温暖。</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月，通过贵州省民政厅向贵州省丹寨县儿童福利院赠送人教版小学、初中学习软件</w:t>
      </w:r>
      <w:r>
        <w:rPr>
          <w:spacing w:val="-45"/>
        </w:rPr>
        <w:t> </w:t>
      </w:r>
      <w:r>
        <w:rPr>
          <w:spacing w:val="-45"/>
        </w:rPr>
      </w:r>
      <w:r>
        <w:rPr>
          <w:rFonts w:ascii="宋体" w:hAnsi="宋体" w:cs="宋体" w:eastAsia="宋体" w:hint="default"/>
        </w:rPr>
        <w:t>105</w:t>
      </w:r>
      <w:r>
        <w:rPr/>
        <w:t>套，布鲁精灵精各版本</w:t>
      </w:r>
      <w:r>
        <w:rPr>
          <w:rFonts w:ascii="宋体" w:hAnsi="宋体" w:cs="宋体" w:eastAsia="宋体" w:hint="default"/>
        </w:rPr>
        <w:t>11</w:t>
      </w:r>
      <w:r>
        <w:rPr/>
        <w:t>套，希望通过我们的努力，捐助在教育中需要帮助的孩子，让每个孩子都能</w:t>
      </w:r>
      <w:r>
        <w:rPr>
          <w:spacing w:val="-27"/>
        </w:rPr>
        <w:t> </w:t>
      </w:r>
      <w:r>
        <w:rPr>
          <w:spacing w:val="-27"/>
        </w:rPr>
      </w:r>
      <w:r>
        <w:rPr>
          <w:spacing w:val="-2"/>
        </w:rPr>
        <w:t>获得优质的教育资源，都有同等的成长机会。公司在未来将继续做好这份公益事业，帮助更多有需要帮助</w:t>
      </w:r>
      <w:r>
        <w:rPr>
          <w:spacing w:val="-44"/>
        </w:rPr>
        <w:t> </w:t>
      </w:r>
      <w:r>
        <w:rPr>
          <w:spacing w:val="-44"/>
        </w:rPr>
      </w:r>
      <w:r>
        <w:rPr/>
        <w:t>的孩子、家庭。</w:t>
      </w:r>
    </w:p>
    <w:p>
      <w:pPr>
        <w:spacing w:line="240" w:lineRule="auto" w:before="4"/>
        <w:rPr>
          <w:rFonts w:ascii="宋体" w:hAnsi="宋体" w:cs="宋体" w:eastAsia="宋体" w:hint="default"/>
          <w:sz w:val="29"/>
          <w:szCs w:val="2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二十、公司债券相关情况</w:t>
      </w:r>
      <w:r>
        <w:rPr>
          <w:b w:val="0"/>
          <w:bCs w:val="0"/>
        </w:rPr>
      </w:r>
    </w:p>
    <w:p>
      <w:pPr>
        <w:spacing w:line="240" w:lineRule="auto" w:before="6"/>
        <w:rPr>
          <w:rFonts w:ascii="宋体" w:hAnsi="宋体" w:cs="宋体" w:eastAsia="宋体" w:hint="default"/>
          <w:b/>
          <w:bCs/>
          <w:sz w:val="26"/>
          <w:szCs w:val="26"/>
        </w:rPr>
      </w:pPr>
    </w:p>
    <w:p>
      <w:pPr>
        <w:spacing w:line="357" w:lineRule="auto" w:before="0"/>
        <w:ind w:left="152" w:right="1134" w:firstLine="0"/>
        <w:jc w:val="left"/>
        <w:rPr>
          <w:rFonts w:ascii="宋体" w:hAnsi="宋体" w:cs="宋体" w:eastAsia="宋体" w:hint="default"/>
          <w:sz w:val="18"/>
          <w:szCs w:val="18"/>
        </w:rPr>
      </w:pPr>
      <w:bookmarkStart w:name="二十、公司债券相关情况" w:id="96"/>
      <w:bookmarkEnd w:id="96"/>
      <w:r>
        <w:rPr/>
      </w: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headerReference w:type="default" r:id="rId20"/>
          <w:footerReference w:type="default" r:id="rId21"/>
          <w:pgSz w:w="11910" w:h="16840"/>
          <w:pgMar w:header="877" w:footer="982" w:top="1100" w:bottom="1180" w:left="980" w:right="980"/>
          <w:pgNumType w:start="4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3" w:right="0"/>
        <w:jc w:val="left"/>
        <w:rPr>
          <w:b w:val="0"/>
          <w:bCs w:val="0"/>
        </w:rPr>
      </w:pPr>
      <w:bookmarkStart w:name="2、限售股份变动情况" w:id="97"/>
      <w:bookmarkEnd w:id="97"/>
      <w:r>
        <w:rPr>
          <w:b w:val="0"/>
          <w:bCs w:val="0"/>
        </w:rPr>
      </w:r>
      <w:bookmarkStart w:name="第六节 股份变动及股东情况" w:id="98"/>
      <w:bookmarkEnd w:id="98"/>
      <w:r>
        <w:rPr>
          <w:b w:val="0"/>
          <w:bCs w:val="0"/>
        </w:rPr>
      </w:r>
      <w:bookmarkStart w:name="_bookmark4" w:id="99"/>
      <w:bookmarkEnd w:id="99"/>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w:t>
      </w:r>
      <w:bookmarkStart w:name="一、股份变动情况" w:id="100"/>
      <w:bookmarkEnd w:id="100"/>
      <w:r>
        <w:rPr/>
        <w:t>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股份变动情况" w:id="101"/>
      <w:bookmarkEnd w:id="101"/>
      <w:r>
        <w:rPr/>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1"/>
        <w:gridCol w:w="1156"/>
        <w:gridCol w:w="857"/>
        <w:gridCol w:w="857"/>
        <w:gridCol w:w="430"/>
        <w:gridCol w:w="715"/>
        <w:gridCol w:w="857"/>
        <w:gridCol w:w="859"/>
        <w:gridCol w:w="1068"/>
        <w:gridCol w:w="866"/>
      </w:tblGrid>
      <w:tr>
        <w:trPr>
          <w:trHeight w:val="403" w:hRule="exact"/>
        </w:trPr>
        <w:tc>
          <w:tcPr>
            <w:tcW w:w="1991" w:type="dxa"/>
            <w:tcBorders>
              <w:top w:val="single" w:sz="4" w:space="0" w:color="000000"/>
              <w:left w:val="single" w:sz="4" w:space="0" w:color="000000"/>
              <w:bottom w:val="nil" w:sz="6" w:space="0" w:color="auto"/>
              <w:right w:val="single" w:sz="4" w:space="0" w:color="000000"/>
            </w:tcBorders>
            <w:shd w:val="clear" w:color="auto" w:fill="D4D4D4"/>
          </w:tcPr>
          <w:p>
            <w:pPr/>
          </w:p>
        </w:tc>
        <w:tc>
          <w:tcPr>
            <w:tcW w:w="201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1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91" w:type="dxa"/>
            <w:vMerge w:val="restart"/>
            <w:tcBorders>
              <w:top w:val="nil" w:sz="6" w:space="0" w:color="auto"/>
              <w:left w:val="single" w:sz="4" w:space="0" w:color="000000"/>
              <w:right w:val="single" w:sz="4" w:space="0" w:color="000000"/>
            </w:tcBorders>
            <w:shd w:val="clear" w:color="auto" w:fill="D4D4D4"/>
          </w:tcPr>
          <w:p>
            <w:pPr/>
          </w:p>
        </w:tc>
        <w:tc>
          <w:tcPr>
            <w:tcW w:w="1156" w:type="dxa"/>
            <w:tcBorders>
              <w:top w:val="single" w:sz="4" w:space="0" w:color="000000"/>
              <w:left w:val="single" w:sz="4" w:space="0" w:color="000000"/>
              <w:bottom w:val="nil" w:sz="6" w:space="0" w:color="auto"/>
              <w:right w:val="single" w:sz="4" w:space="0" w:color="000000"/>
            </w:tcBorders>
            <w:shd w:val="clear" w:color="auto" w:fill="D4D4D4"/>
          </w:tcPr>
          <w:p>
            <w:pPr/>
          </w:p>
        </w:tc>
        <w:tc>
          <w:tcPr>
            <w:tcW w:w="857" w:type="dxa"/>
            <w:tcBorders>
              <w:top w:val="single" w:sz="4" w:space="0" w:color="000000"/>
              <w:left w:val="single" w:sz="4" w:space="0" w:color="000000"/>
              <w:bottom w:val="nil" w:sz="6" w:space="0" w:color="auto"/>
              <w:right w:val="single" w:sz="4" w:space="0" w:color="000000"/>
            </w:tcBorders>
            <w:shd w:val="clear" w:color="auto" w:fill="D4D4D4"/>
          </w:tcPr>
          <w:p>
            <w:pPr/>
          </w:p>
        </w:tc>
        <w:tc>
          <w:tcPr>
            <w:tcW w:w="857" w:type="dxa"/>
            <w:tcBorders>
              <w:top w:val="single" w:sz="4" w:space="0" w:color="000000"/>
              <w:left w:val="single" w:sz="4" w:space="0" w:color="000000"/>
              <w:bottom w:val="nil" w:sz="6" w:space="0" w:color="auto"/>
              <w:right w:val="single" w:sz="4" w:space="0" w:color="000000"/>
            </w:tcBorders>
            <w:shd w:val="clear" w:color="auto" w:fill="D4D4D4"/>
          </w:tcPr>
          <w:p>
            <w:pPr/>
          </w:p>
        </w:tc>
        <w:tc>
          <w:tcPr>
            <w:tcW w:w="430" w:type="dxa"/>
            <w:tcBorders>
              <w:top w:val="single" w:sz="4" w:space="0" w:color="000000"/>
              <w:left w:val="single" w:sz="4" w:space="0" w:color="000000"/>
              <w:bottom w:val="nil" w:sz="6" w:space="0" w:color="auto"/>
              <w:right w:val="single" w:sz="4" w:space="0" w:color="000000"/>
            </w:tcBorders>
            <w:shd w:val="clear" w:color="auto" w:fill="D4D4D4"/>
          </w:tcPr>
          <w:p>
            <w:pPr/>
          </w:p>
        </w:tc>
        <w:tc>
          <w:tcPr>
            <w:tcW w:w="7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72" w:right="79"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7" w:type="dxa"/>
            <w:tcBorders>
              <w:top w:val="single" w:sz="4" w:space="0" w:color="000000"/>
              <w:left w:val="single" w:sz="4" w:space="0" w:color="000000"/>
              <w:bottom w:val="nil" w:sz="6" w:space="0" w:color="auto"/>
              <w:right w:val="single" w:sz="4" w:space="0" w:color="000000"/>
            </w:tcBorders>
            <w:shd w:val="clear" w:color="auto" w:fill="D4D4D4"/>
          </w:tcPr>
          <w:p>
            <w:pPr/>
          </w:p>
        </w:tc>
        <w:tc>
          <w:tcPr>
            <w:tcW w:w="859"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8" w:type="dxa"/>
            <w:tcBorders>
              <w:top w:val="single" w:sz="4" w:space="0" w:color="000000"/>
              <w:left w:val="single" w:sz="4" w:space="0" w:color="000000"/>
              <w:bottom w:val="nil" w:sz="6" w:space="0" w:color="auto"/>
              <w:right w:val="single" w:sz="4" w:space="0" w:color="000000"/>
            </w:tcBorders>
            <w:shd w:val="clear" w:color="auto" w:fill="D4D4D4"/>
          </w:tcPr>
          <w:p>
            <w:pPr/>
          </w:p>
        </w:tc>
        <w:tc>
          <w:tcPr>
            <w:tcW w:w="86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991" w:type="dxa"/>
            <w:vMerge/>
            <w:tcBorders>
              <w:left w:val="single" w:sz="4" w:space="0" w:color="000000"/>
              <w:bottom w:val="nil" w:sz="6" w:space="0" w:color="auto"/>
              <w:right w:val="single" w:sz="4" w:space="0" w:color="000000"/>
            </w:tcBorders>
            <w:shd w:val="clear" w:color="auto" w:fill="D4D4D4"/>
          </w:tcPr>
          <w:p>
            <w:pPr/>
          </w:p>
        </w:tc>
        <w:tc>
          <w:tcPr>
            <w:tcW w:w="115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5" w:type="dxa"/>
            <w:vMerge/>
            <w:tcBorders>
              <w:left w:val="single" w:sz="4" w:space="0" w:color="000000"/>
              <w:right w:val="single" w:sz="4" w:space="0" w:color="000000"/>
            </w:tcBorders>
            <w:shd w:val="clear" w:color="auto" w:fill="D4D4D4"/>
          </w:tcPr>
          <w:p>
            <w:pPr/>
          </w:p>
        </w:tc>
        <w:tc>
          <w:tcPr>
            <w:tcW w:w="85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991" w:type="dxa"/>
            <w:vMerge w:val="restart"/>
            <w:tcBorders>
              <w:top w:val="nil" w:sz="6" w:space="0" w:color="auto"/>
              <w:left w:val="single" w:sz="4" w:space="0" w:color="000000"/>
              <w:right w:val="single" w:sz="4" w:space="0" w:color="000000"/>
            </w:tcBorders>
            <w:shd w:val="clear" w:color="auto" w:fill="D4D4D4"/>
          </w:tcPr>
          <w:p>
            <w:pPr/>
          </w:p>
        </w:tc>
        <w:tc>
          <w:tcPr>
            <w:tcW w:w="1156" w:type="dxa"/>
            <w:vMerge/>
            <w:tcBorders>
              <w:left w:val="single" w:sz="4" w:space="0" w:color="000000"/>
              <w:bottom w:val="nil" w:sz="6" w:space="0" w:color="auto"/>
              <w:right w:val="single" w:sz="4" w:space="0" w:color="000000"/>
            </w:tcBorders>
            <w:shd w:val="clear" w:color="auto" w:fill="D4D4D4"/>
          </w:tcPr>
          <w:p>
            <w:pPr/>
          </w:p>
        </w:tc>
        <w:tc>
          <w:tcPr>
            <w:tcW w:w="857" w:type="dxa"/>
            <w:vMerge/>
            <w:tcBorders>
              <w:left w:val="single" w:sz="4" w:space="0" w:color="000000"/>
              <w:bottom w:val="nil" w:sz="6" w:space="0" w:color="auto"/>
              <w:right w:val="single" w:sz="4" w:space="0" w:color="000000"/>
            </w:tcBorders>
            <w:shd w:val="clear" w:color="auto" w:fill="D4D4D4"/>
          </w:tcPr>
          <w:p>
            <w:pPr/>
          </w:p>
        </w:tc>
        <w:tc>
          <w:tcPr>
            <w:tcW w:w="857" w:type="dxa"/>
            <w:vMerge/>
            <w:tcBorders>
              <w:left w:val="single" w:sz="4" w:space="0" w:color="000000"/>
              <w:bottom w:val="nil" w:sz="6" w:space="0" w:color="auto"/>
              <w:right w:val="single" w:sz="4" w:space="0" w:color="000000"/>
            </w:tcBorders>
            <w:shd w:val="clear" w:color="auto" w:fill="D4D4D4"/>
          </w:tcPr>
          <w:p>
            <w:pPr/>
          </w:p>
        </w:tc>
        <w:tc>
          <w:tcPr>
            <w:tcW w:w="430" w:type="dxa"/>
            <w:vMerge/>
            <w:tcBorders>
              <w:left w:val="single" w:sz="4" w:space="0" w:color="000000"/>
              <w:bottom w:val="nil" w:sz="6" w:space="0" w:color="auto"/>
              <w:right w:val="single" w:sz="4" w:space="0" w:color="000000"/>
            </w:tcBorders>
            <w:shd w:val="clear" w:color="auto" w:fill="D4D4D4"/>
          </w:tcPr>
          <w:p>
            <w:pPr/>
          </w:p>
        </w:tc>
        <w:tc>
          <w:tcPr>
            <w:tcW w:w="715" w:type="dxa"/>
            <w:vMerge/>
            <w:tcBorders>
              <w:left w:val="single" w:sz="4" w:space="0" w:color="000000"/>
              <w:right w:val="single" w:sz="4" w:space="0" w:color="000000"/>
            </w:tcBorders>
            <w:shd w:val="clear" w:color="auto" w:fill="D4D4D4"/>
          </w:tcPr>
          <w:p>
            <w:pPr/>
          </w:p>
        </w:tc>
        <w:tc>
          <w:tcPr>
            <w:tcW w:w="857" w:type="dxa"/>
            <w:vMerge/>
            <w:tcBorders>
              <w:left w:val="single" w:sz="4" w:space="0" w:color="000000"/>
              <w:bottom w:val="nil" w:sz="6" w:space="0" w:color="auto"/>
              <w:right w:val="single" w:sz="4" w:space="0" w:color="000000"/>
            </w:tcBorders>
            <w:shd w:val="clear" w:color="auto" w:fill="D4D4D4"/>
          </w:tcPr>
          <w:p>
            <w:pPr/>
          </w:p>
        </w:tc>
        <w:tc>
          <w:tcPr>
            <w:tcW w:w="859" w:type="dxa"/>
            <w:vMerge/>
            <w:tcBorders>
              <w:left w:val="single" w:sz="4" w:space="0" w:color="000000"/>
              <w:bottom w:val="nil" w:sz="6" w:space="0" w:color="auto"/>
              <w:right w:val="single" w:sz="4" w:space="0" w:color="000000"/>
            </w:tcBorders>
            <w:shd w:val="clear" w:color="auto" w:fill="D4D4D4"/>
          </w:tcPr>
          <w:p>
            <w:pPr/>
          </w:p>
        </w:tc>
        <w:tc>
          <w:tcPr>
            <w:tcW w:w="1068" w:type="dxa"/>
            <w:vMerge/>
            <w:tcBorders>
              <w:left w:val="single" w:sz="4" w:space="0" w:color="000000"/>
              <w:bottom w:val="nil" w:sz="6" w:space="0" w:color="auto"/>
              <w:right w:val="single" w:sz="4" w:space="0" w:color="000000"/>
            </w:tcBorders>
            <w:shd w:val="clear" w:color="auto" w:fill="D4D4D4"/>
          </w:tcPr>
          <w:p>
            <w:pPr/>
          </w:p>
        </w:tc>
        <w:tc>
          <w:tcPr>
            <w:tcW w:w="866"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1991" w:type="dxa"/>
            <w:vMerge/>
            <w:tcBorders>
              <w:left w:val="single" w:sz="4" w:space="0" w:color="000000"/>
              <w:bottom w:val="single" w:sz="4" w:space="0" w:color="000000"/>
              <w:right w:val="single" w:sz="4" w:space="0" w:color="000000"/>
            </w:tcBorders>
            <w:shd w:val="clear" w:color="auto" w:fill="D4D4D4"/>
          </w:tcPr>
          <w:p>
            <w:pPr/>
          </w:p>
        </w:tc>
        <w:tc>
          <w:tcPr>
            <w:tcW w:w="1156" w:type="dxa"/>
            <w:tcBorders>
              <w:top w:val="nil" w:sz="6" w:space="0" w:color="auto"/>
              <w:left w:val="single" w:sz="4" w:space="0" w:color="000000"/>
              <w:bottom w:val="single" w:sz="4" w:space="0" w:color="000000"/>
              <w:right w:val="single" w:sz="4" w:space="0" w:color="000000"/>
            </w:tcBorders>
            <w:shd w:val="clear" w:color="auto" w:fill="D4D4D4"/>
          </w:tcPr>
          <w:p>
            <w:pPr/>
          </w:p>
        </w:tc>
        <w:tc>
          <w:tcPr>
            <w:tcW w:w="857" w:type="dxa"/>
            <w:tcBorders>
              <w:top w:val="nil" w:sz="6" w:space="0" w:color="auto"/>
              <w:left w:val="single" w:sz="4" w:space="0" w:color="000000"/>
              <w:bottom w:val="single" w:sz="4" w:space="0" w:color="000000"/>
              <w:right w:val="single" w:sz="4" w:space="0" w:color="000000"/>
            </w:tcBorders>
            <w:shd w:val="clear" w:color="auto" w:fill="D4D4D4"/>
          </w:tcPr>
          <w:p>
            <w:pPr/>
          </w:p>
        </w:tc>
        <w:tc>
          <w:tcPr>
            <w:tcW w:w="857" w:type="dxa"/>
            <w:tcBorders>
              <w:top w:val="nil" w:sz="6" w:space="0" w:color="auto"/>
              <w:left w:val="single" w:sz="4" w:space="0" w:color="000000"/>
              <w:bottom w:val="single" w:sz="4" w:space="0" w:color="000000"/>
              <w:right w:val="single" w:sz="4" w:space="0" w:color="000000"/>
            </w:tcBorders>
            <w:shd w:val="clear" w:color="auto" w:fill="D4D4D4"/>
          </w:tcPr>
          <w:p>
            <w:pPr/>
          </w:p>
        </w:tc>
        <w:tc>
          <w:tcPr>
            <w:tcW w:w="430" w:type="dxa"/>
            <w:tcBorders>
              <w:top w:val="nil" w:sz="6" w:space="0" w:color="auto"/>
              <w:left w:val="single" w:sz="4" w:space="0" w:color="000000"/>
              <w:bottom w:val="single" w:sz="4" w:space="0" w:color="000000"/>
              <w:right w:val="single" w:sz="4" w:space="0" w:color="000000"/>
            </w:tcBorders>
            <w:shd w:val="clear" w:color="auto" w:fill="D4D4D4"/>
          </w:tcPr>
          <w:p>
            <w:pPr/>
          </w:p>
        </w:tc>
        <w:tc>
          <w:tcPr>
            <w:tcW w:w="715" w:type="dxa"/>
            <w:vMerge/>
            <w:tcBorders>
              <w:left w:val="single" w:sz="4" w:space="0" w:color="000000"/>
              <w:bottom w:val="single" w:sz="4" w:space="0" w:color="000000"/>
              <w:right w:val="single" w:sz="4" w:space="0" w:color="000000"/>
            </w:tcBorders>
            <w:shd w:val="clear" w:color="auto" w:fill="D4D4D4"/>
          </w:tcPr>
          <w:p>
            <w:pPr/>
          </w:p>
        </w:tc>
        <w:tc>
          <w:tcPr>
            <w:tcW w:w="857" w:type="dxa"/>
            <w:tcBorders>
              <w:top w:val="nil" w:sz="6" w:space="0" w:color="auto"/>
              <w:left w:val="single" w:sz="4" w:space="0" w:color="000000"/>
              <w:bottom w:val="single" w:sz="4" w:space="0" w:color="000000"/>
              <w:right w:val="single" w:sz="4" w:space="0" w:color="000000"/>
            </w:tcBorders>
            <w:shd w:val="clear" w:color="auto" w:fill="D4D4D4"/>
          </w:tcPr>
          <w:p>
            <w:pPr/>
          </w:p>
        </w:tc>
        <w:tc>
          <w:tcPr>
            <w:tcW w:w="859"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tcBorders>
              <w:top w:val="nil" w:sz="6" w:space="0" w:color="auto"/>
              <w:left w:val="single" w:sz="4" w:space="0" w:color="000000"/>
              <w:bottom w:val="single" w:sz="4" w:space="0" w:color="000000"/>
              <w:right w:val="single" w:sz="4" w:space="0" w:color="000000"/>
            </w:tcBorders>
            <w:shd w:val="clear" w:color="auto" w:fill="D4D4D4"/>
          </w:tcPr>
          <w:p>
            <w:pPr/>
          </w:p>
        </w:tc>
        <w:tc>
          <w:tcPr>
            <w:tcW w:w="86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5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69,602,719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43.95%</w:t>
            </w:r>
          </w:p>
        </w:tc>
        <w:tc>
          <w:tcPr>
            <w:tcW w:w="85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-2,678,800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-2,678,800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66,923,919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42.25%</w:t>
            </w:r>
          </w:p>
        </w:tc>
      </w:tr>
      <w:tr>
        <w:trPr>
          <w:trHeight w:val="408" w:hRule="exact"/>
        </w:trPr>
        <w:tc>
          <w:tcPr>
            <w:tcW w:w="1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5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69,602,719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43.95%</w:t>
            </w:r>
          </w:p>
        </w:tc>
        <w:tc>
          <w:tcPr>
            <w:tcW w:w="85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-2,678,800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center"/>
              <w:rPr>
                <w:rFonts w:ascii="Times New Roman" w:hAnsi="Times New Roman" w:cs="Times New Roman" w:eastAsia="Times New Roman" w:hint="default"/>
                <w:sz w:val="18"/>
                <w:szCs w:val="18"/>
              </w:rPr>
            </w:pPr>
            <w:r>
              <w:rPr>
                <w:rFonts w:ascii="Times New Roman"/>
                <w:sz w:val="18"/>
              </w:rPr>
              <w:t>-2,678,800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66,923,919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42.25%</w:t>
            </w:r>
          </w:p>
        </w:tc>
      </w:tr>
      <w:tr>
        <w:trPr>
          <w:trHeight w:val="410" w:hRule="exact"/>
        </w:trPr>
        <w:tc>
          <w:tcPr>
            <w:tcW w:w="1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5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69,602,719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43.95%</w:t>
            </w:r>
          </w:p>
        </w:tc>
        <w:tc>
          <w:tcPr>
            <w:tcW w:w="85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-2,678,800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 w:right="0"/>
              <w:jc w:val="center"/>
              <w:rPr>
                <w:rFonts w:ascii="Times New Roman" w:hAnsi="Times New Roman" w:cs="Times New Roman" w:eastAsia="Times New Roman" w:hint="default"/>
                <w:sz w:val="18"/>
                <w:szCs w:val="18"/>
              </w:rPr>
            </w:pPr>
            <w:r>
              <w:rPr>
                <w:rFonts w:ascii="Times New Roman"/>
                <w:sz w:val="18"/>
              </w:rPr>
              <w:t>-2,678,800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66,923,919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42.25%</w:t>
            </w:r>
          </w:p>
        </w:tc>
      </w:tr>
      <w:tr>
        <w:trPr>
          <w:trHeight w:val="408" w:hRule="exact"/>
        </w:trPr>
        <w:tc>
          <w:tcPr>
            <w:tcW w:w="1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5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88,797,281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56.05%</w:t>
            </w:r>
          </w:p>
        </w:tc>
        <w:tc>
          <w:tcPr>
            <w:tcW w:w="85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2,678,800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2,678,800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91,476,081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57.75%</w:t>
            </w:r>
          </w:p>
        </w:tc>
      </w:tr>
      <w:tr>
        <w:trPr>
          <w:trHeight w:val="408" w:hRule="exact"/>
        </w:trPr>
        <w:tc>
          <w:tcPr>
            <w:tcW w:w="1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5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88,797,281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56.05%</w:t>
            </w:r>
          </w:p>
        </w:tc>
        <w:tc>
          <w:tcPr>
            <w:tcW w:w="85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2,678,800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7" w:right="0"/>
              <w:jc w:val="center"/>
              <w:rPr>
                <w:rFonts w:ascii="Times New Roman" w:hAnsi="Times New Roman" w:cs="Times New Roman" w:eastAsia="Times New Roman" w:hint="default"/>
                <w:sz w:val="18"/>
                <w:szCs w:val="18"/>
              </w:rPr>
            </w:pPr>
            <w:r>
              <w:rPr>
                <w:rFonts w:ascii="Times New Roman"/>
                <w:sz w:val="18"/>
              </w:rPr>
              <w:t>2,678,800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91,476,081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57.75%</w:t>
            </w:r>
          </w:p>
        </w:tc>
      </w:tr>
      <w:tr>
        <w:trPr>
          <w:trHeight w:val="422" w:hRule="exact"/>
        </w:trPr>
        <w:tc>
          <w:tcPr>
            <w:tcW w:w="1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5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158,400,000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158,400,000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left="572" w:right="0"/>
        <w:jc w:val="left"/>
      </w:pPr>
      <w:r>
        <w:rPr>
          <w:rFonts w:ascii="宋体" w:hAnsi="宋体" w:cs="宋体" w:eastAsia="宋体" w:hint="default"/>
        </w:rPr>
        <w:t>2015</w:t>
      </w:r>
      <w:r>
        <w:rPr/>
        <w:t>年</w:t>
      </w:r>
      <w:r>
        <w:rPr>
          <w:rFonts w:ascii="宋体" w:hAnsi="宋体" w:cs="宋体" w:eastAsia="宋体" w:hint="default"/>
        </w:rPr>
        <w:t>01</w:t>
      </w:r>
      <w:r>
        <w:rPr/>
        <w:t>月</w:t>
      </w:r>
      <w:r>
        <w:rPr>
          <w:rFonts w:ascii="宋体" w:hAnsi="宋体" w:cs="宋体" w:eastAsia="宋体" w:hint="default"/>
        </w:rPr>
        <w:t>01</w:t>
      </w:r>
      <w:r>
        <w:rPr/>
        <w:t>日，根据各董事、监事、高管的承诺，其持有的公司股份每年度解除限售</w:t>
      </w:r>
      <w:r>
        <w:rPr>
          <w:rFonts w:ascii="宋体" w:hAnsi="宋体" w:cs="宋体" w:eastAsia="宋体" w:hint="default"/>
        </w:rPr>
        <w:t>25%</w:t>
      </w:r>
      <w:r>
        <w:rPr/>
        <w:t>。</w:t>
      </w:r>
    </w:p>
    <w:p>
      <w:pPr>
        <w:spacing w:line="240" w:lineRule="auto" w:before="8"/>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240" w:lineRule="auto" w:before="9"/>
        <w:rPr>
          <w:rFonts w:ascii="宋体" w:hAnsi="宋体" w:cs="宋体" w:eastAsia="宋体" w:hint="default"/>
          <w:sz w:val="20"/>
          <w:szCs w:val="20"/>
        </w:rPr>
      </w:pPr>
    </w:p>
    <w:p>
      <w:pPr>
        <w:spacing w:line="489" w:lineRule="auto" w:before="0"/>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489" w:lineRule="auto" w:before="83"/>
        <w:ind w:left="152" w:right="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487" w:lineRule="auto" w:before="86"/>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8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1"/>
          <w:szCs w:val="21"/>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713" w:hRule="exact"/>
        </w:trPr>
        <w:tc>
          <w:tcPr>
            <w:tcW w:w="14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26,906,391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6,726,598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20,179,793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2016-01-02</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19,378,858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4,844,715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14,534,144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2016-01-02</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19,378,857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4,844,714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14,534,143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2016-01-02</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孙晓玲</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2,259,614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564,904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1,694,711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2016-01-02</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1,678,999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419,750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1,259,249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2016-01-02</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2016-03-16</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69,602,719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17,400,681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52,202,340</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w:t>
      </w:r>
      <w:bookmarkStart w:name="二、证券发行与上市情况" w:id="102"/>
      <w:bookmarkEnd w:id="102"/>
      <w:r>
        <w:rPr/>
        <w:t>构的变动、公司资</w:t>
      </w:r>
      <w:r>
        <w:rPr/>
        <w:t>产和负</w:t>
      </w:r>
      <w:bookmarkStart w:name="1、报告期内证券发行（不含优先股）情况" w:id="103"/>
      <w:bookmarkEnd w:id="103"/>
      <w:r>
        <w:rPr/>
      </w:r>
      <w:bookmarkStart w:name="2、公司股份总数及股东结构的变动、公司资产和负债结构的变动情况说明" w:id="104"/>
      <w:bookmarkEnd w:id="104"/>
      <w:r>
        <w:rPr/>
        <w:t>债结构的变动情况</w:t>
      </w:r>
      <w:r>
        <w:rPr/>
        <w:t>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pict>
          <v:shape style="position:absolute;margin-left:449.157013pt;margin-top:70.671722pt;width:85.7pt;height:31.2pt;mso-position-horizontal-relative:page;mso-position-vertical-relative:paragraph;z-index:-1223680"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70.671722pt;width:52.45pt;height:31.2pt;mso-position-horizontal-relative:page;mso-position-vertical-relative:paragraph;z-index:-1223656" coordorigin="9648,1413" coordsize="1049,624">
            <v:shape style="position:absolute;left:9648;top:1413;width:1049;height:624" coordorigin="9648,1413" coordsize="1049,624" path="m9648,2037l10697,2037,10697,1413,9648,1413,9648,2037xe" filled="true" fillcolor="#ffffff" stroked="false">
              <v:path arrowok="t"/>
              <v:fill type="solid"/>
            </v:shape>
            <w10:wrap type="none"/>
          </v:group>
        </w:pict>
      </w:r>
      <w:bookmarkStart w:name="3、现存的内部职工股情况" w:id="105"/>
      <w:bookmarkEnd w:id="105"/>
      <w:r>
        <w:rPr/>
      </w:r>
      <w:bookmarkStart w:name="三、股东和实际控制人情况" w:id="106"/>
      <w:bookmarkEnd w:id="106"/>
      <w:r>
        <w:rPr/>
      </w:r>
      <w:bookmarkStart w:name="1、公司股东数量及持股情况" w:id="107"/>
      <w:bookmarkEnd w:id="107"/>
      <w:r>
        <w:rPr/>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838"/>
        <w:gridCol w:w="266"/>
        <w:gridCol w:w="852"/>
        <w:gridCol w:w="319"/>
        <w:gridCol w:w="672"/>
        <w:gridCol w:w="547"/>
        <w:gridCol w:w="302"/>
        <w:gridCol w:w="998"/>
        <w:gridCol w:w="1111"/>
        <w:gridCol w:w="1007"/>
        <w:gridCol w:w="280"/>
        <w:gridCol w:w="512"/>
        <w:gridCol w:w="557"/>
      </w:tblGrid>
      <w:tr>
        <w:trPr>
          <w:trHeight w:val="161" w:hRule="exact"/>
        </w:trPr>
        <w:tc>
          <w:tcPr>
            <w:tcW w:w="1294" w:type="dxa"/>
            <w:vMerge w:val="restart"/>
            <w:tcBorders>
              <w:top w:val="single" w:sz="4" w:space="0" w:color="000000"/>
              <w:left w:val="single" w:sz="4" w:space="0" w:color="000000"/>
              <w:right w:val="single" w:sz="4" w:space="0" w:color="000000"/>
            </w:tcBorders>
            <w:shd w:val="clear" w:color="auto" w:fill="D4D4D4"/>
          </w:tcPr>
          <w:p>
            <w:pPr/>
          </w:p>
        </w:tc>
        <w:tc>
          <w:tcPr>
            <w:tcW w:w="838" w:type="dxa"/>
            <w:vMerge w:val="restart"/>
            <w:tcBorders>
              <w:top w:val="single" w:sz="4" w:space="0" w:color="000000"/>
              <w:left w:val="single" w:sz="9"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16,600</w:t>
            </w:r>
          </w:p>
        </w:tc>
        <w:tc>
          <w:tcPr>
            <w:tcW w:w="1438" w:type="dxa"/>
            <w:gridSpan w:val="3"/>
            <w:vMerge w:val="restart"/>
            <w:tcBorders>
              <w:top w:val="single" w:sz="4" w:space="0" w:color="000000"/>
              <w:left w:val="single" w:sz="4" w:space="0" w:color="000000"/>
              <w:right w:val="single" w:sz="4" w:space="0" w:color="000000"/>
            </w:tcBorders>
            <w:shd w:val="clear" w:color="auto" w:fill="D4D4D4"/>
          </w:tcPr>
          <w:p>
            <w:pPr/>
          </w:p>
        </w:tc>
        <w:tc>
          <w:tcPr>
            <w:tcW w:w="1219" w:type="dxa"/>
            <w:gridSpan w:val="2"/>
            <w:vMerge w:val="restart"/>
            <w:tcBorders>
              <w:top w:val="single" w:sz="4" w:space="0" w:color="000000"/>
              <w:left w:val="single" w:sz="10"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23,113</w:t>
            </w:r>
          </w:p>
        </w:tc>
        <w:tc>
          <w:tcPr>
            <w:tcW w:w="1300"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111" w:type="dxa"/>
            <w:vMerge w:val="restart"/>
            <w:tcBorders>
              <w:top w:val="single" w:sz="4" w:space="0" w:color="000000"/>
              <w:left w:val="single" w:sz="10" w:space="0" w:color="D4D4D4"/>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0</w:t>
            </w:r>
          </w:p>
        </w:tc>
        <w:tc>
          <w:tcPr>
            <w:tcW w:w="128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9"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4D4D4"/>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94" w:type="dxa"/>
            <w:vMerge/>
            <w:tcBorders>
              <w:left w:val="single" w:sz="4" w:space="0" w:color="000000"/>
              <w:right w:val="single" w:sz="4" w:space="0" w:color="000000"/>
            </w:tcBorders>
            <w:shd w:val="clear" w:color="auto" w:fill="D4D4D4"/>
          </w:tcPr>
          <w:p>
            <w:pPr/>
          </w:p>
        </w:tc>
        <w:tc>
          <w:tcPr>
            <w:tcW w:w="838" w:type="dxa"/>
            <w:vMerge/>
            <w:tcBorders>
              <w:left w:val="single" w:sz="9" w:space="0" w:color="D4D4D4"/>
              <w:right w:val="single" w:sz="10" w:space="0" w:color="D4D4D4"/>
            </w:tcBorders>
          </w:tcPr>
          <w:p>
            <w:pPr/>
          </w:p>
        </w:tc>
        <w:tc>
          <w:tcPr>
            <w:tcW w:w="1438" w:type="dxa"/>
            <w:gridSpan w:val="3"/>
            <w:vMerge/>
            <w:tcBorders>
              <w:left w:val="single" w:sz="4" w:space="0" w:color="000000"/>
              <w:bottom w:val="nil" w:sz="6" w:space="0" w:color="auto"/>
              <w:right w:val="single" w:sz="4" w:space="0" w:color="000000"/>
            </w:tcBorders>
            <w:shd w:val="clear" w:color="auto" w:fill="D4D4D4"/>
          </w:tcPr>
          <w:p>
            <w:pPr/>
          </w:p>
        </w:tc>
        <w:tc>
          <w:tcPr>
            <w:tcW w:w="1219" w:type="dxa"/>
            <w:gridSpan w:val="2"/>
            <w:vMerge/>
            <w:tcBorders>
              <w:left w:val="single" w:sz="10" w:space="0" w:color="D4D4D4"/>
              <w:right w:val="single" w:sz="10" w:space="0" w:color="D4D4D4"/>
            </w:tcBorders>
          </w:tcPr>
          <w:p>
            <w:pPr/>
          </w:p>
        </w:tc>
        <w:tc>
          <w:tcPr>
            <w:tcW w:w="1300"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1" w:right="16"/>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11" w:type="dxa"/>
            <w:vMerge/>
            <w:tcBorders>
              <w:left w:val="single" w:sz="10" w:space="0" w:color="D4D4D4"/>
              <w:right w:val="single" w:sz="13" w:space="0" w:color="D4D4D4"/>
            </w:tcBorders>
          </w:tcPr>
          <w:p>
            <w:pPr/>
          </w:p>
        </w:tc>
        <w:tc>
          <w:tcPr>
            <w:tcW w:w="1286"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94" w:type="dxa"/>
            <w:vMerge/>
            <w:tcBorders>
              <w:left w:val="single" w:sz="4" w:space="0" w:color="000000"/>
              <w:bottom w:val="nil" w:sz="6" w:space="0" w:color="auto"/>
              <w:right w:val="single" w:sz="4" w:space="0" w:color="000000"/>
            </w:tcBorders>
            <w:shd w:val="clear" w:color="auto" w:fill="D4D4D4"/>
          </w:tcPr>
          <w:p>
            <w:pPr/>
          </w:p>
        </w:tc>
        <w:tc>
          <w:tcPr>
            <w:tcW w:w="838" w:type="dxa"/>
            <w:vMerge/>
            <w:tcBorders>
              <w:left w:val="single" w:sz="9" w:space="0" w:color="D4D4D4"/>
              <w:right w:val="single" w:sz="10" w:space="0" w:color="D4D4D4"/>
            </w:tcBorders>
          </w:tcPr>
          <w:p>
            <w:pPr/>
          </w:p>
        </w:tc>
        <w:tc>
          <w:tcPr>
            <w:tcW w:w="1438" w:type="dxa"/>
            <w:gridSpan w:val="3"/>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1"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9" w:type="dxa"/>
            <w:gridSpan w:val="2"/>
            <w:vMerge/>
            <w:tcBorders>
              <w:left w:val="single" w:sz="10" w:space="0" w:color="D4D4D4"/>
              <w:right w:val="single" w:sz="10" w:space="0" w:color="D4D4D4"/>
            </w:tcBorders>
          </w:tcPr>
          <w:p>
            <w:pPr/>
          </w:p>
        </w:tc>
        <w:tc>
          <w:tcPr>
            <w:tcW w:w="1300" w:type="dxa"/>
            <w:gridSpan w:val="2"/>
            <w:vMerge/>
            <w:tcBorders>
              <w:left w:val="single" w:sz="4" w:space="0" w:color="000000"/>
              <w:right w:val="single" w:sz="4" w:space="0" w:color="000000"/>
            </w:tcBorders>
            <w:shd w:val="clear" w:color="auto" w:fill="D4D4D4"/>
          </w:tcPr>
          <w:p>
            <w:pPr/>
          </w:p>
        </w:tc>
        <w:tc>
          <w:tcPr>
            <w:tcW w:w="1111" w:type="dxa"/>
            <w:vMerge/>
            <w:tcBorders>
              <w:left w:val="single" w:sz="10" w:space="0" w:color="D4D4D4"/>
              <w:right w:val="single" w:sz="13" w:space="0" w:color="D4D4D4"/>
            </w:tcBorders>
          </w:tcPr>
          <w:p>
            <w:pPr/>
          </w:p>
        </w:tc>
        <w:tc>
          <w:tcPr>
            <w:tcW w:w="1286"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38" w:type="dxa"/>
            <w:vMerge/>
            <w:tcBorders>
              <w:left w:val="single" w:sz="9" w:space="0" w:color="D4D4D4"/>
              <w:right w:val="single" w:sz="10" w:space="0" w:color="D4D4D4"/>
            </w:tcBorders>
          </w:tcPr>
          <w:p>
            <w:pPr/>
          </w:p>
        </w:tc>
        <w:tc>
          <w:tcPr>
            <w:tcW w:w="1438" w:type="dxa"/>
            <w:gridSpan w:val="3"/>
            <w:vMerge/>
            <w:tcBorders>
              <w:left w:val="single" w:sz="4" w:space="0" w:color="000000"/>
              <w:right w:val="single" w:sz="4" w:space="0" w:color="000000"/>
            </w:tcBorders>
            <w:shd w:val="clear" w:color="auto" w:fill="D4D4D4"/>
          </w:tcPr>
          <w:p>
            <w:pPr/>
          </w:p>
        </w:tc>
        <w:tc>
          <w:tcPr>
            <w:tcW w:w="1219" w:type="dxa"/>
            <w:gridSpan w:val="2"/>
            <w:vMerge/>
            <w:tcBorders>
              <w:left w:val="single" w:sz="10" w:space="0" w:color="D4D4D4"/>
              <w:right w:val="single" w:sz="10" w:space="0" w:color="D4D4D4"/>
            </w:tcBorders>
          </w:tcPr>
          <w:p>
            <w:pPr/>
          </w:p>
        </w:tc>
        <w:tc>
          <w:tcPr>
            <w:tcW w:w="1300" w:type="dxa"/>
            <w:gridSpan w:val="2"/>
            <w:vMerge/>
            <w:tcBorders>
              <w:left w:val="single" w:sz="4" w:space="0" w:color="000000"/>
              <w:right w:val="single" w:sz="4" w:space="0" w:color="000000"/>
            </w:tcBorders>
            <w:shd w:val="clear" w:color="auto" w:fill="D4D4D4"/>
          </w:tcPr>
          <w:p>
            <w:pPr/>
          </w:p>
        </w:tc>
        <w:tc>
          <w:tcPr>
            <w:tcW w:w="1111" w:type="dxa"/>
            <w:vMerge/>
            <w:tcBorders>
              <w:left w:val="single" w:sz="10" w:space="0" w:color="D4D4D4"/>
              <w:right w:val="single" w:sz="13" w:space="0" w:color="D4D4D4"/>
            </w:tcBorders>
          </w:tcPr>
          <w:p>
            <w:pPr/>
          </w:p>
        </w:tc>
        <w:tc>
          <w:tcPr>
            <w:tcW w:w="1286"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94" w:type="dxa"/>
            <w:vMerge w:val="restart"/>
            <w:tcBorders>
              <w:top w:val="nil" w:sz="6" w:space="0" w:color="auto"/>
              <w:left w:val="single" w:sz="4" w:space="0" w:color="000000"/>
              <w:right w:val="single" w:sz="4" w:space="0" w:color="000000"/>
            </w:tcBorders>
            <w:shd w:val="clear" w:color="auto" w:fill="D4D4D4"/>
          </w:tcPr>
          <w:p>
            <w:pPr/>
          </w:p>
        </w:tc>
        <w:tc>
          <w:tcPr>
            <w:tcW w:w="838" w:type="dxa"/>
            <w:vMerge/>
            <w:tcBorders>
              <w:left w:val="single" w:sz="9" w:space="0" w:color="D4D4D4"/>
              <w:right w:val="single" w:sz="10" w:space="0" w:color="D4D4D4"/>
            </w:tcBorders>
          </w:tcPr>
          <w:p>
            <w:pPr/>
          </w:p>
        </w:tc>
        <w:tc>
          <w:tcPr>
            <w:tcW w:w="1438" w:type="dxa"/>
            <w:gridSpan w:val="3"/>
            <w:vMerge/>
            <w:tcBorders>
              <w:left w:val="single" w:sz="4" w:space="0" w:color="000000"/>
              <w:bottom w:val="nil" w:sz="6" w:space="0" w:color="auto"/>
              <w:right w:val="single" w:sz="4" w:space="0" w:color="000000"/>
            </w:tcBorders>
            <w:shd w:val="clear" w:color="auto" w:fill="D4D4D4"/>
          </w:tcPr>
          <w:p>
            <w:pPr/>
          </w:p>
        </w:tc>
        <w:tc>
          <w:tcPr>
            <w:tcW w:w="1219" w:type="dxa"/>
            <w:gridSpan w:val="2"/>
            <w:vMerge/>
            <w:tcBorders>
              <w:left w:val="single" w:sz="10" w:space="0" w:color="D4D4D4"/>
              <w:right w:val="single" w:sz="10" w:space="0" w:color="D4D4D4"/>
            </w:tcBorders>
          </w:tcPr>
          <w:p>
            <w:pPr/>
          </w:p>
        </w:tc>
        <w:tc>
          <w:tcPr>
            <w:tcW w:w="1300" w:type="dxa"/>
            <w:gridSpan w:val="2"/>
            <w:vMerge/>
            <w:tcBorders>
              <w:left w:val="single" w:sz="4" w:space="0" w:color="000000"/>
              <w:right w:val="single" w:sz="4" w:space="0" w:color="000000"/>
            </w:tcBorders>
            <w:shd w:val="clear" w:color="auto" w:fill="D4D4D4"/>
          </w:tcPr>
          <w:p>
            <w:pPr/>
          </w:p>
        </w:tc>
        <w:tc>
          <w:tcPr>
            <w:tcW w:w="1111" w:type="dxa"/>
            <w:vMerge/>
            <w:tcBorders>
              <w:left w:val="single" w:sz="10" w:space="0" w:color="D4D4D4"/>
              <w:right w:val="single" w:sz="13" w:space="0" w:color="D4D4D4"/>
            </w:tcBorders>
          </w:tcPr>
          <w:p>
            <w:pPr/>
          </w:p>
        </w:tc>
        <w:tc>
          <w:tcPr>
            <w:tcW w:w="1286"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94" w:type="dxa"/>
            <w:vMerge/>
            <w:tcBorders>
              <w:left w:val="single" w:sz="4" w:space="0" w:color="000000"/>
              <w:right w:val="single" w:sz="4" w:space="0" w:color="000000"/>
            </w:tcBorders>
            <w:shd w:val="clear" w:color="auto" w:fill="D4D4D4"/>
          </w:tcPr>
          <w:p>
            <w:pPr/>
          </w:p>
        </w:tc>
        <w:tc>
          <w:tcPr>
            <w:tcW w:w="838" w:type="dxa"/>
            <w:vMerge/>
            <w:tcBorders>
              <w:left w:val="single" w:sz="9" w:space="0" w:color="D4D4D4"/>
              <w:right w:val="single" w:sz="10" w:space="0" w:color="D4D4D4"/>
            </w:tcBorders>
          </w:tcPr>
          <w:p>
            <w:pPr/>
          </w:p>
        </w:tc>
        <w:tc>
          <w:tcPr>
            <w:tcW w:w="1438" w:type="dxa"/>
            <w:gridSpan w:val="3"/>
            <w:vMerge w:val="restart"/>
            <w:tcBorders>
              <w:top w:val="nil" w:sz="6" w:space="0" w:color="auto"/>
              <w:left w:val="single" w:sz="4" w:space="0" w:color="000000"/>
              <w:right w:val="single" w:sz="4" w:space="0" w:color="000000"/>
            </w:tcBorders>
            <w:shd w:val="clear" w:color="auto" w:fill="D4D4D4"/>
          </w:tcPr>
          <w:p>
            <w:pPr/>
          </w:p>
        </w:tc>
        <w:tc>
          <w:tcPr>
            <w:tcW w:w="1219" w:type="dxa"/>
            <w:gridSpan w:val="2"/>
            <w:vMerge/>
            <w:tcBorders>
              <w:left w:val="single" w:sz="10" w:space="0" w:color="D4D4D4"/>
              <w:right w:val="single" w:sz="10" w:space="0" w:color="D4D4D4"/>
            </w:tcBorders>
          </w:tcPr>
          <w:p>
            <w:pPr/>
          </w:p>
        </w:tc>
        <w:tc>
          <w:tcPr>
            <w:tcW w:w="1300" w:type="dxa"/>
            <w:gridSpan w:val="2"/>
            <w:vMerge/>
            <w:tcBorders>
              <w:left w:val="single" w:sz="4" w:space="0" w:color="000000"/>
              <w:bottom w:val="nil" w:sz="6" w:space="0" w:color="auto"/>
              <w:right w:val="single" w:sz="4" w:space="0" w:color="000000"/>
            </w:tcBorders>
            <w:shd w:val="clear" w:color="auto" w:fill="D4D4D4"/>
          </w:tcPr>
          <w:p>
            <w:pPr/>
          </w:p>
        </w:tc>
        <w:tc>
          <w:tcPr>
            <w:tcW w:w="1111" w:type="dxa"/>
            <w:vMerge/>
            <w:tcBorders>
              <w:left w:val="single" w:sz="10" w:space="0" w:color="D4D4D4"/>
              <w:right w:val="single" w:sz="13" w:space="0" w:color="D4D4D4"/>
            </w:tcBorders>
          </w:tcPr>
          <w:p>
            <w:pPr/>
          </w:p>
        </w:tc>
        <w:tc>
          <w:tcPr>
            <w:tcW w:w="1286"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294" w:type="dxa"/>
            <w:vMerge/>
            <w:tcBorders>
              <w:left w:val="single" w:sz="4" w:space="0" w:color="000000"/>
              <w:bottom w:val="single" w:sz="4" w:space="0" w:color="000000"/>
              <w:right w:val="single" w:sz="4" w:space="0" w:color="000000"/>
            </w:tcBorders>
            <w:shd w:val="clear" w:color="auto" w:fill="D4D4D4"/>
          </w:tcPr>
          <w:p>
            <w:pPr/>
          </w:p>
        </w:tc>
        <w:tc>
          <w:tcPr>
            <w:tcW w:w="838" w:type="dxa"/>
            <w:vMerge/>
            <w:tcBorders>
              <w:left w:val="single" w:sz="9" w:space="0" w:color="D4D4D4"/>
              <w:bottom w:val="single" w:sz="4" w:space="0" w:color="000000"/>
              <w:right w:val="single" w:sz="10" w:space="0" w:color="D4D4D4"/>
            </w:tcBorders>
          </w:tcPr>
          <w:p>
            <w:pPr/>
          </w:p>
        </w:tc>
        <w:tc>
          <w:tcPr>
            <w:tcW w:w="1438" w:type="dxa"/>
            <w:gridSpan w:val="3"/>
            <w:vMerge/>
            <w:tcBorders>
              <w:left w:val="single" w:sz="4" w:space="0" w:color="000000"/>
              <w:bottom w:val="single" w:sz="4" w:space="0" w:color="000000"/>
              <w:right w:val="single" w:sz="4" w:space="0" w:color="000000"/>
            </w:tcBorders>
            <w:shd w:val="clear" w:color="auto" w:fill="D4D4D4"/>
          </w:tcPr>
          <w:p>
            <w:pPr/>
          </w:p>
        </w:tc>
        <w:tc>
          <w:tcPr>
            <w:tcW w:w="1219" w:type="dxa"/>
            <w:gridSpan w:val="2"/>
            <w:vMerge/>
            <w:tcBorders>
              <w:left w:val="single" w:sz="10" w:space="0" w:color="D4D4D4"/>
              <w:bottom w:val="single" w:sz="4" w:space="0" w:color="000000"/>
              <w:right w:val="single" w:sz="10" w:space="0" w:color="D4D4D4"/>
            </w:tcBorders>
          </w:tcPr>
          <w:p>
            <w:pPr/>
          </w:p>
        </w:tc>
        <w:tc>
          <w:tcPr>
            <w:tcW w:w="1300"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111" w:type="dxa"/>
            <w:vMerge/>
            <w:tcBorders>
              <w:left w:val="single" w:sz="10" w:space="0" w:color="D4D4D4"/>
              <w:bottom w:val="single" w:sz="4" w:space="0" w:color="000000"/>
              <w:right w:val="single" w:sz="13" w:space="0" w:color="D4D4D4"/>
            </w:tcBorders>
          </w:tcPr>
          <w:p>
            <w:pPr/>
          </w:p>
        </w:tc>
        <w:tc>
          <w:tcPr>
            <w:tcW w:w="1286" w:type="dxa"/>
            <w:gridSpan w:val="2"/>
            <w:vMerge/>
            <w:tcBorders>
              <w:left w:val="single" w:sz="4" w:space="0" w:color="000000"/>
              <w:bottom w:val="single" w:sz="4" w:space="0" w:color="000000"/>
              <w:right w:val="single" w:sz="4" w:space="0" w:color="000000"/>
            </w:tcBorders>
            <w:shd w:val="clear" w:color="auto" w:fill="D4D4D4"/>
          </w:tcPr>
          <w:p>
            <w:pPr/>
          </w:p>
        </w:tc>
        <w:tc>
          <w:tcPr>
            <w:tcW w:w="512" w:type="dxa"/>
            <w:vMerge/>
            <w:tcBorders>
              <w:left w:val="single" w:sz="12" w:space="0" w:color="D4D4D4"/>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4" w:hRule="exact"/>
        </w:trPr>
        <w:tc>
          <w:tcPr>
            <w:tcW w:w="9554" w:type="dxa"/>
            <w:gridSpan w:val="1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294" w:type="dxa"/>
            <w:vMerge w:val="restart"/>
            <w:tcBorders>
              <w:top w:val="single" w:sz="4" w:space="0" w:color="000000"/>
              <w:left w:val="single" w:sz="4" w:space="0" w:color="000000"/>
              <w:right w:val="single" w:sz="4" w:space="0" w:color="000000"/>
            </w:tcBorders>
            <w:shd w:val="clear" w:color="auto" w:fill="D4D4D4"/>
          </w:tcPr>
          <w:p>
            <w:pPr/>
          </w:p>
        </w:tc>
        <w:tc>
          <w:tcPr>
            <w:tcW w:w="1104" w:type="dxa"/>
            <w:gridSpan w:val="2"/>
            <w:vMerge w:val="restart"/>
            <w:tcBorders>
              <w:top w:val="single" w:sz="4" w:space="0" w:color="000000"/>
              <w:left w:val="single" w:sz="4" w:space="0" w:color="000000"/>
              <w:right w:val="single" w:sz="4" w:space="0" w:color="000000"/>
            </w:tcBorders>
            <w:shd w:val="clear" w:color="auto" w:fill="D4D4D4"/>
          </w:tcPr>
          <w:p>
            <w:pPr/>
          </w:p>
        </w:tc>
        <w:tc>
          <w:tcPr>
            <w:tcW w:w="852" w:type="dxa"/>
            <w:vMerge w:val="restart"/>
            <w:tcBorders>
              <w:top w:val="single" w:sz="4" w:space="0" w:color="000000"/>
              <w:left w:val="single" w:sz="4" w:space="0" w:color="000000"/>
              <w:right w:val="single" w:sz="4" w:space="0" w:color="000000"/>
            </w:tcBorders>
            <w:shd w:val="clear" w:color="auto" w:fill="D4D4D4"/>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59"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40" w:right="45"/>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1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08" w:right="9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56"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5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94" w:type="dxa"/>
            <w:vMerge/>
            <w:tcBorders>
              <w:left w:val="single" w:sz="4" w:space="0" w:color="000000"/>
              <w:bottom w:val="nil" w:sz="6" w:space="0" w:color="auto"/>
              <w:right w:val="single" w:sz="4" w:space="0" w:color="000000"/>
            </w:tcBorders>
            <w:shd w:val="clear" w:color="auto" w:fill="D4D4D4"/>
          </w:tcPr>
          <w:p>
            <w:pPr/>
          </w:p>
        </w:tc>
        <w:tc>
          <w:tcPr>
            <w:tcW w:w="1104" w:type="dxa"/>
            <w:gridSpan w:val="2"/>
            <w:vMerge/>
            <w:tcBorders>
              <w:left w:val="single" w:sz="4" w:space="0" w:color="000000"/>
              <w:bottom w:val="nil" w:sz="6" w:space="0" w:color="auto"/>
              <w:right w:val="single" w:sz="4" w:space="0" w:color="000000"/>
            </w:tcBorders>
            <w:shd w:val="clear" w:color="auto" w:fill="D4D4D4"/>
          </w:tcPr>
          <w:p>
            <w:pPr/>
          </w:p>
        </w:tc>
        <w:tc>
          <w:tcPr>
            <w:tcW w:w="852" w:type="dxa"/>
            <w:vMerge/>
            <w:tcBorders>
              <w:left w:val="single" w:sz="4" w:space="0" w:color="000000"/>
              <w:bottom w:val="nil" w:sz="6" w:space="0" w:color="auto"/>
              <w:right w:val="single" w:sz="4" w:space="0" w:color="000000"/>
            </w:tcBorders>
            <w:shd w:val="clear" w:color="auto" w:fill="D4D4D4"/>
          </w:tcPr>
          <w:p>
            <w:pPr/>
          </w:p>
        </w:tc>
        <w:tc>
          <w:tcPr>
            <w:tcW w:w="99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0" w:type="dxa"/>
            <w:gridSpan w:val="2"/>
            <w:vMerge/>
            <w:tcBorders>
              <w:left w:val="single" w:sz="4" w:space="0" w:color="000000"/>
              <w:right w:val="single" w:sz="4" w:space="0" w:color="000000"/>
            </w:tcBorders>
            <w:shd w:val="clear" w:color="auto" w:fill="D4D4D4"/>
          </w:tcPr>
          <w:p>
            <w:pPr/>
          </w:p>
        </w:tc>
        <w:tc>
          <w:tcPr>
            <w:tcW w:w="998" w:type="dxa"/>
            <w:vMerge/>
            <w:tcBorders>
              <w:left w:val="single" w:sz="4" w:space="0" w:color="000000"/>
              <w:right w:val="single" w:sz="4" w:space="0" w:color="000000"/>
            </w:tcBorders>
            <w:shd w:val="clear" w:color="auto" w:fill="D4D4D4"/>
          </w:tcPr>
          <w:p>
            <w:pPr/>
          </w:p>
        </w:tc>
        <w:tc>
          <w:tcPr>
            <w:tcW w:w="1111" w:type="dxa"/>
            <w:vMerge/>
            <w:tcBorders>
              <w:left w:val="single" w:sz="4" w:space="0" w:color="000000"/>
              <w:right w:val="single" w:sz="4" w:space="0" w:color="000000"/>
            </w:tcBorders>
            <w:shd w:val="clear" w:color="auto" w:fill="D4D4D4"/>
          </w:tcPr>
          <w:p>
            <w:pPr/>
          </w:p>
        </w:tc>
        <w:tc>
          <w:tcPr>
            <w:tcW w:w="2356" w:type="dxa"/>
            <w:gridSpan w:val="4"/>
            <w:vMerge/>
            <w:tcBorders>
              <w:left w:val="single" w:sz="4" w:space="0" w:color="000000"/>
              <w:right w:val="single" w:sz="4" w:space="0" w:color="000000"/>
            </w:tcBorders>
            <w:shd w:val="clear" w:color="auto" w:fill="D4D4D4"/>
          </w:tcPr>
          <w:p>
            <w:pPr/>
          </w:p>
        </w:tc>
      </w:tr>
      <w:tr>
        <w:trPr>
          <w:trHeight w:val="140" w:hRule="exact"/>
        </w:trPr>
        <w:tc>
          <w:tcPr>
            <w:tcW w:w="12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04"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1" w:type="dxa"/>
            <w:gridSpan w:val="2"/>
            <w:vMerge/>
            <w:tcBorders>
              <w:left w:val="single" w:sz="4" w:space="0" w:color="000000"/>
              <w:right w:val="single" w:sz="4" w:space="0" w:color="000000"/>
            </w:tcBorders>
            <w:shd w:val="clear" w:color="auto" w:fill="D4D4D4"/>
          </w:tcPr>
          <w:p>
            <w:pPr/>
          </w:p>
        </w:tc>
        <w:tc>
          <w:tcPr>
            <w:tcW w:w="850" w:type="dxa"/>
            <w:gridSpan w:val="2"/>
            <w:vMerge/>
            <w:tcBorders>
              <w:left w:val="single" w:sz="4" w:space="0" w:color="000000"/>
              <w:right w:val="single" w:sz="4" w:space="0" w:color="000000"/>
            </w:tcBorders>
            <w:shd w:val="clear" w:color="auto" w:fill="D4D4D4"/>
          </w:tcPr>
          <w:p>
            <w:pPr/>
          </w:p>
        </w:tc>
        <w:tc>
          <w:tcPr>
            <w:tcW w:w="998" w:type="dxa"/>
            <w:vMerge/>
            <w:tcBorders>
              <w:left w:val="single" w:sz="4" w:space="0" w:color="000000"/>
              <w:right w:val="single" w:sz="4" w:space="0" w:color="000000"/>
            </w:tcBorders>
            <w:shd w:val="clear" w:color="auto" w:fill="D4D4D4"/>
          </w:tcPr>
          <w:p>
            <w:pPr/>
          </w:p>
        </w:tc>
        <w:tc>
          <w:tcPr>
            <w:tcW w:w="1111" w:type="dxa"/>
            <w:vMerge/>
            <w:tcBorders>
              <w:left w:val="single" w:sz="4" w:space="0" w:color="000000"/>
              <w:right w:val="single" w:sz="4" w:space="0" w:color="000000"/>
            </w:tcBorders>
            <w:shd w:val="clear" w:color="auto" w:fill="D4D4D4"/>
          </w:tcPr>
          <w:p>
            <w:pPr/>
          </w:p>
        </w:tc>
        <w:tc>
          <w:tcPr>
            <w:tcW w:w="2356" w:type="dxa"/>
            <w:gridSpan w:val="4"/>
            <w:vMerge/>
            <w:tcBorders>
              <w:left w:val="single" w:sz="4" w:space="0" w:color="000000"/>
              <w:bottom w:val="single" w:sz="4" w:space="0" w:color="000000"/>
              <w:right w:val="single" w:sz="4" w:space="0" w:color="000000"/>
            </w:tcBorders>
            <w:shd w:val="clear" w:color="auto" w:fill="D4D4D4"/>
          </w:tcPr>
          <w:p>
            <w:pPr/>
          </w:p>
        </w:tc>
      </w:tr>
      <w:tr>
        <w:trPr>
          <w:trHeight w:val="251" w:hRule="exact"/>
        </w:trPr>
        <w:tc>
          <w:tcPr>
            <w:tcW w:w="1294" w:type="dxa"/>
            <w:vMerge/>
            <w:tcBorders>
              <w:left w:val="single" w:sz="4" w:space="0" w:color="000000"/>
              <w:bottom w:val="nil" w:sz="6" w:space="0" w:color="auto"/>
              <w:right w:val="single" w:sz="4" w:space="0" w:color="000000"/>
            </w:tcBorders>
            <w:shd w:val="clear" w:color="auto" w:fill="D4D4D4"/>
          </w:tcPr>
          <w:p>
            <w:pPr/>
          </w:p>
        </w:tc>
        <w:tc>
          <w:tcPr>
            <w:tcW w:w="1104" w:type="dxa"/>
            <w:gridSpan w:val="2"/>
            <w:vMerge/>
            <w:tcBorders>
              <w:left w:val="single" w:sz="4" w:space="0" w:color="000000"/>
              <w:bottom w:val="nil" w:sz="6" w:space="0" w:color="auto"/>
              <w:right w:val="single" w:sz="4" w:space="0" w:color="000000"/>
            </w:tcBorders>
            <w:shd w:val="clear" w:color="auto" w:fill="D4D4D4"/>
          </w:tcPr>
          <w:p>
            <w:pPr/>
          </w:p>
        </w:tc>
        <w:tc>
          <w:tcPr>
            <w:tcW w:w="852" w:type="dxa"/>
            <w:vMerge/>
            <w:tcBorders>
              <w:left w:val="single" w:sz="4" w:space="0" w:color="000000"/>
              <w:bottom w:val="nil" w:sz="6" w:space="0" w:color="auto"/>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850" w:type="dxa"/>
            <w:gridSpan w:val="2"/>
            <w:vMerge/>
            <w:tcBorders>
              <w:left w:val="single" w:sz="4" w:space="0" w:color="000000"/>
              <w:right w:val="single" w:sz="4" w:space="0" w:color="000000"/>
            </w:tcBorders>
            <w:shd w:val="clear" w:color="auto" w:fill="D4D4D4"/>
          </w:tcPr>
          <w:p>
            <w:pPr/>
          </w:p>
        </w:tc>
        <w:tc>
          <w:tcPr>
            <w:tcW w:w="998" w:type="dxa"/>
            <w:vMerge/>
            <w:tcBorders>
              <w:left w:val="single" w:sz="4" w:space="0" w:color="000000"/>
              <w:right w:val="single" w:sz="4" w:space="0" w:color="000000"/>
            </w:tcBorders>
            <w:shd w:val="clear" w:color="auto" w:fill="D4D4D4"/>
          </w:tcPr>
          <w:p>
            <w:pPr/>
          </w:p>
        </w:tc>
        <w:tc>
          <w:tcPr>
            <w:tcW w:w="1111" w:type="dxa"/>
            <w:vMerge/>
            <w:tcBorders>
              <w:left w:val="single" w:sz="4" w:space="0" w:color="000000"/>
              <w:right w:val="single" w:sz="4" w:space="0" w:color="000000"/>
            </w:tcBorders>
            <w:shd w:val="clear" w:color="auto" w:fill="D4D4D4"/>
          </w:tcPr>
          <w:p>
            <w:pPr/>
          </w:p>
        </w:tc>
        <w:tc>
          <w:tcPr>
            <w:tcW w:w="100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5"/>
              <w:ind w:left="15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94" w:type="dxa"/>
            <w:vMerge w:val="restart"/>
            <w:tcBorders>
              <w:top w:val="nil" w:sz="6" w:space="0" w:color="auto"/>
              <w:left w:val="single" w:sz="4" w:space="0" w:color="000000"/>
              <w:right w:val="single" w:sz="4" w:space="0" w:color="000000"/>
            </w:tcBorders>
            <w:shd w:val="clear" w:color="auto" w:fill="D4D4D4"/>
          </w:tcPr>
          <w:p>
            <w:pPr/>
          </w:p>
        </w:tc>
        <w:tc>
          <w:tcPr>
            <w:tcW w:w="1104" w:type="dxa"/>
            <w:gridSpan w:val="2"/>
            <w:vMerge w:val="restart"/>
            <w:tcBorders>
              <w:top w:val="nil" w:sz="6" w:space="0" w:color="auto"/>
              <w:left w:val="single" w:sz="4" w:space="0" w:color="000000"/>
              <w:right w:val="single" w:sz="4" w:space="0" w:color="000000"/>
            </w:tcBorders>
            <w:shd w:val="clear" w:color="auto" w:fill="D4D4D4"/>
          </w:tcPr>
          <w:p>
            <w:pPr/>
          </w:p>
        </w:tc>
        <w:tc>
          <w:tcPr>
            <w:tcW w:w="852" w:type="dxa"/>
            <w:vMerge w:val="restart"/>
            <w:tcBorders>
              <w:top w:val="nil" w:sz="6" w:space="0" w:color="auto"/>
              <w:left w:val="single" w:sz="4" w:space="0" w:color="000000"/>
              <w:right w:val="single" w:sz="4" w:space="0" w:color="000000"/>
            </w:tcBorders>
            <w:shd w:val="clear" w:color="auto" w:fill="D4D4D4"/>
          </w:tcPr>
          <w:p>
            <w:pPr/>
          </w:p>
        </w:tc>
        <w:tc>
          <w:tcPr>
            <w:tcW w:w="991" w:type="dxa"/>
            <w:gridSpan w:val="2"/>
            <w:vMerge/>
            <w:tcBorders>
              <w:left w:val="single" w:sz="4" w:space="0" w:color="000000"/>
              <w:bottom w:val="nil" w:sz="6" w:space="0" w:color="auto"/>
              <w:right w:val="single" w:sz="4" w:space="0" w:color="000000"/>
            </w:tcBorders>
            <w:shd w:val="clear" w:color="auto" w:fill="D4D4D4"/>
          </w:tcPr>
          <w:p>
            <w:pPr/>
          </w:p>
        </w:tc>
        <w:tc>
          <w:tcPr>
            <w:tcW w:w="850" w:type="dxa"/>
            <w:gridSpan w:val="2"/>
            <w:vMerge/>
            <w:tcBorders>
              <w:left w:val="single" w:sz="4" w:space="0" w:color="000000"/>
              <w:right w:val="single" w:sz="4" w:space="0" w:color="000000"/>
            </w:tcBorders>
            <w:shd w:val="clear" w:color="auto" w:fill="D4D4D4"/>
          </w:tcPr>
          <w:p>
            <w:pPr/>
          </w:p>
        </w:tc>
        <w:tc>
          <w:tcPr>
            <w:tcW w:w="998" w:type="dxa"/>
            <w:vMerge/>
            <w:tcBorders>
              <w:left w:val="single" w:sz="4" w:space="0" w:color="000000"/>
              <w:right w:val="single" w:sz="4" w:space="0" w:color="000000"/>
            </w:tcBorders>
            <w:shd w:val="clear" w:color="auto" w:fill="D4D4D4"/>
          </w:tcPr>
          <w:p>
            <w:pPr/>
          </w:p>
        </w:tc>
        <w:tc>
          <w:tcPr>
            <w:tcW w:w="1111" w:type="dxa"/>
            <w:vMerge/>
            <w:tcBorders>
              <w:left w:val="single" w:sz="4" w:space="0" w:color="000000"/>
              <w:right w:val="single" w:sz="4" w:space="0" w:color="000000"/>
            </w:tcBorders>
            <w:shd w:val="clear" w:color="auto" w:fill="D4D4D4"/>
          </w:tcPr>
          <w:p>
            <w:pPr/>
          </w:p>
        </w:tc>
        <w:tc>
          <w:tcPr>
            <w:tcW w:w="1007" w:type="dxa"/>
            <w:vMerge/>
            <w:tcBorders>
              <w:left w:val="single" w:sz="4" w:space="0" w:color="000000"/>
              <w:right w:val="single" w:sz="4" w:space="0" w:color="000000"/>
            </w:tcBorders>
            <w:shd w:val="clear" w:color="auto" w:fill="D4D4D4"/>
          </w:tcPr>
          <w:p>
            <w:pPr/>
          </w:p>
        </w:tc>
        <w:tc>
          <w:tcPr>
            <w:tcW w:w="1349" w:type="dxa"/>
            <w:gridSpan w:val="3"/>
            <w:vMerge/>
            <w:tcBorders>
              <w:left w:val="single" w:sz="4" w:space="0" w:color="000000"/>
              <w:right w:val="single" w:sz="4" w:space="0" w:color="000000"/>
            </w:tcBorders>
            <w:shd w:val="clear" w:color="auto" w:fill="D4D4D4"/>
          </w:tcPr>
          <w:p>
            <w:pPr/>
          </w:p>
        </w:tc>
      </w:tr>
      <w:tr>
        <w:trPr>
          <w:trHeight w:val="161" w:hRule="exact"/>
        </w:trPr>
        <w:tc>
          <w:tcPr>
            <w:tcW w:w="1294" w:type="dxa"/>
            <w:vMerge/>
            <w:tcBorders>
              <w:left w:val="single" w:sz="4" w:space="0" w:color="000000"/>
              <w:bottom w:val="single" w:sz="4" w:space="0" w:color="000000"/>
              <w:right w:val="single" w:sz="4" w:space="0" w:color="000000"/>
            </w:tcBorders>
            <w:shd w:val="clear" w:color="auto" w:fill="D4D4D4"/>
          </w:tcPr>
          <w:p>
            <w:pPr/>
          </w:p>
        </w:tc>
        <w:tc>
          <w:tcPr>
            <w:tcW w:w="1104" w:type="dxa"/>
            <w:gridSpan w:val="2"/>
            <w:vMerge/>
            <w:tcBorders>
              <w:left w:val="single" w:sz="4" w:space="0" w:color="000000"/>
              <w:bottom w:val="single" w:sz="4" w:space="0" w:color="000000"/>
              <w:right w:val="single" w:sz="4" w:space="0" w:color="000000"/>
            </w:tcBorders>
            <w:shd w:val="clear" w:color="auto" w:fill="D4D4D4"/>
          </w:tcPr>
          <w:p>
            <w:pPr/>
          </w:p>
        </w:tc>
        <w:tc>
          <w:tcPr>
            <w:tcW w:w="852" w:type="dxa"/>
            <w:vMerge/>
            <w:tcBorders>
              <w:left w:val="single" w:sz="4" w:space="0" w:color="000000"/>
              <w:bottom w:val="single" w:sz="4" w:space="0" w:color="000000"/>
              <w:right w:val="single" w:sz="4" w:space="0" w:color="000000"/>
            </w:tcBorders>
            <w:shd w:val="clear" w:color="auto" w:fill="D4D4D4"/>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850" w:type="dxa"/>
            <w:gridSpan w:val="2"/>
            <w:vMerge/>
            <w:tcBorders>
              <w:left w:val="single" w:sz="4" w:space="0" w:color="000000"/>
              <w:bottom w:val="single" w:sz="4" w:space="0" w:color="000000"/>
              <w:right w:val="single" w:sz="4" w:space="0" w:color="000000"/>
            </w:tcBorders>
            <w:shd w:val="clear" w:color="auto" w:fill="D4D4D4"/>
          </w:tcPr>
          <w:p>
            <w:pPr/>
          </w:p>
        </w:tc>
        <w:tc>
          <w:tcPr>
            <w:tcW w:w="998" w:type="dxa"/>
            <w:vMerge/>
            <w:tcBorders>
              <w:left w:val="single" w:sz="4" w:space="0" w:color="000000"/>
              <w:bottom w:val="single" w:sz="4" w:space="0" w:color="000000"/>
              <w:right w:val="single" w:sz="4" w:space="0" w:color="000000"/>
            </w:tcBorders>
            <w:shd w:val="clear" w:color="auto" w:fill="D4D4D4"/>
          </w:tcPr>
          <w:p>
            <w:pPr/>
          </w:p>
        </w:tc>
        <w:tc>
          <w:tcPr>
            <w:tcW w:w="1111" w:type="dxa"/>
            <w:vMerge/>
            <w:tcBorders>
              <w:left w:val="single" w:sz="4" w:space="0" w:color="000000"/>
              <w:bottom w:val="single" w:sz="4" w:space="0" w:color="000000"/>
              <w:right w:val="single" w:sz="4" w:space="0" w:color="000000"/>
            </w:tcBorders>
            <w:shd w:val="clear" w:color="auto" w:fill="D4D4D4"/>
          </w:tcPr>
          <w:p>
            <w:pPr/>
          </w:p>
        </w:tc>
        <w:tc>
          <w:tcPr>
            <w:tcW w:w="1007" w:type="dxa"/>
            <w:vMerge/>
            <w:tcBorders>
              <w:left w:val="single" w:sz="4" w:space="0" w:color="000000"/>
              <w:bottom w:val="single" w:sz="4" w:space="0" w:color="000000"/>
              <w:right w:val="single" w:sz="4" w:space="0" w:color="000000"/>
            </w:tcBorders>
            <w:shd w:val="clear" w:color="auto" w:fill="D4D4D4"/>
          </w:tcPr>
          <w:p>
            <w:pPr/>
          </w:p>
        </w:tc>
        <w:tc>
          <w:tcPr>
            <w:tcW w:w="1349" w:type="dxa"/>
            <w:gridSpan w:val="3"/>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35,875,188</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26,906,391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8,968,797</w:t>
            </w:r>
          </w:p>
        </w:tc>
        <w:tc>
          <w:tcPr>
            <w:tcW w:w="1007" w:type="dxa"/>
            <w:tcBorders>
              <w:top w:val="single" w:sz="44" w:space="0" w:color="D4D4D4"/>
              <w:left w:val="single" w:sz="4" w:space="0" w:color="000000"/>
              <w:bottom w:val="single" w:sz="4" w:space="0" w:color="000000"/>
              <w:right w:val="single" w:sz="4" w:space="0" w:color="000000"/>
            </w:tcBorders>
          </w:tcPr>
          <w:p>
            <w:pPr>
              <w:pStyle w:val="TableParagraph"/>
              <w:spacing w:line="234" w:lineRule="exact"/>
              <w:ind w:left="4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4" w:space="0" w:color="D4D4D4"/>
              <w:left w:val="single" w:sz="4" w:space="0" w:color="000000"/>
              <w:bottom w:val="single" w:sz="4" w:space="0" w:color="000000"/>
              <w:right w:val="single" w:sz="4" w:space="0" w:color="000000"/>
            </w:tcBorders>
          </w:tcPr>
          <w:p>
            <w:pPr>
              <w:pStyle w:val="TableParagraph"/>
              <w:spacing w:line="240" w:lineRule="auto" w:before="40"/>
              <w:ind w:left="597" w:right="0"/>
              <w:jc w:val="left"/>
              <w:rPr>
                <w:rFonts w:ascii="Times New Roman" w:hAnsi="Times New Roman" w:cs="Times New Roman" w:eastAsia="Times New Roman" w:hint="default"/>
                <w:sz w:val="18"/>
                <w:szCs w:val="18"/>
              </w:rPr>
            </w:pPr>
            <w:r>
              <w:rPr>
                <w:rFonts w:ascii="Times New Roman"/>
                <w:sz w:val="18"/>
              </w:rPr>
              <w:t>7,040,000</w:t>
            </w: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23,338,478</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17,503,858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5,834,620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8,448,000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77"/>
        <w:gridCol w:w="1133"/>
        <w:gridCol w:w="852"/>
        <w:gridCol w:w="991"/>
        <w:gridCol w:w="850"/>
        <w:gridCol w:w="994"/>
        <w:gridCol w:w="566"/>
        <w:gridCol w:w="569"/>
        <w:gridCol w:w="986"/>
        <w:gridCol w:w="1349"/>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21,838,477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19,378,857</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2,459,620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4,100,000</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316" w:lineRule="auto" w:before="74"/>
              <w:ind w:left="24" w:right="161"/>
              <w:jc w:val="both"/>
              <w:rPr>
                <w:rFonts w:ascii="宋体" w:hAnsi="宋体" w:cs="宋体" w:eastAsia="宋体" w:hint="default"/>
                <w:sz w:val="18"/>
                <w:szCs w:val="18"/>
              </w:rPr>
            </w:pPr>
            <w:r>
              <w:rPr>
                <w:rFonts w:ascii="宋体" w:hAnsi="宋体" w:cs="宋体" w:eastAsia="宋体" w:hint="default"/>
                <w:sz w:val="18"/>
                <w:szCs w:val="18"/>
              </w:rPr>
              <w:t>－浦银安盛价 值成长混合型 证券投资基金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1.50%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2,372,698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992888</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81" w:right="0"/>
              <w:jc w:val="left"/>
              <w:rPr>
                <w:rFonts w:ascii="Times New Roman" w:hAnsi="Times New Roman" w:cs="Times New Roman" w:eastAsia="Times New Roman" w:hint="default"/>
                <w:sz w:val="18"/>
                <w:szCs w:val="18"/>
              </w:rPr>
            </w:pPr>
            <w:r>
              <w:rPr>
                <w:rFonts w:ascii="Times New Roman"/>
                <w:sz w:val="18"/>
              </w:rPr>
              <w:t>2,372,698</w:t>
            </w:r>
          </w:p>
        </w:tc>
        <w:tc>
          <w:tcPr>
            <w:tcW w:w="98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孙晓玲</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1,911,014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-348600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1,694,710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216,304</w:t>
            </w:r>
          </w:p>
        </w:tc>
        <w:tc>
          <w:tcPr>
            <w:tcW w:w="98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1,639,837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1,439,878</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6" w:right="0"/>
              <w:jc w:val="left"/>
              <w:rPr>
                <w:rFonts w:ascii="Times New Roman" w:hAnsi="Times New Roman" w:cs="Times New Roman" w:eastAsia="Times New Roman" w:hint="default"/>
                <w:sz w:val="18"/>
                <w:szCs w:val="18"/>
              </w:rPr>
            </w:pPr>
            <w:r>
              <w:rPr>
                <w:rFonts w:ascii="Times New Roman"/>
                <w:sz w:val="18"/>
              </w:rPr>
              <w:t>199,959</w:t>
            </w:r>
          </w:p>
        </w:tc>
        <w:tc>
          <w:tcPr>
            <w:tcW w:w="98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交通银行股份 有限公司－浦 银安盛增长动 力灵活配置混 合型证券投资 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1,458,334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1458334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1,456,334</w:t>
            </w:r>
          </w:p>
        </w:tc>
        <w:tc>
          <w:tcPr>
            <w:tcW w:w="98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常鑫民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1,147,678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1" w:right="0"/>
              <w:jc w:val="left"/>
              <w:rPr>
                <w:rFonts w:ascii="Times New Roman" w:hAnsi="Times New Roman" w:cs="Times New Roman" w:eastAsia="Times New Roman" w:hint="default"/>
                <w:sz w:val="18"/>
                <w:szCs w:val="18"/>
              </w:rPr>
            </w:pPr>
            <w:r>
              <w:rPr>
                <w:rFonts w:ascii="Times New Roman"/>
                <w:sz w:val="18"/>
              </w:rPr>
              <w:t>1,147,678</w:t>
            </w:r>
          </w:p>
        </w:tc>
        <w:tc>
          <w:tcPr>
            <w:tcW w:w="98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平安证券－招 商银行－平安 证券方直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号集 合资产管理计 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1,046,600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1,046,600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1,046,600</w:t>
            </w:r>
          </w:p>
        </w:tc>
        <w:tc>
          <w:tcPr>
            <w:tcW w:w="98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张文凯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923,871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6" w:right="0"/>
              <w:jc w:val="left"/>
              <w:rPr>
                <w:rFonts w:ascii="Times New Roman" w:hAnsi="Times New Roman" w:cs="Times New Roman" w:eastAsia="Times New Roman" w:hint="default"/>
                <w:sz w:val="18"/>
                <w:szCs w:val="18"/>
              </w:rPr>
            </w:pPr>
            <w:r>
              <w:rPr>
                <w:rFonts w:ascii="Times New Roman"/>
                <w:sz w:val="18"/>
              </w:rPr>
              <w:t>923,871</w:t>
            </w:r>
          </w:p>
        </w:tc>
        <w:tc>
          <w:tcPr>
            <w:tcW w:w="98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57" w:type="dxa"/>
            <w:gridSpan w:val="8"/>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57" w:type="dxa"/>
            <w:gridSpan w:val="8"/>
            <w:tcBorders>
              <w:top w:val="single" w:sz="4" w:space="0" w:color="000000"/>
              <w:left w:val="single" w:sz="10" w:space="0" w:color="D4D4D4"/>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公司实际控制人黄元忠先生同黄晓峰先生、陈克让先生为一致行动人。</w:t>
            </w:r>
          </w:p>
        </w:tc>
      </w:tr>
      <w:tr>
        <w:trPr>
          <w:trHeight w:val="402" w:hRule="exact"/>
        </w:trPr>
        <w:tc>
          <w:tcPr>
            <w:tcW w:w="9566"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3262" w:type="dxa"/>
            <w:gridSpan w:val="3"/>
            <w:tcBorders>
              <w:top w:val="single" w:sz="4" w:space="0" w:color="000000"/>
              <w:left w:val="single" w:sz="4" w:space="0" w:color="000000"/>
              <w:bottom w:val="nil" w:sz="6" w:space="0" w:color="auto"/>
              <w:right w:val="single" w:sz="4" w:space="0" w:color="000000"/>
            </w:tcBorders>
            <w:shd w:val="clear" w:color="auto" w:fill="D4D4D4"/>
          </w:tcPr>
          <w:p>
            <w:pPr/>
          </w:p>
        </w:tc>
        <w:tc>
          <w:tcPr>
            <w:tcW w:w="3401" w:type="dxa"/>
            <w:gridSpan w:val="4"/>
            <w:tcBorders>
              <w:top w:val="single" w:sz="4" w:space="0" w:color="000000"/>
              <w:left w:val="single" w:sz="4" w:space="0" w:color="000000"/>
              <w:bottom w:val="nil" w:sz="6" w:space="0" w:color="auto"/>
              <w:right w:val="single" w:sz="4" w:space="0" w:color="000000"/>
            </w:tcBorders>
            <w:shd w:val="clear" w:color="auto" w:fill="D4D4D4"/>
          </w:tcPr>
          <w:p>
            <w:pPr/>
          </w:p>
        </w:tc>
        <w:tc>
          <w:tcPr>
            <w:tcW w:w="290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262" w:type="dxa"/>
            <w:gridSpan w:val="3"/>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401" w:type="dxa"/>
            <w:gridSpan w:val="4"/>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904"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3262" w:type="dxa"/>
            <w:gridSpan w:val="3"/>
            <w:vMerge/>
            <w:tcBorders>
              <w:left w:val="single" w:sz="4" w:space="0" w:color="000000"/>
              <w:bottom w:val="nil" w:sz="6" w:space="0" w:color="auto"/>
              <w:right w:val="single" w:sz="4" w:space="0" w:color="000000"/>
            </w:tcBorders>
            <w:shd w:val="clear" w:color="auto" w:fill="D4D4D4"/>
          </w:tcPr>
          <w:p>
            <w:pPr/>
          </w:p>
        </w:tc>
        <w:tc>
          <w:tcPr>
            <w:tcW w:w="3401" w:type="dxa"/>
            <w:gridSpan w:val="4"/>
            <w:vMerge/>
            <w:tcBorders>
              <w:left w:val="single" w:sz="4" w:space="0" w:color="000000"/>
              <w:bottom w:val="nil" w:sz="6" w:space="0" w:color="auto"/>
              <w:right w:val="single" w:sz="4" w:space="0" w:color="000000"/>
            </w:tcBorders>
            <w:shd w:val="clear" w:color="auto" w:fill="D4D4D4"/>
          </w:tcPr>
          <w:p>
            <w:pPr/>
          </w:p>
        </w:tc>
        <w:tc>
          <w:tcPr>
            <w:tcW w:w="155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3262" w:type="dxa"/>
            <w:gridSpan w:val="3"/>
            <w:tcBorders>
              <w:top w:val="nil" w:sz="6" w:space="0" w:color="auto"/>
              <w:left w:val="single" w:sz="4" w:space="0" w:color="000000"/>
              <w:bottom w:val="single" w:sz="4" w:space="0" w:color="000000"/>
              <w:right w:val="single" w:sz="4" w:space="0" w:color="000000"/>
            </w:tcBorders>
            <w:shd w:val="clear" w:color="auto" w:fill="D4D4D4"/>
          </w:tcPr>
          <w:p>
            <w:pPr/>
          </w:p>
        </w:tc>
        <w:tc>
          <w:tcPr>
            <w:tcW w:w="3401" w:type="dxa"/>
            <w:gridSpan w:val="4"/>
            <w:tcBorders>
              <w:top w:val="nil" w:sz="6" w:space="0" w:color="auto"/>
              <w:left w:val="single" w:sz="4" w:space="0" w:color="000000"/>
              <w:bottom w:val="single" w:sz="4" w:space="0" w:color="000000"/>
              <w:right w:val="single" w:sz="4" w:space="0" w:color="000000"/>
            </w:tcBorders>
            <w:shd w:val="clear" w:color="auto" w:fill="D4D4D4"/>
          </w:tcPr>
          <w:p>
            <w:pPr/>
          </w:p>
        </w:tc>
        <w:tc>
          <w:tcPr>
            <w:tcW w:w="1555" w:type="dxa"/>
            <w:gridSpan w:val="2"/>
            <w:vMerge/>
            <w:tcBorders>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8,968,797</w:t>
            </w:r>
          </w:p>
        </w:tc>
        <w:tc>
          <w:tcPr>
            <w:tcW w:w="1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8,968,797</w:t>
            </w:r>
          </w:p>
        </w:tc>
      </w:tr>
      <w:tr>
        <w:trPr>
          <w:trHeight w:val="401"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5,834,620</w:t>
            </w:r>
          </w:p>
        </w:tc>
        <w:tc>
          <w:tcPr>
            <w:tcW w:w="1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5,834,620</w:t>
            </w:r>
          </w:p>
        </w:tc>
      </w:tr>
      <w:tr>
        <w:trPr>
          <w:trHeight w:val="403"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2,459,620</w:t>
            </w:r>
          </w:p>
        </w:tc>
        <w:tc>
          <w:tcPr>
            <w:tcW w:w="1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2,459,620</w:t>
            </w:r>
          </w:p>
        </w:tc>
      </w:tr>
      <w:tr>
        <w:trPr>
          <w:trHeight w:val="713"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7"/>
              <w:jc w:val="left"/>
              <w:rPr>
                <w:rFonts w:ascii="宋体" w:hAnsi="宋体" w:cs="宋体" w:eastAsia="宋体" w:hint="default"/>
                <w:sz w:val="18"/>
                <w:szCs w:val="18"/>
              </w:rPr>
            </w:pPr>
            <w:r>
              <w:rPr>
                <w:rFonts w:ascii="宋体" w:hAnsi="宋体" w:cs="宋体" w:eastAsia="宋体" w:hint="default"/>
                <w:sz w:val="18"/>
                <w:szCs w:val="18"/>
              </w:rPr>
              <w:t>中国工商银行－浦银安盛价值成长混合 型证券投资基金</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2,372,698</w:t>
            </w:r>
          </w:p>
        </w:tc>
        <w:tc>
          <w:tcPr>
            <w:tcW w:w="1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2,372,698</w:t>
            </w:r>
          </w:p>
        </w:tc>
      </w:tr>
      <w:tr>
        <w:trPr>
          <w:trHeight w:val="715"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7"/>
              <w:jc w:val="left"/>
              <w:rPr>
                <w:rFonts w:ascii="宋体" w:hAnsi="宋体" w:cs="宋体" w:eastAsia="宋体" w:hint="default"/>
                <w:sz w:val="18"/>
                <w:szCs w:val="18"/>
              </w:rPr>
            </w:pPr>
            <w:r>
              <w:rPr>
                <w:rFonts w:ascii="宋体" w:hAnsi="宋体" w:cs="宋体" w:eastAsia="宋体" w:hint="default"/>
                <w:sz w:val="18"/>
                <w:szCs w:val="18"/>
              </w:rPr>
              <w:t>交通银行股份有限公司－浦银安盛增长 动力灵活配置混合型证券投资基金</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1,458,334</w:t>
            </w:r>
          </w:p>
        </w:tc>
        <w:tc>
          <w:tcPr>
            <w:tcW w:w="1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1,458,334</w:t>
            </w:r>
          </w:p>
        </w:tc>
      </w:tr>
      <w:tr>
        <w:trPr>
          <w:trHeight w:val="401"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常鑫民</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1,147,678</w:t>
            </w:r>
          </w:p>
        </w:tc>
        <w:tc>
          <w:tcPr>
            <w:tcW w:w="1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1,147,678</w:t>
            </w:r>
          </w:p>
        </w:tc>
      </w:tr>
      <w:tr>
        <w:trPr>
          <w:trHeight w:val="715"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平安证券－招商银行－平安证券方直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 集合资产管理计划</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1,046,600</w:t>
            </w:r>
          </w:p>
        </w:tc>
        <w:tc>
          <w:tcPr>
            <w:tcW w:w="1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1,046,600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262"/>
        <w:gridCol w:w="3401"/>
        <w:gridCol w:w="1555"/>
        <w:gridCol w:w="1349"/>
      </w:tblGrid>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张文凯</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923,871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923,871</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华夏成长证券投资基金</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879,939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879,939</w:t>
            </w:r>
          </w:p>
        </w:tc>
      </w:tr>
      <w:tr>
        <w:trPr>
          <w:trHeight w:val="71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7"/>
              <w:jc w:val="left"/>
              <w:rPr>
                <w:rFonts w:ascii="宋体" w:hAnsi="宋体" w:cs="宋体" w:eastAsia="宋体" w:hint="default"/>
                <w:sz w:val="18"/>
                <w:szCs w:val="18"/>
              </w:rPr>
            </w:pPr>
            <w:r>
              <w:rPr>
                <w:rFonts w:ascii="宋体" w:hAnsi="宋体" w:cs="宋体" w:eastAsia="宋体" w:hint="default"/>
                <w:sz w:val="18"/>
                <w:szCs w:val="18"/>
              </w:rPr>
              <w:t>招商银行股份有限公司－华夏经典配置 混合型证券投资基金</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879,902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879,902</w:t>
            </w:r>
          </w:p>
        </w:tc>
      </w:tr>
      <w:tr>
        <w:trPr>
          <w:trHeight w:val="1027" w:hRule="exact"/>
        </w:trPr>
        <w:tc>
          <w:tcPr>
            <w:tcW w:w="3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p>
          <w:p>
            <w:pPr>
              <w:pStyle w:val="TableParagraph"/>
              <w:spacing w:line="300" w:lineRule="auto" w:before="60"/>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 间关联关系或一致行动的说明</w:t>
            </w:r>
          </w:p>
        </w:tc>
        <w:tc>
          <w:tcPr>
            <w:tcW w:w="630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firstLine="360"/>
              <w:jc w:val="both"/>
              <w:rPr>
                <w:rFonts w:ascii="宋体" w:hAnsi="宋体" w:cs="宋体" w:eastAsia="宋体" w:hint="default"/>
                <w:sz w:val="18"/>
                <w:szCs w:val="18"/>
              </w:rPr>
            </w:pPr>
            <w:r>
              <w:rPr>
                <w:rFonts w:ascii="宋体" w:hAnsi="宋体" w:cs="宋体" w:eastAsia="宋体" w:hint="default"/>
                <w:spacing w:val="-2"/>
                <w:sz w:val="18"/>
                <w:szCs w:val="18"/>
              </w:rPr>
              <w:t>公司实际控制人黄元忠先生同黄晓峰先生、陈克让先生为一致行动人。公司</w:t>
            </w:r>
            <w:r>
              <w:rPr>
                <w:rFonts w:ascii="宋体" w:hAnsi="宋体" w:cs="宋体" w:eastAsia="宋体" w:hint="default"/>
                <w:sz w:val="18"/>
                <w:szCs w:val="18"/>
              </w:rPr>
              <w:t> </w:t>
            </w:r>
            <w:r>
              <w:rPr>
                <w:rFonts w:ascii="宋体" w:hAnsi="宋体" w:cs="宋体" w:eastAsia="宋体" w:hint="default"/>
                <w:spacing w:val="-2"/>
                <w:sz w:val="18"/>
                <w:szCs w:val="18"/>
              </w:rPr>
              <w:t>未知上述其他无限售条件股东间是否存在关联关系或属于《上市公司股东持股变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动信息披露管理办法》中规定的一致行动人。</w:t>
            </w:r>
          </w:p>
        </w:tc>
      </w:tr>
      <w:tr>
        <w:trPr>
          <w:trHeight w:val="715" w:hRule="exact"/>
        </w:trPr>
        <w:tc>
          <w:tcPr>
            <w:tcW w:w="3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13"/>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3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0" w:firstLine="0"/>
        <w:jc w:val="left"/>
        <w:rPr>
          <w:rFonts w:ascii="宋体" w:hAnsi="宋体" w:cs="宋体" w:eastAsia="宋体" w:hint="default"/>
          <w:sz w:val="18"/>
          <w:szCs w:val="18"/>
        </w:rPr>
      </w:pPr>
      <w:bookmarkStart w:name="3、公司实际控制人情况" w:id="108"/>
      <w:bookmarkEnd w:id="108"/>
      <w:r>
        <w:rPr/>
      </w: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6"/>
        <w:gridCol w:w="2030"/>
        <w:gridCol w:w="4118"/>
      </w:tblGrid>
      <w:tr>
        <w:trPr>
          <w:trHeight w:val="401"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2、公司控股股东情况" w:id="109"/>
            <w:bookmarkEnd w:id="109"/>
            <w:r>
              <w:rPr/>
            </w:r>
            <w:r>
              <w:rPr>
                <w:rFonts w:ascii="宋体" w:hAnsi="宋体" w:cs="宋体" w:eastAsia="宋体" w:hint="default"/>
                <w:sz w:val="18"/>
                <w:szCs w:val="18"/>
              </w:rPr>
              <w:t>是否取得其他国家或地区居留权</w:t>
            </w:r>
          </w:p>
        </w:tc>
      </w:tr>
      <w:tr>
        <w:trPr>
          <w:trHeight w:val="40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黄元忠</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961"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5" w:firstLine="360"/>
              <w:jc w:val="left"/>
              <w:rPr>
                <w:rFonts w:ascii="宋体" w:hAnsi="宋体" w:cs="宋体" w:eastAsia="宋体" w:hint="default"/>
                <w:sz w:val="18"/>
                <w:szCs w:val="18"/>
              </w:rPr>
            </w:pPr>
            <w:r>
              <w:rPr>
                <w:rFonts w:ascii="宋体" w:hAnsi="宋体" w:cs="宋体" w:eastAsia="宋体" w:hint="default"/>
                <w:sz w:val="18"/>
                <w:szCs w:val="18"/>
              </w:rPr>
              <w:t>黄元忠先生</w:t>
            </w:r>
            <w:r>
              <w:rPr>
                <w:rFonts w:ascii="Times New Roman" w:hAnsi="Times New Roman" w:cs="Times New Roman" w:eastAsia="Times New Roman" w:hint="default"/>
                <w:sz w:val="18"/>
                <w:szCs w:val="18"/>
              </w:rPr>
              <w:t>,1964 </w:t>
            </w:r>
            <w:r>
              <w:rPr>
                <w:rFonts w:ascii="宋体" w:hAnsi="宋体" w:cs="宋体" w:eastAsia="宋体" w:hint="default"/>
                <w:sz w:val="18"/>
                <w:szCs w:val="18"/>
              </w:rPr>
              <w:t>年生，中国国籍，硕士研究生，无境外永久居留权，毕 业于华中科技大学计算机系，曾任中国长城计算机集团深圳昆仑公司副经理。 黄元忠先生是本公司创始人之一，自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1993 </w:t>
            </w:r>
            <w:r>
              <w:rPr>
                <w:rFonts w:ascii="宋体" w:hAnsi="宋体" w:cs="宋体" w:eastAsia="宋体" w:hint="default"/>
                <w:sz w:val="18"/>
                <w:szCs w:val="18"/>
              </w:rPr>
              <w:t>年深圳市方直科技有限公司成立以 </w:t>
            </w:r>
            <w:r>
              <w:rPr>
                <w:rFonts w:ascii="宋体" w:hAnsi="宋体" w:cs="宋体" w:eastAsia="宋体" w:hint="default"/>
                <w:spacing w:val="-1"/>
                <w:sz w:val="18"/>
                <w:szCs w:val="18"/>
              </w:rPr>
              <w:t>来，长期担任执行董事、总经理、董事长等职务，全面负责公司的运营管理和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研发工作，系公司技术骨干。深圳市科技专家委员会成员，深圳市南山区科技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专家，现任本公司董事长兼总经理。</w:t>
            </w:r>
          </w:p>
        </w:tc>
      </w:tr>
      <w:tr>
        <w:trPr>
          <w:trHeight w:val="715"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26"/>
        <w:gridCol w:w="2122"/>
        <w:gridCol w:w="4121"/>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9"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黄元忠</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86"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3" w:firstLine="360"/>
              <w:jc w:val="left"/>
              <w:rPr>
                <w:rFonts w:ascii="宋体" w:hAnsi="宋体" w:cs="宋体" w:eastAsia="宋体" w:hint="default"/>
                <w:sz w:val="18"/>
                <w:szCs w:val="18"/>
              </w:rPr>
            </w:pPr>
            <w:r>
              <w:rPr>
                <w:rFonts w:ascii="宋体" w:hAnsi="宋体" w:cs="宋体" w:eastAsia="宋体" w:hint="default"/>
                <w:sz w:val="18"/>
                <w:szCs w:val="18"/>
              </w:rPr>
              <w:t>黄元忠先生</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年生，中国国籍，硕士研究生，无境外永久居留权，毕业 于华中科技大学计算机系，曾任中国长城计算机集团深圳昆仑公司副经理。黄 元忠先生是本公司创始人之一，自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年深圳市方直科技有限公司成立以来，</w:t>
            </w:r>
          </w:p>
        </w:tc>
      </w:tr>
    </w:tbl>
    <w:p>
      <w:pPr>
        <w:spacing w:after="0" w:line="30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44"/>
        <w:ind w:left="0" w:right="160" w:firstLine="0"/>
        <w:jc w:val="right"/>
        <w:rPr>
          <w:rFonts w:ascii="宋体" w:hAnsi="宋体" w:cs="宋体" w:eastAsia="宋体" w:hint="default"/>
          <w:sz w:val="18"/>
          <w:szCs w:val="18"/>
        </w:rPr>
      </w:pPr>
      <w:r>
        <w:rPr/>
        <w:pict>
          <v:shape style="position:absolute;margin-left:56.459999pt;margin-top:-14.288299pt;width:479.1pt;height:69.850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5"/>
                    <w:gridCol w:w="6242"/>
                  </w:tblGrid>
                  <w:tr>
                    <w:trPr>
                      <w:trHeight w:val="986"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86"/>
                          <w:jc w:val="both"/>
                          <w:rPr>
                            <w:rFonts w:ascii="宋体" w:hAnsi="宋体" w:cs="宋体" w:eastAsia="宋体" w:hint="default"/>
                            <w:sz w:val="18"/>
                            <w:szCs w:val="18"/>
                          </w:rPr>
                        </w:pPr>
                        <w:r>
                          <w:rPr>
                            <w:rFonts w:ascii="宋体" w:hAnsi="宋体" w:cs="宋体" w:eastAsia="宋体" w:hint="default"/>
                            <w:sz w:val="18"/>
                            <w:szCs w:val="18"/>
                          </w:rPr>
                          <w:t>长期担任执行董事、总经理、董事长等职务，全面负责公司的运营管理和研发 </w:t>
                        </w:r>
                        <w:r>
                          <w:rPr>
                            <w:rFonts w:ascii="宋体" w:hAnsi="宋体" w:cs="宋体" w:eastAsia="宋体" w:hint="default"/>
                            <w:spacing w:val="-1"/>
                            <w:sz w:val="18"/>
                            <w:szCs w:val="18"/>
                          </w:rPr>
                          <w:t>工作，系公司技术骨干。深圳市科技专家委员会成员，深圳市南山区科技专家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现任本公司董事长兼总经理。</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bookmarkStart w:name="4、其他持股在10%以上的法人股东" w:id="110"/>
      <w:bookmarkEnd w:id="110"/>
      <w:r>
        <w:rPr/>
      </w:r>
      <w:bookmarkStart w:name="5、控股股东、实际控制人、重组方及其他承诺主体股份限制减持情况" w:id="111"/>
      <w:bookmarkEnd w:id="111"/>
      <w:r>
        <w:rPr/>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0"/>
        <w:rPr>
          <w:rFonts w:ascii="宋体" w:hAnsi="宋体" w:cs="宋体" w:eastAsia="宋体" w:hint="default"/>
          <w:sz w:val="23"/>
          <w:szCs w:val="23"/>
        </w:rPr>
      </w:pPr>
    </w:p>
    <w:p>
      <w:pPr>
        <w:spacing w:line="2556" w:lineRule="exact"/>
        <w:ind w:left="2077"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3676292" cy="162306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2" cstate="print"/>
                    <a:stretch>
                      <a:fillRect/>
                    </a:stretch>
                  </pic:blipFill>
                  <pic:spPr>
                    <a:xfrm>
                      <a:off x="0" y="0"/>
                      <a:ext cx="3676292" cy="1623060"/>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10"/>
        <w:rPr>
          <w:rFonts w:ascii="宋体" w:hAnsi="宋体" w:cs="宋体" w:eastAsia="宋体" w:hint="default"/>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4" w:right="0"/>
        <w:jc w:val="left"/>
        <w:rPr>
          <w:b w:val="0"/>
          <w:bCs w:val="0"/>
        </w:rPr>
      </w:pPr>
      <w:bookmarkStart w:name="第七节 优先股相关情况" w:id="112"/>
      <w:bookmarkEnd w:id="112"/>
      <w:r>
        <w:rPr>
          <w:b w:val="0"/>
          <w:bCs w:val="0"/>
        </w:rPr>
      </w:r>
      <w:bookmarkStart w:name="_bookmark5" w:id="113"/>
      <w:bookmarkEnd w:id="113"/>
      <w:r>
        <w:rPr>
          <w:b w:val="0"/>
          <w:bCs w:val="0"/>
        </w:rPr>
      </w:r>
      <w:r>
        <w:rPr/>
        <w:t>第七节</w:t>
      </w:r>
      <w:r>
        <w:rPr>
          <w:spacing w:val="-7"/>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0"/>
        <w:ind w:left="3826" w:right="0"/>
        <w:jc w:val="left"/>
        <w:rPr>
          <w:b w:val="0"/>
          <w:bCs w:val="0"/>
        </w:rPr>
      </w:pPr>
      <w:bookmarkStart w:name="第八节 董事、监事、高级管理人员和员工情况" w:id="114"/>
      <w:bookmarkEnd w:id="114"/>
      <w:r>
        <w:rPr>
          <w:b w:val="0"/>
          <w:bCs w:val="0"/>
        </w:rPr>
      </w:r>
      <w:bookmarkStart w:name="_bookmark6" w:id="115"/>
      <w:bookmarkEnd w:id="115"/>
      <w:r>
        <w:rPr>
          <w:b w:val="0"/>
          <w:bCs w:val="0"/>
        </w:rPr>
      </w:r>
      <w:r>
        <w:rPr/>
        <w:t>第八节</w:t>
      </w:r>
      <w:r>
        <w:rPr>
          <w:spacing w:val="-11"/>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140" w:right="0"/>
        <w:jc w:val="left"/>
        <w:rPr>
          <w:b w:val="0"/>
          <w:bCs w:val="0"/>
        </w:rPr>
      </w:pPr>
      <w:r>
        <w:rPr/>
        <w:t>一、董</w:t>
      </w:r>
      <w:bookmarkStart w:name="一、董事、监事和高级管理人员持股变动" w:id="116"/>
      <w:bookmarkEnd w:id="116"/>
      <w:r>
        <w:rPr/>
        <w:t>事、</w:t>
      </w:r>
      <w:r>
        <w:rPr/>
        <w:t>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852"/>
        <w:gridCol w:w="1699"/>
        <w:gridCol w:w="869"/>
        <w:gridCol w:w="691"/>
        <w:gridCol w:w="566"/>
        <w:gridCol w:w="1702"/>
        <w:gridCol w:w="1601"/>
        <w:gridCol w:w="1234"/>
        <w:gridCol w:w="1049"/>
        <w:gridCol w:w="1140"/>
        <w:gridCol w:w="1142"/>
        <w:gridCol w:w="1140"/>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6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6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3" w:right="67" w:firstLine="45"/>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11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本期减持股份</w:t>
            </w:r>
          </w:p>
          <w:p>
            <w:pPr>
              <w:pStyle w:val="TableParagraph"/>
              <w:spacing w:line="240" w:lineRule="auto" w:before="74"/>
              <w:ind w:left="-12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数量（股）</w:t>
            </w:r>
          </w:p>
        </w:tc>
        <w:tc>
          <w:tcPr>
            <w:tcW w:w="11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黄元忠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35,875,188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35,875,188</w:t>
            </w:r>
          </w:p>
        </w:tc>
      </w:tr>
      <w:tr>
        <w:trPr>
          <w:trHeight w:val="7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陈克让</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1" w:right="227"/>
              <w:jc w:val="left"/>
              <w:rPr>
                <w:rFonts w:ascii="宋体" w:hAnsi="宋体" w:cs="宋体" w:eastAsia="宋体" w:hint="default"/>
                <w:sz w:val="18"/>
                <w:szCs w:val="18"/>
              </w:rPr>
            </w:pPr>
            <w:r>
              <w:rPr>
                <w:rFonts w:ascii="宋体" w:hAnsi="宋体" w:cs="宋体" w:eastAsia="宋体" w:hint="default"/>
                <w:sz w:val="18"/>
                <w:szCs w:val="18"/>
              </w:rPr>
              <w:t>董事、副总经理、 董事会秘书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23,338,478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23,338,478</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黄晓峰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25,838,477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21,838,477</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陈伟强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许鲁光</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乔东斌</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艾倩兰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孙晓玲</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2,259,614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348,600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1,911,014</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1,919,837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1,639,837</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任立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r>
      <w:tr>
        <w:trPr>
          <w:trHeight w:val="43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高文舍</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4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陈赛芝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headerReference w:type="default" r:id="rId23"/>
          <w:footerReference w:type="default" r:id="rId24"/>
          <w:pgSz w:w="16840" w:h="11910" w:orient="landscape"/>
          <w:pgMar w:header="867" w:footer="982" w:top="1060" w:bottom="1180" w:left="1300" w:right="1300"/>
          <w:pgNumType w:start="52"/>
        </w:sectPr>
      </w:pPr>
    </w:p>
    <w:p>
      <w:pPr>
        <w:spacing w:line="240" w:lineRule="auto" w:before="11"/>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852"/>
        <w:gridCol w:w="1699"/>
        <w:gridCol w:w="869"/>
        <w:gridCol w:w="691"/>
        <w:gridCol w:w="566"/>
        <w:gridCol w:w="1702"/>
        <w:gridCol w:w="1601"/>
        <w:gridCol w:w="1234"/>
        <w:gridCol w:w="1049"/>
        <w:gridCol w:w="1140"/>
        <w:gridCol w:w="1142"/>
        <w:gridCol w:w="1140"/>
        <w:gridCol w:w="327"/>
      </w:tblGrid>
      <w:tr>
        <w:trPr>
          <w:trHeight w:val="454" w:hRule="exact"/>
        </w:trPr>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李亮</w:t>
            </w:r>
          </w:p>
        </w:tc>
        <w:tc>
          <w:tcPr>
            <w:tcW w:w="169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0"/>
              <w:ind w:right="182"/>
              <w:jc w:val="right"/>
              <w:rPr>
                <w:rFonts w:ascii="Times New Roman" w:hAnsi="Times New Roman" w:cs="Times New Roman" w:eastAsia="Times New Roman" w:hint="default"/>
                <w:sz w:val="18"/>
                <w:szCs w:val="18"/>
              </w:rPr>
            </w:pPr>
            <w:r>
              <w:rPr>
                <w:rFonts w:ascii="Times New Roman"/>
                <w:sz w:val="18"/>
              </w:rPr>
              <w:t>51</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27" w:type="dxa"/>
            <w:vMerge w:val="restart"/>
            <w:tcBorders>
              <w:top w:val="single" w:sz="6" w:space="0" w:color="000000"/>
              <w:left w:val="single" w:sz="4" w:space="0" w:color="000000"/>
              <w:right w:val="nil" w:sz="6" w:space="0" w:color="auto"/>
            </w:tcBorders>
          </w:tcPr>
          <w:p>
            <w:pPr/>
          </w:p>
        </w:tc>
      </w:tr>
      <w:tr>
        <w:trPr>
          <w:trHeight w:val="4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张振华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2"/>
              <w:jc w:val="right"/>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0</w:t>
            </w:r>
          </w:p>
        </w:tc>
        <w:tc>
          <w:tcPr>
            <w:tcW w:w="327" w:type="dxa"/>
            <w:vMerge/>
            <w:tcBorders>
              <w:left w:val="single" w:sz="4" w:space="0" w:color="000000"/>
              <w:right w:val="nil" w:sz="6" w:space="0" w:color="auto"/>
            </w:tcBorders>
          </w:tcPr>
          <w:p>
            <w:pPr/>
          </w:p>
        </w:tc>
      </w:tr>
      <w:tr>
        <w:trPr>
          <w:trHeight w:val="4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武文静</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2"/>
              <w:jc w:val="right"/>
              <w:rPr>
                <w:rFonts w:ascii="Times New Roman" w:hAnsi="Times New Roman" w:cs="Times New Roman" w:eastAsia="Times New Roman" w:hint="default"/>
                <w:sz w:val="18"/>
                <w:szCs w:val="18"/>
              </w:rPr>
            </w:pPr>
            <w:r>
              <w:rPr>
                <w:rFonts w:ascii="Times New Roman"/>
                <w:sz w:val="18"/>
              </w:rPr>
              <w:t>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327" w:type="dxa"/>
            <w:vMerge/>
            <w:tcBorders>
              <w:left w:val="single" w:sz="4" w:space="0" w:color="000000"/>
              <w:right w:val="nil" w:sz="6" w:space="0" w:color="auto"/>
            </w:tcBorders>
          </w:tcPr>
          <w:p>
            <w:pPr/>
          </w:p>
        </w:tc>
      </w:tr>
      <w:tr>
        <w:trPr>
          <w:trHeight w:val="432" w:hRule="exact"/>
        </w:trPr>
        <w:tc>
          <w:tcPr>
            <w:tcW w:w="8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何华辉</w:t>
            </w:r>
          </w:p>
        </w:tc>
        <w:tc>
          <w:tcPr>
            <w:tcW w:w="169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9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3"/>
              <w:ind w:right="182"/>
              <w:jc w:val="right"/>
              <w:rPr>
                <w:rFonts w:ascii="Times New Roman" w:hAnsi="Times New Roman" w:cs="Times New Roman" w:eastAsia="Times New Roman" w:hint="default"/>
                <w:sz w:val="18"/>
                <w:szCs w:val="18"/>
              </w:rPr>
            </w:pPr>
            <w:r>
              <w:rPr>
                <w:rFonts w:ascii="Times New Roman"/>
                <w:sz w:val="18"/>
              </w:rPr>
              <w:t>32</w:t>
            </w:r>
          </w:p>
        </w:tc>
        <w:tc>
          <w:tcPr>
            <w:tcW w:w="170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327" w:type="dxa"/>
            <w:vMerge/>
            <w:tcBorders>
              <w:left w:val="single" w:sz="4" w:space="0" w:color="000000"/>
              <w:right w:val="nil" w:sz="6" w:space="0" w:color="auto"/>
            </w:tcBorders>
          </w:tcPr>
          <w:p>
            <w:pPr/>
          </w:p>
        </w:tc>
      </w:tr>
      <w:tr>
        <w:trPr>
          <w:trHeight w:val="410" w:hRule="exact"/>
        </w:trPr>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216"/>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6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89,231,594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4,628,600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84,603,294</w:t>
            </w:r>
          </w:p>
        </w:tc>
        <w:tc>
          <w:tcPr>
            <w:tcW w:w="327" w:type="dxa"/>
            <w:vMerge/>
            <w:tcBorders>
              <w:left w:val="single" w:sz="4" w:space="0" w:color="000000"/>
              <w:bottom w:val="nil" w:sz="6" w:space="0" w:color="auto"/>
              <w:right w:val="nil" w:sz="6" w:space="0" w:color="auto"/>
            </w:tcBorders>
          </w:tcPr>
          <w:p>
            <w:pPr/>
          </w:p>
        </w:tc>
      </w:tr>
    </w:tbl>
    <w:p>
      <w:pPr>
        <w:spacing w:line="240" w:lineRule="auto" w:before="5"/>
        <w:rPr>
          <w:rFonts w:ascii="宋体" w:hAnsi="宋体" w:cs="宋体" w:eastAsia="宋体" w:hint="default"/>
          <w:b/>
          <w:bCs/>
          <w:sz w:val="18"/>
          <w:szCs w:val="18"/>
        </w:rPr>
      </w:pPr>
    </w:p>
    <w:p>
      <w:pPr>
        <w:pStyle w:val="Heading2"/>
        <w:spacing w:line="240" w:lineRule="auto" w:before="26"/>
        <w:ind w:left="120" w:right="0"/>
        <w:jc w:val="left"/>
        <w:rPr>
          <w:b w:val="0"/>
          <w:bCs w:val="0"/>
        </w:rPr>
      </w:pPr>
      <w:r>
        <w:rPr/>
        <w:t>二、公司董事</w:t>
      </w:r>
      <w:bookmarkStart w:name="二、公司董事、监事、高级管理人员变动情况" w:id="117"/>
      <w:bookmarkEnd w:id="117"/>
      <w:r>
        <w:rPr/>
        <w:t>、</w:t>
      </w:r>
      <w:r>
        <w:rPr/>
        <w:t>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2023"/>
        <w:gridCol w:w="2023"/>
        <w:gridCol w:w="2023"/>
        <w:gridCol w:w="2023"/>
        <w:gridCol w:w="6461"/>
      </w:tblGrid>
      <w:tr>
        <w:trPr>
          <w:trHeight w:val="401" w:hRule="exact"/>
        </w:trPr>
        <w:tc>
          <w:tcPr>
            <w:tcW w:w="20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20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0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6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576"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任立</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6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报告期内任期满，董事会换届离任</w:t>
            </w:r>
          </w:p>
        </w:tc>
      </w:tr>
      <w:tr>
        <w:trPr>
          <w:trHeight w:val="583"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高文舍</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6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报告期内任期满，董事会换届离任</w:t>
            </w:r>
          </w:p>
        </w:tc>
      </w:tr>
      <w:tr>
        <w:trPr>
          <w:trHeight w:val="576"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陈赛芝</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6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报告期内任期满，董事会换届离任</w:t>
            </w:r>
          </w:p>
        </w:tc>
      </w:tr>
      <w:tr>
        <w:trPr>
          <w:trHeight w:val="57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李亮</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6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报告期内任期满，董事会换届离任</w:t>
            </w:r>
          </w:p>
        </w:tc>
      </w:tr>
      <w:tr>
        <w:trPr>
          <w:trHeight w:val="576"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张振华</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6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报告期内任期满，监事会换届离任</w:t>
            </w:r>
          </w:p>
        </w:tc>
      </w:tr>
      <w:tr>
        <w:trPr>
          <w:trHeight w:val="57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武文静</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6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报告期内任期满，监事会换届离任</w:t>
            </w:r>
          </w:p>
        </w:tc>
      </w:tr>
      <w:tr>
        <w:trPr>
          <w:trHeight w:val="576"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何华辉</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6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1" w:right="0"/>
              <w:jc w:val="left"/>
              <w:rPr>
                <w:rFonts w:ascii="宋体" w:hAnsi="宋体" w:cs="宋体" w:eastAsia="宋体" w:hint="default"/>
                <w:sz w:val="18"/>
                <w:szCs w:val="18"/>
              </w:rPr>
            </w:pPr>
            <w:r>
              <w:rPr>
                <w:rFonts w:ascii="宋体" w:hAnsi="宋体" w:cs="宋体" w:eastAsia="宋体" w:hint="default"/>
                <w:sz w:val="18"/>
                <w:szCs w:val="18"/>
              </w:rPr>
              <w:t>报告期内任期满，监事会换届离任</w:t>
            </w:r>
          </w:p>
        </w:tc>
      </w:tr>
    </w:tbl>
    <w:p>
      <w:pPr>
        <w:spacing w:after="0" w:line="240" w:lineRule="auto"/>
        <w:jc w:val="left"/>
        <w:rPr>
          <w:rFonts w:ascii="宋体" w:hAnsi="宋体" w:cs="宋体" w:eastAsia="宋体" w:hint="default"/>
          <w:sz w:val="18"/>
          <w:szCs w:val="18"/>
        </w:rPr>
        <w:sectPr>
          <w:pgSz w:w="16840" w:h="11910" w:orient="landscape"/>
          <w:pgMar w:header="867" w:footer="982" w:top="1060" w:bottom="1180" w:left="1320" w:right="720"/>
        </w:sectPr>
      </w:pPr>
    </w:p>
    <w:p>
      <w:pPr>
        <w:spacing w:line="240" w:lineRule="auto" w:before="8"/>
        <w:rPr>
          <w:rFonts w:ascii="宋体" w:hAnsi="宋体" w:cs="宋体" w:eastAsia="宋体" w:hint="default"/>
          <w:b/>
          <w:bCs/>
          <w:sz w:val="23"/>
          <w:szCs w:val="23"/>
        </w:rPr>
      </w:pPr>
    </w:p>
    <w:p>
      <w:pPr>
        <w:pStyle w:val="Heading2"/>
        <w:spacing w:line="240" w:lineRule="auto" w:before="26"/>
        <w:ind w:right="106"/>
        <w:jc w:val="left"/>
        <w:rPr>
          <w:b w:val="0"/>
          <w:bCs w:val="0"/>
        </w:rPr>
      </w:pPr>
      <w:r>
        <w:rPr/>
        <w:t>三</w:t>
      </w:r>
      <w:bookmarkStart w:name="三、任职情况" w:id="118"/>
      <w:bookmarkEnd w:id="118"/>
      <w:r>
        <w:rPr/>
        <w:t>、</w:t>
      </w:r>
      <w:r>
        <w:rPr/>
        <w:t>任职情况</w:t>
      </w:r>
      <w:r>
        <w:rPr>
          <w:b w:val="0"/>
          <w:bCs w:val="0"/>
        </w:rPr>
      </w:r>
    </w:p>
    <w:p>
      <w:pPr>
        <w:spacing w:line="240" w:lineRule="auto" w:before="6"/>
        <w:rPr>
          <w:rFonts w:ascii="宋体" w:hAnsi="宋体" w:cs="宋体" w:eastAsia="宋体" w:hint="default"/>
          <w:b/>
          <w:bCs/>
          <w:sz w:val="26"/>
          <w:szCs w:val="26"/>
        </w:rPr>
      </w:pPr>
    </w:p>
    <w:p>
      <w:pPr>
        <w:spacing w:before="0"/>
        <w:ind w:left="152" w:right="106"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9"/>
        <w:rPr>
          <w:rFonts w:ascii="宋体" w:hAnsi="宋体" w:cs="宋体" w:eastAsia="宋体" w:hint="default"/>
          <w:sz w:val="17"/>
          <w:szCs w:val="17"/>
        </w:rPr>
      </w:pPr>
    </w:p>
    <w:p>
      <w:pPr>
        <w:pStyle w:val="BodyText"/>
        <w:spacing w:line="408" w:lineRule="auto" w:before="0"/>
        <w:ind w:right="106" w:firstLine="420"/>
        <w:jc w:val="left"/>
      </w:pPr>
      <w:r>
        <w:rPr>
          <w:spacing w:val="-5"/>
        </w:rPr>
        <w:t>黄元忠先生，</w:t>
      </w:r>
      <w:r>
        <w:rPr>
          <w:rFonts w:ascii="宋体" w:hAnsi="宋体" w:cs="宋体" w:eastAsia="宋体" w:hint="default"/>
          <w:spacing w:val="-5"/>
        </w:rPr>
        <w:t>1964</w:t>
      </w:r>
      <w:r>
        <w:rPr>
          <w:spacing w:val="-5"/>
        </w:rPr>
        <w:t>年生，中国国籍，硕士研究生，无境外永久居留权，毕业于华中科技大学计算机系，</w:t>
      </w:r>
      <w:r>
        <w:rPr>
          <w:w w:val="100"/>
        </w:rPr>
        <w:t> </w:t>
      </w:r>
      <w:r>
        <w:rPr>
          <w:spacing w:val="-2"/>
        </w:rPr>
        <w:t>曾任中国长城计算机集团深圳昆仑公司副经理。黄元忠先生是本公司创始人之一，自</w:t>
      </w:r>
      <w:r>
        <w:rPr>
          <w:rFonts w:ascii="宋体" w:hAnsi="宋体" w:cs="宋体" w:eastAsia="宋体" w:hint="default"/>
          <w:spacing w:val="-2"/>
        </w:rPr>
        <w:t>1993</w:t>
      </w:r>
      <w:r>
        <w:rPr>
          <w:spacing w:val="-2"/>
        </w:rPr>
        <w:t>年深圳市方直科</w:t>
      </w:r>
      <w:r>
        <w:rPr>
          <w:spacing w:val="-45"/>
        </w:rPr>
        <w:t> </w:t>
      </w:r>
      <w:r>
        <w:rPr>
          <w:spacing w:val="-45"/>
        </w:rPr>
      </w:r>
      <w:r>
        <w:rPr>
          <w:spacing w:val="-5"/>
        </w:rPr>
        <w:t>技有限公司成立以来，长期担任执行董事、总经理、董事长等职务，全面负责公司的运营管理和研发工作，</w:t>
      </w:r>
      <w:r>
        <w:rPr>
          <w:spacing w:val="-8"/>
        </w:rPr>
        <w:t> </w:t>
      </w:r>
      <w:r>
        <w:rPr>
          <w:spacing w:val="-8"/>
        </w:rPr>
      </w:r>
      <w:r>
        <w:rPr/>
        <w:t>系公司技术骨干。深圳市科技专家委员会成员，深圳市南山区科技专家，现任本公司董事长兼总经理。</w:t>
      </w:r>
    </w:p>
    <w:p>
      <w:pPr>
        <w:pStyle w:val="BodyText"/>
        <w:spacing w:line="408" w:lineRule="auto" w:before="147"/>
        <w:ind w:right="207" w:firstLine="420"/>
        <w:jc w:val="both"/>
      </w:pPr>
      <w:r>
        <w:rPr>
          <w:spacing w:val="-2"/>
        </w:rPr>
        <w:t>黄晓峰先生，</w:t>
      </w:r>
      <w:r>
        <w:rPr>
          <w:rFonts w:ascii="宋体" w:hAnsi="宋体" w:cs="宋体" w:eastAsia="宋体" w:hint="default"/>
          <w:spacing w:val="-2"/>
        </w:rPr>
        <w:t>1968</w:t>
      </w:r>
      <w:r>
        <w:rPr>
          <w:spacing w:val="-2"/>
        </w:rPr>
        <w:t>年生，曾任中国长城计算机集团深圳昆仑公司研发部经理，自本公司成立以来担任</w:t>
      </w:r>
      <w:r>
        <w:rPr>
          <w:w w:val="100"/>
        </w:rPr>
        <w:t> </w:t>
      </w:r>
      <w:r>
        <w:rPr>
          <w:spacing w:val="-3"/>
        </w:rPr>
        <w:t>公司销售总监、开发中心总经理，具有丰富的市场营销经验及销售团队管理经验。现任本公司董事、副总</w:t>
      </w:r>
      <w:r>
        <w:rPr>
          <w:spacing w:val="-10"/>
        </w:rPr>
        <w:t> </w:t>
      </w:r>
      <w:r>
        <w:rPr>
          <w:spacing w:val="-10"/>
        </w:rPr>
      </w:r>
      <w:r>
        <w:rPr/>
        <w:t>经理。</w:t>
      </w:r>
    </w:p>
    <w:p>
      <w:pPr>
        <w:pStyle w:val="BodyText"/>
        <w:spacing w:line="408" w:lineRule="auto" w:before="147"/>
        <w:ind w:right="209" w:firstLine="420"/>
        <w:jc w:val="both"/>
      </w:pPr>
      <w:r>
        <w:rPr>
          <w:spacing w:val="-2"/>
        </w:rPr>
        <w:t>陈克让先生，</w:t>
      </w:r>
      <w:r>
        <w:rPr>
          <w:rFonts w:ascii="宋体" w:hAnsi="宋体" w:cs="宋体" w:eastAsia="宋体" w:hint="default"/>
          <w:spacing w:val="-2"/>
        </w:rPr>
        <w:t>1965</w:t>
      </w:r>
      <w:r>
        <w:rPr>
          <w:spacing w:val="-2"/>
        </w:rPr>
        <w:t>年生。香港中文大学</w:t>
      </w:r>
      <w:r>
        <w:rPr>
          <w:rFonts w:ascii="宋体" w:hAnsi="宋体" w:cs="宋体" w:eastAsia="宋体" w:hint="default"/>
          <w:spacing w:val="-2"/>
        </w:rPr>
        <w:t>FMBA</w:t>
      </w:r>
      <w:r>
        <w:rPr>
          <w:spacing w:val="-2"/>
        </w:rPr>
        <w:t>，无境外永久居留权，曾任中国长城计算机集团深圳昆仑</w:t>
      </w:r>
      <w:r>
        <w:rPr>
          <w:spacing w:val="-3"/>
          <w:w w:val="100"/>
        </w:rPr>
        <w:t> </w:t>
      </w:r>
      <w:r>
        <w:rPr>
          <w:spacing w:val="-2"/>
        </w:rPr>
        <w:t>公司技术部经理，长期负责连邦信息的总体运营管理工作，担任连邦信息总经理。现任本公司董事、副总</w:t>
      </w:r>
      <w:r>
        <w:rPr>
          <w:spacing w:val="-47"/>
        </w:rPr>
        <w:t> </w:t>
      </w:r>
      <w:r>
        <w:rPr>
          <w:spacing w:val="-47"/>
        </w:rPr>
      </w:r>
      <w:r>
        <w:rPr/>
        <w:t>经理、董事会秘书。</w:t>
      </w:r>
    </w:p>
    <w:p>
      <w:pPr>
        <w:pStyle w:val="BodyText"/>
        <w:spacing w:line="408" w:lineRule="auto" w:before="144"/>
        <w:ind w:right="188" w:firstLine="419"/>
        <w:jc w:val="both"/>
      </w:pPr>
      <w:r>
        <w:rPr>
          <w:spacing w:val="-2"/>
        </w:rPr>
        <w:t>乔东斌先生，</w:t>
      </w:r>
      <w:r>
        <w:rPr>
          <w:rFonts w:ascii="宋体" w:hAnsi="宋体" w:cs="宋体" w:eastAsia="宋体" w:hint="default"/>
          <w:spacing w:val="-2"/>
        </w:rPr>
        <w:t>1965</w:t>
      </w:r>
      <w:r>
        <w:rPr>
          <w:spacing w:val="-2"/>
        </w:rPr>
        <w:t>年生，毕业于华中科技大学计算机系，硕士学位；</w:t>
      </w:r>
      <w:r>
        <w:rPr>
          <w:rFonts w:ascii="宋体" w:hAnsi="宋体" w:cs="宋体" w:eastAsia="宋体" w:hint="default"/>
          <w:spacing w:val="-2"/>
        </w:rPr>
        <w:t>1989</w:t>
      </w:r>
      <w:r>
        <w:rPr>
          <w:spacing w:val="-2"/>
        </w:rPr>
        <w:t>年至</w:t>
      </w:r>
      <w:r>
        <w:rPr>
          <w:rFonts w:ascii="宋体" w:hAnsi="宋体" w:cs="宋体" w:eastAsia="宋体" w:hint="default"/>
          <w:spacing w:val="-2"/>
        </w:rPr>
        <w:t>1993</w:t>
      </w:r>
      <w:r>
        <w:rPr>
          <w:spacing w:val="-2"/>
        </w:rPr>
        <w:t>年在深圳（蛇口）</w:t>
      </w:r>
      <w:r>
        <w:rPr>
          <w:spacing w:val="-3"/>
          <w:w w:val="100"/>
        </w:rPr>
        <w:t> </w:t>
      </w:r>
      <w:r>
        <w:rPr>
          <w:spacing w:val="-2"/>
        </w:rPr>
        <w:t>新欣软件产业有限公司任研发部经理；</w:t>
      </w:r>
      <w:r>
        <w:rPr>
          <w:rFonts w:ascii="宋体" w:hAnsi="宋体" w:cs="宋体" w:eastAsia="宋体" w:hint="default"/>
          <w:spacing w:val="-2"/>
        </w:rPr>
        <w:t>1993</w:t>
      </w:r>
      <w:r>
        <w:rPr>
          <w:spacing w:val="-2"/>
        </w:rPr>
        <w:t>年至</w:t>
      </w:r>
      <w:r>
        <w:rPr>
          <w:rFonts w:ascii="宋体" w:hAnsi="宋体" w:cs="宋体" w:eastAsia="宋体" w:hint="default"/>
          <w:spacing w:val="-2"/>
        </w:rPr>
        <w:t>1996</w:t>
      </w:r>
      <w:r>
        <w:rPr>
          <w:spacing w:val="-2"/>
        </w:rPr>
        <w:t>年在蛇口新亚电脑工程有限公司任总经理；</w:t>
      </w:r>
      <w:r>
        <w:rPr>
          <w:rFonts w:ascii="宋体" w:hAnsi="宋体" w:cs="宋体" w:eastAsia="宋体" w:hint="default"/>
          <w:spacing w:val="-2"/>
        </w:rPr>
        <w:t>1996</w:t>
      </w:r>
      <w:r>
        <w:rPr>
          <w:spacing w:val="-2"/>
        </w:rPr>
        <w:t>年至</w:t>
      </w:r>
      <w:r>
        <w:rPr>
          <w:spacing w:val="-40"/>
        </w:rPr>
        <w:t> </w:t>
      </w:r>
      <w:r>
        <w:rPr>
          <w:rFonts w:ascii="宋体" w:hAnsi="宋体" w:cs="宋体" w:eastAsia="宋体" w:hint="default"/>
          <w:spacing w:val="-2"/>
        </w:rPr>
        <w:t>2001</w:t>
      </w:r>
      <w:r>
        <w:rPr>
          <w:spacing w:val="-2"/>
        </w:rPr>
        <w:t>年在深圳市盛亚电脑技术有限公司任总经理；任深圳市齐普生信息科技有限公司董事、总经理，现任</w:t>
      </w:r>
      <w:r>
        <w:rPr>
          <w:spacing w:val="-39"/>
        </w:rPr>
        <w:t> </w:t>
      </w:r>
      <w:r>
        <w:rPr>
          <w:spacing w:val="-39"/>
        </w:rPr>
      </w:r>
      <w:r>
        <w:rPr/>
        <w:t>本公司第三届董事会董事。</w:t>
      </w:r>
    </w:p>
    <w:p>
      <w:pPr>
        <w:pStyle w:val="BodyText"/>
        <w:spacing w:line="408" w:lineRule="auto" w:before="147"/>
        <w:ind w:right="210" w:firstLine="420"/>
        <w:jc w:val="both"/>
      </w:pPr>
      <w:r>
        <w:rPr>
          <w:spacing w:val="-2"/>
        </w:rPr>
        <w:t>刘勇先生，</w:t>
      </w:r>
      <w:r>
        <w:rPr>
          <w:rFonts w:ascii="宋体" w:hAnsi="宋体" w:cs="宋体" w:eastAsia="宋体" w:hint="default"/>
          <w:spacing w:val="-2"/>
        </w:rPr>
        <w:t>1977</w:t>
      </w:r>
      <w:r>
        <w:rPr>
          <w:spacing w:val="-2"/>
        </w:rPr>
        <w:t>年生，工商管理硕士，中国注册会计师，中国注册税务师，</w:t>
      </w:r>
      <w:r>
        <w:rPr>
          <w:rFonts w:ascii="宋体" w:hAnsi="宋体" w:cs="宋体" w:eastAsia="宋体" w:hint="default"/>
          <w:spacing w:val="-2"/>
        </w:rPr>
        <w:t>2013</w:t>
      </w:r>
      <w:r>
        <w:rPr>
          <w:spacing w:val="-2"/>
        </w:rPr>
        <w:t>年毕业于北京交通大</w:t>
      </w:r>
      <w:r>
        <w:rPr>
          <w:spacing w:val="-3"/>
          <w:w w:val="100"/>
        </w:rPr>
        <w:t> </w:t>
      </w:r>
      <w:r>
        <w:rPr/>
        <w:t>学工商管理专业，硕士学位。</w:t>
      </w:r>
      <w:r>
        <w:rPr>
          <w:rFonts w:ascii="宋体" w:hAnsi="宋体" w:cs="宋体" w:eastAsia="宋体" w:hint="default"/>
        </w:rPr>
        <w:t>1998</w:t>
      </w:r>
      <w:r>
        <w:rPr/>
        <w:t>年</w:t>
      </w:r>
      <w:r>
        <w:rPr>
          <w:rFonts w:ascii="宋体" w:hAnsi="宋体" w:cs="宋体" w:eastAsia="宋体" w:hint="default"/>
        </w:rPr>
        <w:t>8</w:t>
      </w:r>
      <w:r>
        <w:rPr/>
        <w:t>月至</w:t>
      </w:r>
      <w:r>
        <w:rPr>
          <w:rFonts w:ascii="宋体" w:hAnsi="宋体" w:cs="宋体" w:eastAsia="宋体" w:hint="default"/>
        </w:rPr>
        <w:t>2000</w:t>
      </w:r>
      <w:r>
        <w:rPr/>
        <w:t>年</w:t>
      </w:r>
      <w:r>
        <w:rPr>
          <w:rFonts w:ascii="宋体" w:hAnsi="宋体" w:cs="宋体" w:eastAsia="宋体" w:hint="default"/>
        </w:rPr>
        <w:t>12</w:t>
      </w:r>
      <w:r>
        <w:rPr/>
        <w:t>月在深圳融信会计师事务所任审计员；</w:t>
      </w:r>
      <w:r>
        <w:rPr>
          <w:rFonts w:ascii="宋体" w:hAnsi="宋体" w:cs="宋体" w:eastAsia="宋体" w:hint="default"/>
        </w:rPr>
        <w:t>2000</w:t>
      </w:r>
      <w:r>
        <w:rPr/>
        <w:t>年</w:t>
      </w:r>
      <w:r>
        <w:rPr>
          <w:rFonts w:ascii="宋体" w:hAnsi="宋体" w:cs="宋体" w:eastAsia="宋体" w:hint="default"/>
        </w:rPr>
        <w:t>12</w:t>
      </w:r>
      <w:r>
        <w:rPr/>
        <w:t>月至</w:t>
      </w:r>
      <w:r>
        <w:rPr>
          <w:spacing w:val="-29"/>
        </w:rPr>
        <w:t> </w:t>
      </w:r>
      <w:r>
        <w:rPr>
          <w:rFonts w:ascii="宋体" w:hAnsi="宋体" w:cs="宋体" w:eastAsia="宋体" w:hint="default"/>
        </w:rPr>
        <w:t>2001</w:t>
      </w:r>
      <w:r>
        <w:rPr/>
        <w:t>年</w:t>
      </w:r>
      <w:r>
        <w:rPr>
          <w:rFonts w:ascii="宋体" w:hAnsi="宋体" w:cs="宋体" w:eastAsia="宋体" w:hint="default"/>
        </w:rPr>
        <w:t>11</w:t>
      </w:r>
      <w:r>
        <w:rPr/>
        <w:t>月在深圳深信会计师事务所任审计经理；</w:t>
      </w:r>
      <w:r>
        <w:rPr>
          <w:rFonts w:ascii="宋体" w:hAnsi="宋体" w:cs="宋体" w:eastAsia="宋体" w:hint="default"/>
        </w:rPr>
        <w:t>2001</w:t>
      </w:r>
      <w:r>
        <w:rPr/>
        <w:t>年</w:t>
      </w:r>
      <w:r>
        <w:rPr>
          <w:rFonts w:ascii="宋体" w:hAnsi="宋体" w:cs="宋体" w:eastAsia="宋体" w:hint="default"/>
        </w:rPr>
        <w:t>11</w:t>
      </w:r>
      <w:r>
        <w:rPr/>
        <w:t>月至</w:t>
      </w:r>
      <w:r>
        <w:rPr>
          <w:rFonts w:ascii="宋体" w:hAnsi="宋体" w:cs="宋体" w:eastAsia="宋体" w:hint="default"/>
        </w:rPr>
        <w:t>2006</w:t>
      </w:r>
      <w:r>
        <w:rPr/>
        <w:t>年</w:t>
      </w:r>
      <w:r>
        <w:rPr>
          <w:rFonts w:ascii="宋体" w:hAnsi="宋体" w:cs="宋体" w:eastAsia="宋体" w:hint="default"/>
        </w:rPr>
        <w:t>6</w:t>
      </w:r>
      <w:r>
        <w:rPr/>
        <w:t>月在深圳大华天诚会计师事务所</w:t>
      </w:r>
      <w:r>
        <w:rPr>
          <w:spacing w:val="-28"/>
        </w:rPr>
        <w:t> </w:t>
      </w:r>
      <w:r>
        <w:rPr>
          <w:spacing w:val="-28"/>
        </w:rPr>
      </w:r>
      <w:r>
        <w:rPr/>
        <w:t>任高级审计经理，</w:t>
      </w:r>
      <w:r>
        <w:rPr>
          <w:rFonts w:ascii="宋体" w:hAnsi="宋体" w:cs="宋体" w:eastAsia="宋体" w:hint="default"/>
        </w:rPr>
        <w:t>2006</w:t>
      </w:r>
      <w:r>
        <w:rPr/>
        <w:t>年</w:t>
      </w:r>
      <w:r>
        <w:rPr>
          <w:rFonts w:ascii="宋体" w:hAnsi="宋体" w:cs="宋体" w:eastAsia="宋体" w:hint="default"/>
        </w:rPr>
        <w:t>6</w:t>
      </w:r>
      <w:r>
        <w:rPr/>
        <w:t>月至今任深圳平海会计师事务所（普通合伙）合伙人。现任深圳平海会计师事</w:t>
      </w:r>
      <w:r>
        <w:rPr>
          <w:spacing w:val="-28"/>
        </w:rPr>
        <w:t> </w:t>
      </w:r>
      <w:r>
        <w:rPr>
          <w:spacing w:val="-28"/>
        </w:rPr>
      </w:r>
      <w:r>
        <w:rPr>
          <w:spacing w:val="-3"/>
        </w:rPr>
        <w:t>务所（普通合伙）合伙人，深圳市道律中和税务师事务所有限公司执行董事兼总经理，深圳市嘉卓成科技</w:t>
      </w:r>
      <w:r>
        <w:rPr>
          <w:spacing w:val="-9"/>
        </w:rPr>
        <w:t> </w:t>
      </w:r>
      <w:r>
        <w:rPr>
          <w:spacing w:val="-9"/>
        </w:rPr>
      </w:r>
      <w:r>
        <w:rPr>
          <w:spacing w:val="-3"/>
        </w:rPr>
        <w:t>发展有限公司独立董事，胜宏科技（惠州）股份有限公司、广东雷伊（集团）股份有限公司独立董事，长</w:t>
      </w:r>
      <w:r>
        <w:rPr>
          <w:spacing w:val="-9"/>
        </w:rPr>
        <w:t> </w:t>
      </w:r>
      <w:r>
        <w:rPr>
          <w:spacing w:val="-9"/>
        </w:rPr>
      </w:r>
      <w:r>
        <w:rPr/>
        <w:t>治潞州农村商业银行股份有限公司独立董事，现任本公司第三届董事会独立董事。</w:t>
      </w:r>
    </w:p>
    <w:p>
      <w:pPr>
        <w:pStyle w:val="BodyText"/>
        <w:spacing w:line="408" w:lineRule="auto" w:before="144"/>
        <w:ind w:right="208" w:firstLine="420"/>
        <w:jc w:val="both"/>
      </w:pPr>
      <w:r>
        <w:rPr/>
        <w:t>许鲁光先生，</w:t>
      </w:r>
      <w:r>
        <w:rPr>
          <w:rFonts w:ascii="宋体" w:hAnsi="宋体" w:cs="宋体" w:eastAsia="宋体" w:hint="default"/>
        </w:rPr>
        <w:t>1964</w:t>
      </w:r>
      <w:r>
        <w:rPr/>
        <w:t>年生，区域经济学硕士，副教授、高级经济师，</w:t>
      </w:r>
      <w:r>
        <w:rPr>
          <w:spacing w:val="71"/>
        </w:rPr>
        <w:t> </w:t>
      </w:r>
      <w:r>
        <w:rPr>
          <w:rFonts w:ascii="宋体" w:hAnsi="宋体" w:cs="宋体" w:eastAsia="宋体" w:hint="default"/>
        </w:rPr>
        <w:t>1988</w:t>
      </w:r>
      <w:r>
        <w:rPr/>
        <w:t>年毕业于西南大学区域经济</w:t>
      </w:r>
      <w:r>
        <w:rPr>
          <w:w w:val="100"/>
        </w:rPr>
        <w:t> </w:t>
      </w:r>
      <w:r>
        <w:rPr>
          <w:spacing w:val="-2"/>
        </w:rPr>
        <w:t>学专业，硕士学位，</w:t>
      </w:r>
      <w:r>
        <w:rPr>
          <w:rFonts w:ascii="宋体" w:hAnsi="宋体" w:cs="宋体" w:eastAsia="宋体" w:hint="default"/>
          <w:spacing w:val="-2"/>
        </w:rPr>
        <w:t>1988</w:t>
      </w:r>
      <w:r>
        <w:rPr>
          <w:spacing w:val="-2"/>
        </w:rPr>
        <w:t>年至</w:t>
      </w:r>
      <w:r>
        <w:rPr>
          <w:rFonts w:ascii="宋体" w:hAnsi="宋体" w:cs="宋体" w:eastAsia="宋体" w:hint="default"/>
          <w:spacing w:val="-2"/>
        </w:rPr>
        <w:t>1994</w:t>
      </w:r>
      <w:r>
        <w:rPr>
          <w:spacing w:val="-2"/>
        </w:rPr>
        <w:t>年在在深圳市人民政府经济体制改革办公室工作；</w:t>
      </w:r>
      <w:r>
        <w:rPr>
          <w:rFonts w:ascii="宋体" w:hAnsi="宋体" w:cs="宋体" w:eastAsia="宋体" w:hint="default"/>
          <w:spacing w:val="-2"/>
        </w:rPr>
        <w:t>1994</w:t>
      </w:r>
      <w:r>
        <w:rPr>
          <w:spacing w:val="-2"/>
        </w:rPr>
        <w:t>年至</w:t>
      </w:r>
      <w:r>
        <w:rPr>
          <w:rFonts w:ascii="宋体" w:hAnsi="宋体" w:cs="宋体" w:eastAsia="宋体" w:hint="default"/>
          <w:spacing w:val="-2"/>
        </w:rPr>
        <w:t>1997</w:t>
      </w:r>
      <w:r>
        <w:rPr>
          <w:spacing w:val="-2"/>
        </w:rPr>
        <w:t>年在深</w:t>
      </w:r>
      <w:r>
        <w:rPr>
          <w:spacing w:val="-35"/>
        </w:rPr>
        <w:t> </w:t>
      </w:r>
      <w:r>
        <w:rPr>
          <w:spacing w:val="-2"/>
        </w:rPr>
        <w:t>圳市商业广播股份公司的工作，任董事，同时兼任商业广播投资发展有限公司副总经理；</w:t>
      </w:r>
      <w:r>
        <w:rPr>
          <w:rFonts w:ascii="宋体" w:hAnsi="宋体" w:cs="宋体" w:eastAsia="宋体" w:hint="default"/>
          <w:spacing w:val="-2"/>
        </w:rPr>
        <w:t>1997</w:t>
      </w:r>
      <w:r>
        <w:rPr>
          <w:spacing w:val="-2"/>
        </w:rPr>
        <w:t>年至</w:t>
      </w:r>
      <w:r>
        <w:rPr>
          <w:rFonts w:ascii="宋体" w:hAnsi="宋体" w:cs="宋体" w:eastAsia="宋体" w:hint="default"/>
          <w:spacing w:val="-2"/>
        </w:rPr>
        <w:t>2003</w:t>
      </w:r>
      <w:r>
        <w:rPr>
          <w:spacing w:val="-2"/>
        </w:rPr>
        <w:t>年</w:t>
      </w:r>
      <w:r>
        <w:rPr>
          <w:spacing w:val="-46"/>
        </w:rPr>
        <w:t> </w:t>
      </w:r>
      <w:r>
        <w:rPr>
          <w:spacing w:val="-2"/>
        </w:rPr>
        <w:t>在深圳市成人教育中心工作，任主任助理一职，</w:t>
      </w:r>
      <w:r>
        <w:rPr>
          <w:rFonts w:ascii="宋体" w:hAnsi="宋体" w:cs="宋体" w:eastAsia="宋体" w:hint="default"/>
          <w:spacing w:val="-2"/>
        </w:rPr>
        <w:t>2003</w:t>
      </w:r>
      <w:r>
        <w:rPr>
          <w:spacing w:val="-2"/>
        </w:rPr>
        <w:t>年至</w:t>
      </w:r>
      <w:r>
        <w:rPr>
          <w:rFonts w:ascii="宋体" w:hAnsi="宋体" w:cs="宋体" w:eastAsia="宋体" w:hint="default"/>
          <w:spacing w:val="-2"/>
        </w:rPr>
        <w:t>2006</w:t>
      </w:r>
      <w:r>
        <w:rPr>
          <w:spacing w:val="-2"/>
        </w:rPr>
        <w:t>年在深圳市发展改革委员会的市城市发展研</w:t>
      </w:r>
      <w:r>
        <w:rPr>
          <w:spacing w:val="-41"/>
        </w:rPr>
        <w:t> </w:t>
      </w:r>
      <w:r>
        <w:rPr>
          <w:spacing w:val="-41"/>
        </w:rPr>
      </w:r>
      <w:r>
        <w:rPr>
          <w:spacing w:val="-2"/>
        </w:rPr>
        <w:t>究中心工作，任任副研究员职位，</w:t>
      </w:r>
      <w:r>
        <w:rPr>
          <w:rFonts w:ascii="宋体" w:hAnsi="宋体" w:cs="宋体" w:eastAsia="宋体" w:hint="default"/>
          <w:spacing w:val="-2"/>
        </w:rPr>
        <w:t>2006</w:t>
      </w:r>
      <w:r>
        <w:rPr>
          <w:spacing w:val="-2"/>
        </w:rPr>
        <w:t>年至今在深圳市社会科学院经济所工作，现任副所长职位，现任本</w:t>
      </w:r>
      <w:r>
        <w:rPr/>
      </w:r>
    </w:p>
    <w:p>
      <w:pPr>
        <w:spacing w:after="0" w:line="408" w:lineRule="auto"/>
        <w:jc w:val="both"/>
        <w:sectPr>
          <w:headerReference w:type="default" r:id="rId25"/>
          <w:footerReference w:type="default" r:id="rId26"/>
          <w:pgSz w:w="11910" w:h="16840"/>
          <w:pgMar w:header="877" w:footer="982" w:top="1060" w:bottom="1180" w:left="980" w:right="920"/>
          <w:pgNumType w:start="54"/>
        </w:sectPr>
      </w:pPr>
    </w:p>
    <w:p>
      <w:pPr>
        <w:spacing w:line="240" w:lineRule="auto" w:before="9"/>
        <w:rPr>
          <w:rFonts w:ascii="宋体" w:hAnsi="宋体" w:cs="宋体" w:eastAsia="宋体" w:hint="default"/>
          <w:sz w:val="26"/>
          <w:szCs w:val="26"/>
        </w:rPr>
      </w:pPr>
    </w:p>
    <w:p>
      <w:pPr>
        <w:pStyle w:val="BodyText"/>
        <w:spacing w:line="453" w:lineRule="auto" w:before="36"/>
        <w:ind w:left="612" w:right="0" w:hanging="421"/>
        <w:jc w:val="left"/>
      </w:pPr>
      <w:r>
        <w:rPr/>
        <w:t>公司第三届董事会独立董事。</w:t>
      </w:r>
      <w:r>
        <w:rPr>
          <w:w w:val="100"/>
        </w:rPr>
        <w:t> </w:t>
      </w:r>
      <w:r>
        <w:rPr>
          <w:spacing w:val="-2"/>
        </w:rPr>
        <w:t>陈伟强先生，</w:t>
      </w:r>
      <w:r>
        <w:rPr>
          <w:rFonts w:ascii="宋体" w:hAnsi="宋体" w:cs="宋体" w:eastAsia="宋体" w:hint="default"/>
          <w:spacing w:val="-2"/>
        </w:rPr>
        <w:t>1962</w:t>
      </w:r>
      <w:r>
        <w:rPr>
          <w:spacing w:val="-2"/>
        </w:rPr>
        <w:t>年生，法学研究生，民建会员，</w:t>
      </w:r>
      <w:r>
        <w:rPr>
          <w:rFonts w:ascii="宋体" w:hAnsi="宋体" w:cs="宋体" w:eastAsia="宋体" w:hint="default"/>
          <w:spacing w:val="-2"/>
        </w:rPr>
        <w:t>1987</w:t>
      </w:r>
      <w:r>
        <w:rPr>
          <w:spacing w:val="-2"/>
        </w:rPr>
        <w:t>年毕业于中国人民大学，大专学位，</w:t>
      </w:r>
      <w:r>
        <w:rPr>
          <w:rFonts w:ascii="宋体" w:hAnsi="宋体" w:cs="宋体" w:eastAsia="宋体" w:hint="default"/>
          <w:spacing w:val="-2"/>
        </w:rPr>
        <w:t>2002</w:t>
      </w:r>
      <w:r>
        <w:rPr>
          <w:spacing w:val="-2"/>
        </w:rPr>
        <w:t>年取</w:t>
      </w:r>
      <w:r>
        <w:rPr/>
      </w:r>
    </w:p>
    <w:p>
      <w:pPr>
        <w:pStyle w:val="BodyText"/>
        <w:spacing w:line="408" w:lineRule="auto" w:before="6"/>
        <w:ind w:left="193" w:right="0"/>
        <w:jc w:val="left"/>
      </w:pPr>
      <w:r>
        <w:rPr/>
        <w:t>得河南大学诉讼法学研究生学位，</w:t>
      </w:r>
      <w:r>
        <w:rPr>
          <w:rFonts w:ascii="宋体" w:hAnsi="宋体" w:cs="宋体" w:eastAsia="宋体" w:hint="default"/>
        </w:rPr>
        <w:t>1987</w:t>
      </w:r>
      <w:r>
        <w:rPr/>
        <w:t>年</w:t>
      </w:r>
      <w:r>
        <w:rPr>
          <w:rFonts w:ascii="宋体" w:hAnsi="宋体" w:cs="宋体" w:eastAsia="宋体" w:hint="default"/>
        </w:rPr>
        <w:t>7</w:t>
      </w:r>
      <w:r>
        <w:rPr/>
        <w:t>月至</w:t>
      </w:r>
      <w:r>
        <w:rPr>
          <w:rFonts w:ascii="宋体" w:hAnsi="宋体" w:cs="宋体" w:eastAsia="宋体" w:hint="default"/>
        </w:rPr>
        <w:t>1993</w:t>
      </w:r>
      <w:r>
        <w:rPr/>
        <w:t>年</w:t>
      </w:r>
      <w:r>
        <w:rPr>
          <w:rFonts w:ascii="宋体" w:hAnsi="宋体" w:cs="宋体" w:eastAsia="宋体" w:hint="default"/>
        </w:rPr>
        <w:t>7</w:t>
      </w:r>
      <w:r>
        <w:rPr/>
        <w:t>月河南省开封市第一律师事务所律师；</w:t>
      </w:r>
      <w:r>
        <w:rPr>
          <w:rFonts w:ascii="宋体" w:hAnsi="宋体" w:cs="宋体" w:eastAsia="宋体" w:hint="default"/>
        </w:rPr>
        <w:t>1993</w:t>
      </w:r>
      <w:r>
        <w:rPr/>
        <w:t>年</w:t>
      </w:r>
      <w:r>
        <w:rPr>
          <w:rFonts w:ascii="宋体" w:hAnsi="宋体" w:cs="宋体" w:eastAsia="宋体" w:hint="default"/>
        </w:rPr>
        <w:t>7</w:t>
      </w:r>
      <w:r>
        <w:rPr/>
        <w:t>月</w:t>
      </w:r>
      <w:r>
        <w:rPr>
          <w:spacing w:val="-30"/>
        </w:rPr>
        <w:t> </w:t>
      </w:r>
      <w:r>
        <w:rPr/>
        <w:t>至今广东深天正律师事务所律师、任主任，现任本公司第三届董事会独立董事。</w:t>
      </w:r>
    </w:p>
    <w:p>
      <w:pPr>
        <w:pStyle w:val="BodyText"/>
        <w:spacing w:line="408" w:lineRule="auto" w:before="96"/>
        <w:ind w:left="193" w:right="190" w:firstLine="420"/>
        <w:jc w:val="both"/>
      </w:pPr>
      <w:r>
        <w:rPr/>
        <w:t>艾倩兰女士，</w:t>
      </w:r>
      <w:r>
        <w:rPr>
          <w:rFonts w:ascii="宋体" w:hAnsi="宋体" w:cs="宋体" w:eastAsia="宋体" w:hint="default"/>
        </w:rPr>
        <w:t>1984</w:t>
      </w:r>
      <w:r>
        <w:rPr/>
        <w:t>年生，教研专员，</w:t>
      </w:r>
      <w:r>
        <w:rPr>
          <w:rFonts w:ascii="宋体" w:hAnsi="宋体" w:cs="宋体" w:eastAsia="宋体" w:hint="default"/>
        </w:rPr>
        <w:t>2006</w:t>
      </w:r>
      <w:r>
        <w:rPr/>
        <w:t>年毕业于西北民族大学，</w:t>
      </w:r>
      <w:r>
        <w:rPr>
          <w:rFonts w:ascii="宋体" w:hAnsi="宋体" w:cs="宋体" w:eastAsia="宋体" w:hint="default"/>
        </w:rPr>
        <w:t>2006</w:t>
      </w:r>
      <w:r>
        <w:rPr/>
        <w:t>年</w:t>
      </w:r>
      <w:r>
        <w:rPr>
          <w:rFonts w:ascii="宋体" w:hAnsi="宋体" w:cs="宋体" w:eastAsia="宋体" w:hint="default"/>
        </w:rPr>
        <w:t>8</w:t>
      </w:r>
      <w:r>
        <w:rPr/>
        <w:t>月至今在深圳方直科技股</w:t>
      </w:r>
      <w:r>
        <w:rPr>
          <w:w w:val="100"/>
        </w:rPr>
        <w:t> </w:t>
      </w:r>
      <w:r>
        <w:rPr>
          <w:spacing w:val="-3"/>
        </w:rPr>
        <w:t>份有限公司分别担任过软件策划、项目经理、产品经理，现任公司教研专员，本公司公司第三届监事会监</w:t>
      </w:r>
      <w:r>
        <w:rPr>
          <w:spacing w:val="-9"/>
        </w:rPr>
        <w:t> </w:t>
      </w:r>
      <w:r>
        <w:rPr>
          <w:spacing w:val="-9"/>
        </w:rPr>
      </w:r>
      <w:r>
        <w:rPr/>
        <w:t>事。</w:t>
      </w:r>
    </w:p>
    <w:p>
      <w:pPr>
        <w:pStyle w:val="BodyText"/>
        <w:spacing w:line="408" w:lineRule="auto" w:before="96"/>
        <w:ind w:left="193" w:right="192" w:firstLine="419"/>
        <w:jc w:val="both"/>
      </w:pPr>
      <w:r>
        <w:rPr>
          <w:spacing w:val="-2"/>
        </w:rPr>
        <w:t>朱文先生，</w:t>
      </w:r>
      <w:r>
        <w:rPr>
          <w:rFonts w:ascii="宋体" w:hAnsi="宋体" w:cs="宋体" w:eastAsia="宋体" w:hint="default"/>
          <w:spacing w:val="-2"/>
        </w:rPr>
        <w:t>1986</w:t>
      </w:r>
      <w:r>
        <w:rPr>
          <w:spacing w:val="-2"/>
        </w:rPr>
        <w:t>年生，毕业于深圳大学，</w:t>
      </w:r>
      <w:r>
        <w:rPr>
          <w:rFonts w:ascii="宋体" w:hAnsi="宋体" w:cs="宋体" w:eastAsia="宋体" w:hint="default"/>
          <w:spacing w:val="-2"/>
        </w:rPr>
        <w:t>2009</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月于深圳市森茂广告有限公司任后期制</w:t>
      </w:r>
      <w:r>
        <w:rPr>
          <w:w w:val="100"/>
        </w:rPr>
        <w:t> </w:t>
      </w:r>
      <w:r>
        <w:rPr/>
        <w:t>作，</w:t>
      </w:r>
      <w:r>
        <w:rPr>
          <w:rFonts w:ascii="宋体" w:hAnsi="宋体" w:cs="宋体" w:eastAsia="宋体" w:hint="default"/>
        </w:rPr>
        <w:t>2010</w:t>
      </w:r>
      <w:r>
        <w:rPr/>
        <w:t>年</w:t>
      </w:r>
      <w:r>
        <w:rPr>
          <w:rFonts w:ascii="宋体" w:hAnsi="宋体" w:cs="宋体" w:eastAsia="宋体" w:hint="default"/>
        </w:rPr>
        <w:t>4</w:t>
      </w:r>
      <w:r>
        <w:rPr/>
        <w:t>月至今，在深圳市方直科技股份有限公司工作，曾任音视频编辑、项目经理，现任教学研究</w:t>
      </w:r>
      <w:r>
        <w:rPr>
          <w:spacing w:val="-28"/>
        </w:rPr>
        <w:t> </w:t>
      </w:r>
      <w:r>
        <w:rPr>
          <w:spacing w:val="-28"/>
        </w:rPr>
      </w:r>
      <w:r>
        <w:rPr/>
        <w:t>部经理，本公司第三届监事会监事。</w:t>
      </w:r>
    </w:p>
    <w:p>
      <w:pPr>
        <w:pStyle w:val="BodyText"/>
        <w:spacing w:line="408" w:lineRule="auto" w:before="96"/>
        <w:ind w:left="193" w:right="188" w:firstLine="420"/>
        <w:jc w:val="both"/>
      </w:pPr>
      <w:r>
        <w:rPr/>
        <w:t>周洁女士，</w:t>
      </w:r>
      <w:r>
        <w:rPr>
          <w:rFonts w:ascii="宋体" w:hAnsi="宋体" w:cs="宋体" w:eastAsia="宋体" w:hint="default"/>
        </w:rPr>
        <w:t>1982</w:t>
      </w:r>
      <w:r>
        <w:rPr/>
        <w:t>年生，毕业于吉首大学，</w:t>
      </w:r>
      <w:r>
        <w:rPr>
          <w:rFonts w:ascii="宋体" w:hAnsi="宋体" w:cs="宋体" w:eastAsia="宋体" w:hint="default"/>
        </w:rPr>
        <w:t>2006</w:t>
      </w:r>
      <w:r>
        <w:rPr/>
        <w:t>年</w:t>
      </w:r>
      <w:r>
        <w:rPr>
          <w:rFonts w:ascii="宋体" w:hAnsi="宋体" w:cs="宋体" w:eastAsia="宋体" w:hint="default"/>
        </w:rPr>
        <w:t>6</w:t>
      </w:r>
      <w:r>
        <w:rPr/>
        <w:t>月至今在深圳市方直科技股份有限公司先后任职产</w:t>
      </w:r>
      <w:r>
        <w:rPr>
          <w:w w:val="100"/>
        </w:rPr>
        <w:t> </w:t>
      </w:r>
      <w:r>
        <w:rPr>
          <w:spacing w:val="-3"/>
        </w:rPr>
        <w:t>品策划、主编、项目经理，现任外教</w:t>
      </w:r>
      <w:r>
        <w:rPr>
          <w:rFonts w:ascii="宋体" w:hAnsi="宋体" w:cs="宋体" w:eastAsia="宋体" w:hint="default"/>
          <w:spacing w:val="-3"/>
        </w:rPr>
        <w:t>1</w:t>
      </w:r>
      <w:r>
        <w:rPr>
          <w:spacing w:val="-3"/>
        </w:rPr>
        <w:t>对</w:t>
      </w:r>
      <w:r>
        <w:rPr>
          <w:rFonts w:ascii="宋体" w:hAnsi="宋体" w:cs="宋体" w:eastAsia="宋体" w:hint="default"/>
          <w:spacing w:val="-3"/>
        </w:rPr>
        <w:t>1</w:t>
      </w:r>
      <w:r>
        <w:rPr>
          <w:spacing w:val="-3"/>
        </w:rPr>
        <w:t>在线英语培训部门主管职位，现任本公司第三届监事会职工代表</w:t>
      </w:r>
      <w:r>
        <w:rPr>
          <w:spacing w:val="-8"/>
        </w:rPr>
        <w:t> </w:t>
      </w:r>
      <w:r>
        <w:rPr>
          <w:spacing w:val="-8"/>
        </w:rPr>
      </w:r>
      <w:r>
        <w:rPr/>
        <w:t>监事。</w:t>
      </w:r>
    </w:p>
    <w:p>
      <w:pPr>
        <w:spacing w:line="240" w:lineRule="auto" w:before="4"/>
        <w:rPr>
          <w:rFonts w:ascii="宋体" w:hAnsi="宋体" w:cs="宋体" w:eastAsia="宋体" w:hint="default"/>
          <w:sz w:val="29"/>
          <w:szCs w:val="29"/>
        </w:rPr>
      </w:pPr>
    </w:p>
    <w:p>
      <w:pPr>
        <w:spacing w:before="0"/>
        <w:ind w:left="19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92" w:right="81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262"/>
        <w:gridCol w:w="3360"/>
        <w:gridCol w:w="1188"/>
        <w:gridCol w:w="1644"/>
        <w:gridCol w:w="994"/>
        <w:gridCol w:w="1358"/>
      </w:tblGrid>
      <w:tr>
        <w:trPr>
          <w:trHeight w:val="737" w:hRule="exact"/>
        </w:trPr>
        <w:tc>
          <w:tcPr>
            <w:tcW w:w="1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3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1"/>
              <w:ind w:left="230" w:right="47"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6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1"/>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1"/>
              <w:ind w:left="134" w:right="41"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586"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乔东斌</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深圳市齐普生信息科技有限公司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94" w:type="dxa"/>
            <w:tcBorders>
              <w:top w:val="single" w:sz="9" w:space="0" w:color="D4D4D4"/>
              <w:left w:val="single" w:sz="4" w:space="0" w:color="000000"/>
              <w:bottom w:val="single" w:sz="4" w:space="0" w:color="000000"/>
              <w:right w:val="single" w:sz="4" w:space="0" w:color="000000"/>
            </w:tcBorders>
          </w:tcPr>
          <w:p>
            <w:pPr/>
          </w:p>
        </w:tc>
        <w:tc>
          <w:tcPr>
            <w:tcW w:w="1358" w:type="dxa"/>
            <w:tcBorders>
              <w:top w:val="single" w:sz="9" w:space="0" w:color="D4D4D4"/>
              <w:left w:val="single" w:sz="4" w:space="0" w:color="000000"/>
              <w:bottom w:val="single" w:sz="4" w:space="0" w:color="000000"/>
              <w:right w:val="single" w:sz="4" w:space="0" w:color="000000"/>
            </w:tcBorders>
          </w:tcPr>
          <w:p>
            <w:pPr>
              <w:pStyle w:val="TableParagraph"/>
              <w:spacing w:line="240" w:lineRule="auto" w:before="134"/>
              <w:ind w:left="58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74"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刘勇</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09"/>
              <w:ind w:left="23" w:right="264"/>
              <w:jc w:val="left"/>
              <w:rPr>
                <w:rFonts w:ascii="宋体" w:hAnsi="宋体" w:cs="宋体" w:eastAsia="宋体" w:hint="default"/>
                <w:sz w:val="18"/>
                <w:szCs w:val="18"/>
              </w:rPr>
            </w:pPr>
            <w:r>
              <w:rPr>
                <w:rFonts w:ascii="宋体" w:hAnsi="宋体" w:cs="宋体" w:eastAsia="宋体" w:hint="default"/>
                <w:spacing w:val="-6"/>
                <w:sz w:val="18"/>
                <w:szCs w:val="18"/>
              </w:rPr>
              <w:t>深圳平海会计师事务所（普通合伙）、</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深圳市道律中和税务师事务所有限公司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30"/>
              <w:ind w:left="23" w:right="72"/>
              <w:jc w:val="left"/>
              <w:rPr>
                <w:rFonts w:ascii="宋体" w:hAnsi="宋体" w:cs="宋体" w:eastAsia="宋体" w:hint="default"/>
                <w:sz w:val="18"/>
                <w:szCs w:val="18"/>
              </w:rPr>
            </w:pPr>
            <w:r>
              <w:rPr>
                <w:rFonts w:ascii="宋体" w:hAnsi="宋体" w:cs="宋体" w:eastAsia="宋体" w:hint="default"/>
                <w:sz w:val="18"/>
                <w:szCs w:val="18"/>
              </w:rPr>
              <w:t>合伙人、执行 董事、总经理</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93"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许鲁光</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深圳市社会科学院经济所</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8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88"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陈伟强</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广东深天正律师事务所</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律师、主任</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8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9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4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2"/>
        <w:spacing w:line="240" w:lineRule="auto" w:before="26"/>
        <w:ind w:right="0"/>
        <w:jc w:val="left"/>
        <w:rPr>
          <w:b w:val="0"/>
          <w:bCs w:val="0"/>
        </w:rPr>
      </w:pPr>
      <w:r>
        <w:rPr/>
        <w:t>四、董</w:t>
      </w:r>
      <w:bookmarkStart w:name="四、董事、监事、高级管理人员报酬情况" w:id="119"/>
      <w:bookmarkEnd w:id="119"/>
      <w:r>
        <w:rPr/>
        <w:t>事、</w:t>
      </w:r>
      <w:r>
        <w:rPr/>
        <w:t>监事、高级管理人员报酬情况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3"/>
        <w:rPr>
          <w:rFonts w:ascii="宋体" w:hAnsi="宋体" w:cs="宋体" w:eastAsia="宋体" w:hint="default"/>
          <w:sz w:val="13"/>
          <w:szCs w:val="13"/>
        </w:rPr>
      </w:pPr>
    </w:p>
    <w:p>
      <w:pPr>
        <w:pStyle w:val="BodyText"/>
        <w:spacing w:line="408" w:lineRule="auto" w:before="0"/>
        <w:ind w:right="147" w:firstLine="420"/>
        <w:jc w:val="both"/>
      </w:pPr>
      <w:r>
        <w:rPr>
          <w:spacing w:val="-7"/>
        </w:rPr>
        <w:t>董事、监事、高级管理人员报酬的决策程序以及确定依据均按照《方直科技董事、监事薪酬方案》《方</w:t>
      </w:r>
      <w:r>
        <w:rPr>
          <w:w w:val="100"/>
        </w:rPr>
        <w:t> </w:t>
      </w:r>
      <w:r>
        <w:rPr>
          <w:spacing w:val="-2"/>
        </w:rPr>
        <w:t>直科技高级管理人员薪酬方案》执行，结合其经营绩效、工作能力、岗位职责等考核确定，薪酬均已按月</w:t>
      </w:r>
      <w:r>
        <w:rPr>
          <w:spacing w:val="-43"/>
        </w:rPr>
        <w:t> </w:t>
      </w:r>
      <w:r>
        <w:rPr>
          <w:spacing w:val="-43"/>
        </w:rPr>
      </w:r>
      <w:r>
        <w:rPr/>
        <w:t>支付，具体实际支付情况如下：</w:t>
      </w:r>
    </w:p>
    <w:p>
      <w:pPr>
        <w:spacing w:before="3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53" w:firstLine="0"/>
        <w:jc w:val="right"/>
        <w:rPr>
          <w:rFonts w:ascii="宋体" w:hAnsi="宋体" w:cs="宋体" w:eastAsia="宋体" w:hint="default"/>
          <w:sz w:val="18"/>
          <w:szCs w:val="18"/>
        </w:rPr>
      </w:pPr>
      <w:r>
        <w:rPr/>
        <w:pict>
          <v:group style="position:absolute;margin-left:193.800003pt;margin-top:99.298698pt;width:67.8pt;height:28.05pt;mso-position-horizontal-relative:page;mso-position-vertical-relative:paragraph;z-index:-1223584" coordorigin="3876,1986" coordsize="1356,561">
            <v:group style="position:absolute;left:3876;top:1986;width:1356;height:156" coordorigin="3876,1986" coordsize="1356,156">
              <v:shape style="position:absolute;left:3876;top:1986;width:1356;height:156" coordorigin="3876,1986" coordsize="1356,156" path="m3876,2142l5232,2142,5232,1986,3876,1986,3876,2142xe" filled="true" fillcolor="#ffffff" stroked="false">
                <v:path arrowok="t"/>
                <v:fill type="solid"/>
              </v:shape>
            </v:group>
            <v:group style="position:absolute;left:3887;top:2142;width:2;height:394" coordorigin="3887,2142" coordsize="2,394">
              <v:shape style="position:absolute;left:3887;top:2142;width:2;height:394" coordorigin="3887,2142" coordsize="0,394" path="m3887,2142l3887,2536e" filled="false" stroked="true" strokeweight="1.08pt" strokecolor="#ffffff">
                <v:path arrowok="t"/>
              </v:shape>
            </v:group>
            <v:group style="position:absolute;left:3898;top:2142;width:1311;height:394" coordorigin="3898,2142" coordsize="1311,394">
              <v:shape style="position:absolute;left:3898;top:2142;width:1311;height:394" coordorigin="3898,2142" coordsize="1311,394" path="m3898,2536l5208,2536,5208,2142,3898,2142,3898,2536xe" filled="true" fillcolor="#ffffff" stroked="false">
                <v:path arrowok="t"/>
                <v:fill type="solid"/>
              </v:shape>
            </v:group>
            <w10:wrap type="none"/>
          </v:group>
        </w:pict>
      </w: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8"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黄元忠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黄晓峰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陈克让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乔东斌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陈伟强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许鲁光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孙晓玲</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6" w:right="431"/>
              <w:jc w:val="left"/>
              <w:rPr>
                <w:rFonts w:ascii="宋体" w:hAnsi="宋体" w:cs="宋体" w:eastAsia="宋体" w:hint="default"/>
                <w:sz w:val="18"/>
                <w:szCs w:val="18"/>
              </w:rPr>
            </w:pPr>
            <w:r>
              <w:rPr>
                <w:rFonts w:ascii="宋体" w:hAnsi="宋体" w:cs="宋体" w:eastAsia="宋体" w:hint="default"/>
                <w:sz w:val="18"/>
                <w:szCs w:val="18"/>
              </w:rPr>
              <w:t>副总经理、 财务负责人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艾倩兰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高文舍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陈赛芝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张振华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武文静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何华辉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338.44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106"/>
        <w:jc w:val="left"/>
        <w:rPr>
          <w:b w:val="0"/>
          <w:bCs w:val="0"/>
        </w:rPr>
      </w:pPr>
      <w:bookmarkStart w:name="3、培训计划" w:id="120"/>
      <w:bookmarkEnd w:id="120"/>
      <w:r>
        <w:rPr>
          <w:b w:val="0"/>
          <w:bCs w:val="0"/>
        </w:rPr>
      </w:r>
      <w:r>
        <w:rPr/>
        <w:t>五</w:t>
      </w:r>
      <w:bookmarkStart w:name="五、公司员工情况" w:id="121"/>
      <w:bookmarkEnd w:id="121"/>
      <w:r>
        <w:rPr/>
        <w:t>、</w:t>
      </w:r>
      <w:r>
        <w:rPr/>
        <w:t>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6"/>
        <w:jc w:val="left"/>
        <w:rPr>
          <w:b w:val="0"/>
          <w:bCs w:val="0"/>
        </w:rPr>
      </w:pPr>
      <w:r>
        <w:rPr>
          <w:rFonts w:ascii="Times New Roman" w:hAnsi="Times New Roman" w:cs="Times New Roman" w:eastAsia="Times New Roman" w:hint="default"/>
        </w:rPr>
        <w:t>1</w:t>
      </w:r>
      <w:bookmarkStart w:name="1、员工数量、专业构成及教育程度" w:id="122"/>
      <w:bookmarkEnd w:id="122"/>
      <w:r>
        <w:rPr>
          <w:rFonts w:ascii="Times New Roman" w:hAnsi="Times New Roman" w:cs="Times New Roman" w:eastAsia="Times New Roman" w:hint="default"/>
        </w:rPr>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4"/>
        <w:gridCol w:w="4793"/>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r>
    </w:tbl>
    <w:p>
      <w:pPr>
        <w:spacing w:line="240" w:lineRule="auto" w:before="3"/>
        <w:rPr>
          <w:rFonts w:ascii="宋体" w:hAnsi="宋体" w:cs="宋体" w:eastAsia="宋体" w:hint="default"/>
          <w:b/>
          <w:bCs/>
          <w:sz w:val="19"/>
          <w:szCs w:val="19"/>
        </w:rPr>
      </w:pPr>
    </w:p>
    <w:p>
      <w:pPr>
        <w:pStyle w:val="Heading3"/>
        <w:spacing w:line="240" w:lineRule="auto" w:before="36"/>
        <w:ind w:right="106"/>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6" w:firstLine="357"/>
        <w:jc w:val="left"/>
      </w:pPr>
      <w:r>
        <w:rPr>
          <w:spacing w:val="-3"/>
        </w:rPr>
        <w:t>为切实达成公司的中长期战略目标，公司对高级管理人员建立以绩效目标考核为主的激励和约束机</w:t>
      </w:r>
      <w:bookmarkStart w:name="2、薪酬政策" w:id="123"/>
      <w:bookmarkEnd w:id="123"/>
      <w:r>
        <w:rPr>
          <w:spacing w:val="-3"/>
        </w:rPr>
        <w:t>制，</w:t>
      </w:r>
      <w:r>
        <w:rPr>
          <w:w w:val="100"/>
        </w:rPr>
        <w:t> </w:t>
      </w:r>
      <w:r>
        <w:rPr>
          <w:spacing w:val="-2"/>
        </w:rPr>
        <w:t>制定《方直科技高级管理人员薪酬方案》，通过绩效考核的方式激励高级管理人员达成考核目标。自激励</w:t>
      </w:r>
      <w:r>
        <w:rPr>
          <w:spacing w:val="-47"/>
        </w:rPr>
        <w:t> </w:t>
      </w:r>
      <w:r>
        <w:rPr>
          <w:spacing w:val="-47"/>
        </w:rPr>
      </w:r>
      <w:r>
        <w:rPr>
          <w:spacing w:val="-2"/>
        </w:rPr>
        <w:t>机制建立以来，公司每年依据年度经营目标层层分解，对每位高级管理人员制定绩效考核指标，并进行过</w:t>
      </w:r>
      <w:r>
        <w:rPr>
          <w:spacing w:val="-43"/>
        </w:rPr>
        <w:t> </w:t>
      </w:r>
      <w:r>
        <w:rPr>
          <w:spacing w:val="-43"/>
        </w:rPr>
      </w:r>
      <w:r>
        <w:rPr/>
        <w:t>程监督、调控，促进公司目标达成。</w:t>
      </w:r>
    </w:p>
    <w:p>
      <w:pPr>
        <w:spacing w:line="240" w:lineRule="auto" w:before="8"/>
        <w:rPr>
          <w:rFonts w:ascii="宋体" w:hAnsi="宋体" w:cs="宋体" w:eastAsia="宋体" w:hint="default"/>
          <w:sz w:val="20"/>
          <w:szCs w:val="20"/>
        </w:rPr>
      </w:pPr>
    </w:p>
    <w:p>
      <w:pPr>
        <w:pStyle w:val="Heading3"/>
        <w:spacing w:line="240" w:lineRule="auto"/>
        <w:ind w:right="106"/>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06" w:firstLine="357"/>
        <w:jc w:val="left"/>
      </w:pPr>
      <w:r>
        <w:rPr>
          <w:spacing w:val="-1"/>
        </w:rPr>
        <w:t>公司总部年度培训计划由人力资源部组织制定，经审核、批准后，人力资源部正式发布并组织执行。</w:t>
      </w:r>
      <w:r>
        <w:rPr>
          <w:w w:val="100"/>
        </w:rPr>
        <w:t> </w:t>
      </w:r>
      <w:r>
        <w:rPr>
          <w:spacing w:val="-3"/>
        </w:rPr>
        <w:t>各办事处的年度计划由各办负责人制定，报总部审批后，由负责人组织实施。各部门根据本部门下年度工</w:t>
      </w:r>
      <w:r>
        <w:rPr/>
      </w:r>
    </w:p>
    <w:p>
      <w:pPr>
        <w:spacing w:after="0" w:line="408" w:lineRule="auto"/>
        <w:jc w:val="left"/>
        <w:sectPr>
          <w:pgSz w:w="11910" w:h="16840"/>
          <w:pgMar w:header="877" w:footer="982" w:top="1100" w:bottom="118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147"/>
        <w:jc w:val="both"/>
      </w:pPr>
      <w:bookmarkStart w:name="4、劳务外包情况" w:id="124"/>
      <w:bookmarkEnd w:id="124"/>
      <w:r>
        <w:rPr/>
      </w:r>
      <w:r>
        <w:rPr>
          <w:spacing w:val="-3"/>
        </w:rPr>
        <w:t>作计划，与部门内员工进行沟通交流后，拟定部门培训需求，并详细、完整地提交部门年度培训计划至人</w:t>
      </w:r>
      <w:r>
        <w:rPr>
          <w:spacing w:val="-11"/>
        </w:rPr>
        <w:t> </w:t>
      </w:r>
      <w:r>
        <w:rPr>
          <w:spacing w:val="-11"/>
        </w:rPr>
      </w:r>
      <w:r>
        <w:rPr>
          <w:spacing w:val="-2"/>
        </w:rPr>
        <w:t>力资源部部。部门年度培训计划需详细说明培训方式、培训时间、培训地点、培训内容、培训讲师、培训</w:t>
      </w:r>
      <w:r>
        <w:rPr>
          <w:spacing w:val="-42"/>
        </w:rPr>
        <w:t> </w:t>
      </w:r>
      <w:r>
        <w:rPr>
          <w:spacing w:val="-42"/>
        </w:rPr>
      </w:r>
      <w:r>
        <w:rPr/>
        <w:t>对象、培训预算、其它需协调事项等。</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346" w:right="3406"/>
        <w:jc w:val="center"/>
        <w:rPr>
          <w:b w:val="0"/>
          <w:bCs w:val="0"/>
        </w:rPr>
      </w:pPr>
      <w:bookmarkStart w:name="第九节 公司治理" w:id="125"/>
      <w:bookmarkEnd w:id="125"/>
      <w:r>
        <w:rPr>
          <w:b w:val="0"/>
          <w:bCs w:val="0"/>
        </w:rPr>
      </w:r>
      <w:bookmarkStart w:name="_bookmark7" w:id="126"/>
      <w:bookmarkEnd w:id="126"/>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w:t>
      </w:r>
      <w:bookmarkStart w:name="一、公司治理的基本状况" w:id="127"/>
      <w:bookmarkEnd w:id="127"/>
      <w:r>
        <w:rPr/>
        <w:t>的</w:t>
      </w:r>
      <w:r>
        <w:rPr/>
        <w:t>基本状况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2" w:right="106"/>
        <w:jc w:val="left"/>
      </w:pPr>
      <w:r>
        <w:rPr>
          <w:spacing w:val="-9"/>
        </w:rPr>
        <w:t>报告期内，公司严格按照《公司法》、《证券法》、《上市公司治理准则》、《创业板股票上市规则》、</w:t>
      </w:r>
    </w:p>
    <w:p>
      <w:pPr>
        <w:spacing w:line="240" w:lineRule="auto" w:before="10"/>
        <w:rPr>
          <w:rFonts w:ascii="宋体" w:hAnsi="宋体" w:cs="宋体" w:eastAsia="宋体" w:hint="default"/>
          <w:sz w:val="14"/>
          <w:szCs w:val="14"/>
        </w:rPr>
      </w:pPr>
    </w:p>
    <w:p>
      <w:pPr>
        <w:pStyle w:val="BodyText"/>
        <w:spacing w:line="408" w:lineRule="auto" w:before="0"/>
        <w:ind w:right="106"/>
        <w:jc w:val="left"/>
      </w:pPr>
      <w:r>
        <w:rPr>
          <w:spacing w:val="-2"/>
        </w:rPr>
        <w:t>《创业板上市公司规范运作指引》等相关法律法规、规范性文件的要求，不断提高公司规范运作水平，完</w:t>
      </w:r>
      <w:r>
        <w:rPr>
          <w:spacing w:val="-49"/>
        </w:rPr>
        <w:t> </w:t>
      </w:r>
      <w:r>
        <w:rPr>
          <w:spacing w:val="-49"/>
        </w:rPr>
      </w:r>
      <w:r>
        <w:rPr>
          <w:spacing w:val="-5"/>
        </w:rPr>
        <w:t>善公司法人治理结构，建立健全公司内部管理和控制制度，加强信息披露，积极开展投资者关系管理工作，</w:t>
      </w:r>
      <w:r>
        <w:rPr>
          <w:spacing w:val="-6"/>
        </w:rPr>
        <w:t> </w:t>
      </w:r>
      <w:r>
        <w:rPr>
          <w:spacing w:val="-6"/>
        </w:rPr>
      </w:r>
      <w:r>
        <w:rPr>
          <w:spacing w:val="-3"/>
        </w:rPr>
        <w:t>提升公司治理水平。公司按要求设立了股东大会、董事会、监事会和董事会下设的专门委员会。公司股东</w:t>
      </w:r>
      <w:r>
        <w:rPr>
          <w:spacing w:val="-14"/>
        </w:rPr>
        <w:t> </w:t>
      </w:r>
      <w:r>
        <w:rPr>
          <w:spacing w:val="-14"/>
        </w:rPr>
      </w:r>
      <w:r>
        <w:rPr>
          <w:spacing w:val="-3"/>
        </w:rPr>
        <w:t>大会、董事会、监事会和经营层责权分明，根据董事会、监事会议事规则及董事会专门委员会实施细则明</w:t>
      </w:r>
      <w:r>
        <w:rPr>
          <w:spacing w:val="-9"/>
        </w:rPr>
        <w:t> </w:t>
      </w:r>
      <w:r>
        <w:rPr>
          <w:spacing w:val="-9"/>
        </w:rPr>
      </w:r>
      <w:r>
        <w:rPr>
          <w:spacing w:val="-2"/>
        </w:rPr>
        <w:t>确了各级机构在决策、监督、执行等方面的职责权限、程序以及应履行的义务。同时，以规范岗位说明书</w:t>
      </w:r>
      <w:r>
        <w:rPr>
          <w:spacing w:val="-43"/>
        </w:rPr>
        <w:t> </w:t>
      </w:r>
      <w:r>
        <w:rPr>
          <w:spacing w:val="-43"/>
        </w:rPr>
      </w:r>
      <w:r>
        <w:rPr>
          <w:spacing w:val="-2"/>
        </w:rPr>
        <w:t>形式明确各部门、岗位的职责、权限和目标，建立完善严密的制衡和监督机制，确保公司各层级均在授权</w:t>
      </w:r>
      <w:r>
        <w:rPr>
          <w:spacing w:val="-47"/>
        </w:rPr>
        <w:t> </w:t>
      </w:r>
      <w:r>
        <w:rPr>
          <w:spacing w:val="-47"/>
        </w:rPr>
      </w:r>
      <w:r>
        <w:rPr/>
        <w:t>范围内履行职责，形成了科学有效、权责明确、相互制衡、相互协调的治理结构。</w:t>
      </w:r>
    </w:p>
    <w:p>
      <w:pPr>
        <w:pStyle w:val="BodyText"/>
        <w:spacing w:line="408" w:lineRule="auto" w:before="87"/>
        <w:ind w:right="207" w:firstLine="431"/>
        <w:jc w:val="both"/>
      </w:pPr>
      <w:r>
        <w:rPr>
          <w:spacing w:val="-3"/>
        </w:rPr>
        <w:t>报告期内，公司根据经营发展变化的实际情况，修订了《授权管理制度》，进一步提高了公司运行效</w:t>
      </w:r>
      <w:r>
        <w:rPr>
          <w:w w:val="100"/>
        </w:rPr>
        <w:t> </w:t>
      </w:r>
      <w:r>
        <w:rPr/>
        <w:t>率，有效控制公司的投资及财务决算风险，保护公司、股东的合法权益。</w:t>
      </w:r>
    </w:p>
    <w:p>
      <w:pPr>
        <w:spacing w:line="444" w:lineRule="auto" w:before="84"/>
        <w:ind w:left="575" w:right="106" w:firstLine="43"/>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、关于股东与股东大会</w:t>
      </w:r>
      <w:r>
        <w:rPr>
          <w:rFonts w:ascii="宋体" w:hAnsi="宋体" w:cs="宋体" w:eastAsia="宋体" w:hint="default"/>
          <w:b/>
          <w:bCs/>
          <w:w w:val="100"/>
          <w:sz w:val="21"/>
          <w:szCs w:val="21"/>
        </w:rPr>
        <w:t> </w:t>
      </w:r>
      <w:r>
        <w:rPr>
          <w:rFonts w:ascii="宋体" w:hAnsi="宋体" w:cs="宋体" w:eastAsia="宋体" w:hint="default"/>
          <w:spacing w:val="-3"/>
          <w:sz w:val="21"/>
          <w:szCs w:val="21"/>
        </w:rPr>
        <w:t>公司严格按照《公司法》、《上市公司股东大会规则》以及《公司章程》、《股东大会议事规则》和</w:t>
      </w:r>
      <w:r>
        <w:rPr>
          <w:rFonts w:ascii="宋体" w:hAnsi="宋体" w:cs="宋体" w:eastAsia="宋体" w:hint="default"/>
          <w:sz w:val="21"/>
          <w:szCs w:val="21"/>
        </w:rPr>
      </w:r>
    </w:p>
    <w:p>
      <w:pPr>
        <w:pStyle w:val="BodyText"/>
        <w:spacing w:line="408" w:lineRule="auto" w:before="14"/>
        <w:ind w:right="206"/>
        <w:jc w:val="both"/>
      </w:pPr>
      <w:r>
        <w:rPr>
          <w:spacing w:val="-2"/>
        </w:rPr>
        <w:t>深圳证券交易所创业板的相关规定和要求，规范股东大会的召集、召开和表决程序。报告期内，公司召开</w:t>
      </w:r>
      <w:r>
        <w:rPr>
          <w:spacing w:val="-47"/>
        </w:rPr>
        <w:t> </w:t>
      </w:r>
      <w:r>
        <w:rPr>
          <w:spacing w:val="-47"/>
        </w:rPr>
      </w:r>
      <w:r>
        <w:rPr>
          <w:spacing w:val="-2"/>
        </w:rPr>
        <w:t>的股东大会均由公司董事会召集召开，董事长主持，邀请见证律师进行现场见证并出具了法律意见书。股</w:t>
      </w:r>
      <w:r>
        <w:rPr>
          <w:spacing w:val="-43"/>
        </w:rPr>
        <w:t> </w:t>
      </w:r>
      <w:r>
        <w:rPr>
          <w:spacing w:val="-43"/>
        </w:rPr>
      </w:r>
      <w:r>
        <w:rPr>
          <w:spacing w:val="-2"/>
        </w:rPr>
        <w:t>东大会召开日同时进行股东大会网络投票。在股东大会上能够保证各位股东有充分的发言权，确保全体股</w:t>
      </w:r>
      <w:r>
        <w:rPr>
          <w:spacing w:val="-44"/>
        </w:rPr>
        <w:t> </w:t>
      </w:r>
      <w:r>
        <w:rPr>
          <w:spacing w:val="-44"/>
        </w:rPr>
      </w:r>
      <w:r>
        <w:rPr/>
        <w:t>东特别是中小股东享有平等地位，充分行使自己的权力。</w:t>
      </w:r>
    </w:p>
    <w:p>
      <w:pPr>
        <w:pStyle w:val="BodyText"/>
        <w:spacing w:line="408" w:lineRule="auto" w:before="87"/>
        <w:ind w:right="209" w:firstLine="480"/>
        <w:jc w:val="both"/>
      </w:pPr>
      <w:r>
        <w:rPr>
          <w:spacing w:val="-4"/>
        </w:rPr>
        <w:t>报告期内，本公司召开的股东大会不存在违反《上市公司股东大会规则》的情形，公司未发生单独或</w:t>
      </w:r>
      <w:r>
        <w:rPr>
          <w:w w:val="100"/>
        </w:rPr>
        <w:t> </w:t>
      </w:r>
      <w:r>
        <w:rPr/>
        <w:t>合并持有本公司有表决权股份总数</w:t>
      </w:r>
      <w:r>
        <w:rPr>
          <w:rFonts w:ascii="宋体" w:hAnsi="宋体" w:cs="宋体" w:eastAsia="宋体" w:hint="default"/>
        </w:rPr>
        <w:t>10%</w:t>
      </w:r>
      <w:r>
        <w:rPr/>
        <w:t>以上的股东请求召开临时股东大会的情形，也无应监事会提议召开</w:t>
      </w:r>
      <w:r>
        <w:rPr>
          <w:spacing w:val="-28"/>
        </w:rPr>
        <w:t> </w:t>
      </w:r>
      <w:r>
        <w:rPr>
          <w:spacing w:val="-28"/>
        </w:rPr>
      </w:r>
      <w:r>
        <w:rPr>
          <w:spacing w:val="-3"/>
        </w:rPr>
        <w:t>的股东大会。按照《公司法》、《公司章程》的规定应由股东大会审议的重大事项，本公司均通过股东大</w:t>
      </w:r>
      <w:r>
        <w:rPr>
          <w:spacing w:val="-11"/>
        </w:rPr>
        <w:t> </w:t>
      </w:r>
      <w:r>
        <w:rPr>
          <w:spacing w:val="-11"/>
        </w:rPr>
      </w:r>
      <w:r>
        <w:rPr/>
        <w:t>会审议，不存在绕过股东大会的情况，也不存在先实施后审议的情况。</w:t>
      </w:r>
    </w:p>
    <w:p>
      <w:pPr>
        <w:spacing w:line="444" w:lineRule="auto" w:before="84"/>
        <w:ind w:left="575" w:right="106" w:firstLine="43"/>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、关于公司与控股股东</w:t>
      </w:r>
      <w:r>
        <w:rPr>
          <w:rFonts w:ascii="宋体" w:hAnsi="宋体" w:cs="宋体" w:eastAsia="宋体" w:hint="default"/>
          <w:b/>
          <w:bCs/>
          <w:w w:val="100"/>
          <w:sz w:val="21"/>
          <w:szCs w:val="21"/>
        </w:rPr>
        <w:t> </w:t>
      </w:r>
      <w:r>
        <w:rPr>
          <w:rFonts w:ascii="宋体" w:hAnsi="宋体" w:cs="宋体" w:eastAsia="宋体" w:hint="default"/>
          <w:spacing w:val="-2"/>
          <w:sz w:val="21"/>
          <w:szCs w:val="21"/>
        </w:rPr>
        <w:t>公司控股股东黄元忠先生担任公司董事长兼总经理，其严格按照《上市公司治理准则》、《深圳证券</w:t>
      </w:r>
    </w:p>
    <w:p>
      <w:pPr>
        <w:pStyle w:val="BodyText"/>
        <w:spacing w:line="408" w:lineRule="auto" w:before="14"/>
        <w:ind w:right="206"/>
        <w:jc w:val="both"/>
      </w:pPr>
      <w:r>
        <w:rPr>
          <w:spacing w:val="-2"/>
        </w:rPr>
        <w:t>交易所创业板股票上市规则》、《深圳证券交易所创业板上市公司规范运作指引》、《公司章程》等规定</w:t>
      </w:r>
      <w:r>
        <w:rPr>
          <w:spacing w:val="-43"/>
        </w:rPr>
        <w:t> </w:t>
      </w:r>
      <w:r>
        <w:rPr>
          <w:spacing w:val="-43"/>
        </w:rPr>
      </w:r>
      <w:r>
        <w:rPr>
          <w:spacing w:val="-2"/>
        </w:rPr>
        <w:t>和要求，在担任公司董事长期间，严格规范自己的行为，不存在超越公司股东大会直接或间接干预公司的</w:t>
      </w:r>
      <w:r>
        <w:rPr>
          <w:spacing w:val="-43"/>
        </w:rPr>
        <w:t> </w:t>
      </w:r>
      <w:r>
        <w:rPr>
          <w:spacing w:val="-43"/>
        </w:rPr>
      </w:r>
      <w:r>
        <w:rPr>
          <w:spacing w:val="-2"/>
        </w:rPr>
        <w:t>决策和经营活动的行为，未损害公司及其他股东的利益，不存在控股股东占用公司资金的现象，公司亦无</w:t>
      </w:r>
    </w:p>
    <w:p>
      <w:pPr>
        <w:spacing w:after="0" w:line="408" w:lineRule="auto"/>
        <w:jc w:val="both"/>
        <w:sectPr>
          <w:pgSz w:w="11910" w:h="16840"/>
          <w:pgMar w:header="877" w:footer="982" w:top="1100" w:bottom="118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209"/>
        <w:jc w:val="both"/>
      </w:pPr>
      <w:r>
        <w:rPr>
          <w:spacing w:val="-2"/>
        </w:rPr>
        <w:t>为控股股东提供担保的情形。公司拥有独立完整的业务和自主经营能力，在业务、资产、人员、机构、财</w:t>
      </w:r>
      <w:r>
        <w:rPr>
          <w:spacing w:val="-45"/>
        </w:rPr>
        <w:t> </w:t>
      </w:r>
      <w:r>
        <w:rPr>
          <w:spacing w:val="-45"/>
        </w:rPr>
      </w:r>
      <w:r>
        <w:rPr/>
        <w:t>务上独立于控股股东，公司董事会、监事会和内部机构独立运作。</w:t>
      </w:r>
    </w:p>
    <w:p>
      <w:pPr>
        <w:pStyle w:val="BodyText"/>
        <w:spacing w:line="441" w:lineRule="auto" w:before="87"/>
        <w:ind w:left="512" w:right="106"/>
        <w:jc w:val="left"/>
      </w:pPr>
      <w:r>
        <w:rPr>
          <w:rFonts w:ascii="宋体" w:hAnsi="宋体" w:cs="宋体" w:eastAsia="宋体" w:hint="default"/>
          <w:b/>
          <w:bCs/>
        </w:rPr>
        <w:t>3</w:t>
      </w:r>
      <w:r>
        <w:rPr>
          <w:rFonts w:ascii="宋体" w:hAnsi="宋体" w:cs="宋体" w:eastAsia="宋体" w:hint="default"/>
          <w:b/>
          <w:bCs/>
        </w:rPr>
        <w:t>、关于董事与董事会</w:t>
      </w:r>
      <w:r>
        <w:rPr>
          <w:rFonts w:ascii="宋体" w:hAnsi="宋体" w:cs="宋体" w:eastAsia="宋体" w:hint="default"/>
          <w:b/>
          <w:bCs/>
          <w:spacing w:val="-103"/>
        </w:rPr>
        <w:t> </w:t>
      </w:r>
      <w:r>
        <w:rPr>
          <w:spacing w:val="-1"/>
        </w:rPr>
        <w:t>报告期内，根据《公司章程》、《独立董事制度》等相关制度规定，董事每届任期三年，董事任期届</w:t>
      </w:r>
    </w:p>
    <w:p>
      <w:pPr>
        <w:pStyle w:val="BodyText"/>
        <w:spacing w:line="408" w:lineRule="auto" w:before="17"/>
        <w:ind w:right="185"/>
        <w:jc w:val="both"/>
      </w:pPr>
      <w:r>
        <w:rPr>
          <w:spacing w:val="-2"/>
        </w:rPr>
        <w:t>满连选可连任，但连任时间不得超过六年。第二届董事会于</w:t>
      </w:r>
      <w:r>
        <w:rPr>
          <w:rFonts w:ascii="宋体" w:hAnsi="宋体" w:cs="宋体" w:eastAsia="宋体" w:hint="default"/>
          <w:spacing w:val="-2"/>
        </w:rPr>
        <w:t>2015</w:t>
      </w:r>
      <w:r>
        <w:rPr>
          <w:spacing w:val="-2"/>
        </w:rPr>
        <w:t>年</w:t>
      </w:r>
      <w:r>
        <w:rPr>
          <w:rFonts w:ascii="宋体" w:hAnsi="宋体" w:cs="宋体" w:eastAsia="宋体" w:hint="default"/>
          <w:spacing w:val="-2"/>
        </w:rPr>
        <w:t>07</w:t>
      </w:r>
      <w:r>
        <w:rPr>
          <w:spacing w:val="-2"/>
        </w:rPr>
        <w:t>月</w:t>
      </w:r>
      <w:r>
        <w:rPr>
          <w:rFonts w:ascii="宋体" w:hAnsi="宋体" w:cs="宋体" w:eastAsia="宋体" w:hint="default"/>
          <w:spacing w:val="-2"/>
        </w:rPr>
        <w:t>20</w:t>
      </w:r>
      <w:r>
        <w:rPr>
          <w:spacing w:val="-2"/>
        </w:rPr>
        <w:t>日任期届满。经公司董事长提名</w:t>
      </w:r>
      <w:r>
        <w:rPr>
          <w:spacing w:val="-43"/>
        </w:rPr>
        <w:t> </w:t>
      </w:r>
      <w:r>
        <w:rPr>
          <w:spacing w:val="-43"/>
        </w:rPr>
      </w:r>
      <w:r>
        <w:rPr>
          <w:spacing w:val="-2"/>
        </w:rPr>
        <w:t>及提名委员会审核任职资格，经第二届董事会第十八次会议、</w:t>
      </w:r>
      <w:r>
        <w:rPr>
          <w:rFonts w:ascii="宋体" w:hAnsi="宋体" w:cs="宋体" w:eastAsia="宋体" w:hint="default"/>
          <w:spacing w:val="-2"/>
        </w:rPr>
        <w:t>2015</w:t>
      </w:r>
      <w:r>
        <w:rPr>
          <w:spacing w:val="-2"/>
        </w:rPr>
        <w:t>年第二次临时股东大会审议通过，选举</w:t>
      </w:r>
      <w:r>
        <w:rPr>
          <w:spacing w:val="-40"/>
        </w:rPr>
        <w:t> </w:t>
      </w:r>
      <w:r>
        <w:rPr>
          <w:spacing w:val="-40"/>
        </w:rPr>
      </w:r>
      <w:r>
        <w:rPr>
          <w:spacing w:val="-2"/>
        </w:rPr>
        <w:t>出第三届董事会董事，公司董事选聘程序规范、透明，董事选聘过程公开、公平、独立，董事资料真实、</w:t>
      </w:r>
      <w:r>
        <w:rPr>
          <w:spacing w:val="-21"/>
        </w:rPr>
        <w:t> </w:t>
      </w:r>
      <w:r>
        <w:rPr>
          <w:spacing w:val="-21"/>
        </w:rPr>
      </w:r>
      <w:r>
        <w:rPr/>
        <w:t>完整，董事人选事前均获得相关部门审核，并签署书面承诺。</w:t>
      </w:r>
    </w:p>
    <w:p>
      <w:pPr>
        <w:pStyle w:val="BodyText"/>
        <w:spacing w:line="408" w:lineRule="auto" w:before="87"/>
        <w:ind w:right="206" w:firstLine="359"/>
        <w:jc w:val="both"/>
      </w:pPr>
      <w:r>
        <w:rPr>
          <w:spacing w:val="-1"/>
        </w:rPr>
        <w:t>公司第二届董事会设董事</w:t>
      </w:r>
      <w:r>
        <w:rPr>
          <w:rFonts w:ascii="宋体" w:hAnsi="宋体" w:cs="宋体" w:eastAsia="宋体" w:hint="default"/>
          <w:spacing w:val="-1"/>
        </w:rPr>
        <w:t>7</w:t>
      </w:r>
      <w:r>
        <w:rPr>
          <w:spacing w:val="-1"/>
        </w:rPr>
        <w:t>名，其中独立董事</w:t>
      </w:r>
      <w:r>
        <w:rPr>
          <w:rFonts w:ascii="宋体" w:hAnsi="宋体" w:cs="宋体" w:eastAsia="宋体" w:hint="default"/>
          <w:spacing w:val="-1"/>
        </w:rPr>
        <w:t>3</w:t>
      </w:r>
      <w:r>
        <w:rPr>
          <w:spacing w:val="-1"/>
        </w:rPr>
        <w:t>名，独董李亮、陈赛芝、高文舍均已获取上市公司独立</w:t>
      </w:r>
      <w:r>
        <w:rPr>
          <w:w w:val="100"/>
        </w:rPr>
        <w:t> </w:t>
      </w:r>
      <w:r>
        <w:rPr>
          <w:spacing w:val="-2"/>
        </w:rPr>
        <w:t>董事培训证书；第三届董事会设董事</w:t>
      </w:r>
      <w:r>
        <w:rPr>
          <w:rFonts w:ascii="宋体" w:hAnsi="宋体" w:cs="宋体" w:eastAsia="宋体" w:hint="default"/>
          <w:spacing w:val="-2"/>
        </w:rPr>
        <w:t>7</w:t>
      </w:r>
      <w:r>
        <w:rPr>
          <w:spacing w:val="-2"/>
        </w:rPr>
        <w:t>名，其中独立董事</w:t>
      </w:r>
      <w:r>
        <w:rPr>
          <w:rFonts w:ascii="宋体" w:hAnsi="宋体" w:cs="宋体" w:eastAsia="宋体" w:hint="default"/>
          <w:spacing w:val="-2"/>
        </w:rPr>
        <w:t>3</w:t>
      </w:r>
      <w:r>
        <w:rPr>
          <w:spacing w:val="-2"/>
        </w:rPr>
        <w:t>名，独董刘勇、陈伟强、许鲁光均已获取上市公</w:t>
      </w:r>
      <w:r>
        <w:rPr>
          <w:spacing w:val="-45"/>
        </w:rPr>
        <w:t> </w:t>
      </w:r>
      <w:r>
        <w:rPr>
          <w:spacing w:val="-45"/>
        </w:rPr>
      </w:r>
      <w:r>
        <w:rPr>
          <w:spacing w:val="-2"/>
        </w:rPr>
        <w:t>司独立董事培训证书。各届董事会的人数及人员构成符合法律、法规和《公司章程》的要求。各位董事能</w:t>
      </w:r>
      <w:r>
        <w:rPr>
          <w:spacing w:val="-43"/>
        </w:rPr>
        <w:t> </w:t>
      </w:r>
      <w:r>
        <w:rPr>
          <w:spacing w:val="-43"/>
        </w:rPr>
      </w:r>
      <w:r>
        <w:rPr>
          <w:spacing w:val="-2"/>
        </w:rPr>
        <w:t>够依据《公司章程》《董事会议事规则》、《独立董事制度》、《创业板上市公司规范运作指引》等规定</w:t>
      </w:r>
      <w:r>
        <w:rPr>
          <w:spacing w:val="-42"/>
        </w:rPr>
        <w:t> </w:t>
      </w:r>
      <w:r>
        <w:rPr>
          <w:spacing w:val="-42"/>
        </w:rPr>
      </w:r>
      <w:r>
        <w:rPr>
          <w:spacing w:val="-3"/>
        </w:rPr>
        <w:t>开展工作，出席董事会、董事会专门委员会和股东大会，勤勉尽责地履行职责和义务，同时积极参加相关</w:t>
      </w:r>
      <w:r>
        <w:rPr>
          <w:spacing w:val="-10"/>
        </w:rPr>
        <w:t> </w:t>
      </w:r>
      <w:r>
        <w:rPr>
          <w:spacing w:val="-10"/>
        </w:rPr>
      </w:r>
      <w:r>
        <w:rPr/>
        <w:t>培训，熟悉相关法律法规。</w:t>
      </w:r>
    </w:p>
    <w:p>
      <w:pPr>
        <w:pStyle w:val="BodyText"/>
        <w:spacing w:line="441" w:lineRule="auto" w:before="87"/>
        <w:ind w:left="572" w:right="106" w:firstLine="45"/>
        <w:jc w:val="left"/>
      </w:pPr>
      <w:r>
        <w:rPr>
          <w:rFonts w:ascii="宋体" w:hAnsi="宋体" w:cs="宋体" w:eastAsia="宋体" w:hint="default"/>
          <w:b/>
          <w:bCs/>
        </w:rPr>
        <w:t>4</w:t>
      </w:r>
      <w:r>
        <w:rPr>
          <w:rFonts w:ascii="宋体" w:hAnsi="宋体" w:cs="宋体" w:eastAsia="宋体" w:hint="default"/>
          <w:b/>
          <w:bCs/>
        </w:rPr>
        <w:t>、关于监事与监事会</w:t>
      </w:r>
      <w:r>
        <w:rPr>
          <w:rFonts w:ascii="宋体" w:hAnsi="宋体" w:cs="宋体" w:eastAsia="宋体" w:hint="default"/>
          <w:b/>
          <w:bCs/>
          <w:w w:val="100"/>
        </w:rPr>
        <w:t> </w:t>
      </w:r>
      <w:r>
        <w:rPr>
          <w:spacing w:val="-3"/>
        </w:rPr>
        <w:t>报告期内，根据《公司章程》等相关制度规定，监事每届任期三年，监事任期届满，连选可连任。第</w:t>
      </w:r>
      <w:r>
        <w:rPr/>
      </w:r>
    </w:p>
    <w:p>
      <w:pPr>
        <w:pStyle w:val="BodyText"/>
        <w:spacing w:line="408" w:lineRule="auto" w:before="17"/>
        <w:ind w:left="153" w:right="206" w:hanging="1"/>
        <w:jc w:val="both"/>
      </w:pPr>
      <w:r>
        <w:rPr>
          <w:spacing w:val="-2"/>
        </w:rPr>
        <w:t>二届监事会于</w:t>
      </w:r>
      <w:r>
        <w:rPr>
          <w:rFonts w:ascii="宋体" w:hAnsi="宋体" w:cs="宋体" w:eastAsia="宋体" w:hint="default"/>
          <w:spacing w:val="-2"/>
        </w:rPr>
        <w:t>2015</w:t>
      </w:r>
      <w:r>
        <w:rPr>
          <w:spacing w:val="-2"/>
        </w:rPr>
        <w:t>年</w:t>
      </w:r>
      <w:r>
        <w:rPr>
          <w:rFonts w:ascii="宋体" w:hAnsi="宋体" w:cs="宋体" w:eastAsia="宋体" w:hint="default"/>
          <w:spacing w:val="-2"/>
        </w:rPr>
        <w:t>07</w:t>
      </w:r>
      <w:r>
        <w:rPr>
          <w:spacing w:val="-2"/>
        </w:rPr>
        <w:t>月</w:t>
      </w:r>
      <w:r>
        <w:rPr>
          <w:rFonts w:ascii="宋体" w:hAnsi="宋体" w:cs="宋体" w:eastAsia="宋体" w:hint="default"/>
          <w:spacing w:val="-2"/>
        </w:rPr>
        <w:t>20</w:t>
      </w:r>
      <w:r>
        <w:rPr>
          <w:spacing w:val="-2"/>
        </w:rPr>
        <w:t>日任期届满。经第二届监事会提名，经第二届监事会第十七次会议、</w:t>
      </w:r>
      <w:r>
        <w:rPr>
          <w:rFonts w:ascii="宋体" w:hAnsi="宋体" w:cs="宋体" w:eastAsia="宋体" w:hint="default"/>
          <w:spacing w:val="-2"/>
        </w:rPr>
        <w:t>2015</w:t>
      </w:r>
      <w:r>
        <w:rPr>
          <w:spacing w:val="-2"/>
        </w:rPr>
        <w:t>年第</w:t>
      </w:r>
      <w:r>
        <w:rPr>
          <w:spacing w:val="-39"/>
        </w:rPr>
        <w:t> </w:t>
      </w:r>
      <w:r>
        <w:rPr>
          <w:spacing w:val="-2"/>
        </w:rPr>
        <w:t>二次临时股东大会审议，选举出第三届监事会非职工代表监事，与公司职工代表大会选举产生的职工监事</w:t>
      </w:r>
      <w:r>
        <w:rPr>
          <w:spacing w:val="-44"/>
        </w:rPr>
        <w:t> </w:t>
      </w:r>
      <w:r>
        <w:rPr>
          <w:spacing w:val="-44"/>
        </w:rPr>
      </w:r>
      <w:r>
        <w:rPr/>
        <w:t>共同组成公司第三届监事会。</w:t>
      </w:r>
    </w:p>
    <w:p>
      <w:pPr>
        <w:pStyle w:val="BodyText"/>
        <w:spacing w:line="408" w:lineRule="auto" w:before="87"/>
        <w:ind w:left="153" w:right="106" w:firstLine="419"/>
        <w:jc w:val="left"/>
      </w:pPr>
      <w:r>
        <w:rPr>
          <w:spacing w:val="-3"/>
        </w:rPr>
        <w:t>公司第二届监事会设监事</w:t>
      </w:r>
      <w:r>
        <w:rPr>
          <w:rFonts w:ascii="宋体" w:hAnsi="宋体" w:cs="宋体" w:eastAsia="宋体" w:hint="default"/>
          <w:spacing w:val="-3"/>
        </w:rPr>
        <w:t>3</w:t>
      </w:r>
      <w:r>
        <w:rPr>
          <w:spacing w:val="-3"/>
        </w:rPr>
        <w:t>名，其中职工代表监事</w:t>
      </w:r>
      <w:r>
        <w:rPr>
          <w:rFonts w:ascii="宋体" w:hAnsi="宋体" w:cs="宋体" w:eastAsia="宋体" w:hint="default"/>
          <w:spacing w:val="-3"/>
        </w:rPr>
        <w:t>1</w:t>
      </w:r>
      <w:r>
        <w:rPr>
          <w:spacing w:val="-3"/>
        </w:rPr>
        <w:t>名；第三届监事会设监事</w:t>
      </w:r>
      <w:r>
        <w:rPr>
          <w:rFonts w:ascii="宋体" w:hAnsi="宋体" w:cs="宋体" w:eastAsia="宋体" w:hint="default"/>
          <w:spacing w:val="-3"/>
        </w:rPr>
        <w:t>3</w:t>
      </w:r>
      <w:r>
        <w:rPr>
          <w:spacing w:val="-3"/>
        </w:rPr>
        <w:t>名，其中职工代表监事</w:t>
      </w:r>
      <w:r>
        <w:rPr>
          <w:rFonts w:ascii="宋体" w:hAnsi="宋体" w:cs="宋体" w:eastAsia="宋体" w:hint="default"/>
          <w:spacing w:val="-3"/>
        </w:rPr>
        <w:t>1</w:t>
      </w:r>
      <w:r>
        <w:rPr>
          <w:rFonts w:ascii="宋体" w:hAnsi="宋体" w:cs="宋体" w:eastAsia="宋体" w:hint="default"/>
          <w:w w:val="100"/>
        </w:rPr>
        <w:t> </w:t>
      </w:r>
      <w:r>
        <w:rPr>
          <w:spacing w:val="-2"/>
        </w:rPr>
        <w:t>名。监事会的人数和构成符合法律、法规的要求。公司监事会成员都具有相关专业知识和工作经验，各位</w:t>
      </w:r>
      <w:r>
        <w:rPr>
          <w:spacing w:val="-47"/>
        </w:rPr>
        <w:t> </w:t>
      </w:r>
      <w:r>
        <w:rPr>
          <w:spacing w:val="-47"/>
        </w:rPr>
      </w:r>
      <w:r>
        <w:rPr>
          <w:spacing w:val="-5"/>
        </w:rPr>
        <w:t>监事能够按照《公司章程》、《监事会议事规则》等规定的要求，认真履行自己的职责，对公司重大事项、</w:t>
      </w:r>
      <w:r>
        <w:rPr>
          <w:spacing w:val="-10"/>
        </w:rPr>
        <w:t> </w:t>
      </w:r>
      <w:r>
        <w:rPr>
          <w:spacing w:val="-10"/>
        </w:rPr>
      </w:r>
      <w:r>
        <w:rPr/>
        <w:t>财务状况以及董事、高管人员履行职责的合法合规性进行监督。</w:t>
      </w:r>
    </w:p>
    <w:p>
      <w:pPr>
        <w:spacing w:line="441" w:lineRule="auto" w:before="87"/>
        <w:ind w:left="632" w:right="106" w:hanging="15"/>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、关于绩效评价与激励约束机制</w:t>
      </w:r>
      <w:r>
        <w:rPr>
          <w:rFonts w:ascii="宋体" w:hAnsi="宋体" w:cs="宋体" w:eastAsia="宋体" w:hint="default"/>
          <w:b/>
          <w:bCs/>
          <w:w w:val="100"/>
          <w:sz w:val="21"/>
          <w:szCs w:val="21"/>
        </w:rPr>
        <w:t> </w:t>
      </w:r>
      <w:r>
        <w:rPr>
          <w:rFonts w:ascii="宋体" w:hAnsi="宋体" w:cs="宋体" w:eastAsia="宋体" w:hint="default"/>
          <w:spacing w:val="-4"/>
          <w:sz w:val="21"/>
          <w:szCs w:val="21"/>
        </w:rPr>
        <w:t>公司逐步完善公正、透明的高级管理人员的绩效考核标准和激励约束机制，高级管理人员的薪酬直接</w:t>
      </w:r>
    </w:p>
    <w:p>
      <w:pPr>
        <w:pStyle w:val="BodyText"/>
        <w:spacing w:line="408" w:lineRule="auto" w:before="17"/>
        <w:ind w:right="208"/>
        <w:jc w:val="both"/>
      </w:pPr>
      <w:r>
        <w:rPr>
          <w:spacing w:val="-2"/>
        </w:rPr>
        <w:t>与其业绩挂钩；高级管理人员的聘任公开、透明，符合法律、法规的规定。同时，为鼓励高级管理人员工</w:t>
      </w:r>
      <w:r>
        <w:rPr>
          <w:spacing w:val="-42"/>
        </w:rPr>
        <w:t> </w:t>
      </w:r>
      <w:r>
        <w:rPr>
          <w:spacing w:val="-42"/>
        </w:rPr>
      </w:r>
      <w:r>
        <w:rPr>
          <w:spacing w:val="-2"/>
        </w:rPr>
        <w:t>作方向与公司战略要求同步，公司还针对不同岗位制定了不同的绩效考核指标。公司严格按规定对高级管</w:t>
      </w:r>
      <w:r>
        <w:rPr>
          <w:spacing w:val="-44"/>
        </w:rPr>
        <w:t> </w:t>
      </w:r>
      <w:r>
        <w:rPr>
          <w:spacing w:val="-44"/>
        </w:rPr>
      </w:r>
      <w:r>
        <w:rPr>
          <w:spacing w:val="-2"/>
        </w:rPr>
        <w:t>理人员进行绩效评价与考核，在强化对高级管理人员的考评激励作用的同时，保证了公司近远期目标的达</w:t>
      </w:r>
      <w:r>
        <w:rPr>
          <w:spacing w:val="-44"/>
        </w:rPr>
        <w:t> </w:t>
      </w:r>
      <w:r>
        <w:rPr>
          <w:spacing w:val="-44"/>
        </w:rPr>
      </w:r>
      <w:r>
        <w:rPr/>
        <w:t>成。</w:t>
      </w:r>
    </w:p>
    <w:p>
      <w:pPr>
        <w:spacing w:after="0" w:line="408" w:lineRule="auto"/>
        <w:jc w:val="both"/>
        <w:sectPr>
          <w:pgSz w:w="11910" w:h="16840"/>
          <w:pgMar w:header="877" w:footer="982" w:top="1100" w:bottom="1180" w:left="980" w:right="920"/>
        </w:sectPr>
      </w:pPr>
    </w:p>
    <w:p>
      <w:pPr>
        <w:spacing w:line="240" w:lineRule="auto" w:before="9"/>
        <w:rPr>
          <w:rFonts w:ascii="宋体" w:hAnsi="宋体" w:cs="宋体" w:eastAsia="宋体" w:hint="default"/>
          <w:sz w:val="26"/>
          <w:szCs w:val="26"/>
        </w:rPr>
      </w:pPr>
    </w:p>
    <w:p>
      <w:pPr>
        <w:spacing w:line="444" w:lineRule="auto" w:before="36"/>
        <w:ind w:left="604" w:right="106" w:hanging="3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、关于信息披露与透明度</w:t>
      </w:r>
      <w:r>
        <w:rPr>
          <w:rFonts w:ascii="宋体" w:hAnsi="宋体" w:cs="宋体" w:eastAsia="宋体" w:hint="default"/>
          <w:b/>
          <w:bCs/>
          <w:w w:val="100"/>
          <w:sz w:val="21"/>
          <w:szCs w:val="21"/>
        </w:rPr>
        <w:t> </w:t>
      </w:r>
      <w:r>
        <w:rPr>
          <w:rFonts w:ascii="宋体" w:hAnsi="宋体" w:cs="宋体" w:eastAsia="宋体" w:hint="default"/>
          <w:spacing w:val="-3"/>
          <w:sz w:val="21"/>
          <w:szCs w:val="21"/>
        </w:rPr>
        <w:t>公司高度重视信息披露与投资者关系管理工作，严格按照《上市公司信息披露管理办法》、深圳证券</w:t>
      </w:r>
    </w:p>
    <w:p>
      <w:pPr>
        <w:pStyle w:val="BodyText"/>
        <w:spacing w:line="408" w:lineRule="auto" w:before="14"/>
        <w:ind w:right="106"/>
        <w:jc w:val="left"/>
      </w:pPr>
      <w:r>
        <w:rPr>
          <w:spacing w:val="-2"/>
        </w:rPr>
        <w:t>交易所创业板上市公司的信息披露格式指引等规定以及公司制定的《信息披露制度》、《投资者关系管理</w:t>
      </w:r>
      <w:r>
        <w:rPr>
          <w:spacing w:val="-44"/>
        </w:rPr>
        <w:t> </w:t>
      </w:r>
      <w:r>
        <w:rPr>
          <w:spacing w:val="-44"/>
        </w:rPr>
      </w:r>
      <w:r>
        <w:rPr>
          <w:spacing w:val="-5"/>
        </w:rPr>
        <w:t>制度》、《投资者接待和推广制度》、《重大信息内部报告制度》等操作文件的要求，真实、准确、完整、</w:t>
      </w:r>
      <w:r>
        <w:rPr>
          <w:spacing w:val="-24"/>
        </w:rPr>
        <w:t> </w:t>
      </w:r>
      <w:r>
        <w:rPr>
          <w:spacing w:val="-24"/>
        </w:rPr>
      </w:r>
      <w:r>
        <w:rPr>
          <w:spacing w:val="-2"/>
        </w:rPr>
        <w:t>及时地披露信息。同时，明确董事长为公司信息披露第一责任人，董事会秘书为信息披露负责人，证券部</w:t>
      </w:r>
      <w:r>
        <w:rPr>
          <w:spacing w:val="-47"/>
        </w:rPr>
        <w:t> </w:t>
      </w:r>
      <w:r>
        <w:rPr>
          <w:spacing w:val="-47"/>
        </w:rPr>
      </w:r>
      <w:r>
        <w:rPr>
          <w:spacing w:val="-4"/>
        </w:rPr>
        <w:t>负责信息披露日常事务。公司指定《证券时报》信息披露报纸，巨潮资讯网（</w:t>
      </w:r>
      <w:hyperlink r:id="rId13">
        <w:r>
          <w:rPr>
            <w:rFonts w:ascii="宋体" w:hAnsi="宋体" w:cs="宋体" w:eastAsia="宋体" w:hint="default"/>
            <w:spacing w:val="-4"/>
          </w:rPr>
          <w:t>http://www.cninfo.com.cn</w:t>
        </w:r>
      </w:hyperlink>
      <w:r>
        <w:rPr>
          <w:spacing w:val="-4"/>
        </w:rPr>
        <w:t>）</w:t>
      </w:r>
      <w:r>
        <w:rPr>
          <w:spacing w:val="-5"/>
        </w:rPr>
        <w:t> </w:t>
      </w:r>
      <w:r>
        <w:rPr/>
        <w:t>为信息披露网站。</w:t>
      </w:r>
      <w:r>
        <w:rPr>
          <w:spacing w:val="-4"/>
        </w:rPr>
        <w:t> </w:t>
      </w:r>
      <w:r>
        <w:rPr/>
        <w:t>公司上市以来，不断尝试更加有效、充分地开展投资者关系管理工作，指定专人负责</w:t>
      </w:r>
      <w:r>
        <w:rPr>
          <w:w w:val="100"/>
        </w:rPr>
        <w:t> </w:t>
      </w:r>
      <w:r>
        <w:rPr>
          <w:spacing w:val="-3"/>
        </w:rPr>
        <w:t>与投资者进行沟通和交流，设立了电话专线、专用邮箱等多种渠道，采取积极回复投资者咨询、接受投资</w:t>
      </w:r>
      <w:r>
        <w:rPr>
          <w:spacing w:val="-10"/>
        </w:rPr>
        <w:t> </w:t>
      </w:r>
      <w:r>
        <w:rPr>
          <w:spacing w:val="-10"/>
        </w:rPr>
      </w:r>
      <w:r>
        <w:rPr>
          <w:spacing w:val="-2"/>
        </w:rPr>
        <w:t>者来访与调研等多种形式。作为公众公司，在资本市场需要与投资者建立良性互动的关系，公司仍需要进</w:t>
      </w:r>
      <w:r>
        <w:rPr>
          <w:spacing w:val="-44"/>
        </w:rPr>
        <w:t> </w:t>
      </w:r>
      <w:r>
        <w:rPr>
          <w:spacing w:val="-44"/>
        </w:rPr>
      </w:r>
      <w:r>
        <w:rPr/>
        <w:t>一步加强投资者关系管理工作，以提高公司信息透明度，保障全体股东的合法权益。</w:t>
      </w:r>
    </w:p>
    <w:p>
      <w:pPr>
        <w:pStyle w:val="BodyText"/>
        <w:spacing w:line="441" w:lineRule="auto" w:before="87"/>
        <w:ind w:left="572" w:right="106"/>
        <w:jc w:val="left"/>
      </w:pPr>
      <w:r>
        <w:rPr>
          <w:rFonts w:ascii="宋体" w:hAnsi="宋体" w:cs="宋体" w:eastAsia="宋体" w:hint="default"/>
          <w:b/>
          <w:bCs/>
        </w:rPr>
        <w:t>7</w:t>
      </w:r>
      <w:r>
        <w:rPr>
          <w:rFonts w:ascii="宋体" w:hAnsi="宋体" w:cs="宋体" w:eastAsia="宋体" w:hint="default"/>
          <w:b/>
          <w:bCs/>
        </w:rPr>
        <w:t>、关于相关利益者</w:t>
      </w:r>
      <w:r>
        <w:rPr>
          <w:rFonts w:ascii="宋体" w:hAnsi="宋体" w:cs="宋体" w:eastAsia="宋体" w:hint="default"/>
          <w:b/>
          <w:bCs/>
          <w:spacing w:val="-103"/>
        </w:rPr>
        <w:t> </w:t>
      </w:r>
      <w:r>
        <w:rPr>
          <w:spacing w:val="-2"/>
        </w:rPr>
        <w:t>公司充分尊重和维护相关利益者的合法权益，重视公司的社会责任，积极与相关利益者合作，加强与</w:t>
      </w:r>
    </w:p>
    <w:p>
      <w:pPr>
        <w:pStyle w:val="BodyText"/>
        <w:spacing w:line="427" w:lineRule="auto" w:before="17"/>
        <w:ind w:left="575" w:right="106" w:hanging="423"/>
        <w:jc w:val="left"/>
      </w:pPr>
      <w:r>
        <w:rPr/>
        <w:t>各方的沟通和交流，实现股东、员工、社会等各方利益的协调平衡，共同推动公司持续、健康的发展。</w:t>
      </w:r>
      <w:r>
        <w:rPr>
          <w:w w:val="100"/>
        </w:rPr>
        <w:t> </w:t>
      </w:r>
      <w:r>
        <w:rPr>
          <w:rFonts w:ascii="宋体" w:hAnsi="宋体" w:cs="宋体" w:eastAsia="宋体" w:hint="default"/>
          <w:b/>
          <w:bCs/>
        </w:rPr>
        <w:t>8</w:t>
      </w:r>
      <w:r>
        <w:rPr>
          <w:rFonts w:ascii="宋体" w:hAnsi="宋体" w:cs="宋体" w:eastAsia="宋体" w:hint="default"/>
          <w:b/>
          <w:bCs/>
        </w:rPr>
        <w:t>、投资者关系管理</w:t>
      </w:r>
      <w:r>
        <w:rPr>
          <w:rFonts w:ascii="宋体" w:hAnsi="宋体" w:cs="宋体" w:eastAsia="宋体" w:hint="default"/>
          <w:b/>
          <w:bCs/>
          <w:w w:val="100"/>
        </w:rPr>
        <w:t> </w:t>
      </w:r>
      <w:r>
        <w:rPr>
          <w:spacing w:val="-3"/>
        </w:rPr>
        <w:t>投资者关系工作是一项长期、持续的重要工作，公司不断学习先进投资者关系管理经验，便于以更好</w:t>
      </w:r>
      <w:r>
        <w:rPr/>
      </w:r>
    </w:p>
    <w:p>
      <w:pPr>
        <w:pStyle w:val="BodyText"/>
        <w:spacing w:line="408" w:lineRule="auto" w:before="29"/>
        <w:ind w:right="206"/>
        <w:jc w:val="both"/>
      </w:pPr>
      <w:r>
        <w:rPr>
          <w:spacing w:val="-2"/>
        </w:rPr>
        <w:t>的方式和途径使广大投资者能够平等地获取公司经营管理、未来发展等信息，构建与投资者的良好互动关</w:t>
      </w:r>
      <w:r>
        <w:rPr>
          <w:spacing w:val="-44"/>
        </w:rPr>
        <w:t> </w:t>
      </w:r>
      <w:r>
        <w:rPr>
          <w:spacing w:val="-44"/>
        </w:rPr>
      </w:r>
      <w:r>
        <w:rPr>
          <w:spacing w:val="-2"/>
        </w:rPr>
        <w:t>系，树立公司在资本市场的规范形象。报告期内，公司严格执行《投资者关系管理制度》，认真做好投资</w:t>
      </w:r>
      <w:r>
        <w:rPr>
          <w:spacing w:val="-42"/>
        </w:rPr>
        <w:t> </w:t>
      </w:r>
      <w:r>
        <w:rPr>
          <w:spacing w:val="-42"/>
        </w:rPr>
      </w:r>
      <w:r>
        <w:rPr/>
        <w:t>者关系管理工作。</w:t>
      </w:r>
    </w:p>
    <w:p>
      <w:pPr>
        <w:pStyle w:val="BodyText"/>
        <w:spacing w:line="408" w:lineRule="auto" w:before="84"/>
        <w:ind w:right="208" w:firstLine="480"/>
        <w:jc w:val="both"/>
      </w:pPr>
      <w:r>
        <w:rPr>
          <w:spacing w:val="-2"/>
        </w:rPr>
        <w:t>（</w:t>
      </w:r>
      <w:r>
        <w:rPr>
          <w:rFonts w:ascii="宋体" w:hAnsi="宋体" w:cs="宋体" w:eastAsia="宋体" w:hint="default"/>
          <w:spacing w:val="-2"/>
        </w:rPr>
        <w:t>1</w:t>
      </w:r>
      <w:r>
        <w:rPr>
          <w:spacing w:val="-2"/>
        </w:rPr>
        <w:t>）公司指定董事会秘书作为投资者关系管理的负责人，负责投资者来访接待工作，合理、妥善地</w:t>
      </w:r>
      <w:r>
        <w:rPr>
          <w:w w:val="100"/>
        </w:rPr>
        <w:t> </w:t>
      </w:r>
      <w:r>
        <w:rPr>
          <w:spacing w:val="-2"/>
        </w:rPr>
        <w:t>安排个人投资者、机构投资者、行业分析师等相关人员到公司进行调研，做好调研的会议记录和相关信息</w:t>
      </w:r>
      <w:r>
        <w:rPr>
          <w:spacing w:val="-46"/>
        </w:rPr>
        <w:t> </w:t>
      </w:r>
      <w:r>
        <w:rPr>
          <w:spacing w:val="-46"/>
        </w:rPr>
      </w:r>
      <w:r>
        <w:rPr/>
        <w:t>的保密工作，并对调研会议记录上传深交所报备，公司进行存档保管。</w:t>
      </w:r>
    </w:p>
    <w:p>
      <w:pPr>
        <w:pStyle w:val="BodyText"/>
        <w:spacing w:line="408" w:lineRule="auto"/>
        <w:ind w:right="230" w:firstLine="480"/>
        <w:jc w:val="both"/>
      </w:pPr>
      <w:r>
        <w:rPr>
          <w:spacing w:val="-2"/>
        </w:rPr>
        <w:t>（</w:t>
      </w:r>
      <w:r>
        <w:rPr>
          <w:rFonts w:ascii="宋体" w:hAnsi="宋体" w:cs="宋体" w:eastAsia="宋体" w:hint="default"/>
          <w:spacing w:val="-2"/>
        </w:rPr>
        <w:t>2</w:t>
      </w:r>
      <w:r>
        <w:rPr>
          <w:spacing w:val="-2"/>
        </w:rPr>
        <w:t>）通过公司网站、投资者关系管理电话、电子信箱、互动平台等多种渠道与投资者加强沟通，尽</w:t>
      </w:r>
      <w:r>
        <w:rPr>
          <w:w w:val="100"/>
        </w:rPr>
        <w:t> </w:t>
      </w:r>
      <w:r>
        <w:rPr/>
        <w:t>职解答投资者的疑问。</w:t>
      </w:r>
    </w:p>
    <w:p>
      <w:pPr>
        <w:pStyle w:val="BodyText"/>
        <w:spacing w:line="444" w:lineRule="auto"/>
        <w:ind w:left="632" w:right="106"/>
        <w:jc w:val="left"/>
      </w:pPr>
      <w:r>
        <w:rPr/>
        <w:t>（</w:t>
      </w:r>
      <w:r>
        <w:rPr>
          <w:rFonts w:ascii="宋体" w:hAnsi="宋体" w:cs="宋体" w:eastAsia="宋体" w:hint="default"/>
        </w:rPr>
        <w:t>3</w:t>
      </w:r>
      <w:r>
        <w:rPr/>
        <w:t>）报告期内公司治理专项活动开展情况</w:t>
      </w:r>
      <w:r>
        <w:rPr>
          <w:spacing w:val="-3"/>
          <w:w w:val="100"/>
        </w:rPr>
        <w:t> </w:t>
      </w:r>
      <w:r>
        <w:rPr>
          <w:spacing w:val="-4"/>
        </w:rPr>
        <w:t>报告期内，公司证券事务部组织全体董事、监事、高级管理人员开展了《内幕交易防控》、《董监高</w:t>
      </w:r>
    </w:p>
    <w:p>
      <w:pPr>
        <w:pStyle w:val="BodyText"/>
        <w:spacing w:line="408" w:lineRule="auto" w:before="14"/>
        <w:ind w:left="212" w:right="209"/>
        <w:jc w:val="both"/>
      </w:pPr>
      <w:r>
        <w:rPr>
          <w:spacing w:val="-4"/>
        </w:rPr>
        <w:t>股票操作法律法规》、《董监高行为规范》等培训讲座，组织董监高等参加深圳上市公司信息披露、基础</w:t>
      </w:r>
      <w:r>
        <w:rPr>
          <w:spacing w:val="-13"/>
        </w:rPr>
        <w:t> </w:t>
      </w:r>
      <w:r>
        <w:rPr>
          <w:spacing w:val="-13"/>
        </w:rPr>
      </w:r>
      <w:r>
        <w:rPr>
          <w:spacing w:val="-4"/>
        </w:rPr>
        <w:t>法律法规培训及财务会计基础工作专项会议，强化法制意识，加强了公司全体董监高及财务人员的内幕交</w:t>
      </w:r>
      <w:r>
        <w:rPr>
          <w:spacing w:val="-24"/>
        </w:rPr>
        <w:t> </w:t>
      </w:r>
      <w:r>
        <w:rPr>
          <w:spacing w:val="-24"/>
        </w:rPr>
      </w:r>
      <w:r>
        <w:rPr/>
        <w:t>易防控意识。通过培训学习，吸收消化典型案例，为公司规范运作打下良好的基础。</w:t>
      </w:r>
    </w:p>
    <w:p>
      <w:pPr>
        <w:pStyle w:val="BodyText"/>
        <w:spacing w:line="240" w:lineRule="auto" w:before="87"/>
        <w:ind w:left="632" w:right="106"/>
        <w:jc w:val="left"/>
      </w:pPr>
      <w:r>
        <w:rPr>
          <w:spacing w:val="-4"/>
        </w:rPr>
        <w:t>截至本报告期末，公司依法运作，未出现违法、违规现象，能够切实履行应尽的职责和义务，公司治</w:t>
      </w:r>
      <w:r>
        <w:rPr/>
      </w:r>
    </w:p>
    <w:p>
      <w:pPr>
        <w:spacing w:after="0" w:line="240" w:lineRule="auto"/>
        <w:jc w:val="left"/>
        <w:sectPr>
          <w:pgSz w:w="11910" w:h="16840"/>
          <w:pgMar w:header="877" w:footer="982" w:top="1100" w:bottom="118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0" w:firstLine="60"/>
        <w:jc w:val="left"/>
      </w:pPr>
      <w:bookmarkStart w:name="三、同业竞争情况" w:id="128"/>
      <w:bookmarkEnd w:id="128"/>
      <w:r>
        <w:rPr/>
      </w:r>
      <w:r>
        <w:rPr>
          <w:spacing w:val="-2"/>
        </w:rPr>
        <w:t>理的实际状况符合中国证监会《上市公司治理准则》和深圳证券交易所《创业板上市公司规范运作指引》</w:t>
      </w:r>
      <w:r>
        <w:rPr>
          <w:spacing w:val="-81"/>
        </w:rPr>
        <w:t> </w:t>
      </w:r>
      <w:r>
        <w:rPr>
          <w:spacing w:val="-81"/>
        </w:rPr>
      </w:r>
      <w:r>
        <w:rPr>
          <w:spacing w:val="-4"/>
        </w:rPr>
        <w:t>的要求，不存在尚未解决的公司治理问题。不存在因部分改制、行业特性、国家政策或收购兼并等原因导</w:t>
      </w:r>
      <w:r>
        <w:rPr>
          <w:spacing w:val="-14"/>
        </w:rPr>
        <w:t> </w:t>
      </w:r>
      <w:r>
        <w:rPr>
          <w:spacing w:val="-14"/>
        </w:rPr>
      </w:r>
      <w:r>
        <w:rPr/>
        <w:t>致的同业竞争和关联交易问题。</w:t>
      </w:r>
    </w:p>
    <w:p>
      <w:pPr>
        <w:spacing w:line="240" w:lineRule="auto" w:before="2"/>
        <w:rPr>
          <w:rFonts w:ascii="宋体" w:hAnsi="宋体" w:cs="宋体" w:eastAsia="宋体" w:hint="default"/>
          <w:sz w:val="29"/>
          <w:szCs w:val="2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7"/>
        <w:ind w:left="152" w:right="2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w:t>
      </w:r>
      <w:bookmarkStart w:name="二、公司相对于控股股东在业务、人员、资产、机构、财务等方面的独立情况" w:id="129"/>
      <w:bookmarkEnd w:id="129"/>
      <w:r>
        <w:rPr/>
        <w:t>务、</w:t>
      </w:r>
      <w:r>
        <w:rPr/>
        <w:t>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87" w:firstLine="379"/>
        <w:jc w:val="both"/>
      </w:pPr>
      <w:r>
        <w:rPr>
          <w:spacing w:val="-1"/>
        </w:rPr>
        <w:t>公司自成立以来严格按照《公司法》、《证券法》等相关法律法规和《公司章程》的要求规范运作，</w:t>
      </w:r>
      <w:r>
        <w:rPr>
          <w:w w:val="100"/>
        </w:rPr>
        <w:t> </w:t>
      </w:r>
      <w:r>
        <w:rPr>
          <w:spacing w:val="-2"/>
        </w:rPr>
        <w:t>在业务、资产、人员、机构和财务等方面与公司股东相互独立，保证了公司人员独立、资产完整、财务独</w:t>
      </w:r>
      <w:r>
        <w:rPr>
          <w:spacing w:val="-42"/>
        </w:rPr>
        <w:t> </w:t>
      </w:r>
      <w:r>
        <w:rPr>
          <w:spacing w:val="-42"/>
        </w:rPr>
      </w:r>
      <w:r>
        <w:rPr/>
        <w:t>立、机构独立运作和业务独立完整，具备面向市场自主经营的能力。</w:t>
      </w:r>
    </w:p>
    <w:p>
      <w:pPr>
        <w:pStyle w:val="BodyText"/>
        <w:spacing w:line="408" w:lineRule="auto" w:before="87"/>
        <w:ind w:left="153" w:right="186" w:firstLine="422"/>
        <w:jc w:val="both"/>
      </w:pPr>
      <w:r>
        <w:rPr>
          <w:rFonts w:ascii="宋体" w:hAnsi="宋体" w:cs="宋体" w:eastAsia="宋体" w:hint="default"/>
        </w:rPr>
        <w:t>1</w:t>
      </w:r>
      <w:r>
        <w:rPr/>
        <w:t>、人员独立：公司的董事、监事均严格按照《公司法》、《公司章程》的有关规定选举，</w:t>
      </w:r>
      <w:r>
        <w:rPr>
          <w:spacing w:val="-23"/>
        </w:rPr>
        <w:t> </w:t>
      </w:r>
      <w:r>
        <w:rPr>
          <w:spacing w:val="-3"/>
        </w:rPr>
        <w:t>履行了合</w:t>
      </w:r>
      <w:r>
        <w:rPr>
          <w:spacing w:val="-3"/>
          <w:w w:val="100"/>
        </w:rPr>
        <w:t> </w:t>
      </w:r>
      <w:r>
        <w:rPr>
          <w:spacing w:val="-2"/>
        </w:rPr>
        <w:t>法程序；公司的人事及工资管理与股东完全分开，总经理、副总经理、董事会秘书、财务负责人等高级管</w:t>
      </w:r>
      <w:r>
        <w:rPr>
          <w:spacing w:val="-49"/>
        </w:rPr>
        <w:t> </w:t>
      </w:r>
      <w:r>
        <w:rPr>
          <w:spacing w:val="-49"/>
        </w:rPr>
      </w:r>
      <w:r>
        <w:rPr>
          <w:spacing w:val="-2"/>
        </w:rPr>
        <w:t>理人员均未在股东单位兼职或领取薪酬；公司在员工管理、社会保障、工资报酬等方面独立于股东和其他</w:t>
      </w:r>
      <w:r>
        <w:rPr>
          <w:spacing w:val="-44"/>
        </w:rPr>
        <w:t> </w:t>
      </w:r>
      <w:r>
        <w:rPr>
          <w:spacing w:val="-44"/>
        </w:rPr>
      </w:r>
      <w:r>
        <w:rPr/>
        <w:t>关联方。</w:t>
      </w:r>
    </w:p>
    <w:p>
      <w:pPr>
        <w:pStyle w:val="BodyText"/>
        <w:spacing w:line="408" w:lineRule="auto" w:before="87"/>
        <w:ind w:left="153" w:right="196" w:firstLine="422"/>
        <w:jc w:val="both"/>
      </w:pPr>
      <w:r>
        <w:rPr>
          <w:rFonts w:ascii="宋体" w:hAnsi="宋体" w:cs="宋体" w:eastAsia="宋体" w:hint="default"/>
        </w:rPr>
        <w:t>2</w:t>
      </w:r>
      <w:r>
        <w:rPr/>
        <w:t>、资产独立：公司拥有独立、完整的生产经营场所及商标，不存在资产资金被股东占用而损害公司</w:t>
      </w:r>
      <w:r>
        <w:rPr>
          <w:w w:val="100"/>
        </w:rPr>
        <w:t> </w:t>
      </w:r>
      <w:r>
        <w:rPr/>
        <w:t>利益的情况。</w:t>
      </w:r>
    </w:p>
    <w:p>
      <w:pPr>
        <w:pStyle w:val="BodyText"/>
        <w:spacing w:line="408" w:lineRule="auto" w:before="84"/>
        <w:ind w:left="153" w:right="196" w:firstLine="422"/>
        <w:jc w:val="both"/>
      </w:pPr>
      <w:r>
        <w:rPr>
          <w:rFonts w:ascii="宋体" w:hAnsi="宋体" w:cs="宋体" w:eastAsia="宋体" w:hint="default"/>
        </w:rPr>
        <w:t>3</w:t>
      </w:r>
      <w:r>
        <w:rPr/>
        <w:t>、财务独立：公司设有独立的财务会计部门，配备了专门的财务人员，建立了符合有关会计制度要</w:t>
      </w:r>
      <w:r>
        <w:rPr>
          <w:w w:val="100"/>
        </w:rPr>
        <w:t> </w:t>
      </w:r>
      <w:r>
        <w:rPr/>
        <w:t>求、独立的会计核算体系和财务管理制度。</w:t>
      </w:r>
    </w:p>
    <w:p>
      <w:pPr>
        <w:pStyle w:val="BodyText"/>
        <w:spacing w:line="408" w:lineRule="auto" w:before="87"/>
        <w:ind w:left="153" w:right="196" w:firstLine="422"/>
        <w:jc w:val="both"/>
      </w:pPr>
      <w:r>
        <w:rPr>
          <w:rFonts w:ascii="宋体" w:hAnsi="宋体" w:cs="宋体" w:eastAsia="宋体" w:hint="default"/>
        </w:rPr>
        <w:t>4</w:t>
      </w:r>
      <w:r>
        <w:rPr/>
        <w:t>、机构独立：公司健全了股东大会、董事会、监事会等法人治理机构，各组织机构依法行使各自的</w:t>
      </w:r>
      <w:r>
        <w:rPr>
          <w:w w:val="100"/>
        </w:rPr>
        <w:t> </w:t>
      </w:r>
      <w:r>
        <w:rPr>
          <w:spacing w:val="-3"/>
        </w:rPr>
        <w:t>职权；公司建立了独立的、适应自身发展需要的组织机构，制订了完善的岗位职责和管理制度，各部门按</w:t>
      </w:r>
      <w:r>
        <w:rPr>
          <w:spacing w:val="-12"/>
        </w:rPr>
        <w:t> </w:t>
      </w:r>
      <w:r>
        <w:rPr>
          <w:spacing w:val="-12"/>
        </w:rPr>
      </w:r>
      <w:r>
        <w:rPr/>
        <w:t>照规定的职责独立运作。</w:t>
      </w:r>
    </w:p>
    <w:p>
      <w:pPr>
        <w:pStyle w:val="BodyText"/>
        <w:spacing w:line="408" w:lineRule="auto" w:before="84"/>
        <w:ind w:left="153" w:right="189" w:firstLine="422"/>
        <w:jc w:val="both"/>
      </w:pPr>
      <w:r>
        <w:rPr>
          <w:rFonts w:ascii="宋体" w:hAnsi="宋体" w:cs="宋体" w:eastAsia="宋体" w:hint="default"/>
        </w:rPr>
        <w:t>5</w:t>
      </w:r>
      <w:r>
        <w:rPr/>
        <w:t>、业务独立：公司已经建立了符合现代企业制度要求的法人治理结构和内部组织结构，</w:t>
      </w:r>
      <w:r>
        <w:rPr>
          <w:spacing w:val="-22"/>
        </w:rPr>
        <w:t> </w:t>
      </w:r>
      <w:r>
        <w:rPr>
          <w:spacing w:val="-3"/>
        </w:rPr>
        <w:t>在经营管理</w:t>
      </w:r>
      <w:r>
        <w:rPr>
          <w:spacing w:val="-3"/>
          <w:w w:val="100"/>
        </w:rPr>
        <w:t> </w:t>
      </w:r>
      <w:r>
        <w:rPr>
          <w:spacing w:val="-2"/>
        </w:rPr>
        <w:t>上独立运作。公司独立对外签订合同，开展业务，形成了独立完整的业务体系，具备面向市场自主经营的</w:t>
      </w:r>
      <w:r>
        <w:rPr>
          <w:spacing w:val="-47"/>
        </w:rPr>
        <w:t> </w:t>
      </w:r>
      <w:r>
        <w:rPr>
          <w:spacing w:val="-47"/>
        </w:rPr>
      </w:r>
      <w:r>
        <w:rPr/>
        <w:t>能力。</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9"/>
        <w:rPr>
          <w:rFonts w:ascii="宋体" w:hAnsi="宋体" w:cs="宋体" w:eastAsia="宋体" w:hint="default"/>
          <w:sz w:val="19"/>
          <w:szCs w:val="19"/>
        </w:rPr>
      </w:pPr>
    </w:p>
    <w:p>
      <w:pPr>
        <w:pStyle w:val="Heading2"/>
        <w:spacing w:line="240" w:lineRule="auto" w:before="26"/>
        <w:ind w:left="252" w:right="0"/>
        <w:jc w:val="left"/>
        <w:rPr>
          <w:b w:val="0"/>
          <w:bCs w:val="0"/>
        </w:rPr>
      </w:pPr>
      <w:bookmarkStart w:name="2、独立董事对公司有关事项提出异议的情况" w:id="130"/>
      <w:bookmarkEnd w:id="130"/>
      <w:r>
        <w:rPr>
          <w:b w:val="0"/>
          <w:bCs w:val="0"/>
        </w:rPr>
      </w:r>
      <w:bookmarkStart w:name="3、独立董事履行职责的其他说明" w:id="131"/>
      <w:bookmarkEnd w:id="131"/>
      <w:r>
        <w:rPr>
          <w:b w:val="0"/>
          <w:bCs w:val="0"/>
        </w:rPr>
      </w:r>
      <w:r>
        <w:rPr/>
        <w:t>四</w:t>
      </w:r>
      <w:bookmarkStart w:name="四、报告期内召开的年度股东大会和临时股东大会的有关情况" w:id="132"/>
      <w:bookmarkEnd w:id="132"/>
      <w:r>
        <w:rPr/>
        <w:t>、</w:t>
      </w:r>
      <w:r>
        <w:rPr/>
        <w:t>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52" w:right="0"/>
        <w:jc w:val="left"/>
        <w:rPr>
          <w:b w:val="0"/>
          <w:bCs w:val="0"/>
        </w:rPr>
      </w:pPr>
      <w:r>
        <w:rPr>
          <w:rFonts w:ascii="Times New Roman" w:hAnsi="Times New Roman" w:cs="Times New Roman" w:eastAsia="Times New Roman" w:hint="default"/>
        </w:rPr>
        <w:t>1</w:t>
      </w:r>
      <w:bookmarkStart w:name="1、本报告期股东大会情况" w:id="133"/>
      <w:bookmarkEnd w:id="133"/>
      <w:r>
        <w:rPr>
          <w:rFonts w:ascii="Times New Roman" w:hAnsi="Times New Roman" w:cs="Times New Roman" w:eastAsia="Times New Roman" w:hint="default"/>
        </w:rPr>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268"/>
        <w:gridCol w:w="1277"/>
        <w:gridCol w:w="1380"/>
        <w:gridCol w:w="1596"/>
        <w:gridCol w:w="1560"/>
        <w:gridCol w:w="1627"/>
      </w:tblGrid>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27" w:type="dxa"/>
            <w:vMerge/>
            <w:tcBorders>
              <w:left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27" w:type="dxa"/>
            <w:vMerge/>
            <w:tcBorders>
              <w:left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0.17</w:t>
            </w:r>
            <w:r>
              <w:rPr>
                <w:rFonts w:ascii="宋体" w:hAnsi="宋体" w:cs="宋体" w:eastAsia="宋体"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2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left="252" w:right="0"/>
        <w:jc w:val="left"/>
        <w:rPr>
          <w:b w:val="0"/>
          <w:bCs w:val="0"/>
        </w:rPr>
      </w:pPr>
      <w:r>
        <w:rPr>
          <w:rFonts w:ascii="Times New Roman" w:hAnsi="Times New Roman" w:cs="Times New Roman" w:eastAsia="Times New Roman" w:hint="default"/>
        </w:rPr>
        <w:t>2</w:t>
      </w:r>
      <w:r>
        <w:rPr/>
        <w:t>、表决权恢复的优先股股</w:t>
      </w:r>
      <w:bookmarkStart w:name="2、表决权恢复的优先股股东请求召开临时股东大会" w:id="134"/>
      <w:bookmarkEnd w:id="134"/>
      <w:r>
        <w:rPr/>
        <w:t>东请求召开临时股</w:t>
      </w:r>
      <w:r>
        <w:rPr/>
        <w:t>东大会</w:t>
      </w:r>
      <w:r>
        <w:rPr>
          <w:b w:val="0"/>
          <w:bCs w:val="0"/>
        </w:rPr>
      </w:r>
    </w:p>
    <w:p>
      <w:pPr>
        <w:spacing w:line="240" w:lineRule="auto" w:before="2"/>
        <w:rPr>
          <w:rFonts w:ascii="宋体" w:hAnsi="宋体" w:cs="宋体" w:eastAsia="宋体" w:hint="default"/>
          <w:b/>
          <w:bCs/>
          <w:sz w:val="26"/>
          <w:szCs w:val="26"/>
        </w:rPr>
      </w:pPr>
    </w:p>
    <w:p>
      <w:pPr>
        <w:spacing w:before="0"/>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252"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52"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247"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bookmarkStart w:name="五、报告期内独立董事履行职责的情况" w:id="135"/>
            <w:bookmarkEnd w:id="135"/>
            <w:r>
              <w:rPr/>
            </w:r>
            <w:bookmarkStart w:name="1、独立董事出席董事会及股东大会的情况" w:id="136"/>
            <w:bookmarkEnd w:id="136"/>
            <w:r>
              <w:rPr/>
            </w: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06"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李亮</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1"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陈赛芝</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高文舍</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1"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刘勇</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陈伟强</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1"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许鲁光</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r>
    </w:tbl>
    <w:p>
      <w:pPr>
        <w:spacing w:line="240" w:lineRule="auto" w:before="3"/>
        <w:rPr>
          <w:rFonts w:ascii="宋体" w:hAnsi="宋体" w:cs="宋体" w:eastAsia="宋体" w:hint="default"/>
          <w:b/>
          <w:bCs/>
          <w:sz w:val="19"/>
          <w:szCs w:val="19"/>
        </w:rPr>
      </w:pPr>
    </w:p>
    <w:p>
      <w:pPr>
        <w:pStyle w:val="Heading3"/>
        <w:spacing w:line="240" w:lineRule="auto" w:before="36"/>
        <w:ind w:left="252"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2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left="252"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2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spacing w:after="0" w:line="340" w:lineRule="auto"/>
        <w:jc w:val="left"/>
        <w:rPr>
          <w:rFonts w:ascii="宋体" w:hAnsi="宋体" w:cs="宋体" w:eastAsia="宋体" w:hint="default"/>
          <w:sz w:val="18"/>
          <w:szCs w:val="18"/>
        </w:rPr>
        <w:sectPr>
          <w:pgSz w:w="11910" w:h="16840"/>
          <w:pgMar w:header="877" w:footer="982" w:top="1100" w:bottom="1180" w:left="880" w:right="980"/>
        </w:sectPr>
      </w:pPr>
    </w:p>
    <w:p>
      <w:pPr>
        <w:spacing w:line="240" w:lineRule="auto" w:before="9"/>
        <w:rPr>
          <w:rFonts w:ascii="宋体" w:hAnsi="宋体" w:cs="宋体" w:eastAsia="宋体" w:hint="default"/>
          <w:sz w:val="26"/>
          <w:szCs w:val="26"/>
        </w:rPr>
      </w:pPr>
    </w:p>
    <w:p>
      <w:pPr>
        <w:pStyle w:val="BodyText"/>
        <w:spacing w:line="408" w:lineRule="auto" w:before="36"/>
        <w:ind w:right="147" w:firstLine="357"/>
        <w:jc w:val="both"/>
      </w:pPr>
      <w:bookmarkStart w:name="九、内部控制评价报告" w:id="137"/>
      <w:bookmarkEnd w:id="137"/>
      <w:r>
        <w:rPr/>
      </w:r>
      <w:bookmarkStart w:name="1、报告期内发现的内部控制重大缺陷的具体情况" w:id="138"/>
      <w:bookmarkEnd w:id="138"/>
      <w:r>
        <w:rPr/>
      </w:r>
      <w:r>
        <w:rPr>
          <w:spacing w:val="-1"/>
        </w:rPr>
        <w:t>报告期内，公司独立董事积极出席相关会议，认真审阅各项议案，客观地发表自己的看法和观点，了</w:t>
      </w:r>
      <w:r>
        <w:rPr>
          <w:w w:val="100"/>
        </w:rPr>
        <w:t> </w:t>
      </w:r>
      <w:r>
        <w:rPr>
          <w:spacing w:val="-2"/>
        </w:rPr>
        <w:t>解公司运营、经营状况、内部控制建设以及董事会决议和股东会决议的执行情况，并利用自己的专业知识</w:t>
      </w:r>
      <w:r>
        <w:rPr>
          <w:spacing w:val="-43"/>
        </w:rPr>
        <w:t> </w:t>
      </w:r>
      <w:r>
        <w:rPr>
          <w:spacing w:val="-43"/>
        </w:rPr>
      </w:r>
      <w:r>
        <w:rPr>
          <w:spacing w:val="-3"/>
        </w:rPr>
        <w:t>对公司的内部管理积极提出建议，包括：加强公司内部管理制度、加强业务流程管理、加强现金流量和应</w:t>
      </w:r>
      <w:r>
        <w:rPr>
          <w:spacing w:val="-11"/>
        </w:rPr>
        <w:t> </w:t>
      </w:r>
      <w:r>
        <w:rPr>
          <w:spacing w:val="-11"/>
        </w:rPr>
      </w:r>
      <w:r>
        <w:rPr>
          <w:spacing w:val="-2"/>
        </w:rPr>
        <w:t>收款项管理、对投资、担保、关联交易、募集资金的使用管理等等，公司认真采纳独立董事的建议，不断</w:t>
      </w:r>
      <w:r>
        <w:rPr>
          <w:spacing w:val="-42"/>
        </w:rPr>
        <w:t> </w:t>
      </w:r>
      <w:r>
        <w:rPr>
          <w:spacing w:val="-42"/>
        </w:rPr>
      </w:r>
      <w:r>
        <w:rPr/>
        <w:t>完善和提高公司的管理水平。</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r>
        <w:rPr/>
        <w:t>六、董事会下设专门委员</w:t>
      </w:r>
      <w:bookmarkStart w:name="六、董事会下设专门委员会在报告期内履行职责情况" w:id="139"/>
      <w:bookmarkEnd w:id="139"/>
      <w:r>
        <w:rPr/>
        <w:t>会</w:t>
      </w:r>
      <w:r>
        <w:rPr/>
        <w:t>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46" w:firstLine="357"/>
        <w:jc w:val="both"/>
      </w:pPr>
      <w:r>
        <w:rPr>
          <w:spacing w:val="-1"/>
        </w:rPr>
        <w:t>公司董事会下设有薪酬与考核委员会、审计委员会和提名委员会三个专门委员会，分别对公司的内部</w:t>
      </w:r>
      <w:r>
        <w:rPr>
          <w:w w:val="100"/>
        </w:rPr>
        <w:t> </w:t>
      </w:r>
      <w:r>
        <w:rPr>
          <w:spacing w:val="-2"/>
        </w:rPr>
        <w:t>审计、人才选拔、薪酬管理、人员激励等方面发表意见和建议。专门委员会成员全部由董事组成，各专门</w:t>
      </w:r>
      <w:r>
        <w:rPr>
          <w:spacing w:val="-43"/>
        </w:rPr>
        <w:t> </w:t>
      </w:r>
      <w:r>
        <w:rPr>
          <w:spacing w:val="-43"/>
        </w:rPr>
      </w:r>
      <w:r>
        <w:rPr>
          <w:spacing w:val="-2"/>
        </w:rPr>
        <w:t>委员会均由独立董事担任主任委员，且独立董事人数占其他专门委员会委员的比例均达到三分之二。报告</w:t>
      </w:r>
      <w:r>
        <w:rPr>
          <w:spacing w:val="-42"/>
        </w:rPr>
        <w:t> </w:t>
      </w:r>
      <w:r>
        <w:rPr>
          <w:spacing w:val="-42"/>
        </w:rPr>
      </w:r>
      <w:r>
        <w:rPr>
          <w:spacing w:val="-2"/>
        </w:rPr>
        <w:t>期内，公司董事会各专门委员会充分发挥专业性作用，科学决策，审慎监管，切实履行工作职责，为公司</w:t>
      </w:r>
      <w:r>
        <w:rPr>
          <w:spacing w:val="-43"/>
        </w:rPr>
        <w:t> </w:t>
      </w:r>
      <w:r>
        <w:rPr>
          <w:spacing w:val="-43"/>
        </w:rPr>
      </w:r>
      <w:r>
        <w:rPr>
          <w:spacing w:val="-2"/>
        </w:rPr>
        <w:t>发展、组织建设和团队管理做了大量的工作，有效提升了公司管理水平。各委员会依据《公司章程》和各</w:t>
      </w:r>
      <w:r>
        <w:rPr>
          <w:spacing w:val="-43"/>
        </w:rPr>
        <w:t> </w:t>
      </w:r>
      <w:r>
        <w:rPr>
          <w:spacing w:val="-43"/>
        </w:rPr>
      </w:r>
      <w:r>
        <w:rPr>
          <w:spacing w:val="-2"/>
        </w:rPr>
        <w:t>专门委员会工作细则及其他相关法规的规定履行职权，根据相关要求，审计委员会对公司年度报告的审计</w:t>
      </w:r>
      <w:r>
        <w:rPr>
          <w:spacing w:val="-44"/>
        </w:rPr>
        <w:t> </w:t>
      </w:r>
      <w:r>
        <w:rPr>
          <w:spacing w:val="-44"/>
        </w:rPr>
      </w:r>
      <w:r>
        <w:rPr/>
        <w:t>工作进行了全程参与和监督，保证了年报审计工作的顺利进行。</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38" w:lineRule="auto" w:before="117"/>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46" w:firstLine="422"/>
        <w:jc w:val="both"/>
      </w:pPr>
      <w:r>
        <w:rPr>
          <w:spacing w:val="-2"/>
        </w:rPr>
        <w:t>为切实达成公司的中长期战略目标，公司对高级管理建立以绩效目标考</w:t>
      </w:r>
      <w:bookmarkStart w:name="七、监事会工作情况" w:id="140"/>
      <w:bookmarkEnd w:id="140"/>
      <w:r>
        <w:rPr>
          <w:spacing w:val="-2"/>
        </w:rPr>
        <w:t>核为</w:t>
      </w:r>
      <w:r>
        <w:rPr>
          <w:spacing w:val="-2"/>
        </w:rPr>
        <w:t>主的激励和约束</w:t>
      </w:r>
      <w:bookmarkStart w:name="八、高级管理人员的考评及激励情况" w:id="141"/>
      <w:bookmarkEnd w:id="141"/>
      <w:r>
        <w:rPr>
          <w:spacing w:val="-2"/>
        </w:rPr>
        <w:t>机</w:t>
      </w:r>
      <w:r>
        <w:rPr>
          <w:spacing w:val="-2"/>
        </w:rPr>
        <w:t>制，制</w:t>
      </w:r>
      <w:r>
        <w:rPr>
          <w:w w:val="100"/>
        </w:rPr>
        <w:t> </w:t>
      </w:r>
      <w:r>
        <w:rPr>
          <w:spacing w:val="-3"/>
        </w:rPr>
        <w:t>定《方直科技高级管理人员薪酬方案》，通过绩效考核的方式激励高级管理人员达成考核目标。自激励机</w:t>
      </w:r>
      <w:r>
        <w:rPr>
          <w:spacing w:val="-10"/>
        </w:rPr>
        <w:t> </w:t>
      </w:r>
      <w:r>
        <w:rPr>
          <w:spacing w:val="-10"/>
        </w:rPr>
      </w:r>
      <w:r>
        <w:rPr>
          <w:spacing w:val="-2"/>
        </w:rPr>
        <w:t>制建立以来，公司每年依据年度经营目标层层分解，对每位高级管理人员制定绩效考核指标，并进行过程</w:t>
      </w:r>
      <w:r>
        <w:rPr>
          <w:spacing w:val="-44"/>
        </w:rPr>
        <w:t> </w:t>
      </w:r>
      <w:r>
        <w:rPr>
          <w:spacing w:val="-44"/>
        </w:rPr>
      </w:r>
      <w:r>
        <w:rPr>
          <w:spacing w:val="-2"/>
        </w:rPr>
        <w:t>监督、调控，促进公司目标达成。</w:t>
      </w:r>
      <w:r>
        <w:rPr>
          <w:rFonts w:ascii="宋体" w:hAnsi="宋体" w:cs="宋体" w:eastAsia="宋体" w:hint="default"/>
          <w:spacing w:val="-2"/>
        </w:rPr>
        <w:t>2015</w:t>
      </w:r>
      <w:r>
        <w:rPr>
          <w:spacing w:val="-2"/>
        </w:rPr>
        <w:t>年，由公司高级管理人员及全体员工的共同努力下，公司达成年度</w:t>
      </w:r>
      <w:r>
        <w:rPr>
          <w:spacing w:val="-40"/>
        </w:rPr>
        <w:t> </w:t>
      </w:r>
      <w:r>
        <w:rPr>
          <w:spacing w:val="-40"/>
        </w:rPr>
      </w:r>
      <w:r>
        <w:rPr/>
        <w:t>经营目标。</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0"/>
          <w:szCs w:val="20"/>
        </w:rPr>
      </w:pPr>
      <w:r>
        <w:rPr/>
        <w:pict>
          <v:group style="position:absolute;margin-left:362.880005pt;margin-top:403.799988pt;width:170.8pt;height:15.6pt;mso-position-horizontal-relative:page;mso-position-vertical-relative:page;z-index:-1223560" coordorigin="7258,8076" coordsize="3416,312">
            <v:shape style="position:absolute;left:7258;top:8076;width:3416;height:312" coordorigin="7258,8076" coordsize="3416,312" path="m7258,8388l10673,8388,10673,8076,7258,8076,7258,8388xe" filled="true" fillcolor="#ffffff" stroked="false">
              <v:path arrowok="t"/>
              <v:fill type="solid"/>
            </v:shape>
            <w10:wrap type="none"/>
          </v:group>
        </w:pict>
      </w:r>
    </w:p>
    <w:p>
      <w:pPr>
        <w:pStyle w:val="Heading3"/>
        <w:spacing w:line="240" w:lineRule="auto" w:before="36"/>
        <w:ind w:right="0"/>
        <w:jc w:val="left"/>
        <w:rPr>
          <w:b w:val="0"/>
          <w:bCs w:val="0"/>
        </w:rPr>
      </w:pPr>
      <w:bookmarkStart w:name="十、内部控制审计报告或鉴证报告" w:id="142"/>
      <w:bookmarkEnd w:id="142"/>
      <w:r>
        <w:rPr>
          <w:b w:val="0"/>
          <w:bCs w:val="0"/>
        </w:rPr>
      </w:r>
      <w:r>
        <w:rPr>
          <w:rFonts w:ascii="Times New Roman" w:hAnsi="Times New Roman" w:cs="Times New Roman" w:eastAsia="Times New Roman" w:hint="default"/>
        </w:rPr>
        <w:t>2</w:t>
      </w:r>
      <w:bookmarkStart w:name="2、内控自我评价报告" w:id="143"/>
      <w:bookmarkEnd w:id="143"/>
      <w:r>
        <w:rPr>
          <w:rFonts w:ascii="Times New Roman" w:hAnsi="Times New Roman" w:cs="Times New Roman" w:eastAsia="Times New Roman" w:hint="default"/>
        </w:rPr>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89"/>
        <w:gridCol w:w="3419"/>
        <w:gridCol w:w="3461"/>
      </w:tblGrid>
      <w:tr>
        <w:trPr>
          <w:trHeight w:val="401"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80"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r>
        <w:trPr>
          <w:trHeight w:val="403"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80"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3"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3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80"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3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80"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r>
      <w:tr>
        <w:trPr>
          <w:trHeight w:val="396"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4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60" w:hRule="exact"/>
        </w:trPr>
        <w:tc>
          <w:tcPr>
            <w:tcW w:w="26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419" w:type="dxa"/>
            <w:vMerge w:val="restart"/>
            <w:tcBorders>
              <w:top w:val="single" w:sz="4" w:space="0" w:color="000000"/>
              <w:left w:val="single" w:sz="10" w:space="0" w:color="D4D4D4"/>
              <w:right w:val="single" w:sz="13" w:space="0" w:color="FFFFFF"/>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316" w:lineRule="auto"/>
              <w:ind w:left="22" w:right="-53" w:firstLine="360"/>
              <w:jc w:val="left"/>
              <w:rPr>
                <w:rFonts w:ascii="宋体" w:hAnsi="宋体" w:cs="宋体" w:eastAsia="宋体" w:hint="default"/>
                <w:sz w:val="18"/>
                <w:szCs w:val="18"/>
              </w:rPr>
            </w:pPr>
            <w:r>
              <w:rPr>
                <w:rFonts w:ascii="宋体" w:hAnsi="宋体" w:cs="宋体" w:eastAsia="宋体" w:hint="default"/>
                <w:sz w:val="18"/>
                <w:szCs w:val="18"/>
              </w:rPr>
              <w:t>以假设不采取任何措施该缺陷导致潜 在财务错报或经济损失可能性大小作为判 </w:t>
            </w:r>
            <w:r>
              <w:rPr>
                <w:rFonts w:ascii="宋体" w:hAnsi="宋体" w:cs="宋体" w:eastAsia="宋体" w:hint="default"/>
                <w:spacing w:val="-4"/>
                <w:sz w:val="18"/>
                <w:szCs w:val="18"/>
              </w:rPr>
              <w:t>断标准。当存在以下迹象时，增加了重大缺</w:t>
            </w:r>
            <w:r>
              <w:rPr>
                <w:rFonts w:ascii="宋体" w:hAnsi="宋体" w:cs="宋体" w:eastAsia="宋体" w:hint="default"/>
                <w:sz w:val="18"/>
                <w:szCs w:val="18"/>
              </w:rPr>
              <w:t> </w:t>
            </w:r>
            <w:r>
              <w:rPr>
                <w:rFonts w:ascii="宋体" w:hAnsi="宋体" w:cs="宋体" w:eastAsia="宋体" w:hint="default"/>
                <w:spacing w:val="-4"/>
                <w:sz w:val="18"/>
                <w:szCs w:val="18"/>
              </w:rPr>
              <w:t>陷的可能性，因此会特别关注以下情况：重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述以前公布的财务报表，以更正由于舞弊或</w:t>
            </w:r>
            <w:r>
              <w:rPr>
                <w:rFonts w:ascii="宋体" w:hAnsi="宋体" w:cs="宋体" w:eastAsia="宋体" w:hint="default"/>
                <w:sz w:val="18"/>
                <w:szCs w:val="18"/>
              </w:rPr>
              <w:t> </w:t>
            </w:r>
            <w:r>
              <w:rPr>
                <w:rFonts w:ascii="宋体" w:hAnsi="宋体" w:cs="宋体" w:eastAsia="宋体" w:hint="default"/>
                <w:spacing w:val="-4"/>
                <w:sz w:val="18"/>
                <w:szCs w:val="18"/>
              </w:rPr>
              <w:t>错误导致的重大错报；当期财务报表存在重</w:t>
            </w:r>
            <w:r>
              <w:rPr>
                <w:rFonts w:ascii="宋体" w:hAnsi="宋体" w:cs="宋体" w:eastAsia="宋体" w:hint="default"/>
                <w:sz w:val="18"/>
                <w:szCs w:val="18"/>
              </w:rPr>
              <w:t> </w:t>
            </w:r>
            <w:r>
              <w:rPr>
                <w:rFonts w:ascii="宋体" w:hAnsi="宋体" w:cs="宋体" w:eastAsia="宋体" w:hint="default"/>
                <w:spacing w:val="-4"/>
                <w:sz w:val="18"/>
                <w:szCs w:val="18"/>
              </w:rPr>
              <w:t>大错报，而在内部控制在运行过程中未能发</w:t>
            </w:r>
            <w:r>
              <w:rPr>
                <w:rFonts w:ascii="宋体" w:hAnsi="宋体" w:cs="宋体" w:eastAsia="宋体" w:hint="default"/>
                <w:sz w:val="18"/>
                <w:szCs w:val="18"/>
              </w:rPr>
              <w:t> </w:t>
            </w:r>
            <w:r>
              <w:rPr>
                <w:rFonts w:ascii="宋体" w:hAnsi="宋体" w:cs="宋体" w:eastAsia="宋体" w:hint="default"/>
                <w:spacing w:val="-4"/>
                <w:sz w:val="18"/>
                <w:szCs w:val="18"/>
              </w:rPr>
              <w:t>现该错报；审计委员会和内部审计机构对内</w:t>
            </w:r>
            <w:r>
              <w:rPr>
                <w:rFonts w:ascii="宋体" w:hAnsi="宋体" w:cs="宋体" w:eastAsia="宋体" w:hint="default"/>
                <w:sz w:val="18"/>
                <w:szCs w:val="18"/>
              </w:rPr>
              <w:t> </w:t>
            </w:r>
            <w:r>
              <w:rPr>
                <w:rFonts w:ascii="宋体" w:hAnsi="宋体" w:cs="宋体" w:eastAsia="宋体" w:hint="default"/>
                <w:spacing w:val="-4"/>
                <w:sz w:val="18"/>
                <w:szCs w:val="18"/>
              </w:rPr>
              <w:t>部控制的监督无效；董事、监事和高级管理</w:t>
            </w:r>
            <w:r>
              <w:rPr>
                <w:rFonts w:ascii="宋体" w:hAnsi="宋体" w:cs="宋体" w:eastAsia="宋体" w:hint="default"/>
                <w:sz w:val="18"/>
                <w:szCs w:val="18"/>
              </w:rPr>
              <w:t> 人员的任何舞弊且反舞弊政策程序不健全； </w:t>
            </w:r>
            <w:r>
              <w:rPr>
                <w:rFonts w:ascii="宋体" w:hAnsi="宋体" w:cs="宋体" w:eastAsia="宋体" w:hint="default"/>
                <w:spacing w:val="-4"/>
                <w:sz w:val="18"/>
                <w:szCs w:val="18"/>
              </w:rPr>
              <w:t>关联交易控制程序不当；重大投融资等非常</w:t>
            </w:r>
            <w:r>
              <w:rPr>
                <w:rFonts w:ascii="宋体" w:hAnsi="宋体" w:cs="宋体" w:eastAsia="宋体" w:hint="default"/>
                <w:sz w:val="18"/>
                <w:szCs w:val="18"/>
              </w:rPr>
              <w:t> </w:t>
            </w:r>
            <w:r>
              <w:rPr>
                <w:rFonts w:ascii="宋体" w:hAnsi="宋体" w:cs="宋体" w:eastAsia="宋体" w:hint="default"/>
                <w:spacing w:val="-4"/>
                <w:sz w:val="18"/>
                <w:szCs w:val="18"/>
              </w:rPr>
              <w:t>规事项控制缺失；某个业务领域频繁地发生</w:t>
            </w:r>
            <w:r>
              <w:rPr>
                <w:rFonts w:ascii="宋体" w:hAnsi="宋体" w:cs="宋体" w:eastAsia="宋体" w:hint="default"/>
                <w:sz w:val="18"/>
                <w:szCs w:val="18"/>
              </w:rPr>
              <w:t> </w:t>
            </w:r>
            <w:r>
              <w:rPr>
                <w:rFonts w:ascii="宋体" w:hAnsi="宋体" w:cs="宋体" w:eastAsia="宋体" w:hint="default"/>
                <w:spacing w:val="-4"/>
                <w:sz w:val="18"/>
                <w:szCs w:val="18"/>
              </w:rPr>
              <w:t>相似的重大诉讼案件；弄虚作假违反国家法</w:t>
            </w:r>
            <w:r>
              <w:rPr>
                <w:rFonts w:ascii="宋体" w:hAnsi="宋体" w:cs="宋体" w:eastAsia="宋体" w:hint="default"/>
                <w:sz w:val="18"/>
                <w:szCs w:val="18"/>
              </w:rPr>
              <w:t> 律法规等。</w:t>
            </w:r>
          </w:p>
        </w:tc>
        <w:tc>
          <w:tcPr>
            <w:tcW w:w="3461" w:type="dxa"/>
            <w:vMerge w:val="restart"/>
            <w:tcBorders>
              <w:top w:val="single" w:sz="4" w:space="0" w:color="000000"/>
              <w:left w:val="single" w:sz="13" w:space="0" w:color="FFFFFF"/>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316" w:lineRule="auto"/>
              <w:ind w:right="17" w:firstLine="360"/>
              <w:jc w:val="left"/>
              <w:rPr>
                <w:rFonts w:ascii="宋体" w:hAnsi="宋体" w:cs="宋体" w:eastAsia="宋体" w:hint="default"/>
                <w:sz w:val="18"/>
                <w:szCs w:val="18"/>
              </w:rPr>
            </w:pPr>
            <w:r>
              <w:rPr>
                <w:rFonts w:ascii="宋体" w:hAnsi="宋体" w:cs="宋体" w:eastAsia="宋体" w:hint="default"/>
                <w:sz w:val="18"/>
                <w:szCs w:val="18"/>
              </w:rPr>
              <w:t>以假设不采取任何措施该缺陷导致潜 在财务错报或经济损失可能性大小作为判 断标准。当存在以下迹象时，增加了重大缺 陷的可能性，因此会特别关注以下情况：重 述以前公布的财务报表，以更正由于舞弊或 错误导致的重大错报；当期财务报表存在重 大错报，而在内部控制在运行过程中未能发 现该错报；审计委员会和内部审计机构对内 部控制的监督无效；董事、监事和高级管理 人员的任何舞弊且反舞弊政策程序不健全； 关联交易控制程序不当；重大投融资等非常 规事项控制缺失；某个业务领域频繁地发生 相似的重大诉讼案件；弄虚作假违反国家法 律法规等。</w:t>
            </w:r>
          </w:p>
        </w:tc>
      </w:tr>
      <w:tr>
        <w:trPr>
          <w:trHeight w:val="394" w:hRule="exact"/>
        </w:trPr>
        <w:tc>
          <w:tcPr>
            <w:tcW w:w="26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19" w:type="dxa"/>
            <w:vMerge/>
            <w:tcBorders>
              <w:left w:val="single" w:sz="10" w:space="0" w:color="D4D4D4"/>
              <w:right w:val="single" w:sz="13" w:space="0" w:color="FFFFFF"/>
            </w:tcBorders>
          </w:tcPr>
          <w:p>
            <w:pPr/>
          </w:p>
        </w:tc>
        <w:tc>
          <w:tcPr>
            <w:tcW w:w="3461" w:type="dxa"/>
            <w:vMerge/>
            <w:tcBorders>
              <w:left w:val="single" w:sz="13" w:space="0" w:color="FFFFFF"/>
              <w:right w:val="single" w:sz="4" w:space="0" w:color="000000"/>
            </w:tcBorders>
          </w:tcPr>
          <w:p>
            <w:pPr/>
          </w:p>
        </w:tc>
      </w:tr>
      <w:tr>
        <w:trPr>
          <w:trHeight w:val="2160" w:hRule="exact"/>
        </w:trPr>
        <w:tc>
          <w:tcPr>
            <w:tcW w:w="2689" w:type="dxa"/>
            <w:tcBorders>
              <w:top w:val="nil" w:sz="6" w:space="0" w:color="auto"/>
              <w:left w:val="single" w:sz="4" w:space="0" w:color="000000"/>
              <w:bottom w:val="single" w:sz="4" w:space="0" w:color="000000"/>
              <w:right w:val="single" w:sz="4" w:space="0" w:color="000000"/>
            </w:tcBorders>
            <w:shd w:val="clear" w:color="auto" w:fill="D4D4D4"/>
          </w:tcPr>
          <w:p>
            <w:pPr/>
          </w:p>
        </w:tc>
        <w:tc>
          <w:tcPr>
            <w:tcW w:w="3419" w:type="dxa"/>
            <w:vMerge/>
            <w:tcBorders>
              <w:left w:val="single" w:sz="10" w:space="0" w:color="D4D4D4"/>
              <w:bottom w:val="single" w:sz="4" w:space="0" w:color="000000"/>
              <w:right w:val="single" w:sz="13" w:space="0" w:color="FFFFFF"/>
            </w:tcBorders>
          </w:tcPr>
          <w:p>
            <w:pPr/>
          </w:p>
        </w:tc>
        <w:tc>
          <w:tcPr>
            <w:tcW w:w="3461" w:type="dxa"/>
            <w:vMerge/>
            <w:tcBorders>
              <w:left w:val="single" w:sz="13" w:space="0" w:color="FFFFFF"/>
              <w:bottom w:val="single" w:sz="4" w:space="0" w:color="000000"/>
              <w:right w:val="single" w:sz="4" w:space="0" w:color="000000"/>
            </w:tcBorders>
          </w:tcPr>
          <w:p>
            <w:pPr/>
          </w:p>
        </w:tc>
      </w:tr>
      <w:tr>
        <w:trPr>
          <w:trHeight w:val="581" w:hRule="exact"/>
        </w:trPr>
        <w:tc>
          <w:tcPr>
            <w:tcW w:w="26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419"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316" w:lineRule="auto"/>
              <w:ind w:left="22" w:right="31" w:firstLine="360"/>
              <w:jc w:val="left"/>
              <w:rPr>
                <w:rFonts w:ascii="宋体" w:hAnsi="宋体" w:cs="宋体" w:eastAsia="宋体" w:hint="default"/>
                <w:sz w:val="18"/>
                <w:szCs w:val="18"/>
              </w:rPr>
            </w:pPr>
            <w:r>
              <w:rPr>
                <w:rFonts w:ascii="宋体" w:hAnsi="宋体" w:cs="宋体" w:eastAsia="宋体" w:hint="default"/>
                <w:spacing w:val="-5"/>
                <w:sz w:val="18"/>
                <w:szCs w:val="18"/>
              </w:rPr>
              <w:t>对于财报相关的内控缺陷，通过对公司</w:t>
            </w:r>
            <w:r>
              <w:rPr>
                <w:rFonts w:ascii="宋体" w:hAnsi="宋体" w:cs="宋体" w:eastAsia="宋体" w:hint="default"/>
                <w:sz w:val="18"/>
                <w:szCs w:val="18"/>
              </w:rPr>
              <w:t> 年度财务报表潜在错报或披露事项错报程 度进行判定。</w:t>
            </w:r>
          </w:p>
        </w:tc>
        <w:tc>
          <w:tcPr>
            <w:tcW w:w="3461" w:type="dxa"/>
            <w:vMerge w:val="restart"/>
            <w:tcBorders>
              <w:top w:val="single" w:sz="4" w:space="0" w:color="000000"/>
              <w:left w:val="single" w:sz="4" w:space="0" w:color="000000"/>
              <w:right w:val="single" w:sz="4" w:space="0" w:color="000000"/>
            </w:tcBorders>
          </w:tcPr>
          <w:p>
            <w:pPr>
              <w:pStyle w:val="TableParagraph"/>
              <w:spacing w:line="316" w:lineRule="auto" w:before="157"/>
              <w:ind w:left="12" w:right="17" w:firstLine="360"/>
              <w:jc w:val="both"/>
              <w:rPr>
                <w:rFonts w:ascii="宋体" w:hAnsi="宋体" w:cs="宋体" w:eastAsia="宋体" w:hint="default"/>
                <w:sz w:val="18"/>
                <w:szCs w:val="18"/>
              </w:rPr>
            </w:pPr>
            <w:r>
              <w:rPr>
                <w:rFonts w:ascii="宋体" w:hAnsi="宋体" w:cs="宋体" w:eastAsia="宋体" w:hint="default"/>
                <w:sz w:val="18"/>
                <w:szCs w:val="18"/>
              </w:rPr>
              <w:t>对于非财报相关的内控缺陷，通过对本 年公司资产、收入、利润等经济损失程度， 或偏离（消极偏离，即未能实现）经营目标 的程度进行判定。</w:t>
            </w:r>
          </w:p>
        </w:tc>
      </w:tr>
      <w:tr>
        <w:trPr>
          <w:trHeight w:val="391" w:hRule="exact"/>
        </w:trPr>
        <w:tc>
          <w:tcPr>
            <w:tcW w:w="26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19" w:type="dxa"/>
            <w:vMerge/>
            <w:tcBorders>
              <w:left w:val="single" w:sz="10" w:space="0" w:color="D4D4D4"/>
              <w:right w:val="single" w:sz="4" w:space="0" w:color="000000"/>
            </w:tcBorders>
          </w:tcPr>
          <w:p>
            <w:pPr/>
          </w:p>
        </w:tc>
        <w:tc>
          <w:tcPr>
            <w:tcW w:w="3461" w:type="dxa"/>
            <w:vMerge/>
            <w:tcBorders>
              <w:left w:val="single" w:sz="4" w:space="0" w:color="000000"/>
              <w:right w:val="single" w:sz="4" w:space="0" w:color="000000"/>
            </w:tcBorders>
          </w:tcPr>
          <w:p>
            <w:pPr/>
          </w:p>
        </w:tc>
      </w:tr>
      <w:tr>
        <w:trPr>
          <w:trHeight w:val="578" w:hRule="exact"/>
        </w:trPr>
        <w:tc>
          <w:tcPr>
            <w:tcW w:w="2689" w:type="dxa"/>
            <w:tcBorders>
              <w:top w:val="nil" w:sz="6" w:space="0" w:color="auto"/>
              <w:left w:val="single" w:sz="4" w:space="0" w:color="000000"/>
              <w:bottom w:val="single" w:sz="4" w:space="0" w:color="000000"/>
              <w:right w:val="single" w:sz="4" w:space="0" w:color="000000"/>
            </w:tcBorders>
            <w:shd w:val="clear" w:color="auto" w:fill="D4D4D4"/>
          </w:tcPr>
          <w:p>
            <w:pPr/>
          </w:p>
        </w:tc>
        <w:tc>
          <w:tcPr>
            <w:tcW w:w="3419" w:type="dxa"/>
            <w:vMerge/>
            <w:tcBorders>
              <w:left w:val="single" w:sz="10" w:space="0" w:color="D4D4D4"/>
              <w:bottom w:val="single" w:sz="4" w:space="0" w:color="000000"/>
              <w:right w:val="single" w:sz="4" w:space="0" w:color="000000"/>
            </w:tcBorders>
          </w:tcPr>
          <w:p>
            <w:pPr/>
          </w:p>
        </w:tc>
        <w:tc>
          <w:tcPr>
            <w:tcW w:w="3461" w:type="dxa"/>
            <w:vMerge/>
            <w:tcBorders>
              <w:left w:val="single" w:sz="4" w:space="0" w:color="000000"/>
              <w:bottom w:val="single" w:sz="4" w:space="0" w:color="000000"/>
              <w:right w:val="single" w:sz="4" w:space="0" w:color="000000"/>
            </w:tcBorders>
          </w:tcPr>
          <w:p>
            <w:pPr/>
          </w:p>
        </w:tc>
      </w:tr>
      <w:tr>
        <w:trPr>
          <w:trHeight w:val="403"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80"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80"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80"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80"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557"/>
        <w:jc w:val="center"/>
        <w:rPr>
          <w:b w:val="0"/>
          <w:bCs w:val="0"/>
        </w:rPr>
      </w:pPr>
      <w:bookmarkStart w:name="第十节 财务报告" w:id="144"/>
      <w:bookmarkEnd w:id="144"/>
      <w:r>
        <w:rPr>
          <w:b w:val="0"/>
          <w:bCs w:val="0"/>
        </w:rPr>
      </w:r>
      <w:bookmarkStart w:name="_bookmark8" w:id="145"/>
      <w:bookmarkEnd w:id="145"/>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bookmarkStart w:name="一、审计报告" w:id="146"/>
            <w:bookmarkEnd w:id="146"/>
            <w:r>
              <w:rPr/>
            </w:r>
            <w:r>
              <w:rPr>
                <w:rFonts w:ascii="宋体" w:hAnsi="宋体" w:cs="宋体" w:eastAsia="宋体" w:hint="default"/>
                <w:sz w:val="18"/>
                <w:szCs w:val="18"/>
              </w:rPr>
              <w:t>标准无保留审计意见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[2016]004112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周灵芝、陈葆华</w:t>
            </w:r>
          </w:p>
        </w:tc>
      </w:tr>
    </w:tbl>
    <w:p>
      <w:pPr>
        <w:spacing w:line="240" w:lineRule="auto" w:before="2"/>
        <w:rPr>
          <w:rFonts w:ascii="宋体" w:hAnsi="宋体" w:cs="宋体" w:eastAsia="宋体" w:hint="default"/>
          <w:b/>
          <w:bCs/>
          <w:sz w:val="26"/>
          <w:szCs w:val="26"/>
        </w:rPr>
      </w:pPr>
    </w:p>
    <w:p>
      <w:pPr>
        <w:pStyle w:val="Heading3"/>
        <w:spacing w:line="240" w:lineRule="auto" w:before="36"/>
        <w:ind w:left="557" w:right="557"/>
        <w:jc w:val="center"/>
        <w:rPr>
          <w:b w:val="0"/>
          <w:bCs w:val="0"/>
        </w:rPr>
      </w:pPr>
      <w:r>
        <w:rPr/>
        <w:t>审计报告正文</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spacing w:line="408" w:lineRule="auto" w:before="36"/>
        <w:ind w:left="711" w:right="0" w:hanging="560"/>
        <w:jc w:val="left"/>
        <w:rPr>
          <w:rFonts w:ascii="宋体" w:hAnsi="宋体" w:cs="宋体" w:eastAsia="宋体" w:hint="default"/>
          <w:sz w:val="21"/>
          <w:szCs w:val="21"/>
        </w:rPr>
      </w:pPr>
      <w:r>
        <w:rPr>
          <w:rFonts w:ascii="宋体" w:hAnsi="宋体" w:cs="宋体" w:eastAsia="宋体" w:hint="default"/>
          <w:b/>
          <w:bCs/>
          <w:sz w:val="21"/>
          <w:szCs w:val="21"/>
        </w:rPr>
        <w:t>深圳市方直科技股份有限公司全体股东：</w:t>
      </w:r>
      <w:r>
        <w:rPr>
          <w:rFonts w:ascii="宋体" w:hAnsi="宋体" w:cs="宋体" w:eastAsia="宋体" w:hint="default"/>
          <w:b/>
          <w:bCs/>
          <w:w w:val="100"/>
          <w:sz w:val="21"/>
          <w:szCs w:val="21"/>
        </w:rPr>
        <w:t> </w:t>
      </w:r>
      <w:r>
        <w:rPr>
          <w:rFonts w:ascii="宋体" w:hAnsi="宋体" w:cs="宋体" w:eastAsia="宋体" w:hint="default"/>
          <w:spacing w:val="-2"/>
          <w:sz w:val="21"/>
          <w:szCs w:val="21"/>
        </w:rPr>
        <w:t>我们审计了后附的深圳市方直科技股份有限公司</w:t>
      </w:r>
      <w:r>
        <w:rPr>
          <w:rFonts w:ascii="宋体" w:hAnsi="宋体" w:cs="宋体" w:eastAsia="宋体" w:hint="default"/>
          <w:spacing w:val="-2"/>
          <w:sz w:val="21"/>
          <w:szCs w:val="21"/>
        </w:rPr>
        <w:t>(</w:t>
      </w:r>
      <w:r>
        <w:rPr>
          <w:rFonts w:ascii="宋体" w:hAnsi="宋体" w:cs="宋体" w:eastAsia="宋体" w:hint="default"/>
          <w:spacing w:val="-2"/>
          <w:sz w:val="21"/>
          <w:szCs w:val="21"/>
        </w:rPr>
        <w:t>以下简称方直科技公司</w:t>
      </w:r>
      <w:r>
        <w:rPr>
          <w:rFonts w:ascii="宋体" w:hAnsi="宋体" w:cs="宋体" w:eastAsia="宋体" w:hint="default"/>
          <w:spacing w:val="-2"/>
          <w:sz w:val="21"/>
          <w:szCs w:val="21"/>
        </w:rPr>
        <w:t>)</w:t>
      </w:r>
      <w:r>
        <w:rPr>
          <w:rFonts w:ascii="宋体" w:hAnsi="宋体" w:cs="宋体" w:eastAsia="宋体" w:hint="default"/>
          <w:spacing w:val="-2"/>
          <w:sz w:val="21"/>
          <w:szCs w:val="21"/>
        </w:rPr>
        <w:t>财务报表，包括</w:t>
      </w:r>
      <w:r>
        <w:rPr>
          <w:rFonts w:ascii="宋体" w:hAnsi="宋体" w:cs="宋体" w:eastAsia="宋体" w:hint="default"/>
          <w:spacing w:val="-2"/>
          <w:sz w:val="21"/>
          <w:szCs w:val="21"/>
        </w:rPr>
        <w:t>2015</w:t>
      </w:r>
      <w:r>
        <w:rPr>
          <w:rFonts w:ascii="宋体" w:hAnsi="宋体" w:cs="宋体" w:eastAsia="宋体" w:hint="default"/>
          <w:spacing w:val="-2"/>
          <w:sz w:val="21"/>
          <w:szCs w:val="21"/>
        </w:rPr>
        <w:t>年</w:t>
      </w:r>
      <w:r>
        <w:rPr>
          <w:rFonts w:ascii="宋体" w:hAnsi="宋体" w:cs="宋体" w:eastAsia="宋体" w:hint="default"/>
          <w:spacing w:val="-2"/>
          <w:sz w:val="21"/>
          <w:szCs w:val="21"/>
        </w:rPr>
        <w:t>12</w:t>
      </w:r>
    </w:p>
    <w:p>
      <w:pPr>
        <w:pStyle w:val="BodyText"/>
        <w:spacing w:line="408" w:lineRule="auto"/>
        <w:ind w:right="0"/>
        <w:jc w:val="left"/>
      </w:pPr>
      <w:r>
        <w:rPr>
          <w:spacing w:val="-2"/>
        </w:rPr>
        <w:t>月</w:t>
      </w: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2015</w:t>
      </w:r>
      <w:r>
        <w:rPr>
          <w:spacing w:val="-2"/>
        </w:rPr>
        <w:t>年度的合并及母公司利润表、合并及母公司现金流量表、合并及</w:t>
      </w:r>
      <w:r>
        <w:rPr>
          <w:spacing w:val="-46"/>
        </w:rPr>
        <w:t> </w:t>
      </w:r>
      <w:r>
        <w:rPr>
          <w:spacing w:val="-46"/>
        </w:rPr>
      </w:r>
      <w:r>
        <w:rPr/>
        <w:t>母公司股东权益变动表，以及财务报表附注。</w:t>
      </w:r>
    </w:p>
    <w:p>
      <w:pPr>
        <w:spacing w:line="408" w:lineRule="auto" w:before="46"/>
        <w:ind w:left="711"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3"/>
          <w:sz w:val="21"/>
          <w:szCs w:val="21"/>
        </w:rPr>
        <w:t>编制和公允列报财务报表是方直科技公司管理层的责任，这种责任包括：（</w:t>
      </w:r>
      <w:r>
        <w:rPr>
          <w:rFonts w:ascii="宋体" w:hAnsi="宋体" w:cs="宋体" w:eastAsia="宋体" w:hint="default"/>
          <w:spacing w:val="-3"/>
          <w:sz w:val="21"/>
          <w:szCs w:val="21"/>
        </w:rPr>
        <w:t>1</w:t>
      </w:r>
      <w:r>
        <w:rPr>
          <w:rFonts w:ascii="宋体" w:hAnsi="宋体" w:cs="宋体" w:eastAsia="宋体" w:hint="default"/>
          <w:spacing w:val="-3"/>
          <w:sz w:val="21"/>
          <w:szCs w:val="21"/>
        </w:rPr>
        <w:t>）按照企业会计准则的</w:t>
      </w:r>
    </w:p>
    <w:p>
      <w:pPr>
        <w:pStyle w:val="BodyText"/>
        <w:spacing w:line="408" w:lineRule="auto"/>
        <w:ind w:right="0"/>
        <w:jc w:val="left"/>
      </w:pPr>
      <w:r>
        <w:rPr>
          <w:spacing w:val="-2"/>
        </w:rPr>
        <w:t>规定编制财务报表，并使其实现公允反映；（</w:t>
      </w:r>
      <w:r>
        <w:rPr>
          <w:rFonts w:ascii="宋体" w:hAnsi="宋体" w:cs="宋体" w:eastAsia="宋体" w:hint="default"/>
          <w:spacing w:val="-2"/>
        </w:rPr>
        <w:t>2</w:t>
      </w:r>
      <w:r>
        <w:rPr>
          <w:spacing w:val="-2"/>
        </w:rPr>
        <w:t>）设计、执行和维护必要的内部控制，以使财务报表不存</w:t>
      </w:r>
      <w:r>
        <w:rPr>
          <w:spacing w:val="-24"/>
        </w:rPr>
        <w:t> </w:t>
      </w:r>
      <w:r>
        <w:rPr>
          <w:spacing w:val="-24"/>
        </w:rPr>
      </w:r>
      <w:r>
        <w:rPr/>
        <w:t>在由于舞弊或错误导致的重大错报。</w:t>
      </w:r>
    </w:p>
    <w:p>
      <w:pPr>
        <w:spacing w:line="408" w:lineRule="auto" w:before="46"/>
        <w:ind w:left="711" w:right="0"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我们的责任是在执行审计工作的基础上对财务报表发表审计意见。我们按照中国注册会计师审计准</w:t>
      </w:r>
    </w:p>
    <w:p>
      <w:pPr>
        <w:pStyle w:val="BodyText"/>
        <w:spacing w:line="408" w:lineRule="auto"/>
        <w:ind w:right="0"/>
        <w:jc w:val="left"/>
      </w:pPr>
      <w:r>
        <w:rPr>
          <w:spacing w:val="-2"/>
        </w:rPr>
        <w:t>则的规定执行了审计工作。中国注册会计师审计准则要求我们遵守中国注册会计师职业道德守则，计划和</w:t>
      </w:r>
      <w:r>
        <w:rPr>
          <w:spacing w:val="-50"/>
        </w:rPr>
        <w:t> </w:t>
      </w:r>
      <w:r>
        <w:rPr>
          <w:spacing w:val="-50"/>
        </w:rPr>
      </w:r>
      <w:r>
        <w:rPr/>
        <w:t>执行审计工作以对财务报表是否不存在重大错报获取合理保证。</w:t>
      </w:r>
    </w:p>
    <w:p>
      <w:pPr>
        <w:pStyle w:val="BodyText"/>
        <w:spacing w:line="408" w:lineRule="auto"/>
        <w:ind w:right="147" w:firstLine="559"/>
        <w:jc w:val="both"/>
      </w:pPr>
      <w:r>
        <w:rPr>
          <w:spacing w:val="-2"/>
        </w:rPr>
        <w:t>审计工作涉及实施审计程序，以获取有关财务报表金额和披露的审计证据。选择的审计程序取决于</w:t>
      </w:r>
      <w:r>
        <w:rPr>
          <w:w w:val="100"/>
        </w:rPr>
        <w:t> </w:t>
      </w:r>
      <w:r>
        <w:rPr>
          <w:spacing w:val="-2"/>
        </w:rPr>
        <w:t>注册会计师的判断，包括对由于舞弊或错误导致的财务报表重大错报风险的评估。在进行风险评估时，注</w:t>
      </w:r>
      <w:r>
        <w:rPr>
          <w:spacing w:val="-43"/>
        </w:rPr>
        <w:t> </w:t>
      </w:r>
      <w:r>
        <w:rPr>
          <w:spacing w:val="-43"/>
        </w:rPr>
      </w:r>
      <w:r>
        <w:rPr>
          <w:spacing w:val="-2"/>
        </w:rPr>
        <w:t>册会计师考虑与财务报表编制和公允列报相关的内部控制，以设计恰当的审计程序。审计工作还包括评价</w:t>
      </w:r>
      <w:r>
        <w:rPr>
          <w:spacing w:val="-44"/>
        </w:rPr>
        <w:t> </w:t>
      </w:r>
      <w:r>
        <w:rPr>
          <w:spacing w:val="-44"/>
        </w:rPr>
      </w:r>
      <w:r>
        <w:rPr/>
        <w:t>管理层选用会计政策的恰当性和作出会计估计的合理性，以及评价财务报表的总体列报。</w:t>
      </w:r>
    </w:p>
    <w:p>
      <w:pPr>
        <w:pStyle w:val="BodyText"/>
        <w:spacing w:line="408" w:lineRule="auto"/>
        <w:ind w:left="714" w:right="1134" w:hanging="3"/>
        <w:jc w:val="left"/>
        <w:rPr>
          <w:rFonts w:ascii="宋体" w:hAnsi="宋体" w:cs="宋体" w:eastAsia="宋体" w:hint="default"/>
        </w:rPr>
      </w:pPr>
      <w:r>
        <w:rPr>
          <w:spacing w:val="-2"/>
        </w:rPr>
        <w:t>我们相信，我们获取的审计证据是充分、适当的，为发表审计意见提供了基础。</w:t>
      </w:r>
      <w:r>
        <w:rPr>
          <w:spacing w:val="-38"/>
        </w:rPr>
        <w:t> </w:t>
      </w:r>
      <w:r>
        <w:rPr>
          <w:spacing w:val="-38"/>
        </w:rPr>
      </w:r>
      <w:r>
        <w:rPr>
          <w:rFonts w:ascii="宋体" w:hAnsi="宋体" w:cs="宋体" w:eastAsia="宋体" w:hint="default"/>
          <w:b/>
          <w:bCs/>
        </w:rPr>
        <w:t>三、审计意见</w:t>
      </w:r>
      <w:r>
        <w:rPr>
          <w:rFonts w:ascii="宋体" w:hAnsi="宋体" w:cs="宋体" w:eastAsia="宋体" w:hint="default"/>
        </w:rPr>
      </w:r>
    </w:p>
    <w:p>
      <w:pPr>
        <w:spacing w:after="0" w:line="408" w:lineRule="auto"/>
        <w:jc w:val="left"/>
        <w:rPr>
          <w:rFonts w:ascii="宋体" w:hAnsi="宋体" w:cs="宋体" w:eastAsia="宋体" w:hint="default"/>
        </w:rPr>
        <w:sectPr>
          <w:pgSz w:w="11910" w:h="16840"/>
          <w:pgMar w:header="877" w:footer="982" w:top="1100" w:bottom="1180" w:left="980" w:right="980"/>
        </w:sectPr>
      </w:pPr>
    </w:p>
    <w:p>
      <w:pPr>
        <w:spacing w:line="240" w:lineRule="auto" w:before="9"/>
        <w:rPr>
          <w:rFonts w:ascii="宋体" w:hAnsi="宋体" w:cs="宋体" w:eastAsia="宋体" w:hint="default"/>
          <w:b/>
          <w:bCs/>
          <w:sz w:val="26"/>
          <w:szCs w:val="26"/>
        </w:rPr>
      </w:pPr>
    </w:p>
    <w:p>
      <w:pPr>
        <w:pStyle w:val="BodyText"/>
        <w:spacing w:line="408" w:lineRule="auto" w:before="36"/>
        <w:ind w:right="0" w:firstLine="559"/>
        <w:jc w:val="left"/>
      </w:pPr>
      <w:r>
        <w:rPr>
          <w:spacing w:val="-2"/>
        </w:rPr>
        <w:t>我们认为，方直科技公司的财务报表在所有重大方面按照企业会计准则的规定编制，公允反映了方</w:t>
      </w:r>
      <w:r>
        <w:rPr>
          <w:w w:val="100"/>
        </w:rPr>
        <w:t> </w:t>
      </w:r>
      <w:r>
        <w:rPr>
          <w:spacing w:val="-2"/>
        </w:rPr>
        <w:t>直科技公司</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日的合并及母公司财务状况以及</w:t>
      </w:r>
      <w:r>
        <w:rPr>
          <w:rFonts w:ascii="宋体" w:hAnsi="宋体" w:cs="宋体" w:eastAsia="宋体" w:hint="default"/>
          <w:spacing w:val="-2"/>
        </w:rPr>
        <w:t>2015</w:t>
      </w:r>
      <w:r>
        <w:rPr>
          <w:spacing w:val="-2"/>
        </w:rPr>
        <w:t>年度的合并及母公司经营成果和现金流量。</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tbl>
      <w:tblPr>
        <w:tblW w:w="0" w:type="auto"/>
        <w:jc w:val="left"/>
        <w:tblInd w:w="874" w:type="dxa"/>
        <w:tblLayout w:type="fixed"/>
        <w:tblCellMar>
          <w:top w:w="0" w:type="dxa"/>
          <w:left w:w="0" w:type="dxa"/>
          <w:bottom w:w="0" w:type="dxa"/>
          <w:right w:w="0" w:type="dxa"/>
        </w:tblCellMar>
        <w:tblLook w:val="01E0"/>
      </w:tblPr>
      <w:tblGrid>
        <w:gridCol w:w="4019"/>
        <w:gridCol w:w="2760"/>
      </w:tblGrid>
      <w:tr>
        <w:trPr>
          <w:trHeight w:val="751"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11" w:lineRule="exact"/>
              <w:ind w:right="465"/>
              <w:jc w:val="center"/>
              <w:rPr>
                <w:rFonts w:ascii="宋体" w:hAnsi="宋体" w:cs="宋体" w:eastAsia="宋体" w:hint="default"/>
                <w:sz w:val="21"/>
                <w:szCs w:val="21"/>
              </w:rPr>
            </w:pPr>
            <w:r>
              <w:rPr>
                <w:rFonts w:ascii="宋体" w:hAnsi="宋体" w:cs="宋体" w:eastAsia="宋体" w:hint="default"/>
                <w:sz w:val="21"/>
                <w:szCs w:val="21"/>
              </w:rPr>
              <w:t>大华会计师事务所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p>
        </w:tc>
        <w:tc>
          <w:tcPr>
            <w:tcW w:w="2760" w:type="dxa"/>
            <w:tcBorders>
              <w:top w:val="nil" w:sz="6" w:space="0" w:color="auto"/>
              <w:left w:val="nil" w:sz="6" w:space="0" w:color="auto"/>
              <w:bottom w:val="nil" w:sz="6" w:space="0" w:color="auto"/>
              <w:right w:val="nil" w:sz="6" w:space="0" w:color="auto"/>
            </w:tcBorders>
          </w:tcPr>
          <w:p>
            <w:pPr>
              <w:pStyle w:val="TableParagraph"/>
              <w:spacing w:line="211" w:lineRule="exact"/>
              <w:ind w:left="667"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970" w:hRule="exact"/>
        </w:trPr>
        <w:tc>
          <w:tcPr>
            <w:tcW w:w="40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66"/>
              <w:jc w:val="center"/>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b/>
                <w:bCs/>
                <w:sz w:val="21"/>
                <w:szCs w:val="21"/>
              </w:rPr>
              <w:t>·</w:t>
            </w:r>
            <w:r>
              <w:rPr>
                <w:rFonts w:ascii="宋体" w:hAnsi="宋体" w:cs="宋体" w:eastAsia="宋体" w:hint="default"/>
                <w:sz w:val="21"/>
                <w:szCs w:val="21"/>
              </w:rPr>
              <w:t>北京</w:t>
            </w:r>
          </w:p>
        </w:tc>
        <w:tc>
          <w:tcPr>
            <w:tcW w:w="2760" w:type="dxa"/>
            <w:tcBorders>
              <w:top w:val="nil" w:sz="6" w:space="0" w:color="auto"/>
              <w:left w:val="nil" w:sz="6" w:space="0" w:color="auto"/>
              <w:bottom w:val="nil" w:sz="6" w:space="0" w:color="auto"/>
              <w:right w:val="nil" w:sz="6" w:space="0" w:color="auto"/>
            </w:tcBorders>
          </w:tcPr>
          <w:p>
            <w:pPr/>
          </w:p>
        </w:tc>
      </w:tr>
      <w:tr>
        <w:trPr>
          <w:trHeight w:val="812" w:hRule="exact"/>
        </w:trPr>
        <w:tc>
          <w:tcPr>
            <w:tcW w:w="4019" w:type="dxa"/>
            <w:tcBorders>
              <w:top w:val="nil" w:sz="6" w:space="0" w:color="auto"/>
              <w:left w:val="nil" w:sz="6" w:space="0" w:color="auto"/>
              <w:bottom w:val="nil" w:sz="6" w:space="0" w:color="auto"/>
              <w:right w:val="nil" w:sz="6" w:space="0" w:color="auto"/>
            </w:tcBorders>
          </w:tcPr>
          <w:p>
            <w:pPr/>
          </w:p>
        </w:tc>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666"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594" w:hRule="exact"/>
        </w:trPr>
        <w:tc>
          <w:tcPr>
            <w:tcW w:w="4019" w:type="dxa"/>
            <w:tcBorders>
              <w:top w:val="nil" w:sz="6" w:space="0" w:color="auto"/>
              <w:left w:val="nil" w:sz="6" w:space="0" w:color="auto"/>
              <w:bottom w:val="nil" w:sz="6" w:space="0" w:color="auto"/>
              <w:right w:val="nil" w:sz="6" w:space="0" w:color="auto"/>
            </w:tcBorders>
          </w:tcPr>
          <w:p>
            <w:pPr/>
          </w:p>
        </w:tc>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66" w:right="0"/>
              <w:jc w:val="left"/>
              <w:rPr>
                <w:rFonts w:ascii="宋体" w:hAnsi="宋体" w:cs="宋体" w:eastAsia="宋体" w:hint="default"/>
                <w:sz w:val="21"/>
                <w:szCs w:val="21"/>
              </w:rPr>
            </w:pPr>
            <w:r>
              <w:rPr>
                <w:rFonts w:ascii="宋体" w:hAnsi="宋体" w:cs="宋体" w:eastAsia="宋体" w:hint="default"/>
                <w:sz w:val="21"/>
                <w:szCs w:val="21"/>
              </w:rPr>
              <w:t>二〇一六年四月一日</w:t>
            </w:r>
          </w:p>
        </w:tc>
      </w:tr>
    </w:tbl>
    <w:p>
      <w:pPr>
        <w:spacing w:after="0" w:line="240"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3"/>
          <w:szCs w:val="3"/>
        </w:rPr>
      </w:pPr>
      <w:r>
        <w:rPr/>
        <w:pict>
          <v:group style="position:absolute;margin-left:55.200001pt;margin-top:55.559982pt;width:484.8pt;height:.1pt;mso-position-horizontal-relative:page;mso-position-vertical-relative:page;z-index:-1223536" coordorigin="1104,1111" coordsize="9696,2">
            <v:shape style="position:absolute;left:1104;top:1111;width:9696;height:2" coordorigin="1104,1111" coordsize="9696,0" path="m1104,1111l10800,1111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3336"/>
        <w:gridCol w:w="300"/>
        <w:gridCol w:w="1133"/>
        <w:gridCol w:w="302"/>
        <w:gridCol w:w="2170"/>
        <w:gridCol w:w="250"/>
        <w:gridCol w:w="1798"/>
        <w:gridCol w:w="400"/>
      </w:tblGrid>
      <w:tr>
        <w:trPr>
          <w:trHeight w:val="2352" w:hRule="exact"/>
        </w:trPr>
        <w:tc>
          <w:tcPr>
            <w:tcW w:w="9688"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55" w:right="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pStyle w:val="TableParagraph"/>
              <w:spacing w:line="240" w:lineRule="auto" w:before="62"/>
              <w:ind w:left="8" w:right="0"/>
              <w:jc w:val="center"/>
              <w:rPr>
                <w:rFonts w:ascii="宋体" w:hAnsi="宋体" w:cs="宋体" w:eastAsia="宋体" w:hint="default"/>
                <w:sz w:val="21"/>
                <w:szCs w:val="21"/>
              </w:rPr>
            </w:pPr>
            <w:r>
              <w:rPr>
                <w:rFonts w:ascii="宋体" w:hAnsi="宋体" w:cs="宋体" w:eastAsia="宋体" w:hint="default"/>
                <w:sz w:val="21"/>
                <w:szCs w:val="21"/>
              </w:rPr>
              <w:t>合并资产负债表</w:t>
            </w:r>
          </w:p>
        </w:tc>
      </w:tr>
      <w:tr>
        <w:trPr>
          <w:trHeight w:val="380" w:hRule="exact"/>
        </w:trPr>
        <w:tc>
          <w:tcPr>
            <w:tcW w:w="3336"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3"/>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人民币元</w:t>
            </w:r>
          </w:p>
        </w:tc>
        <w:tc>
          <w:tcPr>
            <w:tcW w:w="400" w:type="dxa"/>
            <w:tcBorders>
              <w:top w:val="nil" w:sz="6" w:space="0" w:color="auto"/>
              <w:left w:val="nil" w:sz="6" w:space="0" w:color="auto"/>
              <w:bottom w:val="nil" w:sz="6" w:space="0" w:color="auto"/>
              <w:right w:val="nil" w:sz="6" w:space="0" w:color="auto"/>
            </w:tcBorders>
          </w:tcPr>
          <w:p>
            <w:pPr/>
          </w:p>
        </w:tc>
      </w:tr>
      <w:tr>
        <w:trPr>
          <w:trHeight w:val="403" w:hRule="exact"/>
        </w:trPr>
        <w:tc>
          <w:tcPr>
            <w:tcW w:w="333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62" w:right="0"/>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1"/>
                <w:sz w:val="18"/>
                <w:szCs w:val="18"/>
              </w:rPr>
              <w:t> </w:t>
            </w:r>
            <w:r>
              <w:rPr>
                <w:rFonts w:ascii="宋体" w:hAnsi="宋体" w:cs="宋体" w:eastAsia="宋体" w:hint="default"/>
                <w:sz w:val="18"/>
                <w:szCs w:val="18"/>
              </w:rPr>
              <w:t>产</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2" w:right="0"/>
              <w:jc w:val="center"/>
              <w:rPr>
                <w:rFonts w:ascii="宋体" w:hAnsi="宋体" w:cs="宋体" w:eastAsia="宋体" w:hint="default"/>
                <w:sz w:val="20"/>
                <w:szCs w:val="20"/>
              </w:rPr>
            </w:pPr>
            <w:r>
              <w:rPr>
                <w:rFonts w:ascii="宋体" w:hAnsi="宋体" w:cs="宋体" w:eastAsia="宋体" w:hint="default"/>
                <w:sz w:val="20"/>
                <w:szCs w:val="20"/>
              </w:rPr>
              <w:t>附注六</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683"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499"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400" w:type="dxa"/>
            <w:tcBorders>
              <w:top w:val="nil" w:sz="6" w:space="0" w:color="auto"/>
              <w:left w:val="nil" w:sz="6" w:space="0" w:color="auto"/>
              <w:bottom w:val="nil" w:sz="6" w:space="0" w:color="auto"/>
              <w:right w:val="nil" w:sz="6" w:space="0" w:color="auto"/>
            </w:tcBorders>
          </w:tcPr>
          <w:p>
            <w:pPr/>
          </w:p>
        </w:tc>
      </w:tr>
      <w:tr>
        <w:trPr>
          <w:trHeight w:val="394" w:hRule="exact"/>
        </w:trPr>
        <w:tc>
          <w:tcPr>
            <w:tcW w:w="33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single" w:sz="4" w:space="0" w:color="000000"/>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0"/>
              <w:left w:val="nil" w:sz="6" w:space="0" w:color="auto"/>
              <w:bottom w:val="nil" w:sz="6" w:space="0" w:color="auto"/>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402"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2"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 w:right="0"/>
              <w:jc w:val="center"/>
              <w:rPr>
                <w:rFonts w:ascii="宋体" w:hAnsi="宋体" w:cs="宋体" w:eastAsia="宋体" w:hint="default"/>
                <w:sz w:val="20"/>
                <w:szCs w:val="20"/>
              </w:rPr>
            </w:pPr>
            <w:r>
              <w:rPr>
                <w:rFonts w:ascii="宋体" w:hAnsi="宋体" w:cs="宋体" w:eastAsia="宋体" w:hint="default"/>
                <w:sz w:val="20"/>
                <w:szCs w:val="20"/>
              </w:rPr>
              <w:t>（一）</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72,859,653.55</w:t>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121,299,781.90</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698"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316" w:lineRule="auto" w:before="45"/>
              <w:ind w:left="573" w:right="780" w:hanging="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3"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2"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2"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 w:right="0"/>
              <w:jc w:val="center"/>
              <w:rPr>
                <w:rFonts w:ascii="宋体" w:hAnsi="宋体" w:cs="宋体" w:eastAsia="宋体" w:hint="default"/>
                <w:sz w:val="20"/>
                <w:szCs w:val="20"/>
              </w:rPr>
            </w:pPr>
            <w:r>
              <w:rPr>
                <w:rFonts w:ascii="宋体" w:hAnsi="宋体" w:cs="宋体" w:eastAsia="宋体" w:hint="default"/>
                <w:sz w:val="20"/>
                <w:szCs w:val="20"/>
              </w:rPr>
              <w:t>（二）</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23,959,442.97</w:t>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16,749,408.88</w:t>
            </w:r>
          </w:p>
        </w:tc>
        <w:tc>
          <w:tcPr>
            <w:tcW w:w="400" w:type="dxa"/>
            <w:tcBorders>
              <w:top w:val="nil" w:sz="6" w:space="0" w:color="auto"/>
              <w:left w:val="nil" w:sz="6" w:space="0" w:color="auto"/>
              <w:bottom w:val="nil" w:sz="6" w:space="0" w:color="auto"/>
              <w:right w:val="nil" w:sz="6" w:space="0" w:color="auto"/>
            </w:tcBorders>
          </w:tcPr>
          <w:p>
            <w:pPr/>
          </w:p>
        </w:tc>
      </w:tr>
      <w:tr>
        <w:trPr>
          <w:trHeight w:val="391"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sz w:val="20"/>
                <w:szCs w:val="20"/>
              </w:rPr>
              <w:t>（三）</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1,712,641.27</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3,368,725.73</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7"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sz w:val="20"/>
                <w:szCs w:val="20"/>
              </w:rPr>
              <w:t>（四）</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z w:val="18"/>
              </w:rPr>
              <w:t>453,342.47</w:t>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1,628,808.89</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88"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2"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1"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4"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sz w:val="20"/>
                <w:szCs w:val="20"/>
              </w:rPr>
              <w:t>（五）</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z w:val="18"/>
              </w:rPr>
              <w:t>594,309.98</w:t>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1,138,190.09</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7"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sz w:val="20"/>
                <w:szCs w:val="20"/>
              </w:rPr>
              <w:t>（六）</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8,528,332.58</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5,137,881.57</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2"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2" w:right="0"/>
              <w:jc w:val="center"/>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87"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4" w:right="0"/>
              <w:jc w:val="center"/>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402"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sz w:val="20"/>
                <w:szCs w:val="20"/>
              </w:rPr>
              <w:t>（七）</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152,000,000.00</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8"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2" w:right="0"/>
              <w:jc w:val="center"/>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77708" cy="60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7" cstate="print"/>
                          <a:stretch>
                            <a:fillRect/>
                          </a:stretch>
                        </pic:blipFill>
                        <pic:spPr>
                          <a:xfrm>
                            <a:off x="0" y="0"/>
                            <a:ext cx="1377708"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03"/>
              <w:jc w:val="right"/>
              <w:rPr>
                <w:rFonts w:ascii="Times New Roman" w:hAnsi="Times New Roman" w:cs="Times New Roman" w:eastAsia="Times New Roman" w:hint="default"/>
                <w:sz w:val="18"/>
                <w:szCs w:val="18"/>
              </w:rPr>
            </w:pPr>
            <w:r>
              <w:rPr>
                <w:rFonts w:ascii="Times New Roman"/>
                <w:spacing w:val="-1"/>
                <w:sz w:val="18"/>
              </w:rPr>
              <w:t>260,107,722.82</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41485" cy="60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8" cstate="print"/>
                          <a:stretch>
                            <a:fillRect/>
                          </a:stretch>
                        </pic:blipFill>
                        <pic:spPr>
                          <a:xfrm>
                            <a:off x="0" y="0"/>
                            <a:ext cx="1141485"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249,322,797.06</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3"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2"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single" w:sz="4" w:space="0" w:color="000000"/>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0"/>
              <w:left w:val="nil" w:sz="6" w:space="0" w:color="auto"/>
              <w:bottom w:val="nil" w:sz="6" w:space="0" w:color="auto"/>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402"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2" w:right="0"/>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 w:right="0"/>
              <w:jc w:val="center"/>
              <w:rPr>
                <w:rFonts w:ascii="宋体" w:hAnsi="宋体" w:cs="宋体" w:eastAsia="宋体" w:hint="default"/>
                <w:sz w:val="20"/>
                <w:szCs w:val="20"/>
              </w:rPr>
            </w:pPr>
            <w:r>
              <w:rPr>
                <w:rFonts w:ascii="宋体" w:hAnsi="宋体" w:cs="宋体" w:eastAsia="宋体" w:hint="default"/>
                <w:sz w:val="20"/>
                <w:szCs w:val="20"/>
              </w:rPr>
              <w:t>（八）</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3"/>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2"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4" w:right="0"/>
              <w:jc w:val="center"/>
              <w:rPr>
                <w:rFonts w:ascii="宋体" w:hAnsi="宋体" w:cs="宋体" w:eastAsia="宋体" w:hint="default"/>
                <w:sz w:val="18"/>
                <w:szCs w:val="18"/>
              </w:rPr>
            </w:pPr>
            <w:r>
              <w:rPr>
                <w:rFonts w:ascii="宋体" w:hAnsi="宋体" w:cs="宋体" w:eastAsia="宋体" w:hint="default"/>
                <w:sz w:val="18"/>
                <w:szCs w:val="18"/>
              </w:rPr>
              <w:t>持有至到期投资</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1"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4"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2"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2"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88"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2"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6"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sz w:val="20"/>
                <w:szCs w:val="20"/>
              </w:rPr>
              <w:t>（九）</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spacing w:val="-1"/>
                <w:sz w:val="18"/>
              </w:rPr>
              <w:t>20,441,736.80</w:t>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18,849,079.62</w:t>
            </w:r>
          </w:p>
        </w:tc>
        <w:tc>
          <w:tcPr>
            <w:tcW w:w="400" w:type="dxa"/>
            <w:tcBorders>
              <w:top w:val="nil" w:sz="6" w:space="0" w:color="auto"/>
              <w:left w:val="nil" w:sz="6" w:space="0" w:color="auto"/>
              <w:bottom w:val="nil" w:sz="6" w:space="0" w:color="auto"/>
              <w:right w:val="nil" w:sz="6" w:space="0" w:color="auto"/>
            </w:tcBorders>
          </w:tcPr>
          <w:p>
            <w:pPr/>
          </w:p>
        </w:tc>
      </w:tr>
      <w:tr>
        <w:trPr>
          <w:trHeight w:val="392"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2"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88"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2" w:right="0"/>
              <w:jc w:val="center"/>
              <w:rPr>
                <w:rFonts w:ascii="宋体" w:hAnsi="宋体" w:cs="宋体" w:eastAsia="宋体" w:hint="default"/>
                <w:sz w:val="18"/>
                <w:szCs w:val="18"/>
              </w:rPr>
            </w:pPr>
            <w:r>
              <w:rPr>
                <w:rFonts w:ascii="宋体" w:hAnsi="宋体" w:cs="宋体" w:eastAsia="宋体" w:hint="default"/>
                <w:sz w:val="18"/>
                <w:szCs w:val="18"/>
              </w:rPr>
              <w:t>固定资产清理</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1"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sz w:val="20"/>
                <w:szCs w:val="20"/>
              </w:rPr>
              <w:t>（十）</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4,107,070.14</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3,678,299.87</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2"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center"/>
              <w:rPr>
                <w:rFonts w:ascii="宋体" w:hAnsi="宋体" w:cs="宋体" w:eastAsia="宋体" w:hint="default"/>
                <w:sz w:val="18"/>
                <w:szCs w:val="18"/>
              </w:rPr>
            </w:pPr>
            <w:r>
              <w:rPr>
                <w:rFonts w:ascii="宋体" w:hAnsi="宋体" w:cs="宋体" w:eastAsia="宋体" w:hint="default"/>
                <w:sz w:val="18"/>
                <w:szCs w:val="18"/>
              </w:rPr>
              <w:t>开发支出</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（十一）</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2,295,755.16</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2,421,278.60</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92"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2" w:right="0"/>
              <w:jc w:val="center"/>
              <w:rPr>
                <w:rFonts w:ascii="宋体" w:hAnsi="宋体" w:cs="宋体" w:eastAsia="宋体" w:hint="default"/>
                <w:sz w:val="18"/>
                <w:szCs w:val="18"/>
              </w:rPr>
            </w:pPr>
            <w:r>
              <w:rPr>
                <w:rFonts w:ascii="宋体" w:hAnsi="宋体" w:cs="宋体" w:eastAsia="宋体" w:hint="default"/>
                <w:sz w:val="18"/>
                <w:szCs w:val="18"/>
              </w:rPr>
              <w:t>商誉</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（十二）</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83,940.16</w:t>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83,940.16</w:t>
            </w:r>
          </w:p>
        </w:tc>
        <w:tc>
          <w:tcPr>
            <w:tcW w:w="400" w:type="dxa"/>
            <w:tcBorders>
              <w:top w:val="nil" w:sz="6" w:space="0" w:color="auto"/>
              <w:left w:val="nil" w:sz="6" w:space="0" w:color="auto"/>
              <w:bottom w:val="nil" w:sz="6" w:space="0" w:color="auto"/>
              <w:right w:val="nil" w:sz="6" w:space="0" w:color="auto"/>
            </w:tcBorders>
          </w:tcPr>
          <w:p>
            <w:pPr/>
          </w:p>
        </w:tc>
      </w:tr>
      <w:tr>
        <w:trPr>
          <w:trHeight w:val="391"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2" w:right="0"/>
              <w:jc w:val="center"/>
              <w:rPr>
                <w:rFonts w:ascii="宋体" w:hAnsi="宋体" w:cs="宋体" w:eastAsia="宋体" w:hint="default"/>
                <w:sz w:val="18"/>
                <w:szCs w:val="18"/>
              </w:rPr>
            </w:pPr>
            <w:r>
              <w:rPr>
                <w:rFonts w:ascii="宋体" w:hAnsi="宋体" w:cs="宋体" w:eastAsia="宋体" w:hint="default"/>
                <w:sz w:val="18"/>
                <w:szCs w:val="18"/>
              </w:rPr>
              <w:t>长期待摊费用</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（十三）</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z w:val="18"/>
              </w:rPr>
              <w:t>137,659.03</w:t>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32,004.01</w:t>
            </w:r>
          </w:p>
        </w:tc>
        <w:tc>
          <w:tcPr>
            <w:tcW w:w="400" w:type="dxa"/>
            <w:tcBorders>
              <w:top w:val="nil" w:sz="6" w:space="0" w:color="auto"/>
              <w:left w:val="nil" w:sz="6" w:space="0" w:color="auto"/>
              <w:bottom w:val="nil" w:sz="6" w:space="0" w:color="auto"/>
              <w:right w:val="nil" w:sz="6" w:space="0" w:color="auto"/>
            </w:tcBorders>
          </w:tcPr>
          <w:p>
            <w:pPr/>
          </w:p>
        </w:tc>
      </w:tr>
      <w:tr>
        <w:trPr>
          <w:trHeight w:val="295"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4"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30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（十四）</w:t>
            </w:r>
          </w:p>
        </w:tc>
        <w:tc>
          <w:tcPr>
            <w:tcW w:w="302"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z w:val="18"/>
              </w:rPr>
              <w:t>468,302.01</w:t>
            </w:r>
          </w:p>
        </w:tc>
        <w:tc>
          <w:tcPr>
            <w:tcW w:w="2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310,894.98</w:t>
            </w:r>
          </w:p>
        </w:tc>
        <w:tc>
          <w:tcPr>
            <w:tcW w:w="40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2" w:top="1060" w:bottom="1180" w:left="980" w:right="980"/>
        </w:sectPr>
      </w:pPr>
    </w:p>
    <w:p>
      <w:pPr>
        <w:spacing w:line="240" w:lineRule="auto" w:before="2"/>
        <w:rPr>
          <w:rFonts w:ascii="Times New Roman" w:hAnsi="Times New Roman" w:cs="Times New Roman" w:eastAsia="Times New Roman" w:hint="default"/>
          <w:sz w:val="3"/>
          <w:szCs w:val="3"/>
        </w:rPr>
      </w:pPr>
      <w:r>
        <w:rPr/>
        <w:pict>
          <v:shape style="position:absolute;margin-left:308.759979pt;margin-top:76.319977pt;width:108.481013pt;height:.48pt;mso-position-horizontal-relative:page;mso-position-vertical-relative:page;z-index:-1223488" type="#_x0000_t75" stroked="false">
            <v:imagedata r:id="rId27" o:title=""/>
          </v:shape>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imes New Roman" w:hAnsi="Times New Roman" w:cs="Times New Roman" w:eastAsia="Times New Roman" w:hint="default"/>
          <w:sz w:val="2"/>
          <w:szCs w:val="2"/>
        </w:rPr>
      </w:r>
    </w:p>
    <w:tbl>
      <w:tblPr>
        <w:tblW w:w="0" w:type="auto"/>
        <w:jc w:val="left"/>
        <w:tblInd w:w="188" w:type="dxa"/>
        <w:tblLayout w:type="fixed"/>
        <w:tblCellMar>
          <w:top w:w="0" w:type="dxa"/>
          <w:left w:w="0" w:type="dxa"/>
          <w:bottom w:w="0" w:type="dxa"/>
          <w:right w:w="0" w:type="dxa"/>
        </w:tblCellMar>
        <w:tblLook w:val="01E0"/>
      </w:tblPr>
      <w:tblGrid>
        <w:gridCol w:w="2948"/>
        <w:gridCol w:w="2994"/>
        <w:gridCol w:w="1234"/>
        <w:gridCol w:w="2047"/>
      </w:tblGrid>
      <w:tr>
        <w:trPr>
          <w:trHeight w:val="406" w:hRule="exact"/>
        </w:trPr>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80"/>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790" w:right="0"/>
              <w:jc w:val="left"/>
              <w:rPr>
                <w:rFonts w:ascii="宋体" w:hAnsi="宋体" w:cs="宋体" w:eastAsia="宋体" w:hint="default"/>
                <w:sz w:val="20"/>
                <w:szCs w:val="20"/>
              </w:rPr>
            </w:pPr>
            <w:r>
              <w:rPr>
                <w:rFonts w:ascii="宋体" w:hAnsi="宋体" w:cs="宋体" w:eastAsia="宋体" w:hint="default"/>
                <w:sz w:val="20"/>
                <w:szCs w:val="20"/>
              </w:rPr>
              <w:t>（十五）</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74,053,557.00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74,053,557.00</w:t>
            </w:r>
          </w:p>
        </w:tc>
      </w:tr>
      <w:tr>
        <w:trPr>
          <w:trHeight w:val="404" w:hRule="exact"/>
        </w:trPr>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78"/>
              <w:jc w:val="right"/>
              <w:rPr>
                <w:rFonts w:ascii="宋体" w:hAnsi="宋体" w:cs="宋体" w:eastAsia="宋体" w:hint="default"/>
                <w:sz w:val="18"/>
                <w:szCs w:val="18"/>
              </w:rPr>
            </w:pPr>
            <w:r>
              <w:rPr>
                <w:rFonts w:ascii="宋体" w:hAnsi="宋体" w:cs="宋体" w:eastAsia="宋体" w:hint="default"/>
                <w:b/>
                <w:bCs/>
                <w:w w:val="95"/>
                <w:sz w:val="18"/>
                <w:szCs w:val="18"/>
              </w:rPr>
              <w:t>非流动资产合计</w:t>
            </w:r>
            <w:r>
              <w:rPr>
                <w:rFonts w:ascii="宋体" w:hAnsi="宋体" w:cs="宋体" w:eastAsia="宋体" w:hint="default"/>
                <w:sz w:val="18"/>
                <w:szCs w:val="18"/>
              </w:rPr>
            </w:r>
          </w:p>
        </w:tc>
        <w:tc>
          <w:tcPr>
            <w:tcW w:w="2994" w:type="dxa"/>
            <w:tcBorders>
              <w:top w:val="nil" w:sz="6" w:space="0" w:color="auto"/>
              <w:left w:val="nil" w:sz="6" w:space="0" w:color="auto"/>
              <w:bottom w:val="single" w:sz="9" w:space="0" w:color="000000"/>
              <w:right w:val="nil" w:sz="6" w:space="0" w:color="auto"/>
            </w:tcBorders>
          </w:tcPr>
          <w:p>
            <w:pPr/>
          </w:p>
        </w:tc>
        <w:tc>
          <w:tcPr>
            <w:tcW w:w="1234" w:type="dxa"/>
            <w:tcBorders>
              <w:top w:val="nil" w:sz="6" w:space="0" w:color="auto"/>
              <w:left w:val="nil" w:sz="6" w:space="0" w:color="auto"/>
              <w:bottom w:val="single" w:sz="9"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107,588,020.30</w:t>
            </w:r>
            <w:r>
              <w:rPr>
                <w:rFonts w:ascii="Times New Roman"/>
                <w:sz w:val="18"/>
              </w:rPr>
            </w:r>
          </w:p>
        </w:tc>
        <w:tc>
          <w:tcPr>
            <w:tcW w:w="2047" w:type="dxa"/>
            <w:tcBorders>
              <w:top w:val="nil" w:sz="6" w:space="0" w:color="auto"/>
              <w:left w:val="nil" w:sz="6" w:space="0" w:color="auto"/>
              <w:bottom w:val="single" w:sz="9" w:space="0" w:color="000000"/>
              <w:right w:val="nil" w:sz="6" w:space="0" w:color="auto"/>
            </w:tcBorders>
          </w:tcPr>
          <w:p>
            <w:pPr>
              <w:pStyle w:val="TableParagraph"/>
              <w:spacing w:line="20" w:lineRule="exact"/>
              <w:ind w:left="249"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41485" cy="6096"/>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28" cstate="print"/>
                          <a:stretch>
                            <a:fillRect/>
                          </a:stretch>
                        </pic:blipFill>
                        <pic:spPr>
                          <a:xfrm>
                            <a:off x="0" y="0"/>
                            <a:ext cx="1141485"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105,429,054.24</w:t>
            </w:r>
            <w:r>
              <w:rPr>
                <w:rFonts w:ascii="Times New Roman"/>
                <w:sz w:val="18"/>
              </w:rPr>
            </w:r>
          </w:p>
        </w:tc>
      </w:tr>
      <w:tr>
        <w:trPr>
          <w:trHeight w:val="460" w:hRule="exact"/>
        </w:trPr>
        <w:tc>
          <w:tcPr>
            <w:tcW w:w="294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274"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994" w:type="dxa"/>
            <w:tcBorders>
              <w:top w:val="single" w:sz="9" w:space="0" w:color="000000"/>
              <w:left w:val="nil" w:sz="6" w:space="0" w:color="auto"/>
              <w:bottom w:val="single" w:sz="6" w:space="0" w:color="000000"/>
              <w:right w:val="nil" w:sz="6" w:space="0" w:color="auto"/>
            </w:tcBorders>
          </w:tcPr>
          <w:p>
            <w:pPr/>
          </w:p>
        </w:tc>
        <w:tc>
          <w:tcPr>
            <w:tcW w:w="1234" w:type="dxa"/>
            <w:tcBorders>
              <w:top w:val="single" w:sz="9" w:space="0" w:color="000000"/>
              <w:left w:val="nil" w:sz="6" w:space="0" w:color="auto"/>
              <w:bottom w:val="single" w:sz="6"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367,695,743.12</w:t>
            </w:r>
            <w:r>
              <w:rPr>
                <w:rFonts w:ascii="Times New Roman"/>
                <w:sz w:val="18"/>
              </w:rPr>
            </w:r>
          </w:p>
        </w:tc>
        <w:tc>
          <w:tcPr>
            <w:tcW w:w="2047" w:type="dxa"/>
            <w:tcBorders>
              <w:top w:val="single" w:sz="9" w:space="0" w:color="000000"/>
              <w:left w:val="nil" w:sz="6" w:space="0" w:color="auto"/>
              <w:bottom w:val="single" w:sz="6" w:space="0" w:color="000000"/>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354,751,851.30</w:t>
            </w:r>
            <w:r>
              <w:rPr>
                <w:rFonts w:ascii="Times New Roman"/>
                <w:sz w:val="18"/>
              </w:rPr>
            </w:r>
          </w:p>
        </w:tc>
      </w:tr>
      <w:tr>
        <w:trPr>
          <w:trHeight w:val="389" w:hRule="exact"/>
        </w:trPr>
        <w:tc>
          <w:tcPr>
            <w:tcW w:w="294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企业法定代表人：黄元忠</w:t>
            </w:r>
          </w:p>
        </w:tc>
        <w:tc>
          <w:tcPr>
            <w:tcW w:w="2994" w:type="dxa"/>
            <w:tcBorders>
              <w:top w:val="single" w:sz="6" w:space="0" w:color="000000"/>
              <w:left w:val="nil" w:sz="6" w:space="0" w:color="auto"/>
              <w:bottom w:val="nil" w:sz="6" w:space="0" w:color="auto"/>
              <w:right w:val="nil" w:sz="6" w:space="0" w:color="auto"/>
            </w:tcBorders>
          </w:tcPr>
          <w:p>
            <w:pPr>
              <w:pStyle w:val="TableParagraph"/>
              <w:spacing w:line="240" w:lineRule="auto" w:before="46"/>
              <w:ind w:left="680" w:right="-25"/>
              <w:jc w:val="left"/>
              <w:rPr>
                <w:rFonts w:ascii="宋体" w:hAnsi="宋体" w:cs="宋体" w:eastAsia="宋体" w:hint="default"/>
                <w:sz w:val="18"/>
                <w:szCs w:val="18"/>
              </w:rPr>
            </w:pPr>
            <w:r>
              <w:rPr>
                <w:rFonts w:ascii="宋体" w:hAnsi="宋体" w:cs="宋体" w:eastAsia="宋体" w:hint="default"/>
                <w:spacing w:val="-1"/>
                <w:sz w:val="18"/>
                <w:szCs w:val="18"/>
              </w:rPr>
              <w:t>主管会计工作负责人：孙晓玲</w:t>
            </w:r>
          </w:p>
        </w:tc>
        <w:tc>
          <w:tcPr>
            <w:tcW w:w="1234" w:type="dxa"/>
            <w:tcBorders>
              <w:top w:val="single" w:sz="6" w:space="0" w:color="000000"/>
              <w:left w:val="nil" w:sz="6" w:space="0" w:color="auto"/>
              <w:bottom w:val="nil" w:sz="6" w:space="0" w:color="auto"/>
              <w:right w:val="nil" w:sz="6" w:space="0" w:color="auto"/>
            </w:tcBorders>
          </w:tcPr>
          <w:p>
            <w:pPr/>
          </w:p>
        </w:tc>
        <w:tc>
          <w:tcPr>
            <w:tcW w:w="2047" w:type="dxa"/>
            <w:tcBorders>
              <w:top w:val="single" w:sz="6" w:space="0" w:color="000000"/>
              <w:left w:val="nil" w:sz="6" w:space="0" w:color="auto"/>
              <w:bottom w:val="nil" w:sz="6" w:space="0" w:color="auto"/>
              <w:right w:val="nil" w:sz="6" w:space="0" w:color="auto"/>
            </w:tcBorders>
          </w:tcPr>
          <w:p>
            <w:pPr>
              <w:pStyle w:val="TableParagraph"/>
              <w:spacing w:line="240" w:lineRule="auto" w:before="46"/>
              <w:ind w:right="107"/>
              <w:jc w:val="right"/>
              <w:rPr>
                <w:rFonts w:ascii="宋体" w:hAnsi="宋体" w:cs="宋体" w:eastAsia="宋体" w:hint="default"/>
                <w:sz w:val="18"/>
                <w:szCs w:val="18"/>
              </w:rPr>
            </w:pPr>
            <w:r>
              <w:rPr>
                <w:rFonts w:ascii="宋体" w:hAnsi="宋体" w:cs="宋体" w:eastAsia="宋体" w:hint="default"/>
                <w:sz w:val="18"/>
                <w:szCs w:val="18"/>
              </w:rPr>
              <w:t>会计机构负责人：全丽</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tbl>
      <w:tblPr>
        <w:tblW w:w="0" w:type="auto"/>
        <w:jc w:val="left"/>
        <w:tblInd w:w="296" w:type="dxa"/>
        <w:tblLayout w:type="fixed"/>
        <w:tblCellMar>
          <w:top w:w="0" w:type="dxa"/>
          <w:left w:w="0" w:type="dxa"/>
          <w:bottom w:w="0" w:type="dxa"/>
          <w:right w:w="0" w:type="dxa"/>
        </w:tblCellMar>
        <w:tblLook w:val="01E0"/>
      </w:tblPr>
      <w:tblGrid>
        <w:gridCol w:w="1980"/>
        <w:gridCol w:w="223"/>
        <w:gridCol w:w="1183"/>
        <w:gridCol w:w="223"/>
        <w:gridCol w:w="2458"/>
        <w:gridCol w:w="221"/>
        <w:gridCol w:w="2614"/>
      </w:tblGrid>
      <w:tr>
        <w:trPr>
          <w:trHeight w:val="309" w:hRule="exact"/>
        </w:trPr>
        <w:tc>
          <w:tcPr>
            <w:tcW w:w="8902" w:type="dxa"/>
            <w:gridSpan w:val="7"/>
            <w:tcBorders>
              <w:top w:val="nil" w:sz="6" w:space="0" w:color="auto"/>
              <w:left w:val="nil" w:sz="6" w:space="0" w:color="auto"/>
              <w:bottom w:val="nil" w:sz="6" w:space="0" w:color="auto"/>
              <w:right w:val="nil" w:sz="6" w:space="0" w:color="auto"/>
            </w:tcBorders>
          </w:tcPr>
          <w:p>
            <w:pPr>
              <w:pStyle w:val="TableParagraph"/>
              <w:spacing w:line="211" w:lineRule="exact"/>
              <w:ind w:right="43"/>
              <w:jc w:val="center"/>
              <w:rPr>
                <w:rFonts w:ascii="宋体" w:hAnsi="宋体" w:cs="宋体" w:eastAsia="宋体" w:hint="default"/>
                <w:sz w:val="21"/>
                <w:szCs w:val="21"/>
              </w:rPr>
            </w:pPr>
            <w:r>
              <w:rPr>
                <w:rFonts w:ascii="宋体" w:hAnsi="宋体" w:cs="宋体" w:eastAsia="宋体" w:hint="default"/>
                <w:sz w:val="21"/>
                <w:szCs w:val="21"/>
              </w:rPr>
              <w:t>合并资产负债表（续）</w:t>
            </w:r>
          </w:p>
        </w:tc>
      </w:tr>
      <w:tr>
        <w:trPr>
          <w:trHeight w:val="383" w:hRule="exact"/>
        </w:trPr>
        <w:tc>
          <w:tcPr>
            <w:tcW w:w="890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42"/>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574" w:hRule="exact"/>
        </w:trPr>
        <w:tc>
          <w:tcPr>
            <w:tcW w:w="198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02" w:right="0"/>
              <w:jc w:val="lef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人民币元</w:t>
            </w:r>
          </w:p>
        </w:tc>
      </w:tr>
      <w:tr>
        <w:trPr>
          <w:trHeight w:val="569" w:hRule="exact"/>
        </w:trPr>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负债和股东权益</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附注六</w:t>
            </w: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8"/>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396" w:hRule="exact"/>
        </w:trPr>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single" w:sz="4"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single" w:sz="4" w:space="0" w:color="000000"/>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single" w:sz="4" w:space="0" w:color="000000"/>
              <w:left w:val="nil" w:sz="6" w:space="0" w:color="auto"/>
              <w:bottom w:val="nil" w:sz="6" w:space="0" w:color="auto"/>
              <w:right w:val="nil" w:sz="6" w:space="0" w:color="auto"/>
            </w:tcBorders>
          </w:tcPr>
          <w:p>
            <w:pPr/>
          </w:p>
        </w:tc>
      </w:tr>
      <w:tr>
        <w:trPr>
          <w:trHeight w:val="397"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7"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（十六）</w:t>
            </w: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spacing w:val="-1"/>
                <w:sz w:val="18"/>
              </w:rPr>
              <w:t>15,261,364.61</w:t>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pacing w:val="-1"/>
                <w:sz w:val="18"/>
              </w:rPr>
              <w:t>5,949,989.55</w:t>
            </w:r>
            <w:r>
              <w:rPr>
                <w:rFonts w:ascii="Times New Roman"/>
                <w:sz w:val="18"/>
              </w:rPr>
            </w:r>
          </w:p>
        </w:tc>
      </w:tr>
      <w:tr>
        <w:trPr>
          <w:trHeight w:val="392"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（十七）</w:t>
            </w: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z w:val="18"/>
              </w:rPr>
              <w:t>847,398.97</w:t>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1,218,599.82</w:t>
            </w:r>
            <w:r>
              <w:rPr>
                <w:rFonts w:ascii="Times New Roman"/>
                <w:sz w:val="18"/>
              </w:rPr>
            </w:r>
          </w:p>
        </w:tc>
      </w:tr>
      <w:tr>
        <w:trPr>
          <w:trHeight w:val="391"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（十八）</w:t>
            </w: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1,586,698.87</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833,936.88</w:t>
            </w:r>
          </w:p>
        </w:tc>
      </w:tr>
      <w:tr>
        <w:trPr>
          <w:trHeight w:val="397"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（十九）</w:t>
            </w: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z w:val="18"/>
              </w:rPr>
              <w:t>471,907.54</w:t>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424,528.58</w:t>
            </w:r>
          </w:p>
        </w:tc>
      </w:tr>
      <w:tr>
        <w:trPr>
          <w:trHeight w:val="388"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6"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（二十）</w:t>
            </w: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1,785,834.26</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pacing w:val="-1"/>
                <w:sz w:val="18"/>
              </w:rPr>
              <w:t>4,478,877.25</w:t>
            </w:r>
            <w:r>
              <w:rPr>
                <w:rFonts w:ascii="Times New Roman"/>
                <w:sz w:val="18"/>
              </w:rPr>
            </w:r>
          </w:p>
        </w:tc>
      </w:tr>
      <w:tr>
        <w:trPr>
          <w:trHeight w:val="699"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316" w:lineRule="auto" w:before="45"/>
              <w:ind w:left="808" w:right="178" w:hanging="629"/>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9"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60590" cy="6096"/>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29" cstate="print"/>
                          <a:stretch>
                            <a:fillRect/>
                          </a:stretch>
                        </pic:blipFill>
                        <pic:spPr>
                          <a:xfrm>
                            <a:off x="0" y="0"/>
                            <a:ext cx="1560590"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19,953,204.25</w:t>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single" w:sz="4" w:space="0" w:color="000000"/>
              <w:right w:val="nil" w:sz="6" w:space="0" w:color="auto"/>
            </w:tcBorders>
          </w:tcPr>
          <w:p>
            <w:pPr>
              <w:pStyle w:val="TableParagraph"/>
              <w:spacing w:line="20"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629170" cy="6096"/>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30" cstate="print"/>
                          <a:stretch>
                            <a:fillRect/>
                          </a:stretch>
                        </pic:blipFill>
                        <pic:spPr>
                          <a:xfrm>
                            <a:off x="0" y="0"/>
                            <a:ext cx="1629170"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left="1423" w:right="0"/>
              <w:jc w:val="left"/>
              <w:rPr>
                <w:rFonts w:ascii="Times New Roman" w:hAnsi="Times New Roman" w:cs="Times New Roman" w:eastAsia="Times New Roman" w:hint="default"/>
                <w:sz w:val="18"/>
                <w:szCs w:val="18"/>
              </w:rPr>
            </w:pPr>
            <w:r>
              <w:rPr>
                <w:rFonts w:ascii="Times New Roman"/>
                <w:sz w:val="18"/>
              </w:rPr>
              <w:t>12,905,932.08</w:t>
            </w:r>
          </w:p>
        </w:tc>
      </w:tr>
      <w:tr>
        <w:trPr>
          <w:trHeight w:val="395"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single" w:sz="4" w:space="0" w:color="000000"/>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single" w:sz="4" w:space="0" w:color="000000"/>
              <w:left w:val="nil" w:sz="6" w:space="0" w:color="auto"/>
              <w:bottom w:val="nil" w:sz="6" w:space="0" w:color="auto"/>
              <w:right w:val="nil" w:sz="6" w:space="0" w:color="auto"/>
            </w:tcBorders>
          </w:tcPr>
          <w:p>
            <w:pPr/>
          </w:p>
        </w:tc>
      </w:tr>
      <w:tr>
        <w:trPr>
          <w:trHeight w:val="396"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应付债券</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长期应付款</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8"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专项应付款</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center"/>
              <w:rPr>
                <w:rFonts w:ascii="宋体" w:hAnsi="宋体" w:cs="宋体" w:eastAsia="宋体" w:hint="default"/>
                <w:sz w:val="20"/>
                <w:szCs w:val="20"/>
              </w:rPr>
            </w:pPr>
            <w:r>
              <w:rPr>
                <w:rFonts w:ascii="宋体" w:hAnsi="宋体" w:cs="宋体" w:eastAsia="宋体" w:hint="default"/>
                <w:sz w:val="20"/>
                <w:szCs w:val="20"/>
              </w:rPr>
              <w:t>（二十一）</w:t>
            </w: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4,694,298.17</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11" w:right="0"/>
              <w:jc w:val="left"/>
              <w:rPr>
                <w:rFonts w:ascii="Times New Roman" w:hAnsi="Times New Roman" w:cs="Times New Roman" w:eastAsia="Times New Roman" w:hint="default"/>
                <w:sz w:val="18"/>
                <w:szCs w:val="18"/>
              </w:rPr>
            </w:pPr>
            <w:r>
              <w:rPr>
                <w:rFonts w:ascii="Times New Roman"/>
                <w:sz w:val="18"/>
              </w:rPr>
              <w:t>5,405,801.36</w:t>
            </w:r>
          </w:p>
        </w:tc>
      </w:tr>
      <w:tr>
        <w:trPr>
          <w:trHeight w:val="396"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递延所得税负债</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（十四）</w:t>
            </w: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z w:val="18"/>
              </w:rPr>
              <w:t>416,284.68</w:t>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646" w:right="0"/>
              <w:jc w:val="left"/>
              <w:rPr>
                <w:rFonts w:ascii="Times New Roman" w:hAnsi="Times New Roman" w:cs="Times New Roman" w:eastAsia="Times New Roman" w:hint="default"/>
                <w:sz w:val="18"/>
                <w:szCs w:val="18"/>
              </w:rPr>
            </w:pPr>
            <w:r>
              <w:rPr>
                <w:rFonts w:ascii="Times New Roman"/>
                <w:sz w:val="18"/>
              </w:rPr>
              <w:t>196,234.42</w:t>
            </w:r>
          </w:p>
        </w:tc>
      </w:tr>
      <w:tr>
        <w:trPr>
          <w:trHeight w:val="397"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8"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60590" cy="6095"/>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29" cstate="print"/>
                          <a:stretch>
                            <a:fillRect/>
                          </a:stretch>
                        </pic:blipFill>
                        <pic:spPr>
                          <a:xfrm>
                            <a:off x="0" y="0"/>
                            <a:ext cx="1560590"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03"/>
              <w:jc w:val="right"/>
              <w:rPr>
                <w:rFonts w:ascii="Times New Roman" w:hAnsi="Times New Roman" w:cs="Times New Roman" w:eastAsia="Times New Roman" w:hint="default"/>
                <w:sz w:val="18"/>
                <w:szCs w:val="18"/>
              </w:rPr>
            </w:pPr>
            <w:r>
              <w:rPr>
                <w:rFonts w:ascii="Times New Roman"/>
                <w:spacing w:val="-1"/>
                <w:sz w:val="18"/>
              </w:rPr>
              <w:t>5,110,582.85</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single" w:sz="4" w:space="0" w:color="000000"/>
              <w:right w:val="nil" w:sz="6" w:space="0" w:color="auto"/>
            </w:tcBorders>
          </w:tcPr>
          <w:p>
            <w:pPr>
              <w:pStyle w:val="TableParagraph"/>
              <w:spacing w:line="20"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629170" cy="6095"/>
                  <wp:effectExtent l="0" t="0" r="0" b="0"/>
                  <wp:docPr id="17" name="image6.png" descr=""/>
                  <wp:cNvGraphicFramePr>
                    <a:graphicFrameLocks noChangeAspect="1"/>
                  </wp:cNvGraphicFramePr>
                  <a:graphic>
                    <a:graphicData uri="http://schemas.openxmlformats.org/drawingml/2006/picture">
                      <pic:pic>
                        <pic:nvPicPr>
                          <pic:cNvPr id="18" name="image6.png"/>
                          <pic:cNvPicPr/>
                        </pic:nvPicPr>
                        <pic:blipFill>
                          <a:blip r:embed="rId30" cstate="print"/>
                          <a:stretch>
                            <a:fillRect/>
                          </a:stretch>
                        </pic:blipFill>
                        <pic:spPr>
                          <a:xfrm>
                            <a:off x="0" y="0"/>
                            <a:ext cx="1629170"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left="1511" w:right="0"/>
              <w:jc w:val="left"/>
              <w:rPr>
                <w:rFonts w:ascii="Times New Roman" w:hAnsi="Times New Roman" w:cs="Times New Roman" w:eastAsia="Times New Roman" w:hint="default"/>
                <w:sz w:val="18"/>
                <w:szCs w:val="18"/>
              </w:rPr>
            </w:pPr>
            <w:r>
              <w:rPr>
                <w:rFonts w:ascii="Times New Roman"/>
                <w:sz w:val="18"/>
              </w:rPr>
              <w:t>5,602,035.78</w:t>
            </w:r>
          </w:p>
        </w:tc>
      </w:tr>
      <w:tr>
        <w:trPr>
          <w:trHeight w:val="420"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25,063,787.10</w:t>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left="1423" w:right="0"/>
              <w:jc w:val="left"/>
              <w:rPr>
                <w:rFonts w:ascii="Times New Roman" w:hAnsi="Times New Roman" w:cs="Times New Roman" w:eastAsia="Times New Roman" w:hint="default"/>
                <w:sz w:val="18"/>
                <w:szCs w:val="18"/>
              </w:rPr>
            </w:pPr>
            <w:r>
              <w:rPr>
                <w:rFonts w:ascii="Times New Roman"/>
                <w:sz w:val="18"/>
              </w:rPr>
              <w:t>18,507,967.86</w:t>
            </w:r>
          </w:p>
        </w:tc>
      </w:tr>
      <w:tr>
        <w:trPr>
          <w:trHeight w:val="409"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股东权益：</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single" w:sz="17" w:space="0" w:color="000000"/>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single" w:sz="17" w:space="0" w:color="000000"/>
              <w:left w:val="nil" w:sz="6" w:space="0" w:color="auto"/>
              <w:bottom w:val="nil" w:sz="6" w:space="0" w:color="auto"/>
              <w:right w:val="nil" w:sz="6" w:space="0" w:color="auto"/>
            </w:tcBorders>
          </w:tcPr>
          <w:p>
            <w:pPr/>
          </w:p>
        </w:tc>
      </w:tr>
      <w:tr>
        <w:trPr>
          <w:trHeight w:val="300"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center"/>
              <w:rPr>
                <w:rFonts w:ascii="宋体" w:hAnsi="宋体" w:cs="宋体" w:eastAsia="宋体" w:hint="default"/>
                <w:sz w:val="20"/>
                <w:szCs w:val="20"/>
              </w:rPr>
            </w:pPr>
            <w:r>
              <w:rPr>
                <w:rFonts w:ascii="宋体" w:hAnsi="宋体" w:cs="宋体" w:eastAsia="宋体" w:hint="default"/>
                <w:sz w:val="20"/>
                <w:szCs w:val="20"/>
              </w:rPr>
              <w:t>（二十二）</w:t>
            </w:r>
          </w:p>
        </w:tc>
        <w:tc>
          <w:tcPr>
            <w:tcW w:w="22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3"/>
              <w:jc w:val="right"/>
              <w:rPr>
                <w:rFonts w:ascii="Times New Roman" w:hAnsi="Times New Roman" w:cs="Times New Roman" w:eastAsia="Times New Roman" w:hint="default"/>
                <w:sz w:val="18"/>
                <w:szCs w:val="18"/>
              </w:rPr>
            </w:pPr>
            <w:r>
              <w:rPr>
                <w:rFonts w:ascii="Times New Roman"/>
                <w:spacing w:val="-1"/>
                <w:sz w:val="18"/>
              </w:rPr>
              <w:t>158,400,000.00</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31" w:right="0"/>
              <w:jc w:val="left"/>
              <w:rPr>
                <w:rFonts w:ascii="Times New Roman" w:hAnsi="Times New Roman" w:cs="Times New Roman" w:eastAsia="Times New Roman" w:hint="default"/>
                <w:sz w:val="18"/>
                <w:szCs w:val="18"/>
              </w:rPr>
            </w:pPr>
            <w:r>
              <w:rPr>
                <w:rFonts w:ascii="Times New Roman"/>
                <w:sz w:val="18"/>
              </w:rPr>
              <w:t>158,400,000.00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060" w:bottom="1180" w:left="980" w:right="980"/>
        </w:sectPr>
      </w:pPr>
    </w:p>
    <w:p>
      <w:pPr>
        <w:spacing w:line="240" w:lineRule="auto" w:before="2"/>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171"/>
        <w:gridCol w:w="247"/>
        <w:gridCol w:w="1289"/>
        <w:gridCol w:w="247"/>
        <w:gridCol w:w="1286"/>
        <w:gridCol w:w="230"/>
        <w:gridCol w:w="2225"/>
      </w:tblGrid>
      <w:tr>
        <w:trPr>
          <w:trHeight w:val="6689" w:hRule="exact"/>
        </w:trPr>
        <w:tc>
          <w:tcPr>
            <w:tcW w:w="9696" w:type="dxa"/>
            <w:gridSpan w:val="7"/>
            <w:tcBorders>
              <w:top w:val="single" w:sz="6" w:space="0" w:color="000000"/>
              <w:left w:val="nil" w:sz="6" w:space="0" w:color="auto"/>
              <w:bottom w:val="nil" w:sz="6" w:space="0" w:color="auto"/>
              <w:right w:val="nil" w:sz="6" w:space="0" w:color="auto"/>
            </w:tcBorders>
          </w:tcPr>
          <w:p>
            <w:pPr>
              <w:pStyle w:val="TableParagraph"/>
              <w:tabs>
                <w:tab w:pos="1707" w:val="left" w:leader="none"/>
                <w:tab w:pos="4321" w:val="left" w:leader="none"/>
                <w:tab w:pos="7107" w:val="left" w:leader="none"/>
              </w:tabs>
              <w:spacing w:line="240" w:lineRule="auto" w:before="47"/>
              <w:ind w:left="25" w:right="0"/>
              <w:jc w:val="center"/>
              <w:rPr>
                <w:rFonts w:ascii="Times New Roman" w:hAnsi="Times New Roman" w:cs="Times New Roman" w:eastAsia="Times New Roman" w:hint="default"/>
                <w:sz w:val="18"/>
                <w:szCs w:val="18"/>
              </w:rPr>
            </w:pPr>
            <w:r>
              <w:rPr>
                <w:rFonts w:ascii="宋体" w:hAnsi="宋体" w:cs="宋体" w:eastAsia="宋体" w:hint="default"/>
                <w:position w:val="1"/>
                <w:sz w:val="18"/>
                <w:szCs w:val="18"/>
              </w:rPr>
              <w:t>资本公积</w:t>
              <w:tab/>
            </w:r>
            <w:r>
              <w:rPr>
                <w:rFonts w:ascii="宋体" w:hAnsi="宋体" w:cs="宋体" w:eastAsia="宋体" w:hint="default"/>
                <w:w w:val="95"/>
                <w:sz w:val="20"/>
                <w:szCs w:val="20"/>
              </w:rPr>
              <w:t>（二十三）</w:t>
              <w:tab/>
            </w:r>
            <w:r>
              <w:rPr>
                <w:rFonts w:ascii="Times New Roman" w:hAnsi="Times New Roman" w:cs="Times New Roman" w:eastAsia="Times New Roman" w:hint="default"/>
                <w:spacing w:val="-1"/>
                <w:position w:val="1"/>
                <w:sz w:val="18"/>
                <w:szCs w:val="18"/>
              </w:rPr>
              <w:t>62,580,990.76</w:t>
              <w:tab/>
              <w:t>62,580,990.76</w:t>
            </w:r>
            <w:r>
              <w:rPr>
                <w:rFonts w:ascii="Times New Roman" w:hAnsi="Times New Roman" w:cs="Times New Roman" w:eastAsia="Times New Roman" w:hint="default"/>
                <w:spacing w:val="-1"/>
                <w:sz w:val="18"/>
                <w:szCs w:val="18"/>
              </w:rPr>
            </w:r>
          </w:p>
          <w:p>
            <w:pPr>
              <w:pStyle w:val="TableParagraph"/>
              <w:tabs>
                <w:tab w:pos="6071" w:val="left" w:leader="none"/>
              </w:tabs>
              <w:spacing w:line="240" w:lineRule="auto" w:before="147"/>
              <w:ind w:left="7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减：库存股</w:t>
              <w:tab/>
            </w:r>
            <w:r>
              <w:rPr>
                <w:rFonts w:ascii="Times New Roman" w:hAnsi="Times New Roman" w:cs="Times New Roman" w:eastAsia="Times New Roman" w:hint="default"/>
                <w:sz w:val="18"/>
                <w:szCs w:val="18"/>
              </w:rPr>
              <w:t>-</w:t>
            </w:r>
          </w:p>
          <w:p>
            <w:pPr>
              <w:pStyle w:val="TableParagraph"/>
              <w:tabs>
                <w:tab w:pos="5450" w:val="left" w:leader="none"/>
                <w:tab w:pos="8236" w:val="left" w:leader="none"/>
              </w:tabs>
              <w:spacing w:line="240" w:lineRule="auto" w:before="142"/>
              <w:ind w:right="154"/>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其他综合收益</w:t>
              <w:tab/>
            </w:r>
            <w:r>
              <w:rPr>
                <w:rFonts w:ascii="Times New Roman" w:hAnsi="Times New Roman" w:cs="Times New Roman" w:eastAsia="Times New Roman" w:hint="default"/>
                <w:sz w:val="18"/>
                <w:szCs w:val="18"/>
              </w:rPr>
              <w:t>-</w:t>
              <w:tab/>
              <w:t>-</w:t>
            </w:r>
          </w:p>
          <w:p>
            <w:pPr>
              <w:pStyle w:val="TableParagraph"/>
              <w:tabs>
                <w:tab w:pos="5294" w:val="left" w:leader="none"/>
                <w:tab w:pos="8080" w:val="left" w:leader="none"/>
              </w:tabs>
              <w:spacing w:line="240" w:lineRule="auto" w:before="142"/>
              <w:ind w:left="2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专项储备</w:t>
              <w:tab/>
            </w:r>
            <w:r>
              <w:rPr>
                <w:rFonts w:ascii="Times New Roman" w:hAnsi="Times New Roman" w:cs="Times New Roman" w:eastAsia="Times New Roman" w:hint="default"/>
                <w:sz w:val="18"/>
                <w:szCs w:val="18"/>
              </w:rPr>
              <w:t>-</w:t>
              <w:tab/>
              <w:t>-</w:t>
            </w:r>
          </w:p>
          <w:p>
            <w:pPr>
              <w:pStyle w:val="TableParagraph"/>
              <w:tabs>
                <w:tab w:pos="1707" w:val="left" w:leader="none"/>
                <w:tab w:pos="4321" w:val="left" w:leader="none"/>
                <w:tab w:pos="7107" w:val="left" w:leader="none"/>
              </w:tabs>
              <w:spacing w:line="240" w:lineRule="auto" w:before="128"/>
              <w:ind w:left="25" w:right="0"/>
              <w:jc w:val="center"/>
              <w:rPr>
                <w:rFonts w:ascii="Times New Roman" w:hAnsi="Times New Roman" w:cs="Times New Roman" w:eastAsia="Times New Roman" w:hint="default"/>
                <w:sz w:val="18"/>
                <w:szCs w:val="18"/>
              </w:rPr>
            </w:pPr>
            <w:r>
              <w:rPr>
                <w:rFonts w:ascii="宋体" w:hAnsi="宋体" w:cs="宋体" w:eastAsia="宋体" w:hint="default"/>
                <w:position w:val="1"/>
                <w:sz w:val="18"/>
                <w:szCs w:val="18"/>
              </w:rPr>
              <w:t>盈余公积</w:t>
              <w:tab/>
            </w:r>
            <w:r>
              <w:rPr>
                <w:rFonts w:ascii="宋体" w:hAnsi="宋体" w:cs="宋体" w:eastAsia="宋体" w:hint="default"/>
                <w:w w:val="95"/>
                <w:sz w:val="20"/>
                <w:szCs w:val="20"/>
              </w:rPr>
              <w:t>（二十四）</w:t>
              <w:tab/>
            </w:r>
            <w:r>
              <w:rPr>
                <w:rFonts w:ascii="Times New Roman" w:hAnsi="Times New Roman" w:cs="Times New Roman" w:eastAsia="Times New Roman" w:hint="default"/>
                <w:spacing w:val="-1"/>
                <w:position w:val="1"/>
                <w:sz w:val="18"/>
                <w:szCs w:val="18"/>
              </w:rPr>
              <w:t>16,365,152.72</w:t>
              <w:tab/>
              <w:t>14,026,838.97</w:t>
            </w:r>
            <w:r>
              <w:rPr>
                <w:rFonts w:ascii="Times New Roman" w:hAnsi="Times New Roman" w:cs="Times New Roman" w:eastAsia="Times New Roman" w:hint="default"/>
                <w:spacing w:val="-1"/>
                <w:sz w:val="18"/>
                <w:szCs w:val="18"/>
              </w:rPr>
            </w:r>
          </w:p>
          <w:p>
            <w:pPr>
              <w:pStyle w:val="TableParagraph"/>
              <w:tabs>
                <w:tab w:pos="2483" w:val="left" w:leader="none"/>
                <w:tab w:pos="5006" w:val="left" w:leader="none"/>
                <w:tab w:pos="7792" w:val="left" w:leader="none"/>
              </w:tabs>
              <w:spacing w:line="240" w:lineRule="auto" w:before="128"/>
              <w:ind w:left="712"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未分配利润</w:t>
              <w:tab/>
            </w:r>
            <w:r>
              <w:rPr>
                <w:rFonts w:ascii="宋体" w:hAnsi="宋体" w:cs="宋体" w:eastAsia="宋体" w:hint="default"/>
                <w:w w:val="95"/>
                <w:sz w:val="20"/>
                <w:szCs w:val="20"/>
              </w:rPr>
              <w:t>（二十五）</w:t>
              <w:tab/>
            </w:r>
            <w:r>
              <w:rPr>
                <w:rFonts w:ascii="Times New Roman" w:hAnsi="Times New Roman" w:cs="Times New Roman" w:eastAsia="Times New Roman" w:hint="default"/>
                <w:spacing w:val="-1"/>
                <w:position w:val="1"/>
                <w:sz w:val="18"/>
                <w:szCs w:val="18"/>
              </w:rPr>
              <w:t>105,285,812.54</w:t>
              <w:tab/>
              <w:t>101,236,053.71</w:t>
            </w:r>
            <w:r>
              <w:rPr>
                <w:rFonts w:ascii="Times New Roman" w:hAnsi="Times New Roman" w:cs="Times New Roman" w:eastAsia="Times New Roman" w:hint="default"/>
                <w:sz w:val="18"/>
                <w:szCs w:val="18"/>
              </w:rPr>
            </w:r>
          </w:p>
          <w:p>
            <w:pPr>
              <w:pStyle w:val="TableParagraph"/>
              <w:spacing w:line="240" w:lineRule="auto" w:before="4"/>
              <w:ind w:right="0"/>
              <w:jc w:val="left"/>
              <w:rPr>
                <w:rFonts w:ascii="Times New Roman" w:hAnsi="Times New Roman" w:cs="Times New Roman" w:eastAsia="Times New Roman" w:hint="default"/>
                <w:sz w:val="8"/>
                <w:szCs w:val="8"/>
              </w:rPr>
            </w:pPr>
          </w:p>
          <w:p>
            <w:pPr>
              <w:pStyle w:val="TableParagraph"/>
              <w:tabs>
                <w:tab w:pos="6460" w:val="left" w:leader="none"/>
              </w:tabs>
              <w:spacing w:line="20" w:lineRule="exact"/>
              <w:ind w:left="3782" w:right="0"/>
              <w:jc w:val="left"/>
              <w:rPr>
                <w:rFonts w:ascii="Times New Roman" w:hAnsi="Times New Roman" w:cs="Times New Roman" w:eastAsia="Times New Roman" w:hint="default"/>
                <w:sz w:val="2"/>
                <w:szCs w:val="2"/>
              </w:rPr>
            </w:pPr>
            <w:r>
              <w:rPr>
                <w:rFonts w:ascii="Times New Roman"/>
                <w:sz w:val="2"/>
              </w:rPr>
              <w:drawing>
                <wp:inline distT="0" distB="0" distL="0" distR="0">
                  <wp:extent cx="1560590" cy="6096"/>
                  <wp:effectExtent l="0" t="0" r="0" b="0"/>
                  <wp:docPr id="19" name="image5.png" descr=""/>
                  <wp:cNvGraphicFramePr>
                    <a:graphicFrameLocks noChangeAspect="1"/>
                  </wp:cNvGraphicFramePr>
                  <a:graphic>
                    <a:graphicData uri="http://schemas.openxmlformats.org/drawingml/2006/picture">
                      <pic:pic>
                        <pic:nvPicPr>
                          <pic:cNvPr id="20" name="image5.png"/>
                          <pic:cNvPicPr/>
                        </pic:nvPicPr>
                        <pic:blipFill>
                          <a:blip r:embed="rId29" cstate="print"/>
                          <a:stretch>
                            <a:fillRect/>
                          </a:stretch>
                        </pic:blipFill>
                        <pic:spPr>
                          <a:xfrm>
                            <a:off x="0" y="0"/>
                            <a:ext cx="1560590" cy="6096"/>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1629170" cy="6096"/>
                  <wp:effectExtent l="0" t="0" r="0" b="0"/>
                  <wp:docPr id="21" name="image6.png" descr=""/>
                  <wp:cNvGraphicFramePr>
                    <a:graphicFrameLocks noChangeAspect="1"/>
                  </wp:cNvGraphicFramePr>
                  <a:graphic>
                    <a:graphicData uri="http://schemas.openxmlformats.org/drawingml/2006/picture">
                      <pic:pic>
                        <pic:nvPicPr>
                          <pic:cNvPr id="22" name="image6.png"/>
                          <pic:cNvPicPr/>
                        </pic:nvPicPr>
                        <pic:blipFill>
                          <a:blip r:embed="rId30" cstate="print"/>
                          <a:stretch>
                            <a:fillRect/>
                          </a:stretch>
                        </pic:blipFill>
                        <pic:spPr>
                          <a:xfrm>
                            <a:off x="0" y="0"/>
                            <a:ext cx="1629170" cy="6096"/>
                          </a:xfrm>
                          <a:prstGeom prst="rect">
                            <a:avLst/>
                          </a:prstGeom>
                        </pic:spPr>
                      </pic:pic>
                    </a:graphicData>
                  </a:graphic>
                </wp:inline>
              </w:drawing>
            </w:r>
            <w:r>
              <w:rPr>
                <w:rFonts w:ascii="Times New Roman"/>
                <w:sz w:val="2"/>
              </w:rPr>
            </w:r>
          </w:p>
          <w:p>
            <w:pPr>
              <w:pStyle w:val="TableParagraph"/>
              <w:spacing w:line="217" w:lineRule="exact" w:before="41"/>
              <w:ind w:left="352" w:right="0"/>
              <w:jc w:val="left"/>
              <w:rPr>
                <w:rFonts w:ascii="宋体" w:hAnsi="宋体" w:cs="宋体" w:eastAsia="宋体" w:hint="default"/>
                <w:sz w:val="18"/>
                <w:szCs w:val="18"/>
              </w:rPr>
            </w:pPr>
            <w:r>
              <w:rPr>
                <w:rFonts w:ascii="宋体" w:hAnsi="宋体" w:cs="宋体" w:eastAsia="宋体" w:hint="default"/>
                <w:sz w:val="18"/>
                <w:szCs w:val="18"/>
              </w:rPr>
              <w:t>归属于母公司股东权</w:t>
            </w:r>
          </w:p>
          <w:p>
            <w:pPr>
              <w:pStyle w:val="TableParagraph"/>
              <w:tabs>
                <w:tab w:pos="7792" w:val="left" w:leader="none"/>
              </w:tabs>
              <w:spacing w:line="141" w:lineRule="exact"/>
              <w:ind w:left="5006" w:right="0"/>
              <w:jc w:val="left"/>
              <w:rPr>
                <w:rFonts w:ascii="Times New Roman" w:hAnsi="Times New Roman" w:cs="Times New Roman" w:eastAsia="Times New Roman" w:hint="default"/>
                <w:sz w:val="18"/>
                <w:szCs w:val="18"/>
              </w:rPr>
            </w:pPr>
            <w:r>
              <w:rPr>
                <w:rFonts w:ascii="Times New Roman"/>
                <w:spacing w:val="-1"/>
                <w:sz w:val="18"/>
              </w:rPr>
              <w:t>342,631,956.02</w:t>
              <w:tab/>
              <w:t>336,243,883.44</w:t>
            </w:r>
            <w:r>
              <w:rPr>
                <w:rFonts w:ascii="Times New Roman"/>
                <w:sz w:val="18"/>
              </w:rPr>
            </w:r>
          </w:p>
          <w:p>
            <w:pPr>
              <w:pStyle w:val="TableParagraph"/>
              <w:spacing w:line="188" w:lineRule="exact"/>
              <w:ind w:left="892" w:right="0"/>
              <w:jc w:val="left"/>
              <w:rPr>
                <w:rFonts w:ascii="宋体" w:hAnsi="宋体" w:cs="宋体" w:eastAsia="宋体" w:hint="default"/>
                <w:sz w:val="18"/>
                <w:szCs w:val="18"/>
              </w:rPr>
            </w:pPr>
            <w:r>
              <w:rPr>
                <w:rFonts w:ascii="宋体" w:hAnsi="宋体" w:cs="宋体" w:eastAsia="宋体" w:hint="default"/>
                <w:sz w:val="18"/>
                <w:szCs w:val="18"/>
              </w:rPr>
              <w:t>益合计</w:t>
            </w: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tabs>
                <w:tab w:pos="6456" w:val="left" w:leader="none"/>
              </w:tabs>
              <w:spacing w:line="20" w:lineRule="exact"/>
              <w:ind w:left="3777" w:right="0"/>
              <w:jc w:val="left"/>
              <w:rPr>
                <w:rFonts w:ascii="Times New Roman" w:hAnsi="Times New Roman" w:cs="Times New Roman" w:eastAsia="Times New Roman" w:hint="default"/>
                <w:sz w:val="2"/>
                <w:szCs w:val="2"/>
              </w:rPr>
            </w:pPr>
            <w:r>
              <w:rPr>
                <w:rFonts w:ascii="Times New Roman"/>
                <w:sz w:val="2"/>
              </w:rPr>
              <w:pict>
                <v:group style="width:123.4pt;height:.5pt;mso-position-horizontal-relative:char;mso-position-vertical-relative:line" coordorigin="0,0" coordsize="2468,10">
                  <v:group style="position:absolute;left:5;top:5;width:2458;height:2" coordorigin="5,5" coordsize="2458,2">
                    <v:shape style="position:absolute;left:5;top:5;width:2458;height:2" coordorigin="5,5" coordsize="2458,0" path="m5,5l2462,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28.8pt;height:.5pt;mso-position-horizontal-relative:char;mso-position-vertical-relative:line" coordorigin="0,0" coordsize="2576,10">
                  <v:group style="position:absolute;left:5;top:5;width:2566;height:2" coordorigin="5,5" coordsize="2566,2">
                    <v:shape style="position:absolute;left:5;top:5;width:2566;height:2" coordorigin="5,5" coordsize="2566,0" path="m5,5l2570,5e" filled="false" stroked="true" strokeweight=".48pt" strokecolor="#000000">
                      <v:path arrowok="t"/>
                    </v:shape>
                  </v:group>
                </v:group>
              </w:pict>
            </w:r>
            <w:r>
              <w:rPr>
                <w:rFonts w:ascii="Times New Roman"/>
                <w:sz w:val="2"/>
              </w:rPr>
            </w:r>
          </w:p>
          <w:p>
            <w:pPr>
              <w:pStyle w:val="TableParagraph"/>
              <w:tabs>
                <w:tab w:pos="5450" w:val="left" w:leader="none"/>
                <w:tab w:pos="8236" w:val="left" w:leader="none"/>
              </w:tabs>
              <w:spacing w:line="240" w:lineRule="auto" w:before="38"/>
              <w:ind w:right="154"/>
              <w:jc w:val="center"/>
              <w:rPr>
                <w:rFonts w:ascii="Times New Roman" w:hAnsi="Times New Roman" w:cs="Times New Roman" w:eastAsia="Times New Roman" w:hint="default"/>
                <w:sz w:val="18"/>
                <w:szCs w:val="18"/>
              </w:rPr>
            </w:pPr>
            <w:r>
              <w:rPr>
                <w:rFonts w:ascii="宋体" w:hAnsi="宋体" w:cs="宋体" w:eastAsia="宋体" w:hint="default"/>
                <w:sz w:val="18"/>
                <w:szCs w:val="18"/>
              </w:rPr>
              <w:t>少数股东权益</w:t>
              <w:tab/>
            </w:r>
            <w:r>
              <w:rPr>
                <w:rFonts w:ascii="Times New Roman" w:hAnsi="Times New Roman" w:cs="Times New Roman" w:eastAsia="Times New Roman" w:hint="default"/>
                <w:sz w:val="18"/>
                <w:szCs w:val="18"/>
              </w:rPr>
              <w:t>-</w:t>
              <w:tab/>
              <w:t>-</w:t>
            </w:r>
          </w:p>
          <w:p>
            <w:pPr>
              <w:pStyle w:val="TableParagraph"/>
              <w:spacing w:line="240" w:lineRule="auto" w:before="1"/>
              <w:ind w:right="0"/>
              <w:jc w:val="left"/>
              <w:rPr>
                <w:rFonts w:ascii="Times New Roman" w:hAnsi="Times New Roman" w:cs="Times New Roman" w:eastAsia="Times New Roman" w:hint="default"/>
                <w:sz w:val="8"/>
                <w:szCs w:val="8"/>
              </w:rPr>
            </w:pPr>
          </w:p>
          <w:p>
            <w:pPr>
              <w:pStyle w:val="TableParagraph"/>
              <w:tabs>
                <w:tab w:pos="6460" w:val="left" w:leader="none"/>
              </w:tabs>
              <w:spacing w:line="20" w:lineRule="exact"/>
              <w:ind w:left="3782" w:right="0"/>
              <w:jc w:val="left"/>
              <w:rPr>
                <w:rFonts w:ascii="Times New Roman" w:hAnsi="Times New Roman" w:cs="Times New Roman" w:eastAsia="Times New Roman" w:hint="default"/>
                <w:sz w:val="2"/>
                <w:szCs w:val="2"/>
              </w:rPr>
            </w:pPr>
            <w:r>
              <w:rPr>
                <w:rFonts w:ascii="Times New Roman"/>
                <w:sz w:val="2"/>
              </w:rPr>
              <w:drawing>
                <wp:inline distT="0" distB="0" distL="0" distR="0">
                  <wp:extent cx="1560590" cy="6096"/>
                  <wp:effectExtent l="0" t="0" r="0" b="0"/>
                  <wp:docPr id="23" name="image5.png" descr=""/>
                  <wp:cNvGraphicFramePr>
                    <a:graphicFrameLocks noChangeAspect="1"/>
                  </wp:cNvGraphicFramePr>
                  <a:graphic>
                    <a:graphicData uri="http://schemas.openxmlformats.org/drawingml/2006/picture">
                      <pic:pic>
                        <pic:nvPicPr>
                          <pic:cNvPr id="24" name="image5.png"/>
                          <pic:cNvPicPr/>
                        </pic:nvPicPr>
                        <pic:blipFill>
                          <a:blip r:embed="rId29" cstate="print"/>
                          <a:stretch>
                            <a:fillRect/>
                          </a:stretch>
                        </pic:blipFill>
                        <pic:spPr>
                          <a:xfrm>
                            <a:off x="0" y="0"/>
                            <a:ext cx="1560590" cy="6096"/>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1629170" cy="6096"/>
                  <wp:effectExtent l="0" t="0" r="0" b="0"/>
                  <wp:docPr id="25" name="image6.png" descr=""/>
                  <wp:cNvGraphicFramePr>
                    <a:graphicFrameLocks noChangeAspect="1"/>
                  </wp:cNvGraphicFramePr>
                  <a:graphic>
                    <a:graphicData uri="http://schemas.openxmlformats.org/drawingml/2006/picture">
                      <pic:pic>
                        <pic:nvPicPr>
                          <pic:cNvPr id="26" name="image6.png"/>
                          <pic:cNvPicPr/>
                        </pic:nvPicPr>
                        <pic:blipFill>
                          <a:blip r:embed="rId30" cstate="print"/>
                          <a:stretch>
                            <a:fillRect/>
                          </a:stretch>
                        </pic:blipFill>
                        <pic:spPr>
                          <a:xfrm>
                            <a:off x="0" y="0"/>
                            <a:ext cx="1629170" cy="6096"/>
                          </a:xfrm>
                          <a:prstGeom prst="rect">
                            <a:avLst/>
                          </a:prstGeom>
                        </pic:spPr>
                      </pic:pic>
                    </a:graphicData>
                  </a:graphic>
                </wp:inline>
              </w:drawing>
            </w:r>
            <w:r>
              <w:rPr>
                <w:rFonts w:ascii="Times New Roman"/>
                <w:sz w:val="2"/>
              </w:rPr>
            </w:r>
          </w:p>
          <w:p>
            <w:pPr>
              <w:pStyle w:val="TableParagraph"/>
              <w:tabs>
                <w:tab w:pos="4387" w:val="left" w:leader="none"/>
                <w:tab w:pos="7173" w:val="left" w:leader="none"/>
              </w:tabs>
              <w:spacing w:line="240" w:lineRule="auto" w:before="41"/>
              <w:ind w:right="155"/>
              <w:jc w:val="center"/>
              <w:rPr>
                <w:rFonts w:ascii="Times New Roman" w:hAnsi="Times New Roman" w:cs="Times New Roman" w:eastAsia="Times New Roman" w:hint="default"/>
                <w:sz w:val="18"/>
                <w:szCs w:val="18"/>
              </w:rPr>
            </w:pPr>
            <w:r>
              <w:rPr>
                <w:rFonts w:ascii="宋体" w:hAnsi="宋体" w:cs="宋体" w:eastAsia="宋体" w:hint="default"/>
                <w:b/>
                <w:bCs/>
                <w:w w:val="95"/>
                <w:sz w:val="18"/>
                <w:szCs w:val="18"/>
              </w:rPr>
              <w:t>股东权益合计</w:t>
              <w:tab/>
            </w:r>
            <w:r>
              <w:rPr>
                <w:rFonts w:ascii="Times New Roman" w:hAnsi="Times New Roman" w:cs="Times New Roman" w:eastAsia="Times New Roman" w:hint="default"/>
                <w:spacing w:val="-1"/>
                <w:sz w:val="18"/>
                <w:szCs w:val="18"/>
              </w:rPr>
              <w:t>342,631,956.02</w:t>
              <w:tab/>
              <w:t>336,243,883.44</w:t>
            </w:r>
          </w:p>
          <w:p>
            <w:pPr>
              <w:pStyle w:val="TableParagraph"/>
              <w:spacing w:line="240" w:lineRule="auto" w:before="1"/>
              <w:ind w:right="0"/>
              <w:jc w:val="left"/>
              <w:rPr>
                <w:rFonts w:ascii="Times New Roman" w:hAnsi="Times New Roman" w:cs="Times New Roman" w:eastAsia="Times New Roman" w:hint="default"/>
                <w:sz w:val="8"/>
                <w:szCs w:val="8"/>
              </w:rPr>
            </w:pPr>
          </w:p>
          <w:p>
            <w:pPr>
              <w:pStyle w:val="TableParagraph"/>
              <w:tabs>
                <w:tab w:pos="6456" w:val="left" w:leader="none"/>
              </w:tabs>
              <w:spacing w:line="20" w:lineRule="exact"/>
              <w:ind w:left="3777" w:right="0"/>
              <w:jc w:val="left"/>
              <w:rPr>
                <w:rFonts w:ascii="Times New Roman" w:hAnsi="Times New Roman" w:cs="Times New Roman" w:eastAsia="Times New Roman" w:hint="default"/>
                <w:sz w:val="2"/>
                <w:szCs w:val="2"/>
              </w:rPr>
            </w:pPr>
            <w:r>
              <w:rPr>
                <w:rFonts w:ascii="Times New Roman"/>
                <w:sz w:val="2"/>
              </w:rPr>
              <w:pict>
                <v:group style="width:123.4pt;height:.5pt;mso-position-horizontal-relative:char;mso-position-vertical-relative:line" coordorigin="0,0" coordsize="2468,10">
                  <v:group style="position:absolute;left:5;top:5;width:2458;height:2" coordorigin="5,5" coordsize="2458,2">
                    <v:shape style="position:absolute;left:5;top:5;width:2458;height:2" coordorigin="5,5" coordsize="2458,0" path="m5,5l2462,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28.8pt;height:.5pt;mso-position-horizontal-relative:char;mso-position-vertical-relative:line" coordorigin="0,0" coordsize="2576,10">
                  <v:group style="position:absolute;left:5;top:5;width:2566;height:2" coordorigin="5,5" coordsize="2566,2">
                    <v:shape style="position:absolute;left:5;top:5;width:2566;height:2" coordorigin="5,5" coordsize="2566,0" path="m5,5l2570,5e" filled="false" stroked="true" strokeweight=".48pt" strokecolor="#000000">
                      <v:path arrowok="t"/>
                    </v:shape>
                  </v:group>
                </v:group>
              </w:pict>
            </w:r>
            <w:r>
              <w:rPr>
                <w:rFonts w:ascii="Times New Roman"/>
                <w:sz w:val="2"/>
              </w:rPr>
            </w:r>
          </w:p>
          <w:p>
            <w:pPr>
              <w:pStyle w:val="TableParagraph"/>
              <w:tabs>
                <w:tab w:pos="5006" w:val="left" w:leader="none"/>
                <w:tab w:pos="7792" w:val="left" w:leader="none"/>
              </w:tabs>
              <w:spacing w:line="240" w:lineRule="auto" w:before="38"/>
              <w:ind w:left="347" w:right="0"/>
              <w:jc w:val="lef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负债和股东权益总计</w:t>
              <w:tab/>
            </w:r>
            <w:r>
              <w:rPr>
                <w:rFonts w:ascii="Times New Roman" w:hAnsi="Times New Roman" w:cs="Times New Roman" w:eastAsia="Times New Roman" w:hint="default"/>
                <w:spacing w:val="-1"/>
                <w:sz w:val="18"/>
                <w:szCs w:val="18"/>
              </w:rPr>
              <w:t>367,695,743.12</w:t>
              <w:tab/>
              <w:t>354,751,851.30</w:t>
            </w:r>
            <w:r>
              <w:rPr>
                <w:rFonts w:ascii="Times New Roman" w:hAnsi="Times New Roman" w:cs="Times New Roman" w:eastAsia="Times New Roman" w:hint="default"/>
                <w:sz w:val="18"/>
                <w:szCs w:val="18"/>
              </w:rPr>
            </w:r>
          </w:p>
          <w:p>
            <w:pPr>
              <w:pStyle w:val="TableParagraph"/>
              <w:spacing w:line="240" w:lineRule="auto" w:before="1"/>
              <w:ind w:right="0"/>
              <w:jc w:val="left"/>
              <w:rPr>
                <w:rFonts w:ascii="Times New Roman" w:hAnsi="Times New Roman" w:cs="Times New Roman" w:eastAsia="Times New Roman" w:hint="default"/>
                <w:sz w:val="8"/>
                <w:szCs w:val="8"/>
              </w:rPr>
            </w:pPr>
          </w:p>
          <w:p>
            <w:pPr>
              <w:pStyle w:val="TableParagraph"/>
              <w:spacing w:line="57" w:lineRule="exact"/>
              <w:ind w:left="168" w:right="0"/>
              <w:jc w:val="left"/>
              <w:rPr>
                <w:rFonts w:ascii="Times New Roman" w:hAnsi="Times New Roman" w:cs="Times New Roman" w:eastAsia="Times New Roman" w:hint="default"/>
                <w:sz w:val="5"/>
                <w:szCs w:val="5"/>
              </w:rPr>
            </w:pPr>
            <w:r>
              <w:rPr>
                <w:rFonts w:ascii="Times New Roman" w:hAnsi="Times New Roman" w:cs="Times New Roman" w:eastAsia="Times New Roman" w:hint="default"/>
                <w:position w:val="0"/>
                <w:sz w:val="5"/>
                <w:szCs w:val="5"/>
              </w:rPr>
              <w:pict>
                <v:group style="width:443.3pt;height:2.9pt;mso-position-horizontal-relative:char;mso-position-vertical-relative:line" coordorigin="0,0" coordsize="8866,58">
                  <v:group style="position:absolute;left:3614;top:7;width:2458;height:2" coordorigin="3614,7" coordsize="2458,2">
                    <v:shape style="position:absolute;left:3614;top:7;width:2458;height:2" coordorigin="3614,7" coordsize="2458,0" path="m3614,7l6072,7e" filled="false" stroked="true" strokeweight=".72pt" strokecolor="#000000">
                      <v:path arrowok="t"/>
                    </v:shape>
                  </v:group>
                  <v:group style="position:absolute;left:3614;top:36;width:2458;height:2" coordorigin="3614,36" coordsize="2458,2">
                    <v:shape style="position:absolute;left:3614;top:36;width:2458;height:2" coordorigin="3614,36" coordsize="2458,0" path="m3614,36l6072,36e" filled="false" stroked="true" strokeweight=".72pt" strokecolor="#000000">
                      <v:path arrowok="t"/>
                    </v:shape>
                  </v:group>
                  <v:group style="position:absolute;left:5;top:53;width:1980;height:2" coordorigin="5,53" coordsize="1980,2">
                    <v:shape style="position:absolute;left:5;top:53;width:1980;height:2" coordorigin="5,53" coordsize="1980,0" path="m5,53l1985,53e" filled="false" stroked="true" strokeweight=".48pt" strokecolor="#000000">
                      <v:path arrowok="t"/>
                    </v:shape>
                  </v:group>
                  <v:group style="position:absolute;left:1985;top:53;width:10;height:2" coordorigin="1985,53" coordsize="10,2">
                    <v:shape style="position:absolute;left:1985;top:53;width:10;height:2" coordorigin="1985,53" coordsize="10,0" path="m1985,53l1994,53e" filled="false" stroked="true" strokeweight=".48pt" strokecolor="#000000">
                      <v:path arrowok="t"/>
                    </v:shape>
                  </v:group>
                  <v:group style="position:absolute;left:1994;top:53;width:214;height:2" coordorigin="1994,53" coordsize="214,2">
                    <v:shape style="position:absolute;left:1994;top:53;width:214;height:2" coordorigin="1994,53" coordsize="214,0" path="m1994,53l2208,53e" filled="false" stroked="true" strokeweight=".48pt" strokecolor="#000000">
                      <v:path arrowok="t"/>
                    </v:shape>
                  </v:group>
                  <v:group style="position:absolute;left:2208;top:53;width:10;height:2" coordorigin="2208,53" coordsize="10,2">
                    <v:shape style="position:absolute;left:2208;top:53;width:10;height:2" coordorigin="2208,53" coordsize="10,0" path="m2208,53l2218,53e" filled="false" stroked="true" strokeweight=".48pt" strokecolor="#000000">
                      <v:path arrowok="t"/>
                    </v:shape>
                  </v:group>
                  <v:group style="position:absolute;left:2218;top:53;width:1174;height:2" coordorigin="2218,53" coordsize="1174,2">
                    <v:shape style="position:absolute;left:2218;top:53;width:1174;height:2" coordorigin="2218,53" coordsize="1174,0" path="m2218,53l3391,53e" filled="false" stroked="true" strokeweight=".48pt" strokecolor="#000000">
                      <v:path arrowok="t"/>
                    </v:shape>
                  </v:group>
                  <v:group style="position:absolute;left:3391;top:53;width:10;height:2" coordorigin="3391,53" coordsize="10,2">
                    <v:shape style="position:absolute;left:3391;top:53;width:10;height:2" coordorigin="3391,53" coordsize="10,0" path="m3391,53l3401,53e" filled="false" stroked="true" strokeweight=".48pt" strokecolor="#000000">
                      <v:path arrowok="t"/>
                    </v:shape>
                  </v:group>
                  <v:group style="position:absolute;left:3401;top:53;width:214;height:2" coordorigin="3401,53" coordsize="214,2">
                    <v:shape style="position:absolute;left:3401;top:53;width:214;height:2" coordorigin="3401,53" coordsize="214,0" path="m3401,53l3614,53e" filled="false" stroked="true" strokeweight=".48pt" strokecolor="#000000">
                      <v:path arrowok="t"/>
                    </v:shape>
                  </v:group>
                  <v:group style="position:absolute;left:3614;top:53;width:10;height:2" coordorigin="3614,53" coordsize="10,2">
                    <v:shape style="position:absolute;left:3614;top:53;width:10;height:2" coordorigin="3614,53" coordsize="10,0" path="m3614,53l3624,53e" filled="false" stroked="true" strokeweight=".48pt" strokecolor="#000000">
                      <v:path arrowok="t"/>
                    </v:shape>
                  </v:group>
                  <v:group style="position:absolute;left:3624;top:53;width:2448;height:2" coordorigin="3624,53" coordsize="2448,2">
                    <v:shape style="position:absolute;left:3624;top:53;width:2448;height:2" coordorigin="3624,53" coordsize="2448,0" path="m3624,53l6072,53e" filled="false" stroked="true" strokeweight=".48pt" strokecolor="#000000">
                      <v:path arrowok="t"/>
                    </v:shape>
                  </v:group>
                  <v:group style="position:absolute;left:6072;top:53;width:10;height:2" coordorigin="6072,53" coordsize="10,2">
                    <v:shape style="position:absolute;left:6072;top:53;width:10;height:2" coordorigin="6072,53" coordsize="10,0" path="m6072,53l6082,53e" filled="false" stroked="true" strokeweight=".48pt" strokecolor="#000000">
                      <v:path arrowok="t"/>
                    </v:shape>
                  </v:group>
                  <v:group style="position:absolute;left:6293;top:7;width:2566;height:2" coordorigin="6293,7" coordsize="2566,2">
                    <v:shape style="position:absolute;left:6293;top:7;width:2566;height:2" coordorigin="6293,7" coordsize="2566,0" path="m6293,7l8858,7e" filled="false" stroked="true" strokeweight=".72pt" strokecolor="#000000">
                      <v:path arrowok="t"/>
                    </v:shape>
                  </v:group>
                  <v:group style="position:absolute;left:6293;top:36;width:2566;height:2" coordorigin="6293,36" coordsize="2566,2">
                    <v:shape style="position:absolute;left:6293;top:36;width:2566;height:2" coordorigin="6293,36" coordsize="2566,0" path="m6293,36l8858,36e" filled="false" stroked="true" strokeweight=".72pt" strokecolor="#000000">
                      <v:path arrowok="t"/>
                    </v:shape>
                  </v:group>
                  <v:group style="position:absolute;left:6082;top:53;width:212;height:2" coordorigin="6082,53" coordsize="212,2">
                    <v:shape style="position:absolute;left:6082;top:53;width:212;height:2" coordorigin="6082,53" coordsize="212,0" path="m6082,53l6293,53e" filled="false" stroked="true" strokeweight=".48pt" strokecolor="#000000">
                      <v:path arrowok="t"/>
                    </v:shape>
                  </v:group>
                  <v:group style="position:absolute;left:6293;top:53;width:10;height:2" coordorigin="6293,53" coordsize="10,2">
                    <v:shape style="position:absolute;left:6293;top:53;width:10;height:2" coordorigin="6293,53" coordsize="10,0" path="m6293,53l6302,53e" filled="false" stroked="true" strokeweight=".48pt" strokecolor="#000000">
                      <v:path arrowok="t"/>
                    </v:shape>
                  </v:group>
                  <v:group style="position:absolute;left:6302;top:53;width:2556;height:2" coordorigin="6302,53" coordsize="2556,2">
                    <v:shape style="position:absolute;left:6302;top:53;width:2556;height:2" coordorigin="6302,53" coordsize="2556,0" path="m6302,53l8858,53e" filled="false" stroked="true" strokeweight=".48pt" strokecolor="#000000">
                      <v:path arrowok="t"/>
                    </v:shape>
                  </v:group>
                </v:group>
              </w:pict>
            </w:r>
            <w:r>
              <w:rPr>
                <w:rFonts w:ascii="Times New Roman" w:hAnsi="Times New Roman" w:cs="Times New Roman" w:eastAsia="Times New Roman" w:hint="default"/>
                <w:position w:val="0"/>
                <w:sz w:val="5"/>
                <w:szCs w:val="5"/>
              </w:rPr>
            </w:r>
          </w:p>
          <w:p>
            <w:pPr>
              <w:pStyle w:val="TableParagraph"/>
              <w:tabs>
                <w:tab w:pos="3646" w:val="left" w:leader="none"/>
                <w:tab w:pos="7469" w:val="left" w:leader="none"/>
              </w:tabs>
              <w:spacing w:line="314" w:lineRule="auto" w:before="52"/>
              <w:ind w:left="280" w:right="772"/>
              <w:jc w:val="left"/>
              <w:rPr>
                <w:rFonts w:ascii="宋体" w:hAnsi="宋体" w:cs="宋体" w:eastAsia="宋体" w:hint="default"/>
                <w:sz w:val="18"/>
                <w:szCs w:val="18"/>
              </w:rPr>
            </w:pPr>
            <w:r>
              <w:rPr>
                <w:rFonts w:ascii="宋体" w:hAnsi="宋体" w:cs="宋体" w:eastAsia="宋体" w:hint="default"/>
                <w:sz w:val="18"/>
                <w:szCs w:val="18"/>
              </w:rPr>
              <w:t>企业法定代表人：黄元忠</w:t>
              <w:tab/>
              <w:t>主管会计工作负责人：孙晓玲</w:t>
              <w:tab/>
              <w:t>会计机构负责人：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全丽</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72" w:right="0"/>
              <w:jc w:val="left"/>
              <w:rPr>
                <w:rFonts w:ascii="宋体" w:hAnsi="宋体" w:cs="宋体" w:eastAsia="宋体" w:hint="default"/>
                <w:sz w:val="20"/>
                <w:szCs w:val="20"/>
              </w:rPr>
            </w:pPr>
            <w:r>
              <w:rPr>
                <w:rFonts w:ascii="宋体" w:hAnsi="宋体" w:cs="宋体" w:eastAsia="宋体" w:hint="default"/>
                <w:sz w:val="20"/>
                <w:szCs w:val="20"/>
              </w:rPr>
              <w:t>（后附财务报表附注为合并财务报表的组成部分）</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、合并利润表</w:t>
            </w:r>
            <w:r>
              <w:rPr>
                <w:rFonts w:ascii="宋体" w:hAnsi="宋体" w:cs="宋体" w:eastAsia="宋体" w:hint="default"/>
                <w:sz w:val="21"/>
                <w:szCs w:val="21"/>
              </w:rPr>
            </w:r>
          </w:p>
        </w:tc>
      </w:tr>
      <w:tr>
        <w:trPr>
          <w:trHeight w:val="569" w:hRule="exact"/>
        </w:trPr>
        <w:tc>
          <w:tcPr>
            <w:tcW w:w="969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 w:right="341"/>
              <w:jc w:val="center"/>
              <w:rPr>
                <w:rFonts w:ascii="宋体" w:hAnsi="宋体" w:cs="宋体" w:eastAsia="宋体" w:hint="default"/>
                <w:sz w:val="21"/>
                <w:szCs w:val="21"/>
              </w:rPr>
            </w:pPr>
            <w:r>
              <w:rPr>
                <w:rFonts w:ascii="宋体" w:hAnsi="宋体" w:cs="宋体" w:eastAsia="宋体" w:hint="default"/>
                <w:sz w:val="21"/>
                <w:szCs w:val="21"/>
              </w:rPr>
              <w:t>合并利润表</w:t>
            </w:r>
          </w:p>
        </w:tc>
      </w:tr>
      <w:tr>
        <w:trPr>
          <w:trHeight w:val="382" w:hRule="exact"/>
        </w:trPr>
        <w:tc>
          <w:tcPr>
            <w:tcW w:w="417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22" w:right="0"/>
              <w:jc w:val="left"/>
              <w:rPr>
                <w:rFonts w:ascii="Times New Roman" w:hAnsi="Times New Roman" w:cs="Times New Roman" w:eastAsia="Times New Roman" w:hint="default"/>
                <w:sz w:val="18"/>
                <w:szCs w:val="18"/>
              </w:rPr>
            </w:pPr>
            <w:r>
              <w:rPr>
                <w:rFonts w:ascii="Times New Roman"/>
                <w:spacing w:val="1"/>
                <w:sz w:val="18"/>
              </w:rPr>
              <w:t>2</w:t>
            </w:r>
            <w:r>
              <w:rPr>
                <w:rFonts w:ascii="Times New Roman"/>
                <w:sz w:val="18"/>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015 </w:t>
            </w:r>
            <w:r>
              <w:rPr>
                <w:rFonts w:ascii="宋体" w:hAnsi="宋体" w:cs="宋体" w:eastAsia="宋体" w:hint="default"/>
                <w:sz w:val="18"/>
                <w:szCs w:val="18"/>
              </w:rPr>
              <w:t>年度</w:t>
            </w: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
        </w:tc>
      </w:tr>
      <w:tr>
        <w:trPr>
          <w:trHeight w:val="398" w:hRule="exact"/>
        </w:trPr>
        <w:tc>
          <w:tcPr>
            <w:tcW w:w="417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44" w:right="0"/>
              <w:jc w:val="lef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人民币元</w:t>
            </w:r>
          </w:p>
        </w:tc>
      </w:tr>
      <w:tr>
        <w:trPr>
          <w:trHeight w:val="393" w:hRule="exact"/>
        </w:trPr>
        <w:tc>
          <w:tcPr>
            <w:tcW w:w="417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61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345" w:right="0"/>
              <w:jc w:val="left"/>
              <w:rPr>
                <w:rFonts w:ascii="宋体" w:hAnsi="宋体" w:cs="宋体" w:eastAsia="宋体" w:hint="default"/>
                <w:sz w:val="20"/>
                <w:szCs w:val="20"/>
              </w:rPr>
            </w:pPr>
            <w:r>
              <w:rPr>
                <w:rFonts w:ascii="宋体" w:hAnsi="宋体" w:cs="宋体" w:eastAsia="宋体" w:hint="default"/>
                <w:sz w:val="20"/>
                <w:szCs w:val="20"/>
              </w:rPr>
              <w:t>附注六</w:t>
            </w: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244"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681"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401" w:hRule="exact"/>
        </w:trPr>
        <w:tc>
          <w:tcPr>
            <w:tcW w:w="417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621" w:right="0"/>
              <w:jc w:val="center"/>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42"/>
              <w:jc w:val="right"/>
              <w:rPr>
                <w:rFonts w:ascii="宋体" w:hAnsi="宋体" w:cs="宋体" w:eastAsia="宋体" w:hint="default"/>
                <w:sz w:val="20"/>
                <w:szCs w:val="20"/>
              </w:rPr>
            </w:pPr>
            <w:r>
              <w:rPr>
                <w:rFonts w:ascii="宋体" w:hAnsi="宋体" w:cs="宋体" w:eastAsia="宋体" w:hint="default"/>
                <w:w w:val="95"/>
                <w:sz w:val="20"/>
                <w:szCs w:val="20"/>
              </w:rPr>
              <w:t>（二十六）</w:t>
            </w:r>
            <w:r>
              <w:rPr>
                <w:rFonts w:ascii="宋体" w:hAnsi="宋体" w:cs="宋体" w:eastAsia="宋体" w:hint="default"/>
                <w:sz w:val="20"/>
                <w:szCs w:val="20"/>
              </w:rPr>
            </w: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99,441,831.01</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69"/>
              <w:jc w:val="right"/>
              <w:rPr>
                <w:rFonts w:ascii="Times New Roman" w:hAnsi="Times New Roman" w:cs="Times New Roman" w:eastAsia="Times New Roman" w:hint="default"/>
                <w:sz w:val="18"/>
                <w:szCs w:val="18"/>
              </w:rPr>
            </w:pPr>
            <w:r>
              <w:rPr>
                <w:rFonts w:ascii="Times New Roman"/>
                <w:spacing w:val="-1"/>
                <w:sz w:val="18"/>
              </w:rPr>
              <w:t>82,827,812.22</w:t>
            </w:r>
          </w:p>
        </w:tc>
      </w:tr>
      <w:tr>
        <w:trPr>
          <w:trHeight w:val="403"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21" w:right="0"/>
              <w:jc w:val="center"/>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816871" cy="6096"/>
                  <wp:effectExtent l="0" t="0" r="0" b="0"/>
                  <wp:docPr id="27" name="image7.png" descr=""/>
                  <wp:cNvGraphicFramePr>
                    <a:graphicFrameLocks noChangeAspect="1"/>
                  </wp:cNvGraphicFramePr>
                  <a:graphic>
                    <a:graphicData uri="http://schemas.openxmlformats.org/drawingml/2006/picture">
                      <pic:pic>
                        <pic:nvPicPr>
                          <pic:cNvPr id="28" name="image7.png"/>
                          <pic:cNvPicPr/>
                        </pic:nvPicPr>
                        <pic:blipFill>
                          <a:blip r:embed="rId31" cstate="print"/>
                          <a:stretch>
                            <a:fillRect/>
                          </a:stretch>
                        </pic:blipFill>
                        <pic:spPr>
                          <a:xfrm>
                            <a:off x="0" y="0"/>
                            <a:ext cx="816871"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02"/>
              <w:jc w:val="right"/>
              <w:rPr>
                <w:rFonts w:ascii="Times New Roman" w:hAnsi="Times New Roman" w:cs="Times New Roman" w:eastAsia="Times New Roman" w:hint="default"/>
                <w:sz w:val="18"/>
                <w:szCs w:val="18"/>
              </w:rPr>
            </w:pPr>
            <w:r>
              <w:rPr>
                <w:rFonts w:ascii="Times New Roman"/>
                <w:spacing w:val="-1"/>
                <w:sz w:val="18"/>
              </w:rPr>
              <w:t>84,970,445.77</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0"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70088" cy="6096"/>
                  <wp:effectExtent l="0" t="0" r="0" b="0"/>
                  <wp:docPr id="29" name="image8.png" descr=""/>
                  <wp:cNvGraphicFramePr>
                    <a:graphicFrameLocks noChangeAspect="1"/>
                  </wp:cNvGraphicFramePr>
                  <a:graphic>
                    <a:graphicData uri="http://schemas.openxmlformats.org/drawingml/2006/picture">
                      <pic:pic>
                        <pic:nvPicPr>
                          <pic:cNvPr id="30" name="image8.png"/>
                          <pic:cNvPicPr/>
                        </pic:nvPicPr>
                        <pic:blipFill>
                          <a:blip r:embed="rId32" cstate="print"/>
                          <a:stretch>
                            <a:fillRect/>
                          </a:stretch>
                        </pic:blipFill>
                        <pic:spPr>
                          <a:xfrm>
                            <a:off x="0" y="0"/>
                            <a:ext cx="1370088"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69"/>
              <w:jc w:val="right"/>
              <w:rPr>
                <w:rFonts w:ascii="Times New Roman" w:hAnsi="Times New Roman" w:cs="Times New Roman" w:eastAsia="Times New Roman" w:hint="default"/>
                <w:sz w:val="18"/>
                <w:szCs w:val="18"/>
              </w:rPr>
            </w:pPr>
            <w:r>
              <w:rPr>
                <w:rFonts w:ascii="Times New Roman"/>
                <w:spacing w:val="-1"/>
                <w:sz w:val="18"/>
              </w:rPr>
              <w:t>68,721,489.83</w:t>
            </w:r>
          </w:p>
        </w:tc>
      </w:tr>
      <w:tr>
        <w:trPr>
          <w:trHeight w:val="396"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614" w:right="0"/>
              <w:jc w:val="center"/>
              <w:rPr>
                <w:rFonts w:ascii="宋体" w:hAnsi="宋体" w:cs="宋体" w:eastAsia="宋体" w:hint="default"/>
                <w:sz w:val="20"/>
                <w:szCs w:val="20"/>
              </w:rPr>
            </w:pPr>
            <w:r>
              <w:rPr>
                <w:rFonts w:ascii="宋体" w:hAnsi="宋体" w:cs="宋体" w:eastAsia="宋体" w:hint="default"/>
                <w:sz w:val="20"/>
                <w:szCs w:val="20"/>
              </w:rPr>
              <w:t>其中：营业成本</w:t>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2"/>
              <w:jc w:val="right"/>
              <w:rPr>
                <w:rFonts w:ascii="宋体" w:hAnsi="宋体" w:cs="宋体" w:eastAsia="宋体" w:hint="default"/>
                <w:sz w:val="20"/>
                <w:szCs w:val="20"/>
              </w:rPr>
            </w:pPr>
            <w:r>
              <w:rPr>
                <w:rFonts w:ascii="宋体" w:hAnsi="宋体" w:cs="宋体" w:eastAsia="宋体" w:hint="default"/>
                <w:w w:val="95"/>
                <w:sz w:val="20"/>
                <w:szCs w:val="20"/>
              </w:rPr>
              <w:t>（二十六）</w:t>
            </w:r>
            <w:r>
              <w:rPr>
                <w:rFonts w:ascii="宋体" w:hAnsi="宋体" w:cs="宋体" w:eastAsia="宋体" w:hint="default"/>
                <w:sz w:val="20"/>
                <w:szCs w:val="20"/>
              </w:rPr>
            </w: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34,863,885.73</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69"/>
              <w:jc w:val="right"/>
              <w:rPr>
                <w:rFonts w:ascii="Times New Roman" w:hAnsi="Times New Roman" w:cs="Times New Roman" w:eastAsia="Times New Roman" w:hint="default"/>
                <w:sz w:val="18"/>
                <w:szCs w:val="18"/>
              </w:rPr>
            </w:pPr>
            <w:r>
              <w:rPr>
                <w:rFonts w:ascii="Times New Roman"/>
                <w:spacing w:val="-1"/>
                <w:sz w:val="18"/>
              </w:rPr>
              <w:t>21,566,659.94</w:t>
            </w:r>
          </w:p>
        </w:tc>
      </w:tr>
      <w:tr>
        <w:trPr>
          <w:trHeight w:val="392"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14" w:right="0"/>
              <w:jc w:val="center"/>
              <w:rPr>
                <w:rFonts w:ascii="宋体" w:hAnsi="宋体" w:cs="宋体" w:eastAsia="宋体" w:hint="default"/>
                <w:sz w:val="20"/>
                <w:szCs w:val="20"/>
              </w:rPr>
            </w:pPr>
            <w:r>
              <w:rPr>
                <w:rFonts w:ascii="宋体" w:hAnsi="宋体" w:cs="宋体" w:eastAsia="宋体" w:hint="default"/>
                <w:sz w:val="20"/>
                <w:szCs w:val="20"/>
              </w:rPr>
              <w:t>营业税金及附加</w:t>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2"/>
              <w:jc w:val="right"/>
              <w:rPr>
                <w:rFonts w:ascii="宋体" w:hAnsi="宋体" w:cs="宋体" w:eastAsia="宋体" w:hint="default"/>
                <w:sz w:val="20"/>
                <w:szCs w:val="20"/>
              </w:rPr>
            </w:pPr>
            <w:r>
              <w:rPr>
                <w:rFonts w:ascii="宋体" w:hAnsi="宋体" w:cs="宋体" w:eastAsia="宋体" w:hint="default"/>
                <w:w w:val="95"/>
                <w:sz w:val="20"/>
                <w:szCs w:val="20"/>
              </w:rPr>
              <w:t>（二十七）</w:t>
            </w:r>
            <w:r>
              <w:rPr>
                <w:rFonts w:ascii="宋体" w:hAnsi="宋体" w:cs="宋体" w:eastAsia="宋体" w:hint="default"/>
                <w:sz w:val="20"/>
                <w:szCs w:val="20"/>
              </w:rPr>
            </w: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829,441.69</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68"/>
              <w:jc w:val="right"/>
              <w:rPr>
                <w:rFonts w:ascii="Times New Roman" w:hAnsi="Times New Roman" w:cs="Times New Roman" w:eastAsia="Times New Roman" w:hint="default"/>
                <w:sz w:val="18"/>
                <w:szCs w:val="18"/>
              </w:rPr>
            </w:pPr>
            <w:r>
              <w:rPr>
                <w:rFonts w:ascii="Times New Roman"/>
                <w:sz w:val="18"/>
              </w:rPr>
              <w:t>907,888.48</w:t>
            </w:r>
          </w:p>
        </w:tc>
      </w:tr>
      <w:tr>
        <w:trPr>
          <w:trHeight w:val="391"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14" w:right="0"/>
              <w:jc w:val="center"/>
              <w:rPr>
                <w:rFonts w:ascii="宋体" w:hAnsi="宋体" w:cs="宋体" w:eastAsia="宋体" w:hint="default"/>
                <w:sz w:val="20"/>
                <w:szCs w:val="20"/>
              </w:rPr>
            </w:pPr>
            <w:r>
              <w:rPr>
                <w:rFonts w:ascii="宋体" w:hAnsi="宋体" w:cs="宋体" w:eastAsia="宋体" w:hint="default"/>
                <w:sz w:val="20"/>
                <w:szCs w:val="20"/>
              </w:rPr>
              <w:t>销售费用</w:t>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2"/>
              <w:jc w:val="right"/>
              <w:rPr>
                <w:rFonts w:ascii="宋体" w:hAnsi="宋体" w:cs="宋体" w:eastAsia="宋体" w:hint="default"/>
                <w:sz w:val="20"/>
                <w:szCs w:val="20"/>
              </w:rPr>
            </w:pPr>
            <w:r>
              <w:rPr>
                <w:rFonts w:ascii="宋体" w:hAnsi="宋体" w:cs="宋体" w:eastAsia="宋体" w:hint="default"/>
                <w:w w:val="95"/>
                <w:sz w:val="20"/>
                <w:szCs w:val="20"/>
              </w:rPr>
              <w:t>（二十八）</w:t>
            </w:r>
            <w:r>
              <w:rPr>
                <w:rFonts w:ascii="宋体" w:hAnsi="宋体" w:cs="宋体" w:eastAsia="宋体" w:hint="default"/>
                <w:sz w:val="20"/>
                <w:szCs w:val="20"/>
              </w:rPr>
            </w: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22,040,510.53</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9"/>
              <w:jc w:val="right"/>
              <w:rPr>
                <w:rFonts w:ascii="Times New Roman" w:hAnsi="Times New Roman" w:cs="Times New Roman" w:eastAsia="Times New Roman" w:hint="default"/>
                <w:sz w:val="18"/>
                <w:szCs w:val="18"/>
              </w:rPr>
            </w:pPr>
            <w:r>
              <w:rPr>
                <w:rFonts w:ascii="Times New Roman"/>
                <w:spacing w:val="-1"/>
                <w:sz w:val="18"/>
              </w:rPr>
              <w:t>19,842,376.58</w:t>
            </w:r>
          </w:p>
        </w:tc>
      </w:tr>
      <w:tr>
        <w:trPr>
          <w:trHeight w:val="392"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14" w:right="0"/>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2"/>
              <w:jc w:val="right"/>
              <w:rPr>
                <w:rFonts w:ascii="宋体" w:hAnsi="宋体" w:cs="宋体" w:eastAsia="宋体" w:hint="default"/>
                <w:sz w:val="20"/>
                <w:szCs w:val="20"/>
              </w:rPr>
            </w:pPr>
            <w:r>
              <w:rPr>
                <w:rFonts w:ascii="宋体" w:hAnsi="宋体" w:cs="宋体" w:eastAsia="宋体" w:hint="default"/>
                <w:w w:val="95"/>
                <w:sz w:val="20"/>
                <w:szCs w:val="20"/>
              </w:rPr>
              <w:t>（二十九）</w:t>
            </w:r>
            <w:r>
              <w:rPr>
                <w:rFonts w:ascii="宋体" w:hAnsi="宋体" w:cs="宋体" w:eastAsia="宋体" w:hint="default"/>
                <w:sz w:val="20"/>
                <w:szCs w:val="20"/>
              </w:rPr>
            </w: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26,954,387.26</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9"/>
              <w:jc w:val="right"/>
              <w:rPr>
                <w:rFonts w:ascii="Times New Roman" w:hAnsi="Times New Roman" w:cs="Times New Roman" w:eastAsia="Times New Roman" w:hint="default"/>
                <w:sz w:val="18"/>
                <w:szCs w:val="18"/>
              </w:rPr>
            </w:pPr>
            <w:r>
              <w:rPr>
                <w:rFonts w:ascii="Times New Roman"/>
                <w:spacing w:val="-1"/>
                <w:sz w:val="18"/>
              </w:rPr>
              <w:t>27,454,266.93</w:t>
            </w:r>
          </w:p>
        </w:tc>
      </w:tr>
      <w:tr>
        <w:trPr>
          <w:trHeight w:val="392"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14" w:right="0"/>
              <w:jc w:val="center"/>
              <w:rPr>
                <w:rFonts w:ascii="宋体" w:hAnsi="宋体" w:cs="宋体" w:eastAsia="宋体" w:hint="default"/>
                <w:sz w:val="20"/>
                <w:szCs w:val="20"/>
              </w:rPr>
            </w:pPr>
            <w:r>
              <w:rPr>
                <w:rFonts w:ascii="宋体" w:hAnsi="宋体" w:cs="宋体" w:eastAsia="宋体" w:hint="default"/>
                <w:sz w:val="20"/>
                <w:szCs w:val="20"/>
              </w:rPr>
              <w:t>财务费用</w:t>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47" w:right="0"/>
              <w:jc w:val="left"/>
              <w:rPr>
                <w:rFonts w:ascii="宋体" w:hAnsi="宋体" w:cs="宋体" w:eastAsia="宋体" w:hint="default"/>
                <w:sz w:val="20"/>
                <w:szCs w:val="20"/>
              </w:rPr>
            </w:pPr>
            <w:r>
              <w:rPr>
                <w:rFonts w:ascii="宋体" w:hAnsi="宋体" w:cs="宋体" w:eastAsia="宋体" w:hint="default"/>
                <w:sz w:val="20"/>
                <w:szCs w:val="20"/>
              </w:rPr>
              <w:t>（三十）</w:t>
            </w: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(820,714.62)</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67"/>
              <w:jc w:val="right"/>
              <w:rPr>
                <w:rFonts w:ascii="Times New Roman" w:hAnsi="Times New Roman" w:cs="Times New Roman" w:eastAsia="Times New Roman" w:hint="default"/>
                <w:sz w:val="18"/>
                <w:szCs w:val="18"/>
              </w:rPr>
            </w:pPr>
            <w:r>
              <w:rPr>
                <w:rFonts w:ascii="Times New Roman"/>
                <w:spacing w:val="-1"/>
                <w:sz w:val="18"/>
              </w:rPr>
              <w:t>(3,013,132.64)</w:t>
            </w:r>
            <w:r>
              <w:rPr>
                <w:rFonts w:ascii="Times New Roman"/>
                <w:sz w:val="18"/>
              </w:rPr>
            </w:r>
          </w:p>
        </w:tc>
      </w:tr>
      <w:tr>
        <w:trPr>
          <w:trHeight w:val="391"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16" w:right="0"/>
              <w:jc w:val="center"/>
              <w:rPr>
                <w:rFonts w:ascii="宋体" w:hAnsi="宋体" w:cs="宋体" w:eastAsia="宋体" w:hint="default"/>
                <w:sz w:val="20"/>
                <w:szCs w:val="20"/>
              </w:rPr>
            </w:pPr>
            <w:r>
              <w:rPr>
                <w:rFonts w:ascii="宋体" w:hAnsi="宋体" w:cs="宋体" w:eastAsia="宋体" w:hint="default"/>
                <w:sz w:val="20"/>
                <w:szCs w:val="20"/>
              </w:rPr>
              <w:t>资产减值损失</w:t>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2"/>
              <w:jc w:val="right"/>
              <w:rPr>
                <w:rFonts w:ascii="宋体" w:hAnsi="宋体" w:cs="宋体" w:eastAsia="宋体" w:hint="default"/>
                <w:sz w:val="20"/>
                <w:szCs w:val="20"/>
              </w:rPr>
            </w:pPr>
            <w:r>
              <w:rPr>
                <w:rFonts w:ascii="宋体" w:hAnsi="宋体" w:cs="宋体" w:eastAsia="宋体" w:hint="default"/>
                <w:w w:val="95"/>
                <w:sz w:val="20"/>
                <w:szCs w:val="20"/>
              </w:rPr>
              <w:t>（三十一）</w:t>
            </w:r>
            <w:r>
              <w:rPr>
                <w:rFonts w:ascii="宋体" w:hAnsi="宋体" w:cs="宋体" w:eastAsia="宋体" w:hint="default"/>
                <w:sz w:val="20"/>
                <w:szCs w:val="20"/>
              </w:rPr>
            </w: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1,102,935.18</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8"/>
              <w:jc w:val="right"/>
              <w:rPr>
                <w:rFonts w:ascii="Times New Roman" w:hAnsi="Times New Roman" w:cs="Times New Roman" w:eastAsia="Times New Roman" w:hint="default"/>
                <w:sz w:val="18"/>
                <w:szCs w:val="18"/>
              </w:rPr>
            </w:pPr>
            <w:r>
              <w:rPr>
                <w:rFonts w:ascii="Times New Roman"/>
                <w:spacing w:val="-1"/>
                <w:sz w:val="18"/>
              </w:rPr>
              <w:t>1,963,430.54</w:t>
            </w:r>
            <w:r>
              <w:rPr>
                <w:rFonts w:ascii="Times New Roman"/>
                <w:sz w:val="18"/>
              </w:rPr>
            </w:r>
          </w:p>
        </w:tc>
      </w:tr>
      <w:tr>
        <w:trPr>
          <w:trHeight w:val="392"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14" w:right="0"/>
              <w:jc w:val="center"/>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14" w:right="0"/>
              <w:jc w:val="center"/>
              <w:rPr>
                <w:rFonts w:ascii="宋体" w:hAnsi="宋体" w:cs="宋体" w:eastAsia="宋体" w:hint="default"/>
                <w:sz w:val="20"/>
                <w:szCs w:val="20"/>
              </w:rPr>
            </w:pPr>
            <w:r>
              <w:rPr>
                <w:rFonts w:ascii="宋体" w:hAnsi="宋体" w:cs="宋体" w:eastAsia="宋体" w:hint="default"/>
                <w:sz w:val="20"/>
                <w:szCs w:val="20"/>
              </w:rPr>
              <w:t>投资收益</w:t>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2"/>
              <w:jc w:val="right"/>
              <w:rPr>
                <w:rFonts w:ascii="宋体" w:hAnsi="宋体" w:cs="宋体" w:eastAsia="宋体" w:hint="default"/>
                <w:sz w:val="20"/>
                <w:szCs w:val="20"/>
              </w:rPr>
            </w:pPr>
            <w:r>
              <w:rPr>
                <w:rFonts w:ascii="宋体" w:hAnsi="宋体" w:cs="宋体" w:eastAsia="宋体" w:hint="default"/>
                <w:w w:val="95"/>
                <w:sz w:val="20"/>
                <w:szCs w:val="20"/>
              </w:rPr>
              <w:t>（三十二）</w:t>
            </w:r>
            <w:r>
              <w:rPr>
                <w:rFonts w:ascii="宋体" w:hAnsi="宋体" w:cs="宋体" w:eastAsia="宋体" w:hint="default"/>
                <w:sz w:val="20"/>
                <w:szCs w:val="20"/>
              </w:rPr>
            </w: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68"/>
              <w:jc w:val="right"/>
              <w:rPr>
                <w:rFonts w:ascii="Times New Roman" w:hAnsi="Times New Roman" w:cs="Times New Roman" w:eastAsia="Times New Roman" w:hint="default"/>
                <w:sz w:val="18"/>
                <w:szCs w:val="18"/>
              </w:rPr>
            </w:pPr>
            <w:r>
              <w:rPr>
                <w:rFonts w:ascii="Times New Roman"/>
                <w:spacing w:val="-1"/>
                <w:sz w:val="18"/>
              </w:rPr>
              <w:t>4,424,106.13</w:t>
            </w:r>
            <w:r>
              <w:rPr>
                <w:rFonts w:ascii="Times New Roman"/>
                <w:sz w:val="18"/>
              </w:rPr>
            </w:r>
          </w:p>
        </w:tc>
      </w:tr>
      <w:tr>
        <w:trPr>
          <w:trHeight w:val="708"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85" w:lineRule="auto" w:before="33"/>
              <w:ind w:left="2294" w:right="107" w:hanging="1568"/>
              <w:jc w:val="left"/>
              <w:rPr>
                <w:rFonts w:ascii="宋体" w:hAnsi="宋体" w:cs="宋体" w:eastAsia="宋体" w:hint="default"/>
                <w:sz w:val="20"/>
                <w:szCs w:val="20"/>
              </w:rPr>
            </w:pPr>
            <w:r>
              <w:rPr>
                <w:rFonts w:ascii="宋体" w:hAnsi="宋体" w:cs="宋体" w:eastAsia="宋体" w:hint="default"/>
                <w:spacing w:val="-4"/>
                <w:sz w:val="20"/>
                <w:szCs w:val="20"/>
              </w:rPr>
              <w:t>其中：对联营企业和合营企业的投资收</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19" w:right="0"/>
              <w:jc w:val="center"/>
              <w:rPr>
                <w:rFonts w:ascii="宋体" w:hAnsi="宋体" w:cs="宋体" w:eastAsia="宋体" w:hint="default"/>
                <w:sz w:val="20"/>
                <w:szCs w:val="20"/>
              </w:rPr>
            </w:pPr>
            <w:r>
              <w:rPr>
                <w:rFonts w:ascii="宋体" w:hAnsi="宋体" w:cs="宋体" w:eastAsia="宋体" w:hint="default"/>
                <w:b/>
                <w:bCs/>
                <w:sz w:val="20"/>
                <w:szCs w:val="20"/>
              </w:rPr>
              <w:t>三、营业利润</w:t>
            </w:r>
            <w:r>
              <w:rPr>
                <w:rFonts w:ascii="宋体" w:hAnsi="宋体" w:cs="宋体" w:eastAsia="宋体" w:hint="default"/>
                <w:sz w:val="20"/>
                <w:szCs w:val="20"/>
              </w:rPr>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816871" cy="6095"/>
                  <wp:effectExtent l="0" t="0" r="0" b="0"/>
                  <wp:docPr id="31" name="image7.png" descr=""/>
                  <wp:cNvGraphicFramePr>
                    <a:graphicFrameLocks noChangeAspect="1"/>
                  </wp:cNvGraphicFramePr>
                  <a:graphic>
                    <a:graphicData uri="http://schemas.openxmlformats.org/drawingml/2006/picture">
                      <pic:pic>
                        <pic:nvPicPr>
                          <pic:cNvPr id="32" name="image7.png"/>
                          <pic:cNvPicPr/>
                        </pic:nvPicPr>
                        <pic:blipFill>
                          <a:blip r:embed="rId31" cstate="print"/>
                          <a:stretch>
                            <a:fillRect/>
                          </a:stretch>
                        </pic:blipFill>
                        <pic:spPr>
                          <a:xfrm>
                            <a:off x="0" y="0"/>
                            <a:ext cx="816871"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02"/>
              <w:jc w:val="right"/>
              <w:rPr>
                <w:rFonts w:ascii="Times New Roman" w:hAnsi="Times New Roman" w:cs="Times New Roman" w:eastAsia="Times New Roman" w:hint="default"/>
                <w:sz w:val="18"/>
                <w:szCs w:val="18"/>
              </w:rPr>
            </w:pPr>
            <w:r>
              <w:rPr>
                <w:rFonts w:ascii="Times New Roman"/>
                <w:spacing w:val="-1"/>
                <w:sz w:val="18"/>
              </w:rPr>
              <w:t>21,606,564.72</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0"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70088" cy="6095"/>
                  <wp:effectExtent l="0" t="0" r="0" b="0"/>
                  <wp:docPr id="33" name="image8.png" descr=""/>
                  <wp:cNvGraphicFramePr>
                    <a:graphicFrameLocks noChangeAspect="1"/>
                  </wp:cNvGraphicFramePr>
                  <a:graphic>
                    <a:graphicData uri="http://schemas.openxmlformats.org/drawingml/2006/picture">
                      <pic:pic>
                        <pic:nvPicPr>
                          <pic:cNvPr id="34" name="image8.png"/>
                          <pic:cNvPicPr/>
                        </pic:nvPicPr>
                        <pic:blipFill>
                          <a:blip r:embed="rId32" cstate="print"/>
                          <a:stretch>
                            <a:fillRect/>
                          </a:stretch>
                        </pic:blipFill>
                        <pic:spPr>
                          <a:xfrm>
                            <a:off x="0" y="0"/>
                            <a:ext cx="1370088"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69"/>
              <w:jc w:val="right"/>
              <w:rPr>
                <w:rFonts w:ascii="Times New Roman" w:hAnsi="Times New Roman" w:cs="Times New Roman" w:eastAsia="Times New Roman" w:hint="default"/>
                <w:sz w:val="18"/>
                <w:szCs w:val="18"/>
              </w:rPr>
            </w:pPr>
            <w:r>
              <w:rPr>
                <w:rFonts w:ascii="Times New Roman"/>
                <w:spacing w:val="-1"/>
                <w:sz w:val="18"/>
              </w:rPr>
              <w:t>18,530,428.52</w:t>
            </w:r>
          </w:p>
        </w:tc>
      </w:tr>
      <w:tr>
        <w:trPr>
          <w:trHeight w:val="395"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614" w:right="0"/>
              <w:jc w:val="center"/>
              <w:rPr>
                <w:rFonts w:ascii="宋体" w:hAnsi="宋体" w:cs="宋体" w:eastAsia="宋体" w:hint="default"/>
                <w:sz w:val="20"/>
                <w:szCs w:val="20"/>
              </w:rPr>
            </w:pPr>
            <w:r>
              <w:rPr>
                <w:rFonts w:ascii="宋体" w:hAnsi="宋体" w:cs="宋体" w:eastAsia="宋体" w:hint="default"/>
                <w:sz w:val="20"/>
                <w:szCs w:val="20"/>
              </w:rPr>
              <w:t>加：营业外收入</w:t>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2"/>
              <w:jc w:val="right"/>
              <w:rPr>
                <w:rFonts w:ascii="宋体" w:hAnsi="宋体" w:cs="宋体" w:eastAsia="宋体" w:hint="default"/>
                <w:sz w:val="20"/>
                <w:szCs w:val="20"/>
              </w:rPr>
            </w:pPr>
            <w:r>
              <w:rPr>
                <w:rFonts w:ascii="宋体" w:hAnsi="宋体" w:cs="宋体" w:eastAsia="宋体" w:hint="default"/>
                <w:w w:val="95"/>
                <w:sz w:val="20"/>
                <w:szCs w:val="20"/>
              </w:rPr>
              <w:t>（三十三）</w:t>
            </w:r>
            <w:r>
              <w:rPr>
                <w:rFonts w:ascii="宋体" w:hAnsi="宋体" w:cs="宋体" w:eastAsia="宋体" w:hint="default"/>
                <w:sz w:val="20"/>
                <w:szCs w:val="20"/>
              </w:rPr>
            </w: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3,663,996.88</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68"/>
              <w:jc w:val="right"/>
              <w:rPr>
                <w:rFonts w:ascii="Times New Roman" w:hAnsi="Times New Roman" w:cs="Times New Roman" w:eastAsia="Times New Roman" w:hint="default"/>
                <w:sz w:val="18"/>
                <w:szCs w:val="18"/>
              </w:rPr>
            </w:pPr>
            <w:r>
              <w:rPr>
                <w:rFonts w:ascii="Times New Roman"/>
                <w:spacing w:val="-1"/>
                <w:sz w:val="18"/>
              </w:rPr>
              <w:t>7,386,670.98</w:t>
            </w:r>
            <w:r>
              <w:rPr>
                <w:rFonts w:ascii="Times New Roman"/>
                <w:sz w:val="18"/>
              </w:rPr>
            </w:r>
          </w:p>
        </w:tc>
      </w:tr>
      <w:tr>
        <w:trPr>
          <w:trHeight w:val="295"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16" w:right="0"/>
              <w:jc w:val="center"/>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247"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9"/>
              <w:jc w:val="right"/>
              <w:rPr>
                <w:rFonts w:ascii="Times New Roman" w:hAnsi="Times New Roman" w:cs="Times New Roman" w:eastAsia="Times New Roman" w:hint="default"/>
                <w:sz w:val="18"/>
                <w:szCs w:val="18"/>
              </w:rPr>
            </w:pPr>
            <w:r>
              <w:rPr>
                <w:rFonts w:ascii="Times New Roman"/>
                <w:spacing w:val="-1"/>
                <w:sz w:val="18"/>
              </w:rPr>
              <w:t>234,476.00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060" w:bottom="1180" w:left="1000" w:right="1000"/>
        </w:sectPr>
      </w:pPr>
    </w:p>
    <w:p>
      <w:pPr>
        <w:spacing w:line="240" w:lineRule="auto" w:before="10"/>
        <w:rPr>
          <w:rFonts w:ascii="Times New Roman" w:hAnsi="Times New Roman" w:cs="Times New Roman" w:eastAsia="Times New Roman" w:hint="default"/>
          <w:sz w:val="3"/>
          <w:szCs w:val="3"/>
        </w:rPr>
      </w:pPr>
      <w:r>
        <w:rPr/>
        <w:pict>
          <v:group style="position:absolute;margin-left:55.200001pt;margin-top:55.559982pt;width:484.8pt;height:.1pt;mso-position-horizontal-relative:page;mso-position-vertical-relative:page;z-index:-1223344" coordorigin="1104,1111" coordsize="9696,2">
            <v:shape style="position:absolute;left:1104;top:1111;width:9696;height:2" coordorigin="1104,1111" coordsize="9696,0" path="m1104,1111l10800,1111e" filled="false" stroked="true" strokeweight=".72pt" strokecolor="#000000">
              <v:path arrowok="t"/>
            </v:shape>
            <w10:wrap type="none"/>
          </v:group>
        </w:pict>
      </w:r>
    </w:p>
    <w:tbl>
      <w:tblPr>
        <w:tblW w:w="0" w:type="auto"/>
        <w:jc w:val="left"/>
        <w:tblInd w:w="740" w:type="dxa"/>
        <w:tblLayout w:type="fixed"/>
        <w:tblCellMar>
          <w:top w:w="0" w:type="dxa"/>
          <w:left w:w="0" w:type="dxa"/>
          <w:bottom w:w="0" w:type="dxa"/>
          <w:right w:w="0" w:type="dxa"/>
        </w:tblCellMar>
        <w:tblLook w:val="01E0"/>
      </w:tblPr>
      <w:tblGrid>
        <w:gridCol w:w="3612"/>
        <w:gridCol w:w="1726"/>
        <w:gridCol w:w="1286"/>
        <w:gridCol w:w="230"/>
        <w:gridCol w:w="2225"/>
      </w:tblGrid>
      <w:tr>
        <w:trPr>
          <w:trHeight w:val="413"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9"/>
              <w:jc w:val="center"/>
              <w:rPr>
                <w:rFonts w:ascii="宋体" w:hAnsi="宋体" w:cs="宋体" w:eastAsia="宋体" w:hint="default"/>
                <w:sz w:val="20"/>
                <w:szCs w:val="20"/>
              </w:rPr>
            </w:pPr>
            <w:r>
              <w:rPr>
                <w:rFonts w:ascii="宋体" w:hAnsi="宋体" w:cs="宋体" w:eastAsia="宋体" w:hint="default"/>
                <w:sz w:val="20"/>
                <w:szCs w:val="20"/>
              </w:rPr>
              <w:t>减：营业外支出</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6" w:right="0"/>
              <w:jc w:val="left"/>
              <w:rPr>
                <w:rFonts w:ascii="宋体" w:hAnsi="宋体" w:cs="宋体" w:eastAsia="宋体" w:hint="default"/>
                <w:sz w:val="20"/>
                <w:szCs w:val="20"/>
              </w:rPr>
            </w:pPr>
            <w:r>
              <w:rPr>
                <w:rFonts w:ascii="宋体" w:hAnsi="宋体" w:cs="宋体" w:eastAsia="宋体" w:hint="default"/>
                <w:sz w:val="20"/>
                <w:szCs w:val="20"/>
              </w:rPr>
              <w:t>（三十四）</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w w:val="95"/>
                <w:sz w:val="18"/>
              </w:rPr>
              <w:t>11,633.08</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8"/>
              <w:jc w:val="right"/>
              <w:rPr>
                <w:rFonts w:ascii="Times New Roman" w:hAnsi="Times New Roman" w:cs="Times New Roman" w:eastAsia="Times New Roman" w:hint="default"/>
                <w:sz w:val="18"/>
                <w:szCs w:val="18"/>
              </w:rPr>
            </w:pPr>
            <w:r>
              <w:rPr>
                <w:rFonts w:ascii="Times New Roman"/>
                <w:sz w:val="18"/>
              </w:rPr>
              <w:t>7,770.68</w:t>
            </w:r>
          </w:p>
        </w:tc>
      </w:tr>
      <w:tr>
        <w:trPr>
          <w:trHeight w:val="397"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5"/>
              <w:jc w:val="center"/>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726"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w w:val="95"/>
                <w:sz w:val="18"/>
              </w:rPr>
              <w:t>11,560.85</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68"/>
              <w:jc w:val="right"/>
              <w:rPr>
                <w:rFonts w:ascii="Times New Roman" w:hAnsi="Times New Roman" w:cs="Times New Roman" w:eastAsia="Times New Roman" w:hint="default"/>
                <w:sz w:val="18"/>
                <w:szCs w:val="18"/>
              </w:rPr>
            </w:pPr>
            <w:r>
              <w:rPr>
                <w:rFonts w:ascii="Times New Roman"/>
                <w:sz w:val="18"/>
              </w:rPr>
              <w:t>7,770.68</w:t>
            </w:r>
          </w:p>
        </w:tc>
      </w:tr>
      <w:tr>
        <w:trPr>
          <w:trHeight w:val="404"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3"/>
              <w:jc w:val="center"/>
              <w:rPr>
                <w:rFonts w:ascii="宋体" w:hAnsi="宋体" w:cs="宋体" w:eastAsia="宋体" w:hint="default"/>
                <w:sz w:val="20"/>
                <w:szCs w:val="20"/>
              </w:rPr>
            </w:pPr>
            <w:r>
              <w:rPr>
                <w:rFonts w:ascii="宋体" w:hAnsi="宋体" w:cs="宋体" w:eastAsia="宋体" w:hint="default"/>
                <w:b/>
                <w:bCs/>
                <w:sz w:val="20"/>
                <w:szCs w:val="20"/>
              </w:rPr>
              <w:t>四、利润总额</w:t>
            </w:r>
            <w:r>
              <w:rPr>
                <w:rFonts w:ascii="宋体" w:hAnsi="宋体" w:cs="宋体" w:eastAsia="宋体" w:hint="default"/>
                <w:sz w:val="20"/>
                <w:szCs w:val="20"/>
              </w:rPr>
            </w:r>
          </w:p>
        </w:tc>
        <w:tc>
          <w:tcPr>
            <w:tcW w:w="1726"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816871" cy="6096"/>
                  <wp:effectExtent l="0" t="0" r="0" b="0"/>
                  <wp:docPr id="35" name="image7.png" descr=""/>
                  <wp:cNvGraphicFramePr>
                    <a:graphicFrameLocks noChangeAspect="1"/>
                  </wp:cNvGraphicFramePr>
                  <a:graphic>
                    <a:graphicData uri="http://schemas.openxmlformats.org/drawingml/2006/picture">
                      <pic:pic>
                        <pic:nvPicPr>
                          <pic:cNvPr id="36" name="image7.png"/>
                          <pic:cNvPicPr/>
                        </pic:nvPicPr>
                        <pic:blipFill>
                          <a:blip r:embed="rId31" cstate="print"/>
                          <a:stretch>
                            <a:fillRect/>
                          </a:stretch>
                        </pic:blipFill>
                        <pic:spPr>
                          <a:xfrm>
                            <a:off x="0" y="0"/>
                            <a:ext cx="816871"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02"/>
              <w:jc w:val="right"/>
              <w:rPr>
                <w:rFonts w:ascii="Times New Roman" w:hAnsi="Times New Roman" w:cs="Times New Roman" w:eastAsia="Times New Roman" w:hint="default"/>
                <w:sz w:val="18"/>
                <w:szCs w:val="18"/>
              </w:rPr>
            </w:pPr>
            <w:r>
              <w:rPr>
                <w:rFonts w:ascii="Times New Roman"/>
                <w:spacing w:val="-1"/>
                <w:sz w:val="18"/>
              </w:rPr>
              <w:t>25,258,928.52</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0"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70088" cy="6096"/>
                  <wp:effectExtent l="0" t="0" r="0" b="0"/>
                  <wp:docPr id="37" name="image8.png" descr=""/>
                  <wp:cNvGraphicFramePr>
                    <a:graphicFrameLocks noChangeAspect="1"/>
                  </wp:cNvGraphicFramePr>
                  <a:graphic>
                    <a:graphicData uri="http://schemas.openxmlformats.org/drawingml/2006/picture">
                      <pic:pic>
                        <pic:nvPicPr>
                          <pic:cNvPr id="38" name="image8.png"/>
                          <pic:cNvPicPr/>
                        </pic:nvPicPr>
                        <pic:blipFill>
                          <a:blip r:embed="rId32" cstate="print"/>
                          <a:stretch>
                            <a:fillRect/>
                          </a:stretch>
                        </pic:blipFill>
                        <pic:spPr>
                          <a:xfrm>
                            <a:off x="0" y="0"/>
                            <a:ext cx="1370088"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69"/>
              <w:jc w:val="right"/>
              <w:rPr>
                <w:rFonts w:ascii="Times New Roman" w:hAnsi="Times New Roman" w:cs="Times New Roman" w:eastAsia="Times New Roman" w:hint="default"/>
                <w:sz w:val="18"/>
                <w:szCs w:val="18"/>
              </w:rPr>
            </w:pPr>
            <w:r>
              <w:rPr>
                <w:rFonts w:ascii="Times New Roman"/>
                <w:spacing w:val="-1"/>
                <w:sz w:val="18"/>
              </w:rPr>
              <w:t>25,909,328.82</w:t>
            </w:r>
          </w:p>
        </w:tc>
      </w:tr>
      <w:tr>
        <w:trPr>
          <w:trHeight w:val="400"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9"/>
              <w:jc w:val="center"/>
              <w:rPr>
                <w:rFonts w:ascii="宋体" w:hAnsi="宋体" w:cs="宋体" w:eastAsia="宋体" w:hint="default"/>
                <w:sz w:val="20"/>
                <w:szCs w:val="20"/>
              </w:rPr>
            </w:pPr>
            <w:r>
              <w:rPr>
                <w:rFonts w:ascii="宋体" w:hAnsi="宋体" w:cs="宋体" w:eastAsia="宋体" w:hint="default"/>
                <w:sz w:val="20"/>
                <w:szCs w:val="20"/>
              </w:rPr>
              <w:t>减：所得税费用</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36" w:right="0"/>
              <w:jc w:val="left"/>
              <w:rPr>
                <w:rFonts w:ascii="宋体" w:hAnsi="宋体" w:cs="宋体" w:eastAsia="宋体" w:hint="default"/>
                <w:sz w:val="20"/>
                <w:szCs w:val="20"/>
              </w:rPr>
            </w:pPr>
            <w:r>
              <w:rPr>
                <w:rFonts w:ascii="宋体" w:hAnsi="宋体" w:cs="宋体" w:eastAsia="宋体" w:hint="default"/>
                <w:sz w:val="20"/>
                <w:szCs w:val="20"/>
              </w:rPr>
              <w:t>（三十五）</w:t>
            </w: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3,030,855.94</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68"/>
              <w:jc w:val="right"/>
              <w:rPr>
                <w:rFonts w:ascii="Times New Roman" w:hAnsi="Times New Roman" w:cs="Times New Roman" w:eastAsia="Times New Roman" w:hint="default"/>
                <w:sz w:val="18"/>
                <w:szCs w:val="18"/>
              </w:rPr>
            </w:pPr>
            <w:r>
              <w:rPr>
                <w:rFonts w:ascii="Times New Roman"/>
                <w:spacing w:val="-1"/>
                <w:sz w:val="18"/>
              </w:rPr>
              <w:t>3,385,423.47</w:t>
            </w:r>
            <w:r>
              <w:rPr>
                <w:rFonts w:ascii="Times New Roman"/>
                <w:sz w:val="18"/>
              </w:rPr>
            </w:r>
          </w:p>
        </w:tc>
      </w:tr>
      <w:tr>
        <w:trPr>
          <w:trHeight w:val="404"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
              <w:jc w:val="center"/>
              <w:rPr>
                <w:rFonts w:ascii="宋体" w:hAnsi="宋体" w:cs="宋体" w:eastAsia="宋体" w:hint="default"/>
                <w:sz w:val="20"/>
                <w:szCs w:val="20"/>
              </w:rPr>
            </w:pPr>
            <w:r>
              <w:rPr>
                <w:rFonts w:ascii="宋体" w:hAnsi="宋体" w:cs="宋体" w:eastAsia="宋体" w:hint="default"/>
                <w:b/>
                <w:bCs/>
                <w:sz w:val="20"/>
                <w:szCs w:val="20"/>
              </w:rPr>
              <w:t>五、净利润</w:t>
            </w:r>
            <w:r>
              <w:rPr>
                <w:rFonts w:ascii="宋体" w:hAnsi="宋体" w:cs="宋体" w:eastAsia="宋体" w:hint="default"/>
                <w:sz w:val="20"/>
                <w:szCs w:val="20"/>
              </w:rPr>
            </w:r>
          </w:p>
        </w:tc>
        <w:tc>
          <w:tcPr>
            <w:tcW w:w="1726"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816871" cy="6096"/>
                  <wp:effectExtent l="0" t="0" r="0" b="0"/>
                  <wp:docPr id="39" name="image7.png" descr=""/>
                  <wp:cNvGraphicFramePr>
                    <a:graphicFrameLocks noChangeAspect="1"/>
                  </wp:cNvGraphicFramePr>
                  <a:graphic>
                    <a:graphicData uri="http://schemas.openxmlformats.org/drawingml/2006/picture">
                      <pic:pic>
                        <pic:nvPicPr>
                          <pic:cNvPr id="40" name="image7.png"/>
                          <pic:cNvPicPr/>
                        </pic:nvPicPr>
                        <pic:blipFill>
                          <a:blip r:embed="rId31" cstate="print"/>
                          <a:stretch>
                            <a:fillRect/>
                          </a:stretch>
                        </pic:blipFill>
                        <pic:spPr>
                          <a:xfrm>
                            <a:off x="0" y="0"/>
                            <a:ext cx="816871"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02"/>
              <w:jc w:val="right"/>
              <w:rPr>
                <w:rFonts w:ascii="Times New Roman" w:hAnsi="Times New Roman" w:cs="Times New Roman" w:eastAsia="Times New Roman" w:hint="default"/>
                <w:sz w:val="18"/>
                <w:szCs w:val="18"/>
              </w:rPr>
            </w:pPr>
            <w:r>
              <w:rPr>
                <w:rFonts w:ascii="Times New Roman"/>
                <w:spacing w:val="-1"/>
                <w:sz w:val="18"/>
              </w:rPr>
              <w:t>22,228,072.58</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0"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70088" cy="6096"/>
                  <wp:effectExtent l="0" t="0" r="0" b="0"/>
                  <wp:docPr id="41" name="image8.png" descr=""/>
                  <wp:cNvGraphicFramePr>
                    <a:graphicFrameLocks noChangeAspect="1"/>
                  </wp:cNvGraphicFramePr>
                  <a:graphic>
                    <a:graphicData uri="http://schemas.openxmlformats.org/drawingml/2006/picture">
                      <pic:pic>
                        <pic:nvPicPr>
                          <pic:cNvPr id="42" name="image8.png"/>
                          <pic:cNvPicPr/>
                        </pic:nvPicPr>
                        <pic:blipFill>
                          <a:blip r:embed="rId32" cstate="print"/>
                          <a:stretch>
                            <a:fillRect/>
                          </a:stretch>
                        </pic:blipFill>
                        <pic:spPr>
                          <a:xfrm>
                            <a:off x="0" y="0"/>
                            <a:ext cx="1370088"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69"/>
              <w:jc w:val="right"/>
              <w:rPr>
                <w:rFonts w:ascii="Times New Roman" w:hAnsi="Times New Roman" w:cs="Times New Roman" w:eastAsia="Times New Roman" w:hint="default"/>
                <w:sz w:val="18"/>
                <w:szCs w:val="18"/>
              </w:rPr>
            </w:pPr>
            <w:r>
              <w:rPr>
                <w:rFonts w:ascii="Times New Roman"/>
                <w:spacing w:val="-1"/>
                <w:sz w:val="18"/>
              </w:rPr>
              <w:t>22,523,905.35</w:t>
            </w:r>
          </w:p>
        </w:tc>
      </w:tr>
      <w:tr>
        <w:trPr>
          <w:trHeight w:val="395"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5"/>
              <w:jc w:val="center"/>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1726" w:type="dxa"/>
            <w:tcBorders>
              <w:top w:val="nil" w:sz="6" w:space="0" w:color="auto"/>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22,228,072.58</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69"/>
              <w:jc w:val="right"/>
              <w:rPr>
                <w:rFonts w:ascii="Times New Roman" w:hAnsi="Times New Roman" w:cs="Times New Roman" w:eastAsia="Times New Roman" w:hint="default"/>
                <w:sz w:val="18"/>
                <w:szCs w:val="18"/>
              </w:rPr>
            </w:pPr>
            <w:r>
              <w:rPr>
                <w:rFonts w:ascii="Times New Roman"/>
                <w:spacing w:val="-1"/>
                <w:sz w:val="18"/>
              </w:rPr>
              <w:t>22,523,905.35</w:t>
            </w:r>
          </w:p>
        </w:tc>
      </w:tr>
      <w:tr>
        <w:trPr>
          <w:trHeight w:val="397"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
              <w:jc w:val="center"/>
              <w:rPr>
                <w:rFonts w:ascii="宋体" w:hAnsi="宋体" w:cs="宋体" w:eastAsia="宋体" w:hint="default"/>
                <w:sz w:val="20"/>
                <w:szCs w:val="20"/>
              </w:rPr>
            </w:pPr>
            <w:r>
              <w:rPr>
                <w:rFonts w:ascii="宋体" w:hAnsi="宋体" w:cs="宋体" w:eastAsia="宋体" w:hint="default"/>
                <w:sz w:val="20"/>
                <w:szCs w:val="20"/>
              </w:rPr>
              <w:t>少数股东损益</w:t>
            </w:r>
          </w:p>
        </w:tc>
        <w:tc>
          <w:tcPr>
            <w:tcW w:w="1726"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0"/>
              <w:jc w:val="center"/>
              <w:rPr>
                <w:rFonts w:ascii="宋体" w:hAnsi="宋体" w:cs="宋体" w:eastAsia="宋体" w:hint="default"/>
                <w:sz w:val="20"/>
                <w:szCs w:val="20"/>
              </w:rPr>
            </w:pPr>
            <w:r>
              <w:rPr>
                <w:rFonts w:ascii="宋体" w:hAnsi="宋体" w:cs="宋体" w:eastAsia="宋体" w:hint="default"/>
                <w:b/>
                <w:bCs/>
                <w:sz w:val="20"/>
                <w:szCs w:val="20"/>
              </w:rPr>
              <w:t>六、其他综合收益的税后净额</w:t>
            </w:r>
            <w:r>
              <w:rPr>
                <w:rFonts w:ascii="宋体" w:hAnsi="宋体" w:cs="宋体" w:eastAsia="宋体" w:hint="default"/>
                <w:sz w:val="20"/>
                <w:szCs w:val="20"/>
              </w:rPr>
            </w:r>
          </w:p>
        </w:tc>
        <w:tc>
          <w:tcPr>
            <w:tcW w:w="1726"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816871" cy="6096"/>
                  <wp:effectExtent l="0" t="0" r="0" b="0"/>
                  <wp:docPr id="43" name="image7.png" descr=""/>
                  <wp:cNvGraphicFramePr>
                    <a:graphicFrameLocks noChangeAspect="1"/>
                  </wp:cNvGraphicFramePr>
                  <a:graphic>
                    <a:graphicData uri="http://schemas.openxmlformats.org/drawingml/2006/picture">
                      <pic:pic>
                        <pic:nvPicPr>
                          <pic:cNvPr id="44" name="image7.png"/>
                          <pic:cNvPicPr/>
                        </pic:nvPicPr>
                        <pic:blipFill>
                          <a:blip r:embed="rId31" cstate="print"/>
                          <a:stretch>
                            <a:fillRect/>
                          </a:stretch>
                        </pic:blipFill>
                        <pic:spPr>
                          <a:xfrm>
                            <a:off x="0" y="0"/>
                            <a:ext cx="816871"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0"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70088" cy="6096"/>
                  <wp:effectExtent l="0" t="0" r="0" b="0"/>
                  <wp:docPr id="45" name="image8.png" descr=""/>
                  <wp:cNvGraphicFramePr>
                    <a:graphicFrameLocks noChangeAspect="1"/>
                  </wp:cNvGraphicFramePr>
                  <a:graphic>
                    <a:graphicData uri="http://schemas.openxmlformats.org/drawingml/2006/picture">
                      <pic:pic>
                        <pic:nvPicPr>
                          <pic:cNvPr id="46" name="image8.png"/>
                          <pic:cNvPicPr/>
                        </pic:nvPicPr>
                        <pic:blipFill>
                          <a:blip r:embed="rId32" cstate="print"/>
                          <a:stretch>
                            <a:fillRect/>
                          </a:stretch>
                        </pic:blipFill>
                        <pic:spPr>
                          <a:xfrm>
                            <a:off x="0" y="0"/>
                            <a:ext cx="1370088"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3"/>
              <w:ind w:right="1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8"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0"/>
              <w:jc w:val="center"/>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1726" w:type="dxa"/>
            <w:tcBorders>
              <w:top w:val="nil" w:sz="6" w:space="0" w:color="auto"/>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22,228,072.58</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169"/>
              <w:jc w:val="right"/>
              <w:rPr>
                <w:rFonts w:ascii="Times New Roman" w:hAnsi="Times New Roman" w:cs="Times New Roman" w:eastAsia="Times New Roman" w:hint="default"/>
                <w:sz w:val="18"/>
                <w:szCs w:val="18"/>
              </w:rPr>
            </w:pPr>
            <w:r>
              <w:rPr>
                <w:rFonts w:ascii="Times New Roman"/>
                <w:spacing w:val="-1"/>
                <w:sz w:val="18"/>
              </w:rPr>
              <w:t>22,523,905.35</w:t>
            </w:r>
          </w:p>
        </w:tc>
      </w:tr>
      <w:tr>
        <w:trPr>
          <w:trHeight w:val="416"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5"/>
              <w:jc w:val="center"/>
              <w:rPr>
                <w:rFonts w:ascii="宋体" w:hAnsi="宋体" w:cs="宋体" w:eastAsia="宋体" w:hint="default"/>
                <w:sz w:val="20"/>
                <w:szCs w:val="20"/>
              </w:rPr>
            </w:pPr>
            <w:r>
              <w:rPr>
                <w:rFonts w:ascii="宋体" w:hAnsi="宋体" w:cs="宋体" w:eastAsia="宋体" w:hint="default"/>
                <w:sz w:val="20"/>
                <w:szCs w:val="20"/>
              </w:rPr>
              <w:t>归属于母公司股东的综合收益总额</w:t>
            </w:r>
          </w:p>
        </w:tc>
        <w:tc>
          <w:tcPr>
            <w:tcW w:w="1726" w:type="dxa"/>
            <w:tcBorders>
              <w:top w:val="nil" w:sz="6" w:space="0" w:color="auto"/>
              <w:left w:val="nil" w:sz="6" w:space="0" w:color="auto"/>
              <w:bottom w:val="nil" w:sz="6" w:space="0" w:color="auto"/>
              <w:right w:val="nil" w:sz="6" w:space="0" w:color="auto"/>
            </w:tcBorders>
          </w:tcPr>
          <w:p>
            <w:pPr/>
          </w:p>
        </w:tc>
        <w:tc>
          <w:tcPr>
            <w:tcW w:w="1286" w:type="dxa"/>
            <w:tcBorders>
              <w:top w:val="single" w:sz="17" w:space="0" w:color="000000"/>
              <w:left w:val="nil" w:sz="6" w:space="0" w:color="auto"/>
              <w:bottom w:val="nil" w:sz="6" w:space="0" w:color="auto"/>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22,228,072.58</w:t>
            </w:r>
          </w:p>
        </w:tc>
        <w:tc>
          <w:tcPr>
            <w:tcW w:w="230" w:type="dxa"/>
            <w:tcBorders>
              <w:top w:val="nil" w:sz="6" w:space="0" w:color="auto"/>
              <w:left w:val="nil" w:sz="6" w:space="0" w:color="auto"/>
              <w:bottom w:val="nil" w:sz="6" w:space="0" w:color="auto"/>
              <w:right w:val="nil" w:sz="6" w:space="0" w:color="auto"/>
            </w:tcBorders>
          </w:tcPr>
          <w:p>
            <w:pPr/>
          </w:p>
        </w:tc>
        <w:tc>
          <w:tcPr>
            <w:tcW w:w="2225" w:type="dxa"/>
            <w:tcBorders>
              <w:top w:val="single" w:sz="17" w:space="0" w:color="000000"/>
              <w:left w:val="nil" w:sz="6" w:space="0" w:color="auto"/>
              <w:bottom w:val="nil" w:sz="6" w:space="0" w:color="auto"/>
              <w:right w:val="nil" w:sz="6" w:space="0" w:color="auto"/>
            </w:tcBorders>
          </w:tcPr>
          <w:p>
            <w:pPr>
              <w:pStyle w:val="TableParagraph"/>
              <w:spacing w:line="240" w:lineRule="auto" w:before="93"/>
              <w:ind w:right="169"/>
              <w:jc w:val="right"/>
              <w:rPr>
                <w:rFonts w:ascii="Times New Roman" w:hAnsi="Times New Roman" w:cs="Times New Roman" w:eastAsia="Times New Roman" w:hint="default"/>
                <w:sz w:val="18"/>
                <w:szCs w:val="18"/>
              </w:rPr>
            </w:pPr>
            <w:r>
              <w:rPr>
                <w:rFonts w:ascii="Times New Roman"/>
                <w:spacing w:val="-1"/>
                <w:sz w:val="18"/>
              </w:rPr>
              <w:t>22,523,905.35</w:t>
            </w:r>
          </w:p>
        </w:tc>
      </w:tr>
      <w:tr>
        <w:trPr>
          <w:trHeight w:val="398" w:hRule="exact"/>
        </w:trPr>
        <w:tc>
          <w:tcPr>
            <w:tcW w:w="361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58"/>
              <w:jc w:val="center"/>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1726" w:type="dxa"/>
            <w:tcBorders>
              <w:top w:val="nil" w:sz="6" w:space="0" w:color="auto"/>
              <w:left w:val="nil" w:sz="6" w:space="0" w:color="auto"/>
              <w:bottom w:val="single" w:sz="4" w:space="0" w:color="000000"/>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0" w:type="dxa"/>
            <w:tcBorders>
              <w:top w:val="nil" w:sz="6" w:space="0" w:color="auto"/>
              <w:left w:val="nil" w:sz="6" w:space="0" w:color="auto"/>
              <w:bottom w:val="single" w:sz="4" w:space="0" w:color="000000"/>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6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1667" w:hRule="exact"/>
        </w:trPr>
        <w:tc>
          <w:tcPr>
            <w:tcW w:w="9079"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3856" w:val="left" w:leader="none"/>
                <w:tab w:pos="7799" w:val="left" w:leader="none"/>
              </w:tabs>
              <w:spacing w:line="285" w:lineRule="auto" w:before="153"/>
              <w:ind w:left="110" w:right="269"/>
              <w:jc w:val="left"/>
              <w:rPr>
                <w:rFonts w:ascii="宋体" w:hAnsi="宋体" w:cs="宋体" w:eastAsia="宋体" w:hint="default"/>
                <w:sz w:val="20"/>
                <w:szCs w:val="20"/>
              </w:rPr>
            </w:pPr>
            <w:r>
              <w:rPr>
                <w:rFonts w:ascii="宋体" w:hAnsi="宋体" w:cs="宋体" w:eastAsia="宋体" w:hint="default"/>
                <w:sz w:val="20"/>
                <w:szCs w:val="20"/>
              </w:rPr>
              <w:t>企业法定代表人：黄元忠</w:t>
              <w:tab/>
              <w:t>主管会计工作负责人：孙晓玲</w:t>
              <w:tab/>
              <w:t>会计机构负</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责人：全丽</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110" w:right="0"/>
              <w:jc w:val="left"/>
              <w:rPr>
                <w:rFonts w:ascii="宋体" w:hAnsi="宋体" w:cs="宋体" w:eastAsia="宋体" w:hint="default"/>
                <w:sz w:val="20"/>
                <w:szCs w:val="20"/>
              </w:rPr>
            </w:pPr>
            <w:r>
              <w:rPr>
                <w:rFonts w:ascii="宋体" w:hAnsi="宋体" w:cs="宋体" w:eastAsia="宋体" w:hint="default"/>
                <w:sz w:val="20"/>
                <w:szCs w:val="20"/>
              </w:rPr>
              <w:t>（后附财务报表附注为合并财务报表的组成部分）</w:t>
            </w:r>
          </w:p>
        </w:tc>
      </w:tr>
    </w:tbl>
    <w:p>
      <w:pPr>
        <w:spacing w:after="0" w:line="240" w:lineRule="auto"/>
        <w:jc w:val="left"/>
        <w:rPr>
          <w:rFonts w:ascii="宋体" w:hAnsi="宋体" w:cs="宋体" w:eastAsia="宋体" w:hint="default"/>
          <w:sz w:val="20"/>
          <w:szCs w:val="20"/>
        </w:rPr>
        <w:sectPr>
          <w:pgSz w:w="11910" w:h="16840"/>
          <w:pgMar w:header="877" w:footer="982" w:top="1060" w:bottom="1180" w:left="980" w:right="980"/>
        </w:sectPr>
      </w:pPr>
    </w:p>
    <w:p>
      <w:pPr>
        <w:spacing w:line="240" w:lineRule="auto" w:before="2"/>
        <w:rPr>
          <w:rFonts w:ascii="Times New Roman" w:hAnsi="Times New Roman" w:cs="Times New Roman" w:eastAsia="Times New Roman"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992"/>
        <w:gridCol w:w="1171"/>
        <w:gridCol w:w="1946"/>
        <w:gridCol w:w="1843"/>
      </w:tblGrid>
      <w:tr>
        <w:trPr>
          <w:trHeight w:val="652" w:hRule="exact"/>
        </w:trPr>
        <w:tc>
          <w:tcPr>
            <w:tcW w:w="499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、合并现金流量表</w:t>
            </w:r>
            <w:r>
              <w:rPr>
                <w:rFonts w:ascii="宋体" w:hAnsi="宋体" w:cs="宋体" w:eastAsia="宋体" w:hint="default"/>
                <w:sz w:val="21"/>
                <w:szCs w:val="21"/>
              </w:rPr>
            </w:r>
          </w:p>
        </w:tc>
        <w:tc>
          <w:tcPr>
            <w:tcW w:w="1171" w:type="dxa"/>
            <w:tcBorders>
              <w:top w:val="single" w:sz="6" w:space="0" w:color="000000"/>
              <w:left w:val="nil" w:sz="6" w:space="0" w:color="auto"/>
              <w:bottom w:val="nil" w:sz="6" w:space="0" w:color="auto"/>
              <w:right w:val="nil" w:sz="6" w:space="0" w:color="auto"/>
            </w:tcBorders>
          </w:tcPr>
          <w:p>
            <w:pPr/>
          </w:p>
        </w:tc>
        <w:tc>
          <w:tcPr>
            <w:tcW w:w="1946" w:type="dxa"/>
            <w:tcBorders>
              <w:top w:val="single" w:sz="6" w:space="0" w:color="000000"/>
              <w:left w:val="nil" w:sz="6" w:space="0" w:color="auto"/>
              <w:bottom w:val="nil" w:sz="6" w:space="0" w:color="auto"/>
              <w:right w:val="nil" w:sz="6" w:space="0" w:color="auto"/>
            </w:tcBorders>
          </w:tcPr>
          <w:p>
            <w:pPr/>
          </w:p>
        </w:tc>
        <w:tc>
          <w:tcPr>
            <w:tcW w:w="1843" w:type="dxa"/>
            <w:tcBorders>
              <w:top w:val="single" w:sz="6" w:space="0" w:color="000000"/>
              <w:left w:val="nil" w:sz="6" w:space="0" w:color="auto"/>
              <w:bottom w:val="nil" w:sz="6" w:space="0" w:color="auto"/>
              <w:right w:val="nil" w:sz="6" w:space="0" w:color="auto"/>
            </w:tcBorders>
          </w:tcPr>
          <w:p>
            <w:pPr/>
          </w:p>
        </w:tc>
      </w:tr>
      <w:tr>
        <w:trPr>
          <w:trHeight w:val="327" w:hRule="exact"/>
        </w:trPr>
        <w:tc>
          <w:tcPr>
            <w:tcW w:w="995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合并现金流量表（</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年度）</w:t>
            </w:r>
          </w:p>
        </w:tc>
      </w:tr>
      <w:tr>
        <w:trPr>
          <w:trHeight w:val="381" w:hRule="exact"/>
        </w:trPr>
        <w:tc>
          <w:tcPr>
            <w:tcW w:w="4992"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27" w:lineRule="exact"/>
              <w:ind w:left="201" w:right="0"/>
              <w:jc w:val="lef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68" w:hRule="exact"/>
        </w:trPr>
        <w:tc>
          <w:tcPr>
            <w:tcW w:w="4992"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附注六</w:t>
            </w:r>
          </w:p>
        </w:tc>
        <w:tc>
          <w:tcPr>
            <w:tcW w:w="1946"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736"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15" w:hRule="exact"/>
        </w:trPr>
        <w:tc>
          <w:tcPr>
            <w:tcW w:w="499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171" w:type="dxa"/>
            <w:tcBorders>
              <w:top w:val="single" w:sz="4" w:space="0" w:color="000000"/>
              <w:left w:val="nil" w:sz="6" w:space="0" w:color="auto"/>
              <w:bottom w:val="nil" w:sz="6" w:space="0" w:color="auto"/>
              <w:right w:val="nil" w:sz="6" w:space="0" w:color="auto"/>
            </w:tcBorders>
          </w:tcPr>
          <w:p>
            <w:pPr/>
          </w:p>
        </w:tc>
        <w:tc>
          <w:tcPr>
            <w:tcW w:w="1946" w:type="dxa"/>
            <w:tcBorders>
              <w:top w:val="single" w:sz="4" w:space="0" w:color="000000"/>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
        </w:tc>
      </w:tr>
      <w:tr>
        <w:trPr>
          <w:trHeight w:val="31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104,162,434.93</w:t>
            </w:r>
            <w:r>
              <w:rPr>
                <w:rFonts w:ascii="宋体"/>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95,653,094.39</w:t>
            </w:r>
          </w:p>
        </w:tc>
      </w:tr>
      <w:tr>
        <w:trPr>
          <w:trHeight w:val="307"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2,637,415.11</w:t>
            </w:r>
            <w:r>
              <w:rPr>
                <w:rFonts w:ascii="宋体"/>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3,564,977.33</w:t>
            </w:r>
            <w:r>
              <w:rPr>
                <w:rFonts w:ascii="宋体"/>
                <w:sz w:val="18"/>
              </w:rPr>
            </w:r>
          </w:p>
        </w:tc>
      </w:tr>
      <w:tr>
        <w:trPr>
          <w:trHeight w:val="324"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71" w:type="dxa"/>
            <w:tcBorders>
              <w:top w:val="nil" w:sz="6" w:space="0" w:color="auto"/>
              <w:left w:val="nil" w:sz="6" w:space="0" w:color="auto"/>
              <w:bottom w:val="nil" w:sz="6" w:space="0" w:color="auto"/>
              <w:right w:val="nil" w:sz="6" w:space="0" w:color="auto"/>
            </w:tcBorders>
          </w:tcPr>
          <w:p>
            <w:pPr>
              <w:pStyle w:val="TableParagraph"/>
              <w:spacing w:line="261" w:lineRule="exact"/>
              <w:ind w:left="33" w:right="0"/>
              <w:jc w:val="center"/>
              <w:rPr>
                <w:rFonts w:ascii="宋体" w:hAnsi="宋体" w:cs="宋体" w:eastAsia="宋体" w:hint="default"/>
                <w:sz w:val="20"/>
                <w:szCs w:val="20"/>
              </w:rPr>
            </w:pPr>
            <w:r>
              <w:rPr>
                <w:rFonts w:ascii="宋体" w:hAnsi="宋体" w:cs="宋体" w:eastAsia="宋体" w:hint="default"/>
                <w:sz w:val="20"/>
                <w:szCs w:val="20"/>
              </w:rPr>
              <w:t>（三十六）</w:t>
            </w:r>
          </w:p>
        </w:tc>
        <w:tc>
          <w:tcPr>
            <w:tcW w:w="1946" w:type="dxa"/>
            <w:tcBorders>
              <w:top w:val="nil" w:sz="6" w:space="0" w:color="auto"/>
              <w:left w:val="nil" w:sz="6" w:space="0" w:color="auto"/>
              <w:bottom w:val="single" w:sz="4" w:space="0" w:color="7E7E7E"/>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pacing w:val="-1"/>
                <w:sz w:val="18"/>
              </w:rPr>
              <w:t>642,810.55</w:t>
            </w:r>
            <w:r>
              <w:rPr>
                <w:rFonts w:ascii="宋体"/>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pacing w:val="-1"/>
                <w:sz w:val="18"/>
              </w:rPr>
              <w:t>5,450,303.25</w:t>
            </w:r>
          </w:p>
        </w:tc>
      </w:tr>
      <w:tr>
        <w:trPr>
          <w:trHeight w:val="324"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single" w:sz="4" w:space="0" w:color="7E7E7E"/>
              <w:left w:val="nil" w:sz="6" w:space="0" w:color="auto"/>
              <w:bottom w:val="single" w:sz="4" w:space="0" w:color="000000"/>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107,442,660.59</w:t>
            </w:r>
            <w:r>
              <w:rPr>
                <w:rFonts w:ascii="宋体"/>
                <w:sz w:val="18"/>
              </w:rPr>
            </w:r>
          </w:p>
        </w:tc>
        <w:tc>
          <w:tcPr>
            <w:tcW w:w="1843" w:type="dxa"/>
            <w:tcBorders>
              <w:top w:val="nil" w:sz="6" w:space="0" w:color="auto"/>
              <w:left w:val="nil" w:sz="6" w:space="0" w:color="auto"/>
              <w:bottom w:val="single" w:sz="4" w:space="0" w:color="000000"/>
              <w:right w:val="nil" w:sz="6" w:space="0" w:color="auto"/>
            </w:tcBorders>
          </w:tcPr>
          <w:p>
            <w:pPr>
              <w:pStyle w:val="TableParagraph"/>
              <w:spacing w:line="20" w:lineRule="exact"/>
              <w:ind w:left="84"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17102" cy="6096"/>
                  <wp:effectExtent l="0" t="0" r="0" b="0"/>
                  <wp:docPr id="47" name="image9.png" descr=""/>
                  <wp:cNvGraphicFramePr>
                    <a:graphicFrameLocks noChangeAspect="1"/>
                  </wp:cNvGraphicFramePr>
                  <a:graphic>
                    <a:graphicData uri="http://schemas.openxmlformats.org/drawingml/2006/picture">
                      <pic:pic>
                        <pic:nvPicPr>
                          <pic:cNvPr id="48" name="image9.png"/>
                          <pic:cNvPicPr/>
                        </pic:nvPicPr>
                        <pic:blipFill>
                          <a:blip r:embed="rId33" cstate="print"/>
                          <a:stretch>
                            <a:fillRect/>
                          </a:stretch>
                        </pic:blipFill>
                        <pic:spPr>
                          <a:xfrm>
                            <a:off x="0" y="0"/>
                            <a:ext cx="1117102"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29"/>
              <w:jc w:val="right"/>
              <w:rPr>
                <w:rFonts w:ascii="宋体" w:hAnsi="宋体" w:cs="宋体" w:eastAsia="宋体" w:hint="default"/>
                <w:sz w:val="18"/>
                <w:szCs w:val="18"/>
              </w:rPr>
            </w:pPr>
            <w:r>
              <w:rPr>
                <w:rFonts w:ascii="宋体"/>
                <w:spacing w:val="-1"/>
                <w:sz w:val="18"/>
              </w:rPr>
              <w:t>104,668,374.97</w:t>
            </w:r>
            <w:r>
              <w:rPr>
                <w:rFonts w:ascii="宋体"/>
                <w:sz w:val="18"/>
              </w:rPr>
            </w:r>
          </w:p>
        </w:tc>
      </w:tr>
      <w:tr>
        <w:trPr>
          <w:trHeight w:val="315"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9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33,235,207.51</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26,452,071.09</w:t>
            </w:r>
          </w:p>
        </w:tc>
      </w:tr>
      <w:tr>
        <w:trPr>
          <w:trHeight w:val="31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24,922,552.30</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25,002,405.97</w:t>
            </w:r>
          </w:p>
        </w:tc>
      </w:tr>
      <w:tr>
        <w:trPr>
          <w:trHeight w:val="307"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10,585,037.95</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13,397,392.86</w:t>
            </w:r>
          </w:p>
        </w:tc>
      </w:tr>
      <w:tr>
        <w:trPr>
          <w:trHeight w:val="324"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71" w:type="dxa"/>
            <w:tcBorders>
              <w:top w:val="nil" w:sz="6" w:space="0" w:color="auto"/>
              <w:left w:val="nil" w:sz="6" w:space="0" w:color="auto"/>
              <w:bottom w:val="nil" w:sz="6" w:space="0" w:color="auto"/>
              <w:right w:val="nil" w:sz="6" w:space="0" w:color="auto"/>
            </w:tcBorders>
          </w:tcPr>
          <w:p>
            <w:pPr>
              <w:pStyle w:val="TableParagraph"/>
              <w:spacing w:line="261" w:lineRule="exact"/>
              <w:ind w:left="33" w:right="0"/>
              <w:jc w:val="center"/>
              <w:rPr>
                <w:rFonts w:ascii="宋体" w:hAnsi="宋体" w:cs="宋体" w:eastAsia="宋体" w:hint="default"/>
                <w:sz w:val="20"/>
                <w:szCs w:val="20"/>
              </w:rPr>
            </w:pPr>
            <w:r>
              <w:rPr>
                <w:rFonts w:ascii="宋体" w:hAnsi="宋体" w:cs="宋体" w:eastAsia="宋体" w:hint="default"/>
                <w:sz w:val="20"/>
                <w:szCs w:val="20"/>
              </w:rPr>
              <w:t>（三十六）</w:t>
            </w:r>
          </w:p>
        </w:tc>
        <w:tc>
          <w:tcPr>
            <w:tcW w:w="1946" w:type="dxa"/>
            <w:tcBorders>
              <w:top w:val="nil" w:sz="6" w:space="0" w:color="auto"/>
              <w:left w:val="nil" w:sz="6" w:space="0" w:color="auto"/>
              <w:bottom w:val="single" w:sz="4" w:space="0" w:color="7E7E7E"/>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pacing w:val="-1"/>
                <w:sz w:val="18"/>
              </w:rPr>
              <w:t>19,284,158.61</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pacing w:val="-1"/>
                <w:sz w:val="18"/>
              </w:rPr>
              <w:t>19,178,659.30</w:t>
            </w:r>
          </w:p>
        </w:tc>
      </w:tr>
      <w:tr>
        <w:trPr>
          <w:trHeight w:val="32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single" w:sz="4" w:space="0" w:color="7E7E7E"/>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88,026,956.37</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0" w:lineRule="exact"/>
              <w:ind w:left="84"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17102" cy="6096"/>
                  <wp:effectExtent l="0" t="0" r="0" b="0"/>
                  <wp:docPr id="49" name="image9.png" descr=""/>
                  <wp:cNvGraphicFramePr>
                    <a:graphicFrameLocks noChangeAspect="1"/>
                  </wp:cNvGraphicFramePr>
                  <a:graphic>
                    <a:graphicData uri="http://schemas.openxmlformats.org/drawingml/2006/picture">
                      <pic:pic>
                        <pic:nvPicPr>
                          <pic:cNvPr id="50" name="image9.png"/>
                          <pic:cNvPicPr/>
                        </pic:nvPicPr>
                        <pic:blipFill>
                          <a:blip r:embed="rId33" cstate="print"/>
                          <a:stretch>
                            <a:fillRect/>
                          </a:stretch>
                        </pic:blipFill>
                        <pic:spPr>
                          <a:xfrm>
                            <a:off x="0" y="0"/>
                            <a:ext cx="1117102"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29"/>
              <w:jc w:val="right"/>
              <w:rPr>
                <w:rFonts w:ascii="宋体" w:hAnsi="宋体" w:cs="宋体" w:eastAsia="宋体" w:hint="default"/>
                <w:sz w:val="18"/>
                <w:szCs w:val="18"/>
              </w:rPr>
            </w:pPr>
            <w:r>
              <w:rPr>
                <w:rFonts w:ascii="宋体"/>
                <w:spacing w:val="-1"/>
                <w:sz w:val="18"/>
              </w:rPr>
              <w:t>84,030,529.22</w:t>
            </w:r>
          </w:p>
        </w:tc>
      </w:tr>
      <w:tr>
        <w:trPr>
          <w:trHeight w:val="338"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19,415,704.22</w:t>
            </w:r>
            <w:r>
              <w:rPr>
                <w:rFonts w:ascii="宋体"/>
                <w:sz w:val="18"/>
              </w:rPr>
            </w:r>
          </w:p>
        </w:tc>
        <w:tc>
          <w:tcPr>
            <w:tcW w:w="1843"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109"/>
              <w:jc w:val="right"/>
              <w:rPr>
                <w:rFonts w:ascii="宋体" w:hAnsi="宋体" w:cs="宋体" w:eastAsia="宋体" w:hint="default"/>
                <w:sz w:val="18"/>
                <w:szCs w:val="18"/>
              </w:rPr>
            </w:pPr>
            <w:r>
              <w:rPr>
                <w:rFonts w:ascii="宋体"/>
                <w:spacing w:val="-1"/>
                <w:sz w:val="18"/>
              </w:rPr>
              <w:t>20,637,845.75</w:t>
            </w:r>
          </w:p>
        </w:tc>
      </w:tr>
      <w:tr>
        <w:trPr>
          <w:trHeight w:val="334"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single" w:sz="17" w:space="0" w:color="000000"/>
              <w:left w:val="nil" w:sz="6" w:space="0" w:color="auto"/>
              <w:bottom w:val="nil" w:sz="6" w:space="0" w:color="auto"/>
              <w:right w:val="nil" w:sz="6" w:space="0" w:color="auto"/>
            </w:tcBorders>
          </w:tcPr>
          <w:p>
            <w:pPr/>
          </w:p>
        </w:tc>
        <w:tc>
          <w:tcPr>
            <w:tcW w:w="1843" w:type="dxa"/>
            <w:tcBorders>
              <w:top w:val="single" w:sz="17" w:space="0" w:color="000000"/>
              <w:left w:val="nil" w:sz="6" w:space="0" w:color="auto"/>
              <w:bottom w:val="nil" w:sz="6" w:space="0" w:color="auto"/>
              <w:right w:val="nil" w:sz="6" w:space="0" w:color="auto"/>
            </w:tcBorders>
          </w:tcPr>
          <w:p>
            <w:pPr/>
          </w:p>
        </w:tc>
      </w:tr>
      <w:tr>
        <w:trPr>
          <w:trHeight w:val="31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510,470,000.00</w:t>
            </w:r>
            <w:r>
              <w:rPr>
                <w:rFonts w:ascii="宋体"/>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215,000,000.00</w:t>
            </w:r>
            <w:r>
              <w:rPr>
                <w:rFonts w:ascii="宋体"/>
                <w:sz w:val="18"/>
              </w:rPr>
            </w:r>
          </w:p>
        </w:tc>
      </w:tr>
      <w:tr>
        <w:trPr>
          <w:trHeight w:val="31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8,026,439.75</w:t>
            </w:r>
            <w:r>
              <w:rPr>
                <w:rFonts w:ascii="宋体"/>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3,083,530.79</w:t>
            </w:r>
            <w:r>
              <w:rPr>
                <w:rFonts w:ascii="宋体"/>
                <w:sz w:val="18"/>
              </w:rPr>
            </w:r>
          </w:p>
        </w:tc>
      </w:tr>
      <w:tr>
        <w:trPr>
          <w:trHeight w:val="31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1,020.00</w:t>
            </w:r>
            <w:r>
              <w:rPr>
                <w:rFonts w:ascii="宋体"/>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850,800.00</w:t>
            </w:r>
            <w:r>
              <w:rPr>
                <w:rFonts w:ascii="宋体"/>
                <w:sz w:val="18"/>
              </w:rPr>
            </w:r>
          </w:p>
        </w:tc>
      </w:tr>
      <w:tr>
        <w:trPr>
          <w:trHeight w:val="31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r>
      <w:tr>
        <w:trPr>
          <w:trHeight w:val="31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r>
      <w:tr>
        <w:trPr>
          <w:trHeight w:val="319"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single" w:sz="4" w:space="0" w:color="7E7E7E"/>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518,497,459.75</w:t>
            </w:r>
            <w:r>
              <w:rPr>
                <w:rFonts w:ascii="宋体"/>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218,934,330.79</w:t>
            </w:r>
            <w:r>
              <w:rPr>
                <w:rFonts w:ascii="宋体"/>
                <w:sz w:val="18"/>
              </w:rPr>
            </w:r>
          </w:p>
        </w:tc>
      </w:tr>
      <w:tr>
        <w:trPr>
          <w:trHeight w:val="32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9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single" w:sz="4" w:space="0" w:color="7E7E7E"/>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5,562,670.87</w:t>
            </w:r>
            <w:r>
              <w:rPr>
                <w:rFonts w:ascii="宋体"/>
                <w:sz w:val="18"/>
              </w:rPr>
            </w:r>
          </w:p>
        </w:tc>
        <w:tc>
          <w:tcPr>
            <w:tcW w:w="1843" w:type="dxa"/>
            <w:tcBorders>
              <w:top w:val="nil" w:sz="6" w:space="0" w:color="auto"/>
              <w:left w:val="nil" w:sz="6" w:space="0" w:color="auto"/>
              <w:bottom w:val="single" w:sz="4" w:space="0" w:color="000000"/>
              <w:right w:val="nil" w:sz="6" w:space="0" w:color="auto"/>
            </w:tcBorders>
          </w:tcPr>
          <w:p>
            <w:pPr>
              <w:pStyle w:val="TableParagraph"/>
              <w:spacing w:line="20" w:lineRule="exact"/>
              <w:ind w:left="84"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17102" cy="6096"/>
                  <wp:effectExtent l="0" t="0" r="0" b="0"/>
                  <wp:docPr id="51" name="image9.png" descr=""/>
                  <wp:cNvGraphicFramePr>
                    <a:graphicFrameLocks noChangeAspect="1"/>
                  </wp:cNvGraphicFramePr>
                  <a:graphic>
                    <a:graphicData uri="http://schemas.openxmlformats.org/drawingml/2006/picture">
                      <pic:pic>
                        <pic:nvPicPr>
                          <pic:cNvPr id="52" name="image9.png"/>
                          <pic:cNvPicPr/>
                        </pic:nvPicPr>
                        <pic:blipFill>
                          <a:blip r:embed="rId33" cstate="print"/>
                          <a:stretch>
                            <a:fillRect/>
                          </a:stretch>
                        </pic:blipFill>
                        <pic:spPr>
                          <a:xfrm>
                            <a:off x="0" y="0"/>
                            <a:ext cx="1117102"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29"/>
              <w:jc w:val="right"/>
              <w:rPr>
                <w:rFonts w:ascii="宋体" w:hAnsi="宋体" w:cs="宋体" w:eastAsia="宋体" w:hint="default"/>
                <w:sz w:val="18"/>
                <w:szCs w:val="18"/>
              </w:rPr>
            </w:pPr>
            <w:r>
              <w:rPr>
                <w:rFonts w:ascii="宋体"/>
                <w:spacing w:val="-1"/>
                <w:sz w:val="18"/>
              </w:rPr>
              <w:t>2,939,673.92</w:t>
            </w:r>
            <w:r>
              <w:rPr>
                <w:rFonts w:ascii="宋体"/>
                <w:sz w:val="18"/>
              </w:rPr>
            </w:r>
          </w:p>
        </w:tc>
      </w:tr>
      <w:tr>
        <w:trPr>
          <w:trHeight w:val="315"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9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565,470,000.00</w:t>
            </w:r>
            <w:r>
              <w:rPr>
                <w:rFonts w:ascii="宋体"/>
                <w:sz w:val="18"/>
              </w:rPr>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238,000,000.00</w:t>
            </w:r>
            <w:r>
              <w:rPr>
                <w:rFonts w:ascii="宋体"/>
                <w:sz w:val="18"/>
              </w:rPr>
            </w:r>
          </w:p>
        </w:tc>
      </w:tr>
      <w:tr>
        <w:trPr>
          <w:trHeight w:val="31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r>
      <w:tr>
        <w:trPr>
          <w:trHeight w:val="31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r>
      <w:tr>
        <w:trPr>
          <w:trHeight w:val="31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571,032,670.87</w:t>
            </w:r>
            <w:r>
              <w:rPr>
                <w:rFonts w:ascii="宋体"/>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240,939,673.92</w:t>
            </w:r>
            <w:r>
              <w:rPr>
                <w:rFonts w:ascii="宋体"/>
                <w:sz w:val="18"/>
              </w:rPr>
            </w:r>
          </w:p>
        </w:tc>
      </w:tr>
      <w:tr>
        <w:trPr>
          <w:trHeight w:val="319"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single" w:sz="4" w:space="0" w:color="7E7E7E"/>
              <w:right w:val="nil" w:sz="6" w:space="0" w:color="auto"/>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(52,535,211.12)</w:t>
            </w:r>
            <w:r>
              <w:rPr>
                <w:rFonts w:ascii="宋体"/>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(22,005,343.13)</w:t>
            </w:r>
            <w:r>
              <w:rPr>
                <w:rFonts w:ascii="宋体"/>
                <w:sz w:val="18"/>
              </w:rPr>
            </w:r>
          </w:p>
        </w:tc>
      </w:tr>
      <w:tr>
        <w:trPr>
          <w:trHeight w:val="32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single" w:sz="4" w:space="0" w:color="7E7E7E"/>
              <w:left w:val="nil" w:sz="6" w:space="0" w:color="auto"/>
              <w:bottom w:val="single" w:sz="4" w:space="0" w:color="000000"/>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Style w:val="TableParagraph"/>
              <w:spacing w:line="20" w:lineRule="exact"/>
              <w:ind w:left="84"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17102" cy="6096"/>
                  <wp:effectExtent l="0" t="0" r="0" b="0"/>
                  <wp:docPr id="53" name="image9.png" descr=""/>
                  <wp:cNvGraphicFramePr>
                    <a:graphicFrameLocks noChangeAspect="1"/>
                  </wp:cNvGraphicFramePr>
                  <a:graphic>
                    <a:graphicData uri="http://schemas.openxmlformats.org/drawingml/2006/picture">
                      <pic:pic>
                        <pic:nvPicPr>
                          <pic:cNvPr id="54" name="image9.png"/>
                          <pic:cNvPicPr/>
                        </pic:nvPicPr>
                        <pic:blipFill>
                          <a:blip r:embed="rId33" cstate="print"/>
                          <a:stretch>
                            <a:fillRect/>
                          </a:stretch>
                        </pic:blipFill>
                        <pic:spPr>
                          <a:xfrm>
                            <a:off x="0" y="0"/>
                            <a:ext cx="1117102"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3"/>
              <w:ind w:right="0"/>
              <w:jc w:val="left"/>
              <w:rPr>
                <w:rFonts w:ascii="Times New Roman" w:hAnsi="Times New Roman" w:cs="Times New Roman" w:eastAsia="Times New Roman" w:hint="default"/>
                <w:sz w:val="26"/>
                <w:szCs w:val="26"/>
              </w:rPr>
            </w:pPr>
          </w:p>
        </w:tc>
      </w:tr>
      <w:tr>
        <w:trPr>
          <w:trHeight w:val="338"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9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7"/>
              <w:jc w:val="right"/>
              <w:rPr>
                <w:rFonts w:ascii="宋体" w:hAnsi="宋体" w:cs="宋体" w:eastAsia="宋体" w:hint="default"/>
                <w:sz w:val="18"/>
                <w:szCs w:val="18"/>
              </w:rPr>
            </w:pPr>
            <w:r>
              <w:rPr>
                <w:rFonts w:ascii="宋体"/>
                <w:sz w:val="18"/>
              </w:rPr>
              <w:t>-</w:t>
            </w:r>
          </w:p>
        </w:tc>
        <w:tc>
          <w:tcPr>
            <w:tcW w:w="1843"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7"/>
              <w:jc w:val="right"/>
              <w:rPr>
                <w:rFonts w:ascii="宋体" w:hAnsi="宋体" w:cs="宋体" w:eastAsia="宋体" w:hint="default"/>
                <w:sz w:val="18"/>
                <w:szCs w:val="18"/>
              </w:rPr>
            </w:pPr>
            <w:r>
              <w:rPr>
                <w:rFonts w:ascii="宋体"/>
                <w:sz w:val="18"/>
              </w:rPr>
              <w:t>-</w:t>
            </w:r>
          </w:p>
        </w:tc>
      </w:tr>
      <w:tr>
        <w:trPr>
          <w:trHeight w:val="334"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8"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c>
          <w:tcPr>
            <w:tcW w:w="1843"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r>
      <w:tr>
        <w:trPr>
          <w:trHeight w:val="307"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r>
      <w:tr>
        <w:trPr>
          <w:trHeight w:val="32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71" w:type="dxa"/>
            <w:tcBorders>
              <w:top w:val="nil" w:sz="6" w:space="0" w:color="auto"/>
              <w:left w:val="nil" w:sz="6" w:space="0" w:color="auto"/>
              <w:bottom w:val="nil" w:sz="6" w:space="0" w:color="auto"/>
              <w:right w:val="nil" w:sz="6" w:space="0" w:color="auto"/>
            </w:tcBorders>
          </w:tcPr>
          <w:p>
            <w:pPr>
              <w:pStyle w:val="TableParagraph"/>
              <w:spacing w:line="261" w:lineRule="exact"/>
              <w:ind w:left="33" w:right="0"/>
              <w:jc w:val="center"/>
              <w:rPr>
                <w:rFonts w:ascii="宋体" w:hAnsi="宋体" w:cs="宋体" w:eastAsia="宋体" w:hint="default"/>
                <w:sz w:val="20"/>
                <w:szCs w:val="20"/>
              </w:rPr>
            </w:pPr>
            <w:r>
              <w:rPr>
                <w:rFonts w:ascii="宋体" w:hAnsi="宋体" w:cs="宋体" w:eastAsia="宋体" w:hint="default"/>
                <w:sz w:val="20"/>
                <w:szCs w:val="20"/>
              </w:rPr>
              <w:t>（三十六）</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pacing w:val="-1"/>
                <w:sz w:val="18"/>
              </w:rPr>
              <w:t>516,066.58</w:t>
            </w:r>
            <w:r>
              <w:rPr>
                <w:rFonts w:ascii="宋体"/>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pacing w:val="-1"/>
                <w:sz w:val="18"/>
              </w:rPr>
              <w:t>1,560,939.09</w:t>
            </w:r>
            <w:r>
              <w:rPr>
                <w:rFonts w:ascii="宋体"/>
                <w:sz w:val="18"/>
              </w:rPr>
            </w:r>
          </w:p>
        </w:tc>
      </w:tr>
      <w:tr>
        <w:trPr>
          <w:trHeight w:val="307"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516,066.58</w:t>
            </w:r>
            <w:r>
              <w:rPr>
                <w:rFonts w:ascii="宋体"/>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1,560,939.09</w:t>
            </w:r>
            <w:r>
              <w:rPr>
                <w:rFonts w:ascii="宋体"/>
                <w:sz w:val="18"/>
              </w:rPr>
            </w:r>
          </w:p>
        </w:tc>
      </w:tr>
      <w:tr>
        <w:trPr>
          <w:trHeight w:val="31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r>
      <w:tr>
        <w:trPr>
          <w:trHeight w:val="319"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single" w:sz="4" w:space="0" w:color="7E7E7E"/>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15,836,066.04</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5,278,773.20</w:t>
            </w:r>
            <w:r>
              <w:rPr>
                <w:rFonts w:ascii="宋体"/>
                <w:sz w:val="18"/>
              </w:rPr>
            </w:r>
          </w:p>
        </w:tc>
      </w:tr>
      <w:tr>
        <w:trPr>
          <w:trHeight w:val="32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8"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single" w:sz="4" w:space="0" w:color="7E7E7E"/>
              <w:left w:val="nil" w:sz="6" w:space="0" w:color="auto"/>
              <w:bottom w:val="single" w:sz="4" w:space="0" w:color="000000"/>
              <w:right w:val="nil" w:sz="6" w:space="0" w:color="auto"/>
            </w:tcBorders>
          </w:tcPr>
          <w:p>
            <w:pPr>
              <w:pStyle w:val="TableParagraph"/>
              <w:spacing w:line="240" w:lineRule="auto" w:before="8"/>
              <w:ind w:right="27"/>
              <w:jc w:val="right"/>
              <w:rPr>
                <w:rFonts w:ascii="宋体" w:hAnsi="宋体" w:cs="宋体" w:eastAsia="宋体" w:hint="default"/>
                <w:sz w:val="18"/>
                <w:szCs w:val="18"/>
              </w:rPr>
            </w:pPr>
            <w:r>
              <w:rPr>
                <w:rFonts w:ascii="宋体"/>
                <w:sz w:val="18"/>
              </w:rPr>
              <w:t>-</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0" w:lineRule="exact"/>
              <w:ind w:left="84"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17102" cy="6095"/>
                  <wp:effectExtent l="0" t="0" r="0" b="0"/>
                  <wp:docPr id="55" name="image9.png" descr=""/>
                  <wp:cNvGraphicFramePr>
                    <a:graphicFrameLocks noChangeAspect="1"/>
                  </wp:cNvGraphicFramePr>
                  <a:graphic>
                    <a:graphicData uri="http://schemas.openxmlformats.org/drawingml/2006/picture">
                      <pic:pic>
                        <pic:nvPicPr>
                          <pic:cNvPr id="56" name="image9.png"/>
                          <pic:cNvPicPr/>
                        </pic:nvPicPr>
                        <pic:blipFill>
                          <a:blip r:embed="rId33" cstate="print"/>
                          <a:stretch>
                            <a:fillRect/>
                          </a:stretch>
                        </pic:blipFill>
                        <pic:spPr>
                          <a:xfrm>
                            <a:off x="0" y="0"/>
                            <a:ext cx="1117102"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27"/>
              <w:jc w:val="right"/>
              <w:rPr>
                <w:rFonts w:ascii="宋体" w:hAnsi="宋体" w:cs="宋体" w:eastAsia="宋体" w:hint="default"/>
                <w:sz w:val="18"/>
                <w:szCs w:val="18"/>
              </w:rPr>
            </w:pPr>
            <w:r>
              <w:rPr>
                <w:rFonts w:ascii="宋体"/>
                <w:sz w:val="18"/>
              </w:rPr>
              <w:t>-</w:t>
            </w:r>
          </w:p>
        </w:tc>
      </w:tr>
      <w:tr>
        <w:trPr>
          <w:trHeight w:val="32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71" w:type="dxa"/>
            <w:tcBorders>
              <w:top w:val="nil" w:sz="6" w:space="0" w:color="auto"/>
              <w:left w:val="nil" w:sz="6" w:space="0" w:color="auto"/>
              <w:bottom w:val="nil" w:sz="6" w:space="0" w:color="auto"/>
              <w:right w:val="nil" w:sz="6" w:space="0" w:color="auto"/>
            </w:tcBorders>
          </w:tcPr>
          <w:p>
            <w:pPr>
              <w:pStyle w:val="TableParagraph"/>
              <w:spacing w:line="261" w:lineRule="exact"/>
              <w:ind w:left="33" w:right="0"/>
              <w:jc w:val="center"/>
              <w:rPr>
                <w:rFonts w:ascii="宋体" w:hAnsi="宋体" w:cs="宋体" w:eastAsia="宋体" w:hint="default"/>
                <w:sz w:val="20"/>
                <w:szCs w:val="20"/>
              </w:rPr>
            </w:pPr>
            <w:r>
              <w:rPr>
                <w:rFonts w:ascii="宋体" w:hAnsi="宋体" w:cs="宋体" w:eastAsia="宋体" w:hint="default"/>
                <w:sz w:val="20"/>
                <w:szCs w:val="20"/>
              </w:rPr>
              <w:t>（三十六）</w:t>
            </w:r>
          </w:p>
        </w:tc>
        <w:tc>
          <w:tcPr>
            <w:tcW w:w="19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621.99</w:t>
            </w:r>
            <w:r>
              <w:rPr>
                <w:rFonts w:ascii="宋体"/>
                <w:sz w:val="18"/>
              </w:rPr>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1,205.06</w:t>
            </w:r>
            <w:r>
              <w:rPr>
                <w:rFonts w:ascii="宋体"/>
                <w:sz w:val="18"/>
              </w:rPr>
            </w:r>
          </w:p>
        </w:tc>
      </w:tr>
      <w:tr>
        <w:trPr>
          <w:trHeight w:val="307"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15,836,688.03</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5,279,978.26</w:t>
            </w:r>
            <w:r>
              <w:rPr>
                <w:rFonts w:ascii="宋体"/>
                <w:sz w:val="18"/>
              </w:rPr>
            </w:r>
          </w:p>
        </w:tc>
      </w:tr>
      <w:tr>
        <w:trPr>
          <w:trHeight w:val="31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(15,320,621.45)</w:t>
            </w:r>
            <w:r>
              <w:rPr>
                <w:rFonts w:ascii="宋体"/>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pacing w:val="-1"/>
                <w:sz w:val="18"/>
              </w:rPr>
              <w:t>(3,719,039.17)</w:t>
            </w:r>
          </w:p>
        </w:tc>
      </w:tr>
      <w:tr>
        <w:trPr>
          <w:trHeight w:val="319"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single" w:sz="4" w:space="0" w:color="7E7E7E"/>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z w:val="18"/>
              </w:rPr>
              <w:t>-</w:t>
            </w:r>
          </w:p>
        </w:tc>
      </w:tr>
      <w:tr>
        <w:trPr>
          <w:trHeight w:val="322"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171" w:type="dxa"/>
            <w:tcBorders>
              <w:top w:val="nil" w:sz="6" w:space="0" w:color="auto"/>
              <w:left w:val="nil" w:sz="6" w:space="0" w:color="auto"/>
              <w:bottom w:val="nil" w:sz="6" w:space="0" w:color="auto"/>
              <w:right w:val="nil" w:sz="6" w:space="0" w:color="auto"/>
            </w:tcBorders>
          </w:tcPr>
          <w:p>
            <w:pPr/>
          </w:p>
        </w:tc>
        <w:tc>
          <w:tcPr>
            <w:tcW w:w="1946" w:type="dxa"/>
            <w:tcBorders>
              <w:top w:val="single" w:sz="4" w:space="0" w:color="7E7E7E"/>
              <w:left w:val="nil" w:sz="6" w:space="0" w:color="auto"/>
              <w:bottom w:val="single" w:sz="4" w:space="0" w:color="000000"/>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(48,440,128.35)</w:t>
            </w:r>
            <w:r>
              <w:rPr>
                <w:rFonts w:ascii="宋体"/>
                <w:sz w:val="18"/>
              </w:rPr>
            </w:r>
          </w:p>
        </w:tc>
        <w:tc>
          <w:tcPr>
            <w:tcW w:w="1843" w:type="dxa"/>
            <w:tcBorders>
              <w:top w:val="nil" w:sz="6" w:space="0" w:color="auto"/>
              <w:left w:val="nil" w:sz="6" w:space="0" w:color="auto"/>
              <w:bottom w:val="single" w:sz="4" w:space="0" w:color="000000"/>
              <w:right w:val="nil" w:sz="6" w:space="0" w:color="auto"/>
            </w:tcBorders>
          </w:tcPr>
          <w:p>
            <w:pPr>
              <w:pStyle w:val="TableParagraph"/>
              <w:spacing w:line="20" w:lineRule="exact"/>
              <w:ind w:left="84"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17102" cy="6096"/>
                  <wp:effectExtent l="0" t="0" r="0" b="0"/>
                  <wp:docPr id="57" name="image9.png" descr=""/>
                  <wp:cNvGraphicFramePr>
                    <a:graphicFrameLocks noChangeAspect="1"/>
                  </wp:cNvGraphicFramePr>
                  <a:graphic>
                    <a:graphicData uri="http://schemas.openxmlformats.org/drawingml/2006/picture">
                      <pic:pic>
                        <pic:nvPicPr>
                          <pic:cNvPr id="58" name="image9.png"/>
                          <pic:cNvPicPr/>
                        </pic:nvPicPr>
                        <pic:blipFill>
                          <a:blip r:embed="rId33" cstate="print"/>
                          <a:stretch>
                            <a:fillRect/>
                          </a:stretch>
                        </pic:blipFill>
                        <pic:spPr>
                          <a:xfrm>
                            <a:off x="0" y="0"/>
                            <a:ext cx="1117102"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25"/>
              <w:jc w:val="right"/>
              <w:rPr>
                <w:rFonts w:ascii="宋体" w:hAnsi="宋体" w:cs="宋体" w:eastAsia="宋体" w:hint="default"/>
                <w:sz w:val="18"/>
                <w:szCs w:val="18"/>
              </w:rPr>
            </w:pPr>
            <w:r>
              <w:rPr>
                <w:rFonts w:ascii="宋体"/>
                <w:spacing w:val="-1"/>
                <w:sz w:val="18"/>
              </w:rPr>
              <w:t>(5,086,536.55)</w:t>
            </w:r>
          </w:p>
        </w:tc>
      </w:tr>
    </w:tbl>
    <w:p>
      <w:pPr>
        <w:spacing w:after="0" w:line="240" w:lineRule="auto"/>
        <w:jc w:val="right"/>
        <w:rPr>
          <w:rFonts w:ascii="宋体" w:hAnsi="宋体" w:cs="宋体" w:eastAsia="宋体" w:hint="default"/>
          <w:sz w:val="18"/>
          <w:szCs w:val="18"/>
        </w:rPr>
        <w:sectPr>
          <w:pgSz w:w="11910" w:h="16840"/>
          <w:pgMar w:header="877" w:footer="982" w:top="1060" w:bottom="1180" w:left="860" w:right="860"/>
        </w:sectPr>
      </w:pPr>
    </w:p>
    <w:p>
      <w:pPr>
        <w:spacing w:line="240" w:lineRule="auto" w:before="2"/>
        <w:rPr>
          <w:rFonts w:ascii="Times New Roman" w:hAnsi="Times New Roman" w:cs="Times New Roman" w:eastAsia="Times New Roman"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002"/>
        <w:gridCol w:w="2161"/>
        <w:gridCol w:w="2209"/>
        <w:gridCol w:w="1581"/>
      </w:tblGrid>
      <w:tr>
        <w:trPr>
          <w:trHeight w:val="355" w:hRule="exact"/>
        </w:trPr>
        <w:tc>
          <w:tcPr>
            <w:tcW w:w="4002"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391"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2161" w:type="dxa"/>
            <w:tcBorders>
              <w:top w:val="single" w:sz="6" w:space="0" w:color="000000"/>
              <w:left w:val="nil" w:sz="6" w:space="0" w:color="auto"/>
              <w:bottom w:val="nil" w:sz="6" w:space="0" w:color="auto"/>
              <w:right w:val="nil" w:sz="6" w:space="0" w:color="auto"/>
            </w:tcBorders>
          </w:tcPr>
          <w:p>
            <w:pPr/>
          </w:p>
        </w:tc>
        <w:tc>
          <w:tcPr>
            <w:tcW w:w="2209" w:type="dxa"/>
            <w:tcBorders>
              <w:top w:val="single" w:sz="6" w:space="0" w:color="000000"/>
              <w:left w:val="nil" w:sz="6" w:space="0" w:color="auto"/>
              <w:bottom w:val="single" w:sz="17" w:space="0" w:color="000000"/>
              <w:right w:val="nil" w:sz="6" w:space="0" w:color="auto"/>
            </w:tcBorders>
          </w:tcPr>
          <w:p>
            <w:pPr>
              <w:pStyle w:val="TableParagraph"/>
              <w:spacing w:line="240" w:lineRule="auto" w:before="22"/>
              <w:ind w:right="291"/>
              <w:jc w:val="right"/>
              <w:rPr>
                <w:rFonts w:ascii="宋体" w:hAnsi="宋体" w:cs="宋体" w:eastAsia="宋体" w:hint="default"/>
                <w:sz w:val="18"/>
                <w:szCs w:val="18"/>
              </w:rPr>
            </w:pPr>
            <w:r>
              <w:rPr>
                <w:rFonts w:ascii="宋体"/>
                <w:spacing w:val="-1"/>
                <w:sz w:val="18"/>
              </w:rPr>
              <w:t>121,299,781.90</w:t>
            </w:r>
            <w:r>
              <w:rPr>
                <w:rFonts w:ascii="宋体"/>
                <w:sz w:val="18"/>
              </w:rPr>
            </w:r>
          </w:p>
        </w:tc>
        <w:tc>
          <w:tcPr>
            <w:tcW w:w="1581" w:type="dxa"/>
            <w:tcBorders>
              <w:top w:val="single" w:sz="6" w:space="0" w:color="000000"/>
              <w:left w:val="nil" w:sz="6" w:space="0" w:color="auto"/>
              <w:bottom w:val="single" w:sz="17"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126,386,318.45</w:t>
            </w:r>
            <w:r>
              <w:rPr>
                <w:rFonts w:ascii="宋体"/>
                <w:sz w:val="18"/>
              </w:rPr>
            </w:r>
          </w:p>
        </w:tc>
      </w:tr>
      <w:tr>
        <w:trPr>
          <w:trHeight w:val="595" w:hRule="exact"/>
        </w:trPr>
        <w:tc>
          <w:tcPr>
            <w:tcW w:w="400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2161"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1093" w:right="0"/>
              <w:jc w:val="left"/>
              <w:rPr>
                <w:rFonts w:ascii="宋体" w:hAnsi="宋体" w:cs="宋体" w:eastAsia="宋体" w:hint="default"/>
                <w:sz w:val="20"/>
                <w:szCs w:val="20"/>
              </w:rPr>
            </w:pPr>
            <w:r>
              <w:rPr>
                <w:rFonts w:ascii="宋体" w:hAnsi="宋体" w:cs="宋体" w:eastAsia="宋体" w:hint="default"/>
                <w:sz w:val="20"/>
                <w:szCs w:val="20"/>
              </w:rPr>
              <w:t>（三十七）</w:t>
            </w:r>
          </w:p>
        </w:tc>
        <w:tc>
          <w:tcPr>
            <w:tcW w:w="2209" w:type="dxa"/>
            <w:tcBorders>
              <w:top w:val="single" w:sz="17" w:space="0" w:color="000000"/>
              <w:left w:val="nil" w:sz="6" w:space="0" w:color="auto"/>
              <w:bottom w:val="single" w:sz="4" w:space="0" w:color="000000"/>
              <w:right w:val="nil" w:sz="6" w:space="0" w:color="auto"/>
            </w:tcBorders>
          </w:tcPr>
          <w:p>
            <w:pPr>
              <w:pStyle w:val="TableParagraph"/>
              <w:spacing w:line="240" w:lineRule="auto" w:before="10"/>
              <w:ind w:right="290"/>
              <w:jc w:val="right"/>
              <w:rPr>
                <w:rFonts w:ascii="宋体" w:hAnsi="宋体" w:cs="宋体" w:eastAsia="宋体" w:hint="default"/>
                <w:sz w:val="18"/>
                <w:szCs w:val="18"/>
              </w:rPr>
            </w:pPr>
            <w:r>
              <w:rPr>
                <w:rFonts w:ascii="宋体"/>
                <w:spacing w:val="-1"/>
                <w:sz w:val="18"/>
              </w:rPr>
              <w:t>72,859,653.55</w:t>
            </w:r>
          </w:p>
        </w:tc>
        <w:tc>
          <w:tcPr>
            <w:tcW w:w="1581" w:type="dxa"/>
            <w:tcBorders>
              <w:top w:val="single" w:sz="17" w:space="0" w:color="000000"/>
              <w:left w:val="nil" w:sz="6" w:space="0" w:color="auto"/>
              <w:bottom w:val="single" w:sz="4" w:space="0" w:color="000000"/>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121,299,781.90</w:t>
            </w:r>
            <w:r>
              <w:rPr>
                <w:rFonts w:ascii="宋体"/>
                <w:sz w:val="18"/>
              </w:rPr>
            </w:r>
          </w:p>
        </w:tc>
      </w:tr>
      <w:tr>
        <w:trPr>
          <w:trHeight w:val="385" w:hRule="exact"/>
        </w:trPr>
        <w:tc>
          <w:tcPr>
            <w:tcW w:w="9953" w:type="dxa"/>
            <w:gridSpan w:val="4"/>
            <w:tcBorders>
              <w:top w:val="single" w:sz="4" w:space="0" w:color="000000"/>
              <w:left w:val="nil" w:sz="6" w:space="0" w:color="auto"/>
              <w:bottom w:val="nil" w:sz="6" w:space="0" w:color="auto"/>
              <w:right w:val="nil" w:sz="6" w:space="0" w:color="auto"/>
            </w:tcBorders>
          </w:tcPr>
          <w:p>
            <w:pPr>
              <w:pStyle w:val="TableParagraph"/>
              <w:tabs>
                <w:tab w:pos="3273" w:val="left" w:leader="none"/>
                <w:tab w:pos="7504" w:val="left" w:leader="none"/>
              </w:tabs>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89"/>
                <w:sz w:val="18"/>
                <w:szCs w:val="18"/>
              </w:rPr>
              <w:t> </w:t>
            </w:r>
            <w:r>
              <w:rPr>
                <w:rFonts w:ascii="宋体" w:hAnsi="宋体" w:cs="宋体" w:eastAsia="宋体" w:hint="default"/>
                <w:sz w:val="18"/>
                <w:szCs w:val="18"/>
              </w:rPr>
              <w:t>孙晓玲</w:t>
              <w:tab/>
              <w:t>会计机构负责人：全丽</w:t>
            </w:r>
          </w:p>
        </w:tc>
      </w:tr>
      <w:tr>
        <w:trPr>
          <w:trHeight w:val="334" w:hRule="exact"/>
        </w:trPr>
        <w:tc>
          <w:tcPr>
            <w:tcW w:w="400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8"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c>
          <w:tcPr>
            <w:tcW w:w="2161"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2" w:top="1060" w:bottom="1180" w:left="860" w:right="860"/>
        </w:sectPr>
      </w:pPr>
    </w:p>
    <w:p>
      <w:pPr>
        <w:spacing w:line="240" w:lineRule="auto" w:before="2"/>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031"/>
        <w:gridCol w:w="2376"/>
        <w:gridCol w:w="110"/>
        <w:gridCol w:w="1586"/>
        <w:gridCol w:w="142"/>
        <w:gridCol w:w="786"/>
        <w:gridCol w:w="784"/>
        <w:gridCol w:w="144"/>
        <w:gridCol w:w="1277"/>
        <w:gridCol w:w="144"/>
        <w:gridCol w:w="821"/>
        <w:gridCol w:w="134"/>
        <w:gridCol w:w="1409"/>
        <w:gridCol w:w="130"/>
        <w:gridCol w:w="670"/>
        <w:gridCol w:w="1644"/>
      </w:tblGrid>
      <w:tr>
        <w:trPr>
          <w:trHeight w:val="390" w:hRule="exact"/>
        </w:trPr>
        <w:tc>
          <w:tcPr>
            <w:tcW w:w="3031" w:type="dxa"/>
            <w:tcBorders>
              <w:top w:val="single" w:sz="6" w:space="0" w:color="000000"/>
              <w:left w:val="nil" w:sz="6" w:space="0" w:color="auto"/>
              <w:bottom w:val="nil" w:sz="6" w:space="0" w:color="auto"/>
              <w:right w:val="nil" w:sz="6" w:space="0" w:color="auto"/>
            </w:tcBorders>
          </w:tcPr>
          <w:p>
            <w:pPr>
              <w:pStyle w:val="TableParagraph"/>
              <w:spacing w:line="240" w:lineRule="auto" w:before="38"/>
              <w:ind w:left="63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、合并股东权益变动表</w:t>
            </w:r>
            <w:r>
              <w:rPr>
                <w:rFonts w:ascii="宋体" w:hAnsi="宋体" w:cs="宋体" w:eastAsia="宋体" w:hint="default"/>
                <w:sz w:val="21"/>
                <w:szCs w:val="21"/>
              </w:rPr>
            </w:r>
          </w:p>
        </w:tc>
        <w:tc>
          <w:tcPr>
            <w:tcW w:w="2376" w:type="dxa"/>
            <w:tcBorders>
              <w:top w:val="single" w:sz="6" w:space="0" w:color="000000"/>
              <w:left w:val="nil" w:sz="6" w:space="0" w:color="auto"/>
              <w:bottom w:val="nil" w:sz="6" w:space="0" w:color="auto"/>
              <w:right w:val="nil" w:sz="6" w:space="0" w:color="auto"/>
            </w:tcBorders>
          </w:tcPr>
          <w:p>
            <w:pPr/>
          </w:p>
        </w:tc>
        <w:tc>
          <w:tcPr>
            <w:tcW w:w="110" w:type="dxa"/>
            <w:tcBorders>
              <w:top w:val="single" w:sz="6" w:space="0" w:color="000000"/>
              <w:left w:val="nil" w:sz="6" w:space="0" w:color="auto"/>
              <w:bottom w:val="nil" w:sz="6" w:space="0" w:color="auto"/>
              <w:right w:val="nil" w:sz="6" w:space="0" w:color="auto"/>
            </w:tcBorders>
          </w:tcPr>
          <w:p>
            <w:pPr/>
          </w:p>
        </w:tc>
        <w:tc>
          <w:tcPr>
            <w:tcW w:w="1586" w:type="dxa"/>
            <w:tcBorders>
              <w:top w:val="single" w:sz="6" w:space="0" w:color="000000"/>
              <w:left w:val="nil" w:sz="6" w:space="0" w:color="auto"/>
              <w:bottom w:val="nil" w:sz="6" w:space="0" w:color="auto"/>
              <w:right w:val="nil" w:sz="6" w:space="0" w:color="auto"/>
            </w:tcBorders>
          </w:tcPr>
          <w:p>
            <w:pPr/>
          </w:p>
        </w:tc>
        <w:tc>
          <w:tcPr>
            <w:tcW w:w="142" w:type="dxa"/>
            <w:tcBorders>
              <w:top w:val="single" w:sz="6" w:space="0" w:color="000000"/>
              <w:left w:val="nil" w:sz="6" w:space="0" w:color="auto"/>
              <w:bottom w:val="nil" w:sz="6" w:space="0" w:color="auto"/>
              <w:right w:val="nil" w:sz="6" w:space="0" w:color="auto"/>
            </w:tcBorders>
          </w:tcPr>
          <w:p>
            <w:pPr/>
          </w:p>
        </w:tc>
        <w:tc>
          <w:tcPr>
            <w:tcW w:w="786" w:type="dxa"/>
            <w:tcBorders>
              <w:top w:val="single" w:sz="6" w:space="0" w:color="000000"/>
              <w:left w:val="nil" w:sz="6" w:space="0" w:color="auto"/>
              <w:bottom w:val="nil" w:sz="6" w:space="0" w:color="auto"/>
              <w:right w:val="nil" w:sz="6" w:space="0" w:color="auto"/>
            </w:tcBorders>
          </w:tcPr>
          <w:p>
            <w:pPr/>
          </w:p>
        </w:tc>
        <w:tc>
          <w:tcPr>
            <w:tcW w:w="784" w:type="dxa"/>
            <w:tcBorders>
              <w:top w:val="single" w:sz="6" w:space="0" w:color="000000"/>
              <w:left w:val="nil" w:sz="6" w:space="0" w:color="auto"/>
              <w:bottom w:val="nil" w:sz="6" w:space="0" w:color="auto"/>
              <w:right w:val="nil" w:sz="6" w:space="0" w:color="auto"/>
            </w:tcBorders>
          </w:tcPr>
          <w:p>
            <w:pPr/>
          </w:p>
        </w:tc>
        <w:tc>
          <w:tcPr>
            <w:tcW w:w="144" w:type="dxa"/>
            <w:tcBorders>
              <w:top w:val="single" w:sz="6" w:space="0" w:color="000000"/>
              <w:left w:val="nil" w:sz="6" w:space="0" w:color="auto"/>
              <w:bottom w:val="nil" w:sz="6" w:space="0" w:color="auto"/>
              <w:right w:val="nil" w:sz="6" w:space="0" w:color="auto"/>
            </w:tcBorders>
          </w:tcPr>
          <w:p>
            <w:pPr/>
          </w:p>
        </w:tc>
        <w:tc>
          <w:tcPr>
            <w:tcW w:w="1277" w:type="dxa"/>
            <w:tcBorders>
              <w:top w:val="single" w:sz="6" w:space="0" w:color="000000"/>
              <w:left w:val="nil" w:sz="6" w:space="0" w:color="auto"/>
              <w:bottom w:val="nil" w:sz="6" w:space="0" w:color="auto"/>
              <w:right w:val="nil" w:sz="6" w:space="0" w:color="auto"/>
            </w:tcBorders>
          </w:tcPr>
          <w:p>
            <w:pPr/>
          </w:p>
        </w:tc>
        <w:tc>
          <w:tcPr>
            <w:tcW w:w="144" w:type="dxa"/>
            <w:tcBorders>
              <w:top w:val="single" w:sz="6" w:space="0" w:color="000000"/>
              <w:left w:val="nil" w:sz="6" w:space="0" w:color="auto"/>
              <w:bottom w:val="nil" w:sz="6" w:space="0" w:color="auto"/>
              <w:right w:val="nil" w:sz="6" w:space="0" w:color="auto"/>
            </w:tcBorders>
          </w:tcPr>
          <w:p>
            <w:pPr/>
          </w:p>
        </w:tc>
        <w:tc>
          <w:tcPr>
            <w:tcW w:w="821" w:type="dxa"/>
            <w:tcBorders>
              <w:top w:val="single" w:sz="6" w:space="0" w:color="000000"/>
              <w:left w:val="nil" w:sz="6" w:space="0" w:color="auto"/>
              <w:bottom w:val="nil" w:sz="6" w:space="0" w:color="auto"/>
              <w:right w:val="nil" w:sz="6" w:space="0" w:color="auto"/>
            </w:tcBorders>
          </w:tcPr>
          <w:p>
            <w:pPr/>
          </w:p>
        </w:tc>
        <w:tc>
          <w:tcPr>
            <w:tcW w:w="134" w:type="dxa"/>
            <w:tcBorders>
              <w:top w:val="single" w:sz="6" w:space="0" w:color="000000"/>
              <w:left w:val="nil" w:sz="6" w:space="0" w:color="auto"/>
              <w:bottom w:val="nil" w:sz="6" w:space="0" w:color="auto"/>
              <w:right w:val="nil" w:sz="6" w:space="0" w:color="auto"/>
            </w:tcBorders>
          </w:tcPr>
          <w:p>
            <w:pPr/>
          </w:p>
        </w:tc>
        <w:tc>
          <w:tcPr>
            <w:tcW w:w="1409" w:type="dxa"/>
            <w:tcBorders>
              <w:top w:val="single" w:sz="6" w:space="0" w:color="000000"/>
              <w:left w:val="nil" w:sz="6" w:space="0" w:color="auto"/>
              <w:bottom w:val="nil" w:sz="6" w:space="0" w:color="auto"/>
              <w:right w:val="nil" w:sz="6" w:space="0" w:color="auto"/>
            </w:tcBorders>
          </w:tcPr>
          <w:p>
            <w:pPr/>
          </w:p>
        </w:tc>
        <w:tc>
          <w:tcPr>
            <w:tcW w:w="130" w:type="dxa"/>
            <w:tcBorders>
              <w:top w:val="single" w:sz="6" w:space="0" w:color="000000"/>
              <w:left w:val="nil" w:sz="6" w:space="0" w:color="auto"/>
              <w:bottom w:val="nil" w:sz="6" w:space="0" w:color="auto"/>
              <w:right w:val="nil" w:sz="6" w:space="0" w:color="auto"/>
            </w:tcBorders>
          </w:tcPr>
          <w:p>
            <w:pPr/>
          </w:p>
        </w:tc>
        <w:tc>
          <w:tcPr>
            <w:tcW w:w="670" w:type="dxa"/>
            <w:tcBorders>
              <w:top w:val="single" w:sz="6" w:space="0" w:color="000000"/>
              <w:left w:val="nil" w:sz="6" w:space="0" w:color="auto"/>
              <w:bottom w:val="nil" w:sz="6" w:space="0" w:color="auto"/>
              <w:right w:val="nil" w:sz="6" w:space="0" w:color="auto"/>
            </w:tcBorders>
          </w:tcPr>
          <w:p>
            <w:pPr/>
          </w:p>
        </w:tc>
        <w:tc>
          <w:tcPr>
            <w:tcW w:w="1644" w:type="dxa"/>
            <w:tcBorders>
              <w:top w:val="single" w:sz="6" w:space="0" w:color="000000"/>
              <w:left w:val="nil" w:sz="6" w:space="0" w:color="auto"/>
              <w:bottom w:val="nil" w:sz="6" w:space="0" w:color="auto"/>
              <w:right w:val="nil" w:sz="6" w:space="0" w:color="auto"/>
            </w:tcBorders>
          </w:tcPr>
          <w:p>
            <w:pPr/>
          </w:p>
        </w:tc>
      </w:tr>
      <w:tr>
        <w:trPr>
          <w:trHeight w:val="326" w:hRule="exact"/>
        </w:trPr>
        <w:tc>
          <w:tcPr>
            <w:tcW w:w="15187" w:type="dxa"/>
            <w:gridSpan w:val="16"/>
            <w:tcBorders>
              <w:top w:val="nil" w:sz="6" w:space="0" w:color="auto"/>
              <w:left w:val="nil" w:sz="6" w:space="0" w:color="auto"/>
              <w:bottom w:val="nil" w:sz="6" w:space="0" w:color="auto"/>
              <w:right w:val="nil" w:sz="6" w:space="0" w:color="auto"/>
            </w:tcBorders>
          </w:tcPr>
          <w:p>
            <w:pPr>
              <w:pStyle w:val="TableParagraph"/>
              <w:spacing w:line="299" w:lineRule="exact"/>
              <w:ind w:left="4" w:right="0"/>
              <w:jc w:val="center"/>
              <w:rPr>
                <w:rFonts w:ascii="宋体" w:hAnsi="宋体" w:cs="宋体" w:eastAsia="宋体" w:hint="default"/>
                <w:sz w:val="24"/>
                <w:szCs w:val="24"/>
              </w:rPr>
            </w:pPr>
            <w:r>
              <w:rPr>
                <w:rFonts w:ascii="宋体" w:hAnsi="宋体" w:cs="宋体" w:eastAsia="宋体" w:hint="default"/>
                <w:sz w:val="24"/>
                <w:szCs w:val="24"/>
              </w:rPr>
              <w:t>合并股东权益变动表</w:t>
            </w:r>
          </w:p>
        </w:tc>
      </w:tr>
      <w:tr>
        <w:trPr>
          <w:trHeight w:val="249" w:hRule="exact"/>
        </w:trPr>
        <w:tc>
          <w:tcPr>
            <w:tcW w:w="3031"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07" w:lineRule="exact"/>
              <w:ind w:left="28" w:right="-1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年度</w:t>
            </w:r>
          </w:p>
        </w:tc>
        <w:tc>
          <w:tcPr>
            <w:tcW w:w="78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2443" w:type="dxa"/>
            <w:gridSpan w:val="3"/>
            <w:tcBorders>
              <w:top w:val="nil" w:sz="6" w:space="0" w:color="auto"/>
              <w:left w:val="nil" w:sz="6" w:space="0" w:color="auto"/>
              <w:bottom w:val="nil" w:sz="6" w:space="0" w:color="auto"/>
              <w:right w:val="nil" w:sz="6" w:space="0" w:color="auto"/>
            </w:tcBorders>
          </w:tcPr>
          <w:p>
            <w:pPr>
              <w:pStyle w:val="TableParagraph"/>
              <w:spacing w:line="207" w:lineRule="exact"/>
              <w:ind w:left="583" w:right="0"/>
              <w:jc w:val="lef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05" w:hRule="exact"/>
        </w:trPr>
        <w:tc>
          <w:tcPr>
            <w:tcW w:w="3031" w:type="dxa"/>
            <w:tcBorders>
              <w:top w:val="nil" w:sz="6" w:space="0" w:color="auto"/>
              <w:left w:val="nil" w:sz="6" w:space="0" w:color="auto"/>
              <w:bottom w:val="single" w:sz="4" w:space="0" w:color="000000"/>
              <w:right w:val="nil" w:sz="6" w:space="0" w:color="auto"/>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376"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58" w:right="0"/>
              <w:jc w:val="left"/>
              <w:rPr>
                <w:rFonts w:ascii="宋体" w:hAnsi="宋体" w:cs="宋体" w:eastAsia="宋体" w:hint="default"/>
                <w:sz w:val="15"/>
                <w:szCs w:val="15"/>
              </w:rPr>
            </w:pPr>
            <w:r>
              <w:rPr>
                <w:rFonts w:ascii="宋体" w:hAnsi="宋体" w:cs="宋体" w:eastAsia="宋体" w:hint="default"/>
                <w:sz w:val="15"/>
                <w:szCs w:val="15"/>
              </w:rPr>
              <w:t>附注六</w:t>
            </w:r>
          </w:p>
        </w:tc>
        <w:tc>
          <w:tcPr>
            <w:tcW w:w="110" w:type="dxa"/>
            <w:tcBorders>
              <w:top w:val="nil" w:sz="6" w:space="0" w:color="auto"/>
              <w:left w:val="nil" w:sz="6" w:space="0" w:color="auto"/>
              <w:bottom w:val="single" w:sz="4" w:space="0" w:color="000000"/>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786" w:type="dxa"/>
            <w:tcBorders>
              <w:top w:val="nil" w:sz="6" w:space="0" w:color="auto"/>
              <w:left w:val="nil" w:sz="6" w:space="0" w:color="auto"/>
              <w:bottom w:val="single" w:sz="4" w:space="0" w:color="000000"/>
              <w:right w:val="nil" w:sz="6" w:space="0" w:color="auto"/>
            </w:tcBorders>
          </w:tcPr>
          <w:p>
            <w:pPr/>
          </w:p>
        </w:tc>
        <w:tc>
          <w:tcPr>
            <w:tcW w:w="784"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821"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
        </w:tc>
        <w:tc>
          <w:tcPr>
            <w:tcW w:w="130" w:type="dxa"/>
            <w:tcBorders>
              <w:top w:val="nil" w:sz="6" w:space="0" w:color="auto"/>
              <w:left w:val="nil" w:sz="6" w:space="0" w:color="auto"/>
              <w:bottom w:val="single" w:sz="4" w:space="0" w:color="000000"/>
              <w:right w:val="nil" w:sz="6" w:space="0" w:color="auto"/>
            </w:tcBorders>
          </w:tcPr>
          <w:p>
            <w:pPr/>
          </w:p>
        </w:tc>
        <w:tc>
          <w:tcPr>
            <w:tcW w:w="670" w:type="dxa"/>
            <w:tcBorders>
              <w:top w:val="nil" w:sz="6" w:space="0" w:color="auto"/>
              <w:left w:val="nil" w:sz="6" w:space="0" w:color="auto"/>
              <w:bottom w:val="single" w:sz="4" w:space="0" w:color="000000"/>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
        </w:tc>
      </w:tr>
      <w:tr>
        <w:trPr>
          <w:trHeight w:val="456" w:hRule="exact"/>
        </w:trPr>
        <w:tc>
          <w:tcPr>
            <w:tcW w:w="3031" w:type="dxa"/>
            <w:tcBorders>
              <w:top w:val="single" w:sz="4" w:space="0" w:color="000000"/>
              <w:left w:val="nil" w:sz="6" w:space="0" w:color="auto"/>
              <w:bottom w:val="nil" w:sz="6" w:space="0" w:color="auto"/>
              <w:right w:val="nil" w:sz="6" w:space="0" w:color="auto"/>
            </w:tcBorders>
          </w:tcPr>
          <w:p>
            <w:pP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69"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1.6pt;height:.5pt;mso-position-horizontal-relative:char;mso-position-vertical-relative:line" coordorigin="0,0" coordsize="632,10">
                  <v:group style="position:absolute;left:5;top:5;width:622;height:2" coordorigin="5,5" coordsize="622,2">
                    <v:shape style="position:absolute;left:5;top:5;width:622;height:2" coordorigin="5,5" coordsize="622,0" path="m5,5l626,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2"/>
              <w:ind w:left="146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0" w:type="dxa"/>
            <w:tcBorders>
              <w:top w:val="single" w:sz="4" w:space="0" w:color="000000"/>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left="4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2" w:type="dxa"/>
            <w:tcBorders>
              <w:top w:val="single" w:sz="4" w:space="0" w:color="000000"/>
              <w:left w:val="nil" w:sz="6" w:space="0" w:color="auto"/>
              <w:bottom w:val="nil" w:sz="6" w:space="0" w:color="auto"/>
              <w:right w:val="nil" w:sz="6" w:space="0" w:color="auto"/>
            </w:tcBorders>
          </w:tcPr>
          <w:p>
            <w:pPr/>
          </w:p>
        </w:tc>
        <w:tc>
          <w:tcPr>
            <w:tcW w:w="786" w:type="dxa"/>
            <w:tcBorders>
              <w:top w:val="single" w:sz="4" w:space="0" w:color="000000"/>
              <w:left w:val="nil" w:sz="6" w:space="0" w:color="auto"/>
              <w:bottom w:val="single" w:sz="4" w:space="0" w:color="000000"/>
              <w:right w:val="nil" w:sz="6" w:space="0" w:color="auto"/>
            </w:tcBorders>
          </w:tcPr>
          <w:p>
            <w:pPr>
              <w:pStyle w:val="TableParagraph"/>
              <w:spacing w:line="202" w:lineRule="exact" w:before="20"/>
              <w:ind w:left="134" w:right="200"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84"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left="-11" w:right="72"/>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44"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left="2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4" w:type="dxa"/>
            <w:tcBorders>
              <w:top w:val="single" w:sz="4" w:space="0" w:color="000000"/>
              <w:left w:val="nil" w:sz="6" w:space="0" w:color="auto"/>
              <w:bottom w:val="nil" w:sz="6" w:space="0" w:color="auto"/>
              <w:right w:val="nil" w:sz="6" w:space="0" w:color="auto"/>
            </w:tcBorders>
          </w:tcPr>
          <w:p>
            <w:pPr/>
          </w:p>
        </w:tc>
        <w:tc>
          <w:tcPr>
            <w:tcW w:w="821" w:type="dxa"/>
            <w:tcBorders>
              <w:top w:val="single" w:sz="4" w:space="0" w:color="000000"/>
              <w:left w:val="nil" w:sz="6" w:space="0" w:color="auto"/>
              <w:bottom w:val="single" w:sz="4" w:space="0" w:color="000000"/>
              <w:right w:val="nil" w:sz="6" w:space="0" w:color="auto"/>
            </w:tcBorders>
          </w:tcPr>
          <w:p>
            <w:pPr>
              <w:pStyle w:val="TableParagraph"/>
              <w:spacing w:line="202" w:lineRule="exact" w:before="20"/>
              <w:ind w:left="232" w:right="4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34" w:type="dxa"/>
            <w:tcBorders>
              <w:top w:val="single" w:sz="4" w:space="0" w:color="000000"/>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0" w:type="dxa"/>
            <w:tcBorders>
              <w:top w:val="single" w:sz="4" w:space="0" w:color="000000"/>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single" w:sz="4" w:space="0" w:color="000000"/>
              <w:right w:val="nil" w:sz="6" w:space="0" w:color="auto"/>
            </w:tcBorders>
          </w:tcPr>
          <w:p>
            <w:pPr>
              <w:pStyle w:val="TableParagraph"/>
              <w:spacing w:line="202" w:lineRule="exact" w:before="20"/>
              <w:ind w:left="64" w:right="62"/>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644"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left="321"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2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pacing w:val="-1"/>
                <w:sz w:val="18"/>
              </w:rPr>
              <w:t>158,400,000.00</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62,580.99.76</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1.8pt;height:.5pt;mso-position-horizontal-relative:char;mso-position-vertical-relative:line" coordorigin="0,0" coordsize="636,10">
                  <v:group style="position:absolute;left:5;top:5;width:627;height:2" coordorigin="5,5" coordsize="627,2">
                    <v:shape style="position:absolute;left:5;top:5;width:627;height:2" coordorigin="5,5" coordsize="627,0" path="m5,5l631,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508" w:right="0"/>
              <w:jc w:val="left"/>
              <w:rPr>
                <w:rFonts w:ascii="宋体" w:hAnsi="宋体" w:cs="宋体" w:eastAsia="宋体" w:hint="default"/>
                <w:sz w:val="18"/>
                <w:szCs w:val="18"/>
              </w:rPr>
            </w:pPr>
            <w:r>
              <w:rPr>
                <w:rFonts w:ascii="宋体"/>
                <w:sz w:val="18"/>
              </w:rPr>
              <w:t>-</w:t>
            </w:r>
          </w:p>
        </w:tc>
        <w:tc>
          <w:tcPr>
            <w:tcW w:w="78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14,026,838.97</w:t>
            </w:r>
            <w:r>
              <w:rPr>
                <w:rFonts w:ascii="宋体"/>
                <w:sz w:val="18"/>
              </w:rPr>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pacing w:val="-1"/>
                <w:sz w:val="18"/>
              </w:rPr>
              <w:t>101,236,053.71</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64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336,243,883.44</w:t>
            </w:r>
          </w:p>
        </w:tc>
      </w:tr>
      <w:tr>
        <w:trPr>
          <w:trHeight w:val="298"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376"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1.8pt;height:.5pt;mso-position-horizontal-relative:char;mso-position-vertical-relative:line" coordorigin="0,0" coordsize="636,10">
                  <v:group style="position:absolute;left:5;top:5;width:627;height:2" coordorigin="5,5" coordsize="627,2">
                    <v:shape style="position:absolute;left:5;top:5;width:627;height:2" coordorigin="5,5" coordsize="627,0" path="m5,5l631,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5"/>
              <w:ind w:left="508" w:right="0"/>
              <w:jc w:val="left"/>
              <w:rPr>
                <w:rFonts w:ascii="宋体" w:hAnsi="宋体" w:cs="宋体" w:eastAsia="宋体" w:hint="default"/>
                <w:sz w:val="18"/>
                <w:szCs w:val="18"/>
              </w:rPr>
            </w:pPr>
            <w:r>
              <w:rPr>
                <w:rFonts w:ascii="宋体"/>
                <w:sz w:val="18"/>
              </w:rPr>
              <w:t>-</w:t>
            </w:r>
          </w:p>
        </w:tc>
        <w:tc>
          <w:tcPr>
            <w:tcW w:w="78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z w:val="18"/>
              </w:rPr>
              <w:t>-</w:t>
            </w: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r>
      <w:tr>
        <w:trPr>
          <w:trHeight w:val="66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00" w:lineRule="exact" w:before="36"/>
              <w:ind w:left="391" w:right="1019"/>
              <w:jc w:val="left"/>
              <w:rPr>
                <w:rFonts w:ascii="宋体" w:hAnsi="宋体" w:cs="宋体" w:eastAsia="宋体" w:hint="default"/>
                <w:sz w:val="18"/>
                <w:szCs w:val="18"/>
              </w:rPr>
            </w:pPr>
            <w:r>
              <w:rPr>
                <w:rFonts w:ascii="宋体" w:hAnsi="宋体" w:cs="宋体" w:eastAsia="宋体" w:hint="default"/>
                <w:sz w:val="18"/>
                <w:szCs w:val="18"/>
              </w:rPr>
              <w:t>前期差错更正 同一控制下企业合并 其他</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r>
      <w:tr>
        <w:trPr>
          <w:trHeight w:val="305"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22" w:lineRule="exact"/>
              <w:ind w:left="31"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2376" w:type="dxa"/>
            <w:tcBorders>
              <w:top w:val="nil" w:sz="6" w:space="0" w:color="auto"/>
              <w:left w:val="nil" w:sz="6" w:space="0" w:color="auto"/>
              <w:bottom w:val="single" w:sz="4" w:space="0" w:color="000000"/>
              <w:right w:val="nil" w:sz="6" w:space="0" w:color="auto"/>
            </w:tcBorders>
          </w:tcPr>
          <w:p>
            <w:pPr>
              <w:pStyle w:val="TableParagraph"/>
              <w:spacing w:line="224" w:lineRule="exact"/>
              <w:ind w:right="25"/>
              <w:jc w:val="right"/>
              <w:rPr>
                <w:rFonts w:ascii="宋体" w:hAnsi="宋体" w:cs="宋体" w:eastAsia="宋体" w:hint="default"/>
                <w:sz w:val="18"/>
                <w:szCs w:val="18"/>
              </w:rPr>
            </w:pPr>
            <w:r>
              <w:rPr>
                <w:rFonts w:ascii="宋体"/>
                <w:spacing w:val="-1"/>
                <w:sz w:val="18"/>
              </w:rPr>
              <w:t>158,400,000.00</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Style w:val="TableParagraph"/>
              <w:spacing w:line="224" w:lineRule="exact"/>
              <w:ind w:right="23"/>
              <w:jc w:val="right"/>
              <w:rPr>
                <w:rFonts w:ascii="宋体" w:hAnsi="宋体" w:cs="宋体" w:eastAsia="宋体" w:hint="default"/>
                <w:sz w:val="18"/>
                <w:szCs w:val="18"/>
              </w:rPr>
            </w:pPr>
            <w:r>
              <w:rPr>
                <w:rFonts w:ascii="宋体"/>
                <w:spacing w:val="-1"/>
                <w:sz w:val="18"/>
              </w:rPr>
              <w:t>62,580.99.76</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single" w:sz="4" w:space="0" w:color="000000"/>
              <w:right w:val="nil" w:sz="6" w:space="0" w:color="auto"/>
            </w:tcBorders>
          </w:tcPr>
          <w:p>
            <w:pPr>
              <w:pStyle w:val="TableParagraph"/>
              <w:spacing w:line="224" w:lineRule="exact"/>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single" w:sz="4" w:space="0" w:color="000000"/>
              <w:right w:val="nil" w:sz="6" w:space="0" w:color="auto"/>
            </w:tcBorders>
          </w:tcPr>
          <w:p>
            <w:pPr>
              <w:pStyle w:val="TableParagraph"/>
              <w:spacing w:line="224"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24" w:lineRule="exact"/>
              <w:ind w:right="19"/>
              <w:jc w:val="right"/>
              <w:rPr>
                <w:rFonts w:ascii="宋体" w:hAnsi="宋体" w:cs="宋体" w:eastAsia="宋体" w:hint="default"/>
                <w:sz w:val="18"/>
                <w:szCs w:val="18"/>
              </w:rPr>
            </w:pPr>
            <w:r>
              <w:rPr>
                <w:rFonts w:ascii="宋体"/>
                <w:spacing w:val="-1"/>
                <w:sz w:val="18"/>
              </w:rPr>
              <w:t>14,026,838.97</w:t>
            </w:r>
            <w:r>
              <w:rPr>
                <w:rFonts w:ascii="宋体"/>
                <w:sz w:val="18"/>
              </w:rPr>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single" w:sz="4" w:space="0" w:color="000000"/>
              <w:right w:val="nil" w:sz="6" w:space="0" w:color="auto"/>
            </w:tcBorders>
          </w:tcPr>
          <w:p>
            <w:pPr>
              <w:pStyle w:val="TableParagraph"/>
              <w:spacing w:line="224"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24" w:lineRule="exact"/>
              <w:ind w:right="25"/>
              <w:jc w:val="right"/>
              <w:rPr>
                <w:rFonts w:ascii="宋体" w:hAnsi="宋体" w:cs="宋体" w:eastAsia="宋体" w:hint="default"/>
                <w:sz w:val="18"/>
                <w:szCs w:val="18"/>
              </w:rPr>
            </w:pPr>
            <w:r>
              <w:rPr>
                <w:rFonts w:ascii="宋体"/>
                <w:spacing w:val="-1"/>
                <w:sz w:val="18"/>
              </w:rPr>
              <w:t>101,236,053.71</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single" w:sz="4" w:space="0" w:color="000000"/>
              <w:right w:val="nil" w:sz="6" w:space="0" w:color="auto"/>
            </w:tcBorders>
          </w:tcPr>
          <w:p>
            <w:pPr>
              <w:pStyle w:val="TableParagraph"/>
              <w:spacing w:line="224" w:lineRule="exact"/>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single" w:sz="4" w:space="0" w:color="000000"/>
              <w:right w:val="nil" w:sz="6" w:space="0" w:color="auto"/>
            </w:tcBorders>
          </w:tcPr>
          <w:p>
            <w:pPr>
              <w:pStyle w:val="TableParagraph"/>
              <w:spacing w:line="224" w:lineRule="exact"/>
              <w:ind w:right="23"/>
              <w:jc w:val="right"/>
              <w:rPr>
                <w:rFonts w:ascii="宋体" w:hAnsi="宋体" w:cs="宋体" w:eastAsia="宋体" w:hint="default"/>
                <w:sz w:val="18"/>
                <w:szCs w:val="18"/>
              </w:rPr>
            </w:pPr>
            <w:r>
              <w:rPr>
                <w:rFonts w:ascii="宋体"/>
                <w:spacing w:val="-1"/>
                <w:sz w:val="18"/>
              </w:rPr>
              <w:t>336,243,883.44</w:t>
            </w:r>
          </w:p>
        </w:tc>
      </w:tr>
      <w:tr>
        <w:trPr>
          <w:trHeight w:val="338"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1.8pt;height:.5pt;mso-position-horizontal-relative:char;mso-position-vertical-relative:line" coordorigin="0,0" coordsize="636,10">
                  <v:group style="position:absolute;left:5;top:5;width:627;height:2" coordorigin="5,5" coordsize="627,2">
                    <v:shape style="position:absolute;left:5;top:5;width:627;height:2" coordorigin="5,5" coordsize="627,0" path="m5,5l631,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7"/>
              <w:ind w:left="508" w:right="0"/>
              <w:jc w:val="left"/>
              <w:rPr>
                <w:rFonts w:ascii="宋体" w:hAnsi="宋体" w:cs="宋体" w:eastAsia="宋体" w:hint="default"/>
                <w:sz w:val="18"/>
                <w:szCs w:val="18"/>
              </w:rPr>
            </w:pPr>
            <w:r>
              <w:rPr>
                <w:rFonts w:ascii="宋体"/>
                <w:sz w:val="18"/>
              </w:rPr>
              <w:t>-</w:t>
            </w:r>
          </w:p>
        </w:tc>
        <w:tc>
          <w:tcPr>
            <w:tcW w:w="784"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3"/>
              <w:jc w:val="right"/>
              <w:rPr>
                <w:rFonts w:ascii="宋体" w:hAnsi="宋体" w:cs="宋体" w:eastAsia="宋体" w:hint="default"/>
                <w:sz w:val="18"/>
                <w:szCs w:val="18"/>
              </w:rPr>
            </w:pPr>
            <w:r>
              <w:rPr>
                <w:rFonts w:ascii="宋体"/>
                <w:spacing w:val="-1"/>
                <w:sz w:val="18"/>
              </w:rPr>
              <w:t>2,338,313.75</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4,049,758.83</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644"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6,388,072.58</w:t>
            </w:r>
          </w:p>
        </w:tc>
      </w:tr>
      <w:tr>
        <w:trPr>
          <w:trHeight w:val="331"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2376"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1.8pt;height:.5pt;mso-position-horizontal-relative:char;mso-position-vertical-relative:line" coordorigin="0,0" coordsize="636,10">
                  <v:group style="position:absolute;left:5;top:5;width:627;height:2" coordorigin="5,5" coordsize="627,2">
                    <v:shape style="position:absolute;left:5;top:5;width:627;height:2" coordorigin="5,5" coordsize="627,0" path="m5,5l631,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7"/>
              <w:ind w:left="508" w:right="0"/>
              <w:jc w:val="left"/>
              <w:rPr>
                <w:rFonts w:ascii="宋体" w:hAnsi="宋体" w:cs="宋体" w:eastAsia="宋体" w:hint="default"/>
                <w:sz w:val="18"/>
                <w:szCs w:val="18"/>
              </w:rPr>
            </w:pPr>
            <w:r>
              <w:rPr>
                <w:rFonts w:ascii="宋体"/>
                <w:sz w:val="18"/>
              </w:rPr>
              <w:t>-</w:t>
            </w:r>
          </w:p>
        </w:tc>
        <w:tc>
          <w:tcPr>
            <w:tcW w:w="784"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1"/>
              <w:jc w:val="right"/>
              <w:rPr>
                <w:rFonts w:ascii="宋体" w:hAnsi="宋体" w:cs="宋体" w:eastAsia="宋体" w:hint="default"/>
                <w:sz w:val="18"/>
                <w:szCs w:val="18"/>
              </w:rPr>
            </w:pPr>
            <w:r>
              <w:rPr>
                <w:rFonts w:ascii="宋体"/>
                <w:spacing w:val="-1"/>
                <w:sz w:val="18"/>
              </w:rPr>
              <w:t>22,228,072.58</w:t>
            </w:r>
            <w:r>
              <w:rPr>
                <w:rFonts w:ascii="宋体"/>
                <w:sz w:val="18"/>
              </w:rPr>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1"/>
              <w:jc w:val="right"/>
              <w:rPr>
                <w:rFonts w:ascii="宋体" w:hAnsi="宋体" w:cs="宋体" w:eastAsia="宋体" w:hint="default"/>
                <w:sz w:val="18"/>
                <w:szCs w:val="18"/>
              </w:rPr>
            </w:pPr>
            <w:r>
              <w:rPr>
                <w:rFonts w:ascii="宋体"/>
                <w:spacing w:val="-1"/>
                <w:sz w:val="18"/>
              </w:rPr>
              <w:t>22,228,072.58</w:t>
            </w:r>
            <w:r>
              <w:rPr>
                <w:rFonts w:ascii="宋体"/>
                <w:sz w:val="18"/>
              </w:rPr>
            </w:r>
          </w:p>
        </w:tc>
      </w:tr>
      <w:tr>
        <w:trPr>
          <w:trHeight w:val="323"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1" w:right="0"/>
              <w:jc w:val="left"/>
              <w:rPr>
                <w:rFonts w:ascii="宋体" w:hAnsi="宋体" w:cs="宋体" w:eastAsia="宋体" w:hint="default"/>
                <w:sz w:val="18"/>
                <w:szCs w:val="18"/>
              </w:rPr>
            </w:pPr>
            <w:r>
              <w:rPr>
                <w:rFonts w:ascii="宋体" w:hAnsi="宋体" w:cs="宋体" w:eastAsia="宋体" w:hint="default"/>
                <w:sz w:val="18"/>
                <w:szCs w:val="18"/>
              </w:rPr>
              <w:t>（二）股东投入和减少股本</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r>
      <w:tr>
        <w:trPr>
          <w:trHeight w:val="320"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3"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股东投入的普通股</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
              <w:jc w:val="right"/>
              <w:rPr>
                <w:rFonts w:ascii="宋体" w:hAnsi="宋体" w:cs="宋体" w:eastAsia="宋体" w:hint="default"/>
                <w:sz w:val="18"/>
                <w:szCs w:val="18"/>
              </w:rPr>
            </w:pPr>
            <w:r>
              <w:rPr>
                <w:rFonts w:ascii="宋体"/>
                <w:sz w:val="18"/>
              </w:rPr>
              <w:t>-</w:t>
            </w:r>
          </w:p>
        </w:tc>
      </w:tr>
      <w:tr>
        <w:trPr>
          <w:trHeight w:val="29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．其他权益工具持有者投入股本</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r>
      <w:tr>
        <w:trPr>
          <w:trHeight w:val="464"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04"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．股份支付计入股东权益金额</w:t>
            </w:r>
          </w:p>
          <w:p>
            <w:pPr>
              <w:pStyle w:val="TableParagraph"/>
              <w:spacing w:line="219" w:lineRule="exact"/>
              <w:ind w:left="39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
              <w:jc w:val="right"/>
              <w:rPr>
                <w:rFonts w:ascii="宋体" w:hAnsi="宋体" w:cs="宋体" w:eastAsia="宋体" w:hint="default"/>
                <w:sz w:val="18"/>
                <w:szCs w:val="18"/>
              </w:rPr>
            </w:pPr>
            <w:r>
              <w:rPr>
                <w:rFonts w:ascii="宋体"/>
                <w:sz w:val="18"/>
              </w:rPr>
              <w:t>-</w:t>
            </w:r>
          </w:p>
        </w:tc>
      </w:tr>
      <w:tr>
        <w:trPr>
          <w:trHeight w:val="295"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22" w:lineRule="exact"/>
              <w:ind w:left="3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2376" w:type="dxa"/>
            <w:tcBorders>
              <w:top w:val="nil" w:sz="6" w:space="0" w:color="auto"/>
              <w:left w:val="nil" w:sz="6" w:space="0" w:color="auto"/>
              <w:bottom w:val="nil" w:sz="6" w:space="0" w:color="auto"/>
              <w:right w:val="nil" w:sz="6" w:space="0" w:color="auto"/>
            </w:tcBorders>
          </w:tcPr>
          <w:p>
            <w:pPr>
              <w:pStyle w:val="TableParagraph"/>
              <w:spacing w:line="222" w:lineRule="exact"/>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22"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22" w:lineRule="exact"/>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22"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22" w:lineRule="exact"/>
              <w:ind w:right="20"/>
              <w:jc w:val="right"/>
              <w:rPr>
                <w:rFonts w:ascii="宋体" w:hAnsi="宋体" w:cs="宋体" w:eastAsia="宋体" w:hint="default"/>
                <w:sz w:val="18"/>
                <w:szCs w:val="18"/>
              </w:rPr>
            </w:pPr>
            <w:r>
              <w:rPr>
                <w:rFonts w:ascii="宋体"/>
                <w:spacing w:val="-1"/>
                <w:sz w:val="18"/>
              </w:rPr>
              <w:t>2,338,313.75</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22"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22" w:lineRule="exact"/>
              <w:ind w:right="23"/>
              <w:jc w:val="right"/>
              <w:rPr>
                <w:rFonts w:ascii="宋体" w:hAnsi="宋体" w:cs="宋体" w:eastAsia="宋体" w:hint="default"/>
                <w:sz w:val="18"/>
                <w:szCs w:val="18"/>
              </w:rPr>
            </w:pPr>
            <w:r>
              <w:rPr>
                <w:rFonts w:ascii="宋体"/>
                <w:spacing w:val="-1"/>
                <w:sz w:val="18"/>
              </w:rPr>
              <w:t>(18,178,313.75)</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22" w:lineRule="exact"/>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(15,840,000.00)</w:t>
            </w:r>
            <w:r>
              <w:rPr>
                <w:rFonts w:ascii="宋体"/>
                <w:sz w:val="18"/>
              </w:rPr>
            </w:r>
          </w:p>
        </w:tc>
      </w:tr>
      <w:tr>
        <w:trPr>
          <w:trHeight w:val="329"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2,338,313.75</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(2,338,313.75)</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10" w:right="0"/>
              <w:jc w:val="left"/>
              <w:rPr>
                <w:rFonts w:ascii="宋体" w:hAnsi="宋体" w:cs="宋体" w:eastAsia="宋体" w:hint="default"/>
                <w:sz w:val="18"/>
                <w:szCs w:val="18"/>
              </w:rPr>
            </w:pPr>
            <w:r>
              <w:rPr>
                <w:rFonts w:ascii="宋体"/>
                <w:sz w:val="18"/>
              </w:rPr>
              <w:t>-</w:t>
            </w:r>
          </w:p>
        </w:tc>
      </w:tr>
      <w:tr>
        <w:trPr>
          <w:trHeight w:val="329"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23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(15,840,000.00)</w:t>
            </w:r>
            <w:r>
              <w:rPr>
                <w:rFonts w:ascii="宋体"/>
                <w:sz w:val="18"/>
              </w:rPr>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(15,840,000.00)</w:t>
            </w:r>
            <w:r>
              <w:rPr>
                <w:rFonts w:ascii="宋体"/>
                <w:sz w:val="18"/>
              </w:rPr>
            </w:r>
          </w:p>
        </w:tc>
      </w:tr>
      <w:tr>
        <w:trPr>
          <w:trHeight w:val="324"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r>
      <w:tr>
        <w:trPr>
          <w:trHeight w:val="328"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
              <w:jc w:val="right"/>
              <w:rPr>
                <w:rFonts w:ascii="宋体" w:hAnsi="宋体" w:cs="宋体" w:eastAsia="宋体" w:hint="default"/>
                <w:sz w:val="18"/>
                <w:szCs w:val="18"/>
              </w:rPr>
            </w:pPr>
            <w:r>
              <w:rPr>
                <w:rFonts w:ascii="宋体"/>
                <w:sz w:val="18"/>
              </w:rPr>
              <w:t>-</w:t>
            </w:r>
          </w:p>
        </w:tc>
      </w:tr>
      <w:tr>
        <w:trPr>
          <w:trHeight w:val="33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z w:val="18"/>
              </w:rPr>
              <w:t>-</w:t>
            </w:r>
          </w:p>
        </w:tc>
      </w:tr>
      <w:tr>
        <w:trPr>
          <w:trHeight w:val="326"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r>
      <w:tr>
        <w:trPr>
          <w:trHeight w:val="296"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r>
      <w:tr>
        <w:trPr>
          <w:trHeight w:val="664"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02" w:lineRule="exact" w:before="34"/>
              <w:ind w:left="31" w:right="26" w:firstLine="36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．结转重新计量设定受益计划净 负债或净资产所产生的变动</w:t>
            </w:r>
          </w:p>
          <w:p>
            <w:pPr>
              <w:pStyle w:val="TableParagraph"/>
              <w:spacing w:line="184" w:lineRule="exact"/>
              <w:ind w:left="39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r>
      <w:tr>
        <w:trPr>
          <w:trHeight w:val="298"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22" w:lineRule="exact"/>
              <w:ind w:left="3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2376" w:type="dxa"/>
            <w:tcBorders>
              <w:top w:val="nil" w:sz="6" w:space="0" w:color="auto"/>
              <w:left w:val="nil" w:sz="6" w:space="0" w:color="auto"/>
              <w:bottom w:val="nil" w:sz="6" w:space="0" w:color="auto"/>
              <w:right w:val="nil" w:sz="6" w:space="0" w:color="auto"/>
            </w:tcBorders>
          </w:tcPr>
          <w:p>
            <w:pPr>
              <w:pStyle w:val="TableParagraph"/>
              <w:spacing w:line="224" w:lineRule="exact"/>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2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24" w:lineRule="exact"/>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24"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24" w:lineRule="exact"/>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24"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24" w:lineRule="exact"/>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24" w:lineRule="exact"/>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24" w:lineRule="exact"/>
              <w:ind w:right="25"/>
              <w:jc w:val="right"/>
              <w:rPr>
                <w:rFonts w:ascii="宋体" w:hAnsi="宋体" w:cs="宋体" w:eastAsia="宋体" w:hint="default"/>
                <w:sz w:val="18"/>
                <w:szCs w:val="18"/>
              </w:rPr>
            </w:pPr>
            <w:r>
              <w:rPr>
                <w:rFonts w:ascii="宋体"/>
                <w:sz w:val="18"/>
              </w:rPr>
              <w:t>-</w:t>
            </w:r>
          </w:p>
        </w:tc>
      </w:tr>
      <w:tr>
        <w:trPr>
          <w:trHeight w:val="326"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r>
      <w:tr>
        <w:trPr>
          <w:trHeight w:val="256"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08" w:right="0"/>
              <w:jc w:val="left"/>
              <w:rPr>
                <w:rFonts w:ascii="宋体" w:hAnsi="宋体" w:cs="宋体" w:eastAsia="宋体" w:hint="default"/>
                <w:sz w:val="18"/>
                <w:szCs w:val="18"/>
              </w:rPr>
            </w:pPr>
            <w:r>
              <w:rPr>
                <w:rFonts w:ascii="宋体"/>
                <w:sz w:val="18"/>
              </w:rPr>
              <w:t>-</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headerReference w:type="default" r:id="rId34"/>
          <w:footerReference w:type="default" r:id="rId35"/>
          <w:pgSz w:w="16840" w:h="11910" w:orient="landscape"/>
          <w:pgMar w:header="867" w:footer="982" w:top="1060" w:bottom="1180" w:left="580" w:right="860"/>
          <w:pgNumType w:start="74"/>
        </w:sectPr>
      </w:pPr>
    </w:p>
    <w:p>
      <w:pPr>
        <w:spacing w:line="240" w:lineRule="auto" w:before="2"/>
        <w:rPr>
          <w:rFonts w:ascii="Times New Roman" w:hAnsi="Times New Roman" w:cs="Times New Roman" w:eastAsia="Times New Roman" w:hint="default"/>
          <w:sz w:val="3"/>
          <w:szCs w:val="3"/>
        </w:rPr>
      </w:pPr>
      <w:r>
        <w:rPr/>
        <w:pict>
          <v:group style="position:absolute;margin-left:231.600006pt;margin-top:90.000008pt;width:73.6pt;height:2.2pt;mso-position-horizontal-relative:page;mso-position-vertical-relative:page;z-index:-1223128" coordorigin="4632,1800" coordsize="1472,44">
            <v:group style="position:absolute;left:4639;top:1807;width:1457;height:2" coordorigin="4639,1807" coordsize="1457,2">
              <v:shape style="position:absolute;left:4639;top:1807;width:1457;height:2" coordorigin="4639,1807" coordsize="1457,0" path="m4639,1807l6096,1807e" filled="false" stroked="true" strokeweight=".72pt" strokecolor="#000000">
                <v:path arrowok="t"/>
              </v:shape>
            </v:group>
            <v:group style="position:absolute;left:4639;top:1836;width:1457;height:2" coordorigin="4639,1836" coordsize="1457,2">
              <v:shape style="position:absolute;left:4639;top:1836;width:1457;height:2" coordorigin="4639,1836" coordsize="1457,0" path="m4639,1836l6096,1836e" filled="false" stroked="true" strokeweight=".72pt" strokecolor="#000000">
                <v:path arrowok="t"/>
              </v:shape>
            </v:group>
            <w10:wrap type="none"/>
          </v:group>
        </w:pict>
      </w:r>
      <w:r>
        <w:rPr/>
        <w:pict>
          <v:group style="position:absolute;margin-left:309.959991pt;margin-top:90.000008pt;width:80.05pt;height:2.2pt;mso-position-horizontal-relative:page;mso-position-vertical-relative:page;z-index:-1223104" coordorigin="6199,1800" coordsize="1601,44">
            <v:group style="position:absolute;left:6206;top:1807;width:1587;height:2" coordorigin="6206,1807" coordsize="1587,2">
              <v:shape style="position:absolute;left:6206;top:1807;width:1587;height:2" coordorigin="6206,1807" coordsize="1587,0" path="m6206,1807l7793,1807e" filled="false" stroked="true" strokeweight=".72pt" strokecolor="#000000">
                <v:path arrowok="t"/>
              </v:shape>
            </v:group>
            <v:group style="position:absolute;left:6206;top:1836;width:1587;height:2" coordorigin="6206,1836" coordsize="1587,2">
              <v:shape style="position:absolute;left:6206;top:1836;width:1587;height:2" coordorigin="6206,1836" coordsize="1587,0" path="m6206,1836l7793,1836e" filled="false" stroked="true" strokeweight=".72pt" strokecolor="#000000">
                <v:path arrowok="t"/>
              </v:shape>
            </v:group>
            <w10:wrap type="none"/>
          </v:group>
        </w:pict>
      </w:r>
      <w:r>
        <w:rPr/>
        <w:pict>
          <v:group style="position:absolute;margin-left:396.359985pt;margin-top:90.000008pt;width:79.2pt;height:2.2pt;mso-position-horizontal-relative:page;mso-position-vertical-relative:page;z-index:-1223080" coordorigin="7927,1800" coordsize="1584,44">
            <v:group style="position:absolute;left:7934;top:1807;width:627;height:2" coordorigin="7934,1807" coordsize="627,2">
              <v:shape style="position:absolute;left:7934;top:1807;width:627;height:2" coordorigin="7934,1807" coordsize="627,0" path="m7934,1807l8561,1807e" filled="false" stroked="true" strokeweight=".72pt" strokecolor="#000000">
                <v:path arrowok="t"/>
              </v:shape>
            </v:group>
            <v:group style="position:absolute;left:7934;top:1836;width:627;height:2" coordorigin="7934,1836" coordsize="627,2">
              <v:shape style="position:absolute;left:7934;top:1836;width:627;height:2" coordorigin="7934,1836" coordsize="627,0" path="m7934,1836l8561,1836e" filled="false" stroked="true" strokeweight=".72pt" strokecolor="#000000">
                <v:path arrowok="t"/>
              </v:shape>
            </v:group>
            <v:group style="position:absolute;left:8635;top:1807;width:869;height:2" coordorigin="8635,1807" coordsize="869,2">
              <v:shape style="position:absolute;left:8635;top:1807;width:869;height:2" coordorigin="8635,1807" coordsize="869,0" path="m8635,1807l9504,1807e" filled="false" stroked="true" strokeweight=".72pt" strokecolor="#000000">
                <v:path arrowok="t"/>
              </v:shape>
            </v:group>
            <v:group style="position:absolute;left:8635;top:1836;width:869;height:2" coordorigin="8635,1836" coordsize="869,2">
              <v:shape style="position:absolute;left:8635;top:1836;width:869;height:2" coordorigin="8635,1836" coordsize="869,0" path="m8635,1836l9504,1836e" filled="false" stroked="true" strokeweight=".72pt" strokecolor="#000000">
                <v:path arrowok="t"/>
              </v:shape>
            </v:group>
            <w10:wrap type="none"/>
          </v:group>
        </w:pict>
      </w:r>
      <w:r>
        <w:rPr/>
        <w:pict>
          <v:group style="position:absolute;margin-left:482.040009pt;margin-top:90.000008pt;width:64.6pt;height:2.2pt;mso-position-horizontal-relative:page;mso-position-vertical-relative:page;z-index:-1223056" coordorigin="9641,1800" coordsize="1292,44">
            <v:group style="position:absolute;left:9648;top:1807;width:1277;height:2" coordorigin="9648,1807" coordsize="1277,2">
              <v:shape style="position:absolute;left:9648;top:1807;width:1277;height:2" coordorigin="9648,1807" coordsize="1277,0" path="m9648,1807l10925,1807e" filled="false" stroked="true" strokeweight=".72pt" strokecolor="#000000">
                <v:path arrowok="t"/>
              </v:shape>
            </v:group>
            <v:group style="position:absolute;left:9648;top:1836;width:1277;height:2" coordorigin="9648,1836" coordsize="1277,2">
              <v:shape style="position:absolute;left:9648;top:1836;width:1277;height:2" coordorigin="9648,1836" coordsize="1277,0" path="m9648,1836l10925,1836e" filled="false" stroked="true" strokeweight=".72pt" strokecolor="#000000">
                <v:path arrowok="t"/>
              </v:shape>
            </v:group>
            <w10:wrap type="none"/>
          </v:group>
        </w:pict>
      </w:r>
      <w:r>
        <w:rPr/>
        <w:pict>
          <v:group style="position:absolute;margin-left:553.080017pt;margin-top:90.000008pt;width:41.8pt;height:2.2pt;mso-position-horizontal-relative:page;mso-position-vertical-relative:page;z-index:-1223032" coordorigin="11062,1800" coordsize="836,44">
            <v:group style="position:absolute;left:11069;top:1807;width:821;height:2" coordorigin="11069,1807" coordsize="821,2">
              <v:shape style="position:absolute;left:11069;top:1807;width:821;height:2" coordorigin="11069,1807" coordsize="821,0" path="m11069,1807l11890,1807e" filled="false" stroked="true" strokeweight=".72pt" strokecolor="#000000">
                <v:path arrowok="t"/>
              </v:shape>
            </v:group>
            <v:group style="position:absolute;left:11069;top:1836;width:821;height:2" coordorigin="11069,1836" coordsize="821,2">
              <v:shape style="position:absolute;left:11069;top:1836;width:821;height:2" coordorigin="11069,1836" coordsize="821,0" path="m11069,1836l11890,1836e" filled="false" stroked="true" strokeweight=".72pt" strokecolor="#000000">
                <v:path arrowok="t"/>
              </v:shape>
            </v:group>
            <w10:wrap type="none"/>
          </v:group>
        </w:pict>
      </w:r>
      <w:r>
        <w:rPr/>
        <w:pict>
          <v:group style="position:absolute;margin-left:600.840027pt;margin-top:90.000008pt;width:71.2pt;height:2.2pt;mso-position-horizontal-relative:page;mso-position-vertical-relative:page;z-index:-1223008" coordorigin="12017,1800" coordsize="1424,44">
            <v:group style="position:absolute;left:12024;top:1807;width:1409;height:2" coordorigin="12024,1807" coordsize="1409,2">
              <v:shape style="position:absolute;left:12024;top:1807;width:1409;height:2" coordorigin="12024,1807" coordsize="1409,0" path="m12024,1807l13433,1807e" filled="false" stroked="true" strokeweight=".72pt" strokecolor="#000000">
                <v:path arrowok="t"/>
              </v:shape>
            </v:group>
            <v:group style="position:absolute;left:12024;top:1836;width:1409;height:2" coordorigin="12024,1836" coordsize="1409,2">
              <v:shape style="position:absolute;left:12024;top:1836;width:1409;height:2" coordorigin="12024,1836" coordsize="1409,0" path="m12024,1836l13433,1836e" filled="false" stroked="true" strokeweight=".72pt" strokecolor="#000000">
                <v:path arrowok="t"/>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3031"/>
        <w:gridCol w:w="156"/>
        <w:gridCol w:w="2220"/>
        <w:gridCol w:w="110"/>
        <w:gridCol w:w="1586"/>
        <w:gridCol w:w="110"/>
        <w:gridCol w:w="1013"/>
        <w:gridCol w:w="790"/>
        <w:gridCol w:w="1279"/>
        <w:gridCol w:w="84"/>
        <w:gridCol w:w="821"/>
        <w:gridCol w:w="118"/>
        <w:gridCol w:w="1426"/>
        <w:gridCol w:w="130"/>
        <w:gridCol w:w="972"/>
        <w:gridCol w:w="1517"/>
      </w:tblGrid>
      <w:tr>
        <w:trPr>
          <w:trHeight w:val="355" w:hRule="exact"/>
        </w:trPr>
        <w:tc>
          <w:tcPr>
            <w:tcW w:w="3031" w:type="dxa"/>
            <w:tcBorders>
              <w:top w:val="single" w:sz="6" w:space="0" w:color="000000"/>
              <w:left w:val="nil" w:sz="6" w:space="0" w:color="auto"/>
              <w:bottom w:val="nil" w:sz="6" w:space="0" w:color="auto"/>
              <w:right w:val="nil" w:sz="6" w:space="0" w:color="auto"/>
            </w:tcBorders>
          </w:tcPr>
          <w:p>
            <w:pPr>
              <w:pStyle w:val="TableParagraph"/>
              <w:spacing w:line="240" w:lineRule="auto" w:before="29"/>
              <w:ind w:left="3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 w:type="dxa"/>
            <w:tcBorders>
              <w:top w:val="single" w:sz="6" w:space="0" w:color="000000"/>
              <w:left w:val="nil" w:sz="6" w:space="0" w:color="auto"/>
              <w:bottom w:val="nil" w:sz="6" w:space="0" w:color="auto"/>
              <w:right w:val="nil" w:sz="6" w:space="0" w:color="auto"/>
            </w:tcBorders>
          </w:tcPr>
          <w:p>
            <w:pPr/>
          </w:p>
        </w:tc>
        <w:tc>
          <w:tcPr>
            <w:tcW w:w="2220"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z w:val="18"/>
              </w:rPr>
              <w:t>-</w:t>
            </w:r>
          </w:p>
        </w:tc>
        <w:tc>
          <w:tcPr>
            <w:tcW w:w="110" w:type="dxa"/>
            <w:tcBorders>
              <w:top w:val="single" w:sz="6" w:space="0" w:color="000000"/>
              <w:left w:val="nil" w:sz="6" w:space="0" w:color="auto"/>
              <w:bottom w:val="nil" w:sz="6" w:space="0" w:color="auto"/>
              <w:right w:val="nil" w:sz="6" w:space="0" w:color="auto"/>
            </w:tcBorders>
          </w:tcPr>
          <w:p>
            <w:pPr/>
          </w:p>
        </w:tc>
        <w:tc>
          <w:tcPr>
            <w:tcW w:w="1586"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right="25"/>
              <w:jc w:val="right"/>
              <w:rPr>
                <w:rFonts w:ascii="宋体" w:hAnsi="宋体" w:cs="宋体" w:eastAsia="宋体" w:hint="default"/>
                <w:sz w:val="18"/>
                <w:szCs w:val="18"/>
              </w:rPr>
            </w:pPr>
            <w:r>
              <w:rPr>
                <w:rFonts w:ascii="宋体"/>
                <w:sz w:val="18"/>
              </w:rPr>
              <w:t>-</w:t>
            </w:r>
          </w:p>
        </w:tc>
        <w:tc>
          <w:tcPr>
            <w:tcW w:w="110" w:type="dxa"/>
            <w:tcBorders>
              <w:top w:val="single" w:sz="6" w:space="0" w:color="000000"/>
              <w:left w:val="nil" w:sz="6" w:space="0" w:color="auto"/>
              <w:bottom w:val="nil" w:sz="6" w:space="0" w:color="auto"/>
              <w:right w:val="nil" w:sz="6" w:space="0" w:color="auto"/>
            </w:tcBorders>
          </w:tcPr>
          <w:p>
            <w:pPr/>
          </w:p>
        </w:tc>
        <w:tc>
          <w:tcPr>
            <w:tcW w:w="1013"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left="157" w:right="0"/>
              <w:jc w:val="center"/>
              <w:rPr>
                <w:rFonts w:ascii="宋体" w:hAnsi="宋体" w:cs="宋体" w:eastAsia="宋体" w:hint="default"/>
                <w:sz w:val="18"/>
                <w:szCs w:val="18"/>
              </w:rPr>
            </w:pPr>
            <w:r>
              <w:rPr>
                <w:rFonts w:ascii="宋体"/>
                <w:sz w:val="18"/>
              </w:rPr>
              <w:t>-</w:t>
            </w:r>
          </w:p>
        </w:tc>
        <w:tc>
          <w:tcPr>
            <w:tcW w:w="790"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left="467" w:right="0"/>
              <w:jc w:val="left"/>
              <w:rPr>
                <w:rFonts w:ascii="宋体" w:hAnsi="宋体" w:cs="宋体" w:eastAsia="宋体" w:hint="default"/>
                <w:sz w:val="18"/>
                <w:szCs w:val="18"/>
              </w:rPr>
            </w:pPr>
            <w:r>
              <w:rPr>
                <w:rFonts w:ascii="宋体"/>
                <w:sz w:val="18"/>
              </w:rPr>
              <w:t>-</w:t>
            </w:r>
          </w:p>
        </w:tc>
        <w:tc>
          <w:tcPr>
            <w:tcW w:w="1279"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right="83"/>
              <w:jc w:val="right"/>
              <w:rPr>
                <w:rFonts w:ascii="宋体" w:hAnsi="宋体" w:cs="宋体" w:eastAsia="宋体" w:hint="default"/>
                <w:sz w:val="18"/>
                <w:szCs w:val="18"/>
              </w:rPr>
            </w:pPr>
            <w:r>
              <w:rPr>
                <w:rFonts w:ascii="宋体"/>
                <w:sz w:val="18"/>
              </w:rPr>
              <w:t>-</w:t>
            </w:r>
          </w:p>
        </w:tc>
        <w:tc>
          <w:tcPr>
            <w:tcW w:w="84" w:type="dxa"/>
            <w:tcBorders>
              <w:top w:val="single" w:sz="6" w:space="0" w:color="000000"/>
              <w:left w:val="nil" w:sz="6" w:space="0" w:color="auto"/>
              <w:bottom w:val="nil" w:sz="6" w:space="0" w:color="auto"/>
              <w:right w:val="nil" w:sz="6" w:space="0" w:color="auto"/>
            </w:tcBorders>
          </w:tcPr>
          <w:p>
            <w:pPr/>
          </w:p>
        </w:tc>
        <w:tc>
          <w:tcPr>
            <w:tcW w:w="821"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right="25"/>
              <w:jc w:val="right"/>
              <w:rPr>
                <w:rFonts w:ascii="宋体" w:hAnsi="宋体" w:cs="宋体" w:eastAsia="宋体" w:hint="default"/>
                <w:sz w:val="18"/>
                <w:szCs w:val="18"/>
              </w:rPr>
            </w:pPr>
            <w:r>
              <w:rPr>
                <w:rFonts w:ascii="宋体"/>
                <w:sz w:val="18"/>
              </w:rPr>
              <w:t>-</w:t>
            </w:r>
          </w:p>
        </w:tc>
        <w:tc>
          <w:tcPr>
            <w:tcW w:w="118" w:type="dxa"/>
            <w:tcBorders>
              <w:top w:val="single" w:sz="6" w:space="0" w:color="000000"/>
              <w:left w:val="nil" w:sz="6" w:space="0" w:color="auto"/>
              <w:bottom w:val="nil" w:sz="6" w:space="0" w:color="auto"/>
              <w:right w:val="nil" w:sz="6" w:space="0" w:color="auto"/>
            </w:tcBorders>
          </w:tcPr>
          <w:p>
            <w:pPr/>
          </w:p>
        </w:tc>
        <w:tc>
          <w:tcPr>
            <w:tcW w:w="1426"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right="25"/>
              <w:jc w:val="right"/>
              <w:rPr>
                <w:rFonts w:ascii="宋体" w:hAnsi="宋体" w:cs="宋体" w:eastAsia="宋体" w:hint="default"/>
                <w:sz w:val="18"/>
                <w:szCs w:val="18"/>
              </w:rPr>
            </w:pPr>
            <w:r>
              <w:rPr>
                <w:rFonts w:ascii="宋体"/>
                <w:sz w:val="18"/>
              </w:rPr>
              <w:t>-</w:t>
            </w:r>
          </w:p>
        </w:tc>
        <w:tc>
          <w:tcPr>
            <w:tcW w:w="130" w:type="dxa"/>
            <w:tcBorders>
              <w:top w:val="single" w:sz="6" w:space="0" w:color="000000"/>
              <w:left w:val="nil" w:sz="6" w:space="0" w:color="auto"/>
              <w:bottom w:val="nil" w:sz="6" w:space="0" w:color="auto"/>
              <w:right w:val="nil" w:sz="6" w:space="0" w:color="auto"/>
            </w:tcBorders>
          </w:tcPr>
          <w:p>
            <w:pPr/>
          </w:p>
        </w:tc>
        <w:tc>
          <w:tcPr>
            <w:tcW w:w="972"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left="217" w:right="0"/>
              <w:jc w:val="center"/>
              <w:rPr>
                <w:rFonts w:ascii="宋体" w:hAnsi="宋体" w:cs="宋体" w:eastAsia="宋体" w:hint="default"/>
                <w:sz w:val="18"/>
                <w:szCs w:val="18"/>
              </w:rPr>
            </w:pPr>
            <w:r>
              <w:rPr>
                <w:rFonts w:ascii="宋体"/>
                <w:sz w:val="18"/>
              </w:rPr>
              <w:t>-</w:t>
            </w:r>
          </w:p>
        </w:tc>
        <w:tc>
          <w:tcPr>
            <w:tcW w:w="1517"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right="200"/>
              <w:jc w:val="right"/>
              <w:rPr>
                <w:rFonts w:ascii="宋体" w:hAnsi="宋体" w:cs="宋体" w:eastAsia="宋体" w:hint="default"/>
                <w:sz w:val="18"/>
                <w:szCs w:val="18"/>
              </w:rPr>
            </w:pPr>
            <w:r>
              <w:rPr>
                <w:rFonts w:ascii="宋体"/>
                <w:sz w:val="18"/>
              </w:rPr>
              <w:t>-</w:t>
            </w:r>
          </w:p>
        </w:tc>
      </w:tr>
      <w:tr>
        <w:trPr>
          <w:trHeight w:val="355"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158,400,000.00</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1"/>
              <w:jc w:val="right"/>
              <w:rPr>
                <w:rFonts w:ascii="宋体" w:hAnsi="宋体" w:cs="宋体" w:eastAsia="宋体" w:hint="default"/>
                <w:sz w:val="18"/>
                <w:szCs w:val="18"/>
              </w:rPr>
            </w:pPr>
            <w:r>
              <w:rPr>
                <w:rFonts w:ascii="宋体"/>
                <w:spacing w:val="-1"/>
                <w:sz w:val="18"/>
              </w:rPr>
              <w:t>62,580,990.76</w:t>
            </w:r>
            <w:r>
              <w:rPr>
                <w:rFonts w:ascii="宋体"/>
                <w:sz w:val="18"/>
              </w:rPr>
            </w: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single" w:sz="4" w:space="0" w:color="000000"/>
              <w:left w:val="nil" w:sz="6" w:space="0" w:color="auto"/>
              <w:bottom w:val="nil" w:sz="6" w:space="0" w:color="auto"/>
              <w:right w:val="nil" w:sz="6" w:space="0" w:color="auto"/>
            </w:tcBorders>
          </w:tcPr>
          <w:p>
            <w:pPr>
              <w:pStyle w:val="TableParagraph"/>
              <w:spacing w:line="20" w:lineRule="exact"/>
              <w:ind w:left="26"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1.8pt;height:.5pt;mso-position-horizontal-relative:char;mso-position-vertical-relative:line" coordorigin="0,0" coordsize="636,10">
                  <v:group style="position:absolute;left:5;top:5;width:627;height:2" coordorigin="5,5" coordsize="627,2">
                    <v:shape style="position:absolute;left:5;top:5;width:627;height:2" coordorigin="5,5" coordsize="627,0" path="m5,5l631,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7"/>
              <w:ind w:left="157" w:right="0"/>
              <w:jc w:val="center"/>
              <w:rPr>
                <w:rFonts w:ascii="宋体" w:hAnsi="宋体" w:cs="宋体" w:eastAsia="宋体" w:hint="default"/>
                <w:sz w:val="18"/>
                <w:szCs w:val="18"/>
              </w:rPr>
            </w:pPr>
            <w:r>
              <w:rPr>
                <w:rFonts w:ascii="宋体"/>
                <w:sz w:val="18"/>
              </w:rPr>
              <w:t>-</w:t>
            </w:r>
          </w:p>
        </w:tc>
        <w:tc>
          <w:tcPr>
            <w:tcW w:w="790"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467" w:right="0"/>
              <w:jc w:val="left"/>
              <w:rPr>
                <w:rFonts w:ascii="宋体" w:hAnsi="宋体" w:cs="宋体" w:eastAsia="宋体" w:hint="default"/>
                <w:sz w:val="18"/>
                <w:szCs w:val="18"/>
              </w:rPr>
            </w:pPr>
            <w:r>
              <w:rPr>
                <w:rFonts w:ascii="宋体"/>
                <w:sz w:val="18"/>
              </w:rPr>
              <w:t>-</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23" w:right="0"/>
              <w:jc w:val="left"/>
              <w:rPr>
                <w:rFonts w:ascii="宋体" w:hAnsi="宋体" w:cs="宋体" w:eastAsia="宋体" w:hint="default"/>
                <w:sz w:val="18"/>
                <w:szCs w:val="18"/>
              </w:rPr>
            </w:pPr>
            <w:r>
              <w:rPr>
                <w:rFonts w:ascii="宋体"/>
                <w:sz w:val="18"/>
              </w:rPr>
              <w:t>16,365,152.72</w:t>
            </w: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3"/>
              <w:jc w:val="right"/>
              <w:rPr>
                <w:rFonts w:ascii="宋体" w:hAnsi="宋体" w:cs="宋体" w:eastAsia="宋体" w:hint="default"/>
                <w:sz w:val="18"/>
                <w:szCs w:val="18"/>
              </w:rPr>
            </w:pPr>
            <w:r>
              <w:rPr>
                <w:rFonts w:ascii="宋体"/>
                <w:spacing w:val="-1"/>
                <w:sz w:val="18"/>
              </w:rPr>
              <w:t>105,285,812.54</w:t>
            </w: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4pt;height:.5pt;mso-position-horizontal-relative:char;mso-position-vertical-relative:line" coordorigin="0,0" coordsize="680,10">
                  <v:group style="position:absolute;left:5;top:5;width:670;height:2" coordorigin="5,5" coordsize="670,2">
                    <v:shape style="position:absolute;left:5;top:5;width:670;height:2" coordorigin="5,5" coordsize="670,0" path="m5,5l674,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8"/>
              <w:ind w:right="0"/>
              <w:jc w:val="left"/>
              <w:rPr>
                <w:rFonts w:ascii="Times New Roman" w:hAnsi="Times New Roman" w:cs="Times New Roman" w:eastAsia="Times New Roman" w:hint="default"/>
                <w:sz w:val="27"/>
                <w:szCs w:val="27"/>
              </w:rPr>
            </w:pPr>
          </w:p>
        </w:tc>
        <w:tc>
          <w:tcPr>
            <w:tcW w:w="1517" w:type="dxa"/>
            <w:tcBorders>
              <w:top w:val="single" w:sz="4" w:space="0" w:color="000000"/>
              <w:left w:val="nil" w:sz="6" w:space="0" w:color="auto"/>
              <w:bottom w:val="single" w:sz="17" w:space="0" w:color="000000"/>
              <w:right w:val="nil" w:sz="6" w:space="0" w:color="auto"/>
            </w:tcBorders>
          </w:tcPr>
          <w:p>
            <w:pPr>
              <w:pStyle w:val="TableParagraph"/>
              <w:spacing w:line="240" w:lineRule="auto" w:before="17"/>
              <w:ind w:right="198"/>
              <w:jc w:val="right"/>
              <w:rPr>
                <w:rFonts w:ascii="宋体" w:hAnsi="宋体" w:cs="宋体" w:eastAsia="宋体" w:hint="default"/>
                <w:sz w:val="18"/>
                <w:szCs w:val="18"/>
              </w:rPr>
            </w:pPr>
            <w:r>
              <w:rPr>
                <w:rFonts w:ascii="宋体"/>
                <w:spacing w:val="-1"/>
                <w:sz w:val="18"/>
              </w:rPr>
              <w:t>342,631,956.02</w:t>
            </w:r>
          </w:p>
        </w:tc>
      </w:tr>
      <w:tr>
        <w:trPr>
          <w:trHeight w:val="228" w:hRule="exact"/>
        </w:trPr>
        <w:tc>
          <w:tcPr>
            <w:tcW w:w="3031" w:type="dxa"/>
            <w:tcBorders>
              <w:top w:val="nil" w:sz="6" w:space="0" w:color="auto"/>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single" w:sz="4" w:space="0" w:color="000000"/>
              <w:right w:val="nil" w:sz="6" w:space="0" w:color="auto"/>
            </w:tcBorders>
          </w:tcPr>
          <w:p>
            <w:pPr/>
          </w:p>
        </w:tc>
        <w:tc>
          <w:tcPr>
            <w:tcW w:w="2220"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single" w:sz="4" w:space="0" w:color="000000"/>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single" w:sz="4" w:space="0" w:color="000000"/>
              <w:right w:val="nil" w:sz="6" w:space="0" w:color="auto"/>
            </w:tcBorders>
          </w:tcPr>
          <w:p>
            <w:pPr/>
          </w:p>
        </w:tc>
        <w:tc>
          <w:tcPr>
            <w:tcW w:w="1013" w:type="dxa"/>
            <w:tcBorders>
              <w:top w:val="nil" w:sz="6" w:space="0" w:color="auto"/>
              <w:left w:val="nil" w:sz="6" w:space="0" w:color="auto"/>
              <w:bottom w:val="single" w:sz="4" w:space="0" w:color="000000"/>
              <w:right w:val="nil" w:sz="6" w:space="0" w:color="auto"/>
            </w:tcBorders>
          </w:tcPr>
          <w:p>
            <w:pPr/>
          </w:p>
        </w:tc>
        <w:tc>
          <w:tcPr>
            <w:tcW w:w="790"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single" w:sz="4" w:space="0" w:color="000000"/>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
        </w:tc>
        <w:tc>
          <w:tcPr>
            <w:tcW w:w="130" w:type="dxa"/>
            <w:tcBorders>
              <w:top w:val="nil" w:sz="6" w:space="0" w:color="auto"/>
              <w:left w:val="nil" w:sz="6" w:space="0" w:color="auto"/>
              <w:bottom w:val="single" w:sz="4" w:space="0" w:color="000000"/>
              <w:right w:val="nil" w:sz="6" w:space="0" w:color="auto"/>
            </w:tcBorders>
          </w:tcPr>
          <w:p>
            <w:pPr/>
          </w:p>
        </w:tc>
        <w:tc>
          <w:tcPr>
            <w:tcW w:w="972" w:type="dxa"/>
            <w:tcBorders>
              <w:top w:val="single" w:sz="17" w:space="0" w:color="000000"/>
              <w:left w:val="nil" w:sz="6" w:space="0" w:color="auto"/>
              <w:bottom w:val="single" w:sz="4" w:space="0" w:color="000000"/>
              <w:right w:val="nil" w:sz="6" w:space="0" w:color="auto"/>
            </w:tcBorders>
          </w:tcPr>
          <w:p>
            <w:pPr/>
          </w:p>
        </w:tc>
        <w:tc>
          <w:tcPr>
            <w:tcW w:w="1517" w:type="dxa"/>
            <w:tcBorders>
              <w:top w:val="single" w:sz="17" w:space="0" w:color="000000"/>
              <w:left w:val="nil" w:sz="6" w:space="0" w:color="auto"/>
              <w:bottom w:val="single" w:sz="4" w:space="0" w:color="000000"/>
              <w:right w:val="nil" w:sz="6" w:space="0" w:color="auto"/>
            </w:tcBorders>
          </w:tcPr>
          <w:p>
            <w:pPr/>
          </w:p>
        </w:tc>
      </w:tr>
      <w:tr>
        <w:trPr>
          <w:trHeight w:val="667" w:hRule="exact"/>
        </w:trPr>
        <w:tc>
          <w:tcPr>
            <w:tcW w:w="15362" w:type="dxa"/>
            <w:gridSpan w:val="16"/>
            <w:tcBorders>
              <w:top w:val="nil" w:sz="6" w:space="0" w:color="auto"/>
              <w:left w:val="nil" w:sz="6" w:space="0" w:color="auto"/>
              <w:bottom w:val="nil" w:sz="6" w:space="0" w:color="auto"/>
              <w:right w:val="nil" w:sz="6" w:space="0" w:color="auto"/>
            </w:tcBorders>
          </w:tcPr>
          <w:p>
            <w:pPr>
              <w:pStyle w:val="TableParagraph"/>
              <w:tabs>
                <w:tab w:pos="6336" w:val="left" w:leader="none"/>
                <w:tab w:pos="12004" w:val="left" w:leader="none"/>
              </w:tabs>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2"/>
                <w:sz w:val="18"/>
                <w:szCs w:val="18"/>
              </w:rPr>
              <w:t> </w:t>
            </w:r>
            <w:r>
              <w:rPr>
                <w:rFonts w:ascii="宋体" w:hAnsi="宋体" w:cs="宋体" w:eastAsia="宋体" w:hint="default"/>
                <w:sz w:val="18"/>
                <w:szCs w:val="18"/>
              </w:rPr>
              <w:t>孙晓玲</w:t>
              <w:tab/>
              <w:t>会计机构负责人：全丽</w:t>
            </w:r>
          </w:p>
        </w:tc>
      </w:tr>
      <w:tr>
        <w:trPr>
          <w:trHeight w:val="704" w:hRule="exact"/>
        </w:trPr>
        <w:tc>
          <w:tcPr>
            <w:tcW w:w="15362" w:type="dxa"/>
            <w:gridSpan w:val="16"/>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right="67"/>
              <w:jc w:val="center"/>
              <w:rPr>
                <w:rFonts w:ascii="宋体" w:hAnsi="宋体" w:cs="宋体" w:eastAsia="宋体" w:hint="default"/>
                <w:sz w:val="24"/>
                <w:szCs w:val="24"/>
              </w:rPr>
            </w:pPr>
            <w:r>
              <w:rPr>
                <w:rFonts w:ascii="宋体" w:hAnsi="宋体" w:cs="宋体" w:eastAsia="宋体" w:hint="default"/>
                <w:sz w:val="24"/>
                <w:szCs w:val="24"/>
              </w:rPr>
              <w:t>合并股东权益变动表</w:t>
            </w:r>
          </w:p>
        </w:tc>
      </w:tr>
      <w:tr>
        <w:trPr>
          <w:trHeight w:val="308" w:hRule="exact"/>
        </w:trPr>
        <w:tc>
          <w:tcPr>
            <w:tcW w:w="3031"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33" w:lineRule="exact"/>
              <w:ind w:right="38"/>
              <w:jc w:val="righ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度</w:t>
            </w:r>
          </w:p>
        </w:tc>
        <w:tc>
          <w:tcPr>
            <w:tcW w:w="79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35" w:hRule="exact"/>
        </w:trPr>
        <w:tc>
          <w:tcPr>
            <w:tcW w:w="3031"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110" w:right="0"/>
              <w:jc w:val="left"/>
              <w:rPr>
                <w:rFonts w:ascii="宋体" w:hAnsi="宋体" w:cs="宋体" w:eastAsia="宋体" w:hint="default"/>
                <w:sz w:val="18"/>
                <w:szCs w:val="18"/>
              </w:rPr>
            </w:pPr>
            <w:r>
              <w:rPr>
                <w:rFonts w:ascii="宋体" w:hAnsi="宋体" w:cs="宋体" w:eastAsia="宋体" w:hint="default"/>
                <w:sz w:val="18"/>
                <w:szCs w:val="18"/>
              </w:rPr>
              <w:t>附注六</w:t>
            </w:r>
          </w:p>
        </w:tc>
        <w:tc>
          <w:tcPr>
            <w:tcW w:w="110" w:type="dxa"/>
            <w:tcBorders>
              <w:top w:val="nil" w:sz="6" w:space="0" w:color="auto"/>
              <w:left w:val="nil" w:sz="6" w:space="0" w:color="auto"/>
              <w:bottom w:val="single" w:sz="4" w:space="0" w:color="000000"/>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single" w:sz="4" w:space="0" w:color="000000"/>
              <w:right w:val="nil" w:sz="6" w:space="0" w:color="auto"/>
            </w:tcBorders>
          </w:tcPr>
          <w:p>
            <w:pPr/>
          </w:p>
        </w:tc>
        <w:tc>
          <w:tcPr>
            <w:tcW w:w="1013" w:type="dxa"/>
            <w:tcBorders>
              <w:top w:val="nil" w:sz="6" w:space="0" w:color="auto"/>
              <w:left w:val="nil" w:sz="6" w:space="0" w:color="auto"/>
              <w:bottom w:val="single" w:sz="4" w:space="0" w:color="000000"/>
              <w:right w:val="nil" w:sz="6" w:space="0" w:color="auto"/>
            </w:tcBorders>
          </w:tcPr>
          <w:p>
            <w:pPr/>
          </w:p>
        </w:tc>
        <w:tc>
          <w:tcPr>
            <w:tcW w:w="790"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
        </w:tc>
        <w:tc>
          <w:tcPr>
            <w:tcW w:w="84" w:type="dxa"/>
            <w:tcBorders>
              <w:top w:val="nil" w:sz="6" w:space="0" w:color="auto"/>
              <w:left w:val="nil" w:sz="6" w:space="0" w:color="auto"/>
              <w:bottom w:val="single" w:sz="4" w:space="0" w:color="000000"/>
              <w:right w:val="nil" w:sz="6" w:space="0" w:color="auto"/>
            </w:tcBorders>
          </w:tcPr>
          <w:p>
            <w:pPr/>
          </w:p>
        </w:tc>
        <w:tc>
          <w:tcPr>
            <w:tcW w:w="821"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single" w:sz="4" w:space="0" w:color="000000"/>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
        </w:tc>
        <w:tc>
          <w:tcPr>
            <w:tcW w:w="130" w:type="dxa"/>
            <w:tcBorders>
              <w:top w:val="nil" w:sz="6" w:space="0" w:color="auto"/>
              <w:left w:val="nil" w:sz="6" w:space="0" w:color="auto"/>
              <w:bottom w:val="single" w:sz="4" w:space="0" w:color="000000"/>
              <w:right w:val="nil" w:sz="6" w:space="0" w:color="auto"/>
            </w:tcBorders>
          </w:tcPr>
          <w:p>
            <w:pPr/>
          </w:p>
        </w:tc>
        <w:tc>
          <w:tcPr>
            <w:tcW w:w="972" w:type="dxa"/>
            <w:tcBorders>
              <w:top w:val="nil" w:sz="6" w:space="0" w:color="auto"/>
              <w:left w:val="nil" w:sz="6" w:space="0" w:color="auto"/>
              <w:bottom w:val="single" w:sz="4" w:space="0" w:color="000000"/>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
        </w:tc>
      </w:tr>
      <w:tr>
        <w:trPr>
          <w:trHeight w:val="410" w:hRule="exact"/>
        </w:trPr>
        <w:tc>
          <w:tcPr>
            <w:tcW w:w="3031"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8.65pt;height:.5pt;mso-position-horizontal-relative:char;mso-position-vertical-relative:line" coordorigin="0,0" coordsize="773,10">
                  <v:group style="position:absolute;left:5;top:5;width:764;height:2" coordorigin="5,5" coordsize="764,2">
                    <v:shape style="position:absolute;left:5;top:5;width:764;height:2" coordorigin="5,5" coordsize="764,0" path="m5,5l768,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1"/>
              <w:ind w:left="138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0" w:type="dxa"/>
            <w:tcBorders>
              <w:top w:val="single" w:sz="4" w:space="0" w:color="000000"/>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0" w:type="dxa"/>
            <w:tcBorders>
              <w:top w:val="single" w:sz="4" w:space="0" w:color="000000"/>
              <w:left w:val="nil" w:sz="6" w:space="0" w:color="auto"/>
              <w:bottom w:val="single" w:sz="4" w:space="0" w:color="000000"/>
              <w:right w:val="nil" w:sz="6" w:space="0" w:color="auto"/>
            </w:tcBorders>
          </w:tcPr>
          <w:p>
            <w:pPr/>
          </w:p>
        </w:tc>
        <w:tc>
          <w:tcPr>
            <w:tcW w:w="101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0"/>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79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189" w:lineRule="exact" w:before="51"/>
              <w:ind w:left="103" w:right="0"/>
              <w:jc w:val="center"/>
              <w:rPr>
                <w:rFonts w:ascii="宋体" w:hAnsi="宋体" w:cs="宋体" w:eastAsia="宋体" w:hint="default"/>
                <w:sz w:val="18"/>
                <w:szCs w:val="18"/>
              </w:rPr>
            </w:pPr>
            <w:r>
              <w:rPr>
                <w:rFonts w:ascii="宋体" w:hAnsi="宋体" w:cs="宋体" w:eastAsia="宋体" w:hint="default"/>
                <w:sz w:val="18"/>
                <w:szCs w:val="18"/>
              </w:rPr>
              <w:t>盈余公积</w:t>
            </w:r>
          </w:p>
          <w:p>
            <w:pPr>
              <w:pStyle w:val="TableParagraph"/>
              <w:tabs>
                <w:tab w:pos="1303" w:val="left" w:leader="none"/>
              </w:tabs>
              <w:spacing w:line="161" w:lineRule="exact"/>
              <w:ind w:left="76" w:right="-24"/>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84" w:type="dxa"/>
            <w:tcBorders>
              <w:top w:val="single" w:sz="4" w:space="0" w:color="000000"/>
              <w:left w:val="nil" w:sz="6" w:space="0" w:color="auto"/>
              <w:bottom w:val="nil" w:sz="6" w:space="0" w:color="auto"/>
              <w:right w:val="nil" w:sz="6" w:space="0" w:color="auto"/>
            </w:tcBorders>
          </w:tcPr>
          <w:p>
            <w:pPr/>
          </w:p>
        </w:tc>
        <w:tc>
          <w:tcPr>
            <w:tcW w:w="821" w:type="dxa"/>
            <w:tcBorders>
              <w:top w:val="single" w:sz="4" w:space="0" w:color="000000"/>
              <w:left w:val="nil" w:sz="6" w:space="0" w:color="auto"/>
              <w:bottom w:val="nil" w:sz="6" w:space="0" w:color="auto"/>
              <w:right w:val="nil" w:sz="6" w:space="0" w:color="auto"/>
            </w:tcBorders>
          </w:tcPr>
          <w:p>
            <w:pPr>
              <w:pStyle w:val="TableParagraph"/>
              <w:spacing w:line="169" w:lineRule="exact"/>
              <w:ind w:left="69" w:right="0"/>
              <w:jc w:val="left"/>
              <w:rPr>
                <w:rFonts w:ascii="宋体" w:hAnsi="宋体" w:cs="宋体" w:eastAsia="宋体" w:hint="default"/>
                <w:sz w:val="18"/>
                <w:szCs w:val="18"/>
              </w:rPr>
            </w:pPr>
            <w:r>
              <w:rPr>
                <w:rFonts w:ascii="宋体" w:hAnsi="宋体" w:cs="宋体" w:eastAsia="宋体" w:hint="default"/>
                <w:sz w:val="18"/>
                <w:szCs w:val="18"/>
              </w:rPr>
              <w:t>一般风险</w:t>
            </w:r>
          </w:p>
          <w:p>
            <w:pPr>
              <w:pStyle w:val="TableParagraph"/>
              <w:tabs>
                <w:tab w:pos="847" w:val="left" w:leader="none"/>
              </w:tabs>
              <w:spacing w:line="219" w:lineRule="exact"/>
              <w:ind w:left="14"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0"/>
                <w:sz w:val="18"/>
                <w:szCs w:val="18"/>
                <w:u w:val="single" w:color="000000"/>
              </w:rPr>
              <w:t> </w:t>
            </w:r>
            <w:r>
              <w:rPr>
                <w:rFonts w:ascii="宋体" w:hAnsi="宋体" w:cs="宋体" w:eastAsia="宋体" w:hint="default"/>
                <w:sz w:val="18"/>
                <w:szCs w:val="18"/>
                <w:u w:val="single" w:color="000000"/>
              </w:rPr>
              <w:t>准备</w:t>
              <w:tab/>
            </w:r>
            <w:r>
              <w:rPr>
                <w:rFonts w:ascii="宋体" w:hAnsi="宋体" w:cs="宋体" w:eastAsia="宋体" w:hint="default"/>
                <w:sz w:val="18"/>
                <w:szCs w:val="18"/>
              </w:rPr>
            </w:r>
          </w:p>
        </w:tc>
        <w:tc>
          <w:tcPr>
            <w:tcW w:w="118" w:type="dxa"/>
            <w:tcBorders>
              <w:top w:val="single" w:sz="4" w:space="0" w:color="000000"/>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189" w:lineRule="exact" w:before="51"/>
              <w:ind w:right="59"/>
              <w:jc w:val="center"/>
              <w:rPr>
                <w:rFonts w:ascii="宋体" w:hAnsi="宋体" w:cs="宋体" w:eastAsia="宋体" w:hint="default"/>
                <w:sz w:val="18"/>
                <w:szCs w:val="18"/>
              </w:rPr>
            </w:pPr>
            <w:r>
              <w:rPr>
                <w:rFonts w:ascii="宋体" w:hAnsi="宋体" w:cs="宋体" w:eastAsia="宋体" w:hint="default"/>
                <w:sz w:val="18"/>
                <w:szCs w:val="18"/>
              </w:rPr>
              <w:t>未分配利润</w:t>
            </w:r>
          </w:p>
          <w:p>
            <w:pPr>
              <w:pStyle w:val="TableParagraph"/>
              <w:tabs>
                <w:tab w:pos="1377" w:val="left" w:leader="none"/>
              </w:tabs>
              <w:spacing w:line="161" w:lineRule="exact"/>
              <w:ind w:left="-15" w:right="46"/>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30" w:type="dxa"/>
            <w:tcBorders>
              <w:top w:val="single" w:sz="4" w:space="0" w:color="000000"/>
              <w:left w:val="nil" w:sz="6" w:space="0" w:color="auto"/>
              <w:bottom w:val="nil" w:sz="6" w:space="0" w:color="auto"/>
              <w:right w:val="nil" w:sz="6" w:space="0" w:color="auto"/>
            </w:tcBorders>
          </w:tcPr>
          <w:p>
            <w:pPr/>
          </w:p>
        </w:tc>
        <w:tc>
          <w:tcPr>
            <w:tcW w:w="972" w:type="dxa"/>
            <w:tcBorders>
              <w:top w:val="single" w:sz="4" w:space="0" w:color="000000"/>
              <w:left w:val="nil" w:sz="6" w:space="0" w:color="auto"/>
              <w:bottom w:val="nil" w:sz="6" w:space="0" w:color="auto"/>
              <w:right w:val="nil" w:sz="6" w:space="0" w:color="auto"/>
            </w:tcBorders>
          </w:tcPr>
          <w:p>
            <w:pPr>
              <w:pStyle w:val="TableParagraph"/>
              <w:spacing w:line="169" w:lineRule="exact"/>
              <w:ind w:right="0"/>
              <w:jc w:val="left"/>
              <w:rPr>
                <w:rFonts w:ascii="宋体" w:hAnsi="宋体" w:cs="宋体" w:eastAsia="宋体" w:hint="default"/>
                <w:sz w:val="18"/>
                <w:szCs w:val="18"/>
              </w:rPr>
            </w:pPr>
            <w:r>
              <w:rPr>
                <w:rFonts w:ascii="宋体" w:hAnsi="宋体" w:cs="宋体" w:eastAsia="宋体" w:hint="default"/>
                <w:sz w:val="18"/>
                <w:szCs w:val="18"/>
              </w:rPr>
              <w:t>少数股东权</w:t>
            </w:r>
          </w:p>
          <w:p>
            <w:pPr>
              <w:pStyle w:val="TableParagraph"/>
              <w:tabs>
                <w:tab w:pos="359" w:val="left" w:leader="none"/>
                <w:tab w:pos="971" w:val="left" w:leader="none"/>
              </w:tabs>
              <w:spacing w:line="219" w:lineRule="exact"/>
              <w:ind w:left="-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益</w:t>
              <w:tab/>
            </w:r>
            <w:r>
              <w:rPr>
                <w:rFonts w:ascii="宋体" w:hAnsi="宋体" w:cs="宋体" w:eastAsia="宋体" w:hint="default"/>
                <w:sz w:val="18"/>
                <w:szCs w:val="18"/>
              </w:rPr>
            </w:r>
          </w:p>
        </w:tc>
        <w:tc>
          <w:tcPr>
            <w:tcW w:w="1517" w:type="dxa"/>
            <w:tcBorders>
              <w:top w:val="single" w:sz="4" w:space="0" w:color="000000"/>
              <w:left w:val="nil" w:sz="6" w:space="0" w:color="auto"/>
              <w:bottom w:val="nil" w:sz="6" w:space="0" w:color="auto"/>
              <w:right w:val="nil" w:sz="6" w:space="0" w:color="auto"/>
            </w:tcBorders>
          </w:tcPr>
          <w:p>
            <w:pPr>
              <w:pStyle w:val="TableParagraph"/>
              <w:spacing w:line="189" w:lineRule="exact" w:before="51"/>
              <w:ind w:right="26"/>
              <w:jc w:val="center"/>
              <w:rPr>
                <w:rFonts w:ascii="宋体" w:hAnsi="宋体" w:cs="宋体" w:eastAsia="宋体" w:hint="default"/>
                <w:sz w:val="18"/>
                <w:szCs w:val="18"/>
              </w:rPr>
            </w:pPr>
            <w:r>
              <w:rPr>
                <w:rFonts w:ascii="宋体" w:hAnsi="宋体" w:cs="宋体" w:eastAsia="宋体" w:hint="default"/>
                <w:sz w:val="18"/>
                <w:szCs w:val="18"/>
              </w:rPr>
              <w:t>股东权益合计</w:t>
            </w:r>
          </w:p>
          <w:p>
            <w:pPr>
              <w:pStyle w:val="TableParagraph"/>
              <w:tabs>
                <w:tab w:pos="1315" w:val="left" w:leader="none"/>
              </w:tabs>
              <w:spacing w:line="161" w:lineRule="exact"/>
              <w:ind w:right="26"/>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r>
      <w:tr>
        <w:trPr>
          <w:trHeight w:val="338"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4"/>
              <w:jc w:val="right"/>
              <w:rPr>
                <w:rFonts w:ascii="宋体" w:hAnsi="宋体" w:cs="宋体" w:eastAsia="宋体" w:hint="default"/>
                <w:sz w:val="18"/>
                <w:szCs w:val="18"/>
              </w:rPr>
            </w:pPr>
            <w:r>
              <w:rPr>
                <w:rFonts w:ascii="宋体"/>
                <w:spacing w:val="-1"/>
                <w:sz w:val="18"/>
              </w:rPr>
              <w:t>88,000,000.00</w:t>
            </w:r>
            <w:r>
              <w:rPr>
                <w:rFonts w:ascii="宋体"/>
                <w:sz w:val="18"/>
              </w:rPr>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3"/>
              <w:jc w:val="right"/>
              <w:rPr>
                <w:rFonts w:ascii="宋体" w:hAnsi="宋体" w:cs="宋体" w:eastAsia="宋体" w:hint="default"/>
                <w:sz w:val="18"/>
                <w:szCs w:val="18"/>
              </w:rPr>
            </w:pPr>
            <w:r>
              <w:rPr>
                <w:rFonts w:ascii="宋体"/>
                <w:spacing w:val="-1"/>
                <w:sz w:val="18"/>
              </w:rPr>
              <w:t>132,980,990.76</w:t>
            </w:r>
          </w:p>
        </w:tc>
        <w:tc>
          <w:tcPr>
            <w:tcW w:w="110" w:type="dxa"/>
            <w:tcBorders>
              <w:top w:val="single" w:sz="4" w:space="0" w:color="000000"/>
              <w:left w:val="nil" w:sz="6" w:space="0" w:color="auto"/>
              <w:bottom w:val="single" w:sz="4" w:space="0" w:color="000000"/>
              <w:right w:val="nil" w:sz="6" w:space="0" w:color="auto"/>
            </w:tcBorders>
          </w:tcPr>
          <w:p>
            <w:pPr/>
          </w:p>
        </w:tc>
        <w:tc>
          <w:tcPr>
            <w:tcW w:w="1013"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104"/>
              <w:jc w:val="right"/>
              <w:rPr>
                <w:rFonts w:ascii="宋体" w:hAnsi="宋体" w:cs="宋体" w:eastAsia="宋体" w:hint="default"/>
                <w:sz w:val="18"/>
                <w:szCs w:val="18"/>
              </w:rPr>
            </w:pPr>
            <w:r>
              <w:rPr>
                <w:rFonts w:ascii="宋体"/>
                <w:sz w:val="18"/>
              </w:rPr>
              <w:t>-</w:t>
            </w:r>
          </w:p>
        </w:tc>
        <w:tc>
          <w:tcPr>
            <w:tcW w:w="790"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11,736,079.47</w:t>
            </w:r>
            <w:r>
              <w:rPr>
                <w:rFonts w:ascii="宋体"/>
                <w:sz w:val="18"/>
              </w:rPr>
            </w:r>
          </w:p>
        </w:tc>
        <w:tc>
          <w:tcPr>
            <w:tcW w:w="84" w:type="dxa"/>
            <w:tcBorders>
              <w:top w:val="nil" w:sz="6" w:space="0" w:color="auto"/>
              <w:left w:val="nil" w:sz="6" w:space="0" w:color="auto"/>
              <w:bottom w:val="single" w:sz="4" w:space="0" w:color="000000"/>
              <w:right w:val="nil" w:sz="6" w:space="0" w:color="auto"/>
            </w:tcBorders>
          </w:tcPr>
          <w:p>
            <w:pPr/>
          </w:p>
        </w:tc>
        <w:tc>
          <w:tcPr>
            <w:tcW w:w="821"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69"/>
              <w:jc w:val="right"/>
              <w:rPr>
                <w:rFonts w:ascii="宋体" w:hAnsi="宋体" w:cs="宋体" w:eastAsia="宋体" w:hint="default"/>
                <w:sz w:val="18"/>
                <w:szCs w:val="18"/>
              </w:rPr>
            </w:pPr>
            <w:r>
              <w:rPr>
                <w:rFonts w:ascii="宋体"/>
                <w:spacing w:val="-1"/>
                <w:sz w:val="18"/>
              </w:rPr>
              <w:t>86,282,907.86</w:t>
            </w:r>
            <w:r>
              <w:rPr>
                <w:rFonts w:ascii="宋体"/>
                <w:sz w:val="18"/>
              </w:rPr>
            </w:r>
          </w:p>
        </w:tc>
        <w:tc>
          <w:tcPr>
            <w:tcW w:w="130" w:type="dxa"/>
            <w:tcBorders>
              <w:top w:val="nil" w:sz="6" w:space="0" w:color="auto"/>
              <w:left w:val="nil" w:sz="6" w:space="0" w:color="auto"/>
              <w:bottom w:val="single" w:sz="4" w:space="0" w:color="000000"/>
              <w:right w:val="nil" w:sz="6" w:space="0" w:color="auto"/>
            </w:tcBorders>
          </w:tcPr>
          <w:p>
            <w:pPr/>
          </w:p>
        </w:tc>
        <w:tc>
          <w:tcPr>
            <w:tcW w:w="972"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25"/>
              <w:jc w:val="right"/>
              <w:rPr>
                <w:rFonts w:ascii="宋体" w:hAnsi="宋体" w:cs="宋体" w:eastAsia="宋体" w:hint="default"/>
                <w:sz w:val="18"/>
                <w:szCs w:val="18"/>
              </w:rPr>
            </w:pPr>
            <w:r>
              <w:rPr>
                <w:rFonts w:ascii="宋体"/>
                <w:sz w:val="18"/>
              </w:rPr>
              <w:t>-</w:t>
            </w: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38"/>
              <w:jc w:val="right"/>
              <w:rPr>
                <w:rFonts w:ascii="宋体" w:hAnsi="宋体" w:cs="宋体" w:eastAsia="宋体" w:hint="default"/>
                <w:sz w:val="18"/>
                <w:szCs w:val="18"/>
              </w:rPr>
            </w:pPr>
            <w:r>
              <w:rPr>
                <w:rFonts w:ascii="宋体"/>
                <w:spacing w:val="-1"/>
                <w:sz w:val="18"/>
              </w:rPr>
              <w:t>318,999,978.09</w:t>
            </w:r>
          </w:p>
        </w:tc>
      </w:tr>
      <w:tr>
        <w:trPr>
          <w:trHeight w:val="298"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single" w:sz="4" w:space="0" w:color="000000"/>
              <w:left w:val="nil" w:sz="6" w:space="0" w:color="auto"/>
              <w:bottom w:val="nil" w:sz="6" w:space="0" w:color="auto"/>
              <w:right w:val="nil" w:sz="6" w:space="0" w:color="auto"/>
            </w:tcBorders>
          </w:tcPr>
          <w:p>
            <w:pPr/>
          </w:p>
        </w:tc>
        <w:tc>
          <w:tcPr>
            <w:tcW w:w="1013"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4"/>
              <w:jc w:val="right"/>
              <w:rPr>
                <w:rFonts w:ascii="宋体" w:hAnsi="宋体" w:cs="宋体" w:eastAsia="宋体" w:hint="default"/>
                <w:sz w:val="18"/>
                <w:szCs w:val="18"/>
              </w:rPr>
            </w:pPr>
            <w:r>
              <w:rPr>
                <w:rFonts w:ascii="宋体"/>
                <w:sz w:val="18"/>
              </w:rPr>
              <w:t>-</w:t>
            </w:r>
          </w:p>
        </w:tc>
        <w:tc>
          <w:tcPr>
            <w:tcW w:w="790"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w:t>
            </w:r>
          </w:p>
        </w:tc>
        <w:tc>
          <w:tcPr>
            <w:tcW w:w="84" w:type="dxa"/>
            <w:tcBorders>
              <w:top w:val="single" w:sz="4" w:space="0" w:color="000000"/>
              <w:left w:val="nil" w:sz="6" w:space="0" w:color="auto"/>
              <w:bottom w:val="nil" w:sz="6" w:space="0" w:color="auto"/>
              <w:right w:val="nil" w:sz="6" w:space="0" w:color="auto"/>
            </w:tcBorders>
          </w:tcPr>
          <w:p>
            <w:pPr/>
          </w:p>
        </w:tc>
        <w:tc>
          <w:tcPr>
            <w:tcW w:w="821"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73"/>
              <w:jc w:val="right"/>
              <w:rPr>
                <w:rFonts w:ascii="宋体" w:hAnsi="宋体" w:cs="宋体" w:eastAsia="宋体" w:hint="default"/>
                <w:sz w:val="18"/>
                <w:szCs w:val="18"/>
              </w:rPr>
            </w:pPr>
            <w:r>
              <w:rPr>
                <w:rFonts w:ascii="宋体"/>
                <w:sz w:val="18"/>
              </w:rPr>
              <w:t>-</w:t>
            </w:r>
          </w:p>
        </w:tc>
        <w:tc>
          <w:tcPr>
            <w:tcW w:w="130" w:type="dxa"/>
            <w:tcBorders>
              <w:top w:val="single" w:sz="4" w:space="0" w:color="000000"/>
              <w:left w:val="nil" w:sz="6" w:space="0" w:color="auto"/>
              <w:bottom w:val="nil" w:sz="6" w:space="0" w:color="auto"/>
              <w:right w:val="nil" w:sz="6" w:space="0" w:color="auto"/>
            </w:tcBorders>
          </w:tcPr>
          <w:p>
            <w:pPr/>
          </w:p>
        </w:tc>
        <w:tc>
          <w:tcPr>
            <w:tcW w:w="972"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40"/>
              <w:jc w:val="right"/>
              <w:rPr>
                <w:rFonts w:ascii="宋体" w:hAnsi="宋体" w:cs="宋体" w:eastAsia="宋体" w:hint="default"/>
                <w:sz w:val="18"/>
                <w:szCs w:val="18"/>
              </w:rPr>
            </w:pPr>
            <w:r>
              <w:rPr>
                <w:rFonts w:ascii="宋体"/>
                <w:sz w:val="18"/>
              </w:rPr>
              <w:t>-</w:t>
            </w:r>
          </w:p>
        </w:tc>
      </w:tr>
      <w:tr>
        <w:trPr>
          <w:trHeight w:val="66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00" w:lineRule="exact" w:before="36"/>
              <w:ind w:left="391" w:right="1019"/>
              <w:jc w:val="left"/>
              <w:rPr>
                <w:rFonts w:ascii="宋体" w:hAnsi="宋体" w:cs="宋体" w:eastAsia="宋体" w:hint="default"/>
                <w:sz w:val="18"/>
                <w:szCs w:val="18"/>
              </w:rPr>
            </w:pPr>
            <w:r>
              <w:rPr>
                <w:rFonts w:ascii="宋体" w:hAnsi="宋体" w:cs="宋体" w:eastAsia="宋体" w:hint="default"/>
                <w:sz w:val="18"/>
                <w:szCs w:val="18"/>
              </w:rPr>
              <w:t>前期差错更正 同一控制下企业合并 其他</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w:t>
            </w: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73"/>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40"/>
              <w:jc w:val="right"/>
              <w:rPr>
                <w:rFonts w:ascii="宋体" w:hAnsi="宋体" w:cs="宋体" w:eastAsia="宋体" w:hint="default"/>
                <w:sz w:val="18"/>
                <w:szCs w:val="18"/>
              </w:rPr>
            </w:pPr>
            <w:r>
              <w:rPr>
                <w:rFonts w:ascii="宋体"/>
                <w:sz w:val="18"/>
              </w:rPr>
              <w:t>-</w:t>
            </w:r>
          </w:p>
        </w:tc>
      </w:tr>
      <w:tr>
        <w:trPr>
          <w:trHeight w:val="305"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22" w:lineRule="exact"/>
              <w:ind w:left="31"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single" w:sz="4" w:space="0" w:color="000000"/>
              <w:right w:val="nil" w:sz="6" w:space="0" w:color="auto"/>
            </w:tcBorders>
          </w:tcPr>
          <w:p>
            <w:pPr>
              <w:pStyle w:val="TableParagraph"/>
              <w:spacing w:line="224" w:lineRule="exact"/>
              <w:ind w:right="25"/>
              <w:jc w:val="right"/>
              <w:rPr>
                <w:rFonts w:ascii="宋体" w:hAnsi="宋体" w:cs="宋体" w:eastAsia="宋体" w:hint="default"/>
                <w:sz w:val="18"/>
                <w:szCs w:val="18"/>
              </w:rPr>
            </w:pPr>
            <w:r>
              <w:rPr>
                <w:rFonts w:ascii="宋体"/>
                <w:spacing w:val="-1"/>
                <w:sz w:val="18"/>
              </w:rPr>
              <w:t>88,000,000.00</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Style w:val="TableParagraph"/>
              <w:spacing w:line="224" w:lineRule="exact"/>
              <w:ind w:right="23"/>
              <w:jc w:val="right"/>
              <w:rPr>
                <w:rFonts w:ascii="宋体" w:hAnsi="宋体" w:cs="宋体" w:eastAsia="宋体" w:hint="default"/>
                <w:sz w:val="18"/>
                <w:szCs w:val="18"/>
              </w:rPr>
            </w:pPr>
            <w:r>
              <w:rPr>
                <w:rFonts w:ascii="宋体"/>
                <w:spacing w:val="-1"/>
                <w:sz w:val="18"/>
              </w:rPr>
              <w:t>132,980,990.76</w:t>
            </w:r>
          </w:p>
        </w:tc>
        <w:tc>
          <w:tcPr>
            <w:tcW w:w="110" w:type="dxa"/>
            <w:tcBorders>
              <w:top w:val="nil" w:sz="6" w:space="0" w:color="auto"/>
              <w:left w:val="nil" w:sz="6" w:space="0" w:color="auto"/>
              <w:bottom w:val="single" w:sz="4" w:space="0" w:color="000000"/>
              <w:right w:val="nil" w:sz="6" w:space="0" w:color="auto"/>
            </w:tcBorders>
          </w:tcPr>
          <w:p>
            <w:pPr/>
          </w:p>
        </w:tc>
        <w:tc>
          <w:tcPr>
            <w:tcW w:w="1013" w:type="dxa"/>
            <w:tcBorders>
              <w:top w:val="nil" w:sz="6" w:space="0" w:color="auto"/>
              <w:left w:val="nil" w:sz="6" w:space="0" w:color="auto"/>
              <w:bottom w:val="single" w:sz="4" w:space="0" w:color="000000"/>
              <w:right w:val="nil" w:sz="6" w:space="0" w:color="auto"/>
            </w:tcBorders>
          </w:tcPr>
          <w:p>
            <w:pPr>
              <w:pStyle w:val="TableParagraph"/>
              <w:spacing w:line="224" w:lineRule="exact"/>
              <w:ind w:right="104"/>
              <w:jc w:val="right"/>
              <w:rPr>
                <w:rFonts w:ascii="宋体" w:hAnsi="宋体" w:cs="宋体" w:eastAsia="宋体" w:hint="default"/>
                <w:sz w:val="18"/>
                <w:szCs w:val="18"/>
              </w:rPr>
            </w:pPr>
            <w:r>
              <w:rPr>
                <w:rFonts w:ascii="宋体"/>
                <w:sz w:val="18"/>
              </w:rPr>
              <w:t>-</w:t>
            </w:r>
          </w:p>
        </w:tc>
        <w:tc>
          <w:tcPr>
            <w:tcW w:w="790" w:type="dxa"/>
            <w:tcBorders>
              <w:top w:val="nil" w:sz="6" w:space="0" w:color="auto"/>
              <w:left w:val="nil" w:sz="6" w:space="0" w:color="auto"/>
              <w:bottom w:val="single" w:sz="4" w:space="0" w:color="000000"/>
              <w:right w:val="nil" w:sz="6" w:space="0" w:color="auto"/>
            </w:tcBorders>
          </w:tcPr>
          <w:p>
            <w:pPr>
              <w:pStyle w:val="TableParagraph"/>
              <w:spacing w:line="224" w:lineRule="exact"/>
              <w:ind w:right="25"/>
              <w:jc w:val="right"/>
              <w:rPr>
                <w:rFonts w:ascii="宋体" w:hAnsi="宋体" w:cs="宋体" w:eastAsia="宋体" w:hint="default"/>
                <w:sz w:val="18"/>
                <w:szCs w:val="18"/>
              </w:rPr>
            </w:pPr>
            <w:r>
              <w:rPr>
                <w:rFonts w:ascii="宋体"/>
                <w:sz w:val="18"/>
              </w:rPr>
              <w:t>-</w:t>
            </w:r>
          </w:p>
        </w:tc>
        <w:tc>
          <w:tcPr>
            <w:tcW w:w="1279" w:type="dxa"/>
            <w:tcBorders>
              <w:top w:val="nil" w:sz="6" w:space="0" w:color="auto"/>
              <w:left w:val="nil" w:sz="6" w:space="0" w:color="auto"/>
              <w:bottom w:val="single" w:sz="4" w:space="0" w:color="000000"/>
              <w:right w:val="nil" w:sz="6" w:space="0" w:color="auto"/>
            </w:tcBorders>
          </w:tcPr>
          <w:p>
            <w:pPr>
              <w:pStyle w:val="TableParagraph"/>
              <w:spacing w:line="224" w:lineRule="exact"/>
              <w:ind w:right="0"/>
              <w:jc w:val="right"/>
              <w:rPr>
                <w:rFonts w:ascii="宋体" w:hAnsi="宋体" w:cs="宋体" w:eastAsia="宋体" w:hint="default"/>
                <w:sz w:val="18"/>
                <w:szCs w:val="18"/>
              </w:rPr>
            </w:pPr>
            <w:r>
              <w:rPr>
                <w:rFonts w:ascii="宋体"/>
                <w:spacing w:val="-1"/>
                <w:sz w:val="18"/>
              </w:rPr>
              <w:t>11,736,079.47</w:t>
            </w:r>
            <w:r>
              <w:rPr>
                <w:rFonts w:ascii="宋体"/>
                <w:sz w:val="18"/>
              </w:rPr>
            </w:r>
          </w:p>
        </w:tc>
        <w:tc>
          <w:tcPr>
            <w:tcW w:w="84" w:type="dxa"/>
            <w:tcBorders>
              <w:top w:val="nil" w:sz="6" w:space="0" w:color="auto"/>
              <w:left w:val="nil" w:sz="6" w:space="0" w:color="auto"/>
              <w:bottom w:val="single" w:sz="4" w:space="0" w:color="000000"/>
              <w:right w:val="nil" w:sz="6" w:space="0" w:color="auto"/>
            </w:tcBorders>
          </w:tcPr>
          <w:p>
            <w:pPr/>
          </w:p>
        </w:tc>
        <w:tc>
          <w:tcPr>
            <w:tcW w:w="821" w:type="dxa"/>
            <w:tcBorders>
              <w:top w:val="nil" w:sz="6" w:space="0" w:color="auto"/>
              <w:left w:val="nil" w:sz="6" w:space="0" w:color="auto"/>
              <w:bottom w:val="single" w:sz="4" w:space="0" w:color="000000"/>
              <w:right w:val="nil" w:sz="6" w:space="0" w:color="auto"/>
            </w:tcBorders>
          </w:tcPr>
          <w:p>
            <w:pPr>
              <w:pStyle w:val="TableParagraph"/>
              <w:spacing w:line="224" w:lineRule="exact"/>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24" w:lineRule="exact"/>
              <w:ind w:left="14" w:right="0"/>
              <w:jc w:val="left"/>
              <w:rPr>
                <w:rFonts w:ascii="宋体" w:hAnsi="宋体" w:cs="宋体" w:eastAsia="宋体" w:hint="default"/>
                <w:sz w:val="18"/>
                <w:szCs w:val="18"/>
              </w:rPr>
            </w:pPr>
            <w:r>
              <w:rPr>
                <w:rFonts w:ascii="宋体"/>
                <w:sz w:val="18"/>
              </w:rPr>
              <w:t>86,282,907.86</w:t>
            </w:r>
          </w:p>
        </w:tc>
        <w:tc>
          <w:tcPr>
            <w:tcW w:w="130" w:type="dxa"/>
            <w:tcBorders>
              <w:top w:val="nil" w:sz="6" w:space="0" w:color="auto"/>
              <w:left w:val="nil" w:sz="6" w:space="0" w:color="auto"/>
              <w:bottom w:val="single" w:sz="4" w:space="0" w:color="000000"/>
              <w:right w:val="nil" w:sz="6" w:space="0" w:color="auto"/>
            </w:tcBorders>
          </w:tcPr>
          <w:p>
            <w:pPr/>
          </w:p>
        </w:tc>
        <w:tc>
          <w:tcPr>
            <w:tcW w:w="972" w:type="dxa"/>
            <w:tcBorders>
              <w:top w:val="nil" w:sz="6" w:space="0" w:color="auto"/>
              <w:left w:val="nil" w:sz="6" w:space="0" w:color="auto"/>
              <w:bottom w:val="single" w:sz="4" w:space="0" w:color="000000"/>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24" w:lineRule="exact"/>
              <w:ind w:right="139"/>
              <w:jc w:val="right"/>
              <w:rPr>
                <w:rFonts w:ascii="宋体" w:hAnsi="宋体" w:cs="宋体" w:eastAsia="宋体" w:hint="default"/>
                <w:sz w:val="18"/>
                <w:szCs w:val="18"/>
              </w:rPr>
            </w:pPr>
            <w:r>
              <w:rPr>
                <w:rFonts w:ascii="宋体" w:hAnsi="宋体" w:cs="宋体" w:eastAsia="宋体" w:hint="default"/>
                <w:spacing w:val="1"/>
                <w:sz w:val="18"/>
                <w:szCs w:val="18"/>
              </w:rPr>
              <w:t>318</w:t>
            </w:r>
            <w:r>
              <w:rPr>
                <w:rFonts w:ascii="宋体" w:hAnsi="宋体" w:cs="宋体" w:eastAsia="宋体" w:hint="default"/>
                <w:spacing w:val="-92"/>
                <w:sz w:val="18"/>
                <w:szCs w:val="18"/>
              </w:rPr>
              <w:t>，</w:t>
            </w:r>
            <w:r>
              <w:rPr>
                <w:rFonts w:ascii="宋体" w:hAnsi="宋体" w:cs="宋体" w:eastAsia="宋体" w:hint="default"/>
                <w:spacing w:val="-2"/>
                <w:sz w:val="18"/>
                <w:szCs w:val="18"/>
              </w:rPr>
              <w:t>9</w:t>
            </w:r>
            <w:r>
              <w:rPr>
                <w:rFonts w:ascii="宋体" w:hAnsi="宋体" w:cs="宋体" w:eastAsia="宋体" w:hint="default"/>
                <w:spacing w:val="1"/>
                <w:sz w:val="18"/>
                <w:szCs w:val="18"/>
              </w:rPr>
              <w:t>99</w:t>
            </w:r>
            <w:r>
              <w:rPr>
                <w:rFonts w:ascii="宋体" w:hAnsi="宋体" w:cs="宋体" w:eastAsia="宋体" w:hint="default"/>
                <w:spacing w:val="-92"/>
                <w:sz w:val="18"/>
                <w:szCs w:val="18"/>
              </w:rPr>
              <w:t>，</w:t>
            </w:r>
            <w:r>
              <w:rPr>
                <w:rFonts w:ascii="宋体" w:hAnsi="宋体" w:cs="宋体" w:eastAsia="宋体" w:hint="default"/>
                <w:spacing w:val="-2"/>
                <w:sz w:val="18"/>
                <w:szCs w:val="18"/>
              </w:rPr>
              <w:t>9</w:t>
            </w:r>
            <w:r>
              <w:rPr>
                <w:rFonts w:ascii="宋体" w:hAnsi="宋体" w:cs="宋体" w:eastAsia="宋体" w:hint="default"/>
                <w:spacing w:val="1"/>
                <w:sz w:val="18"/>
                <w:szCs w:val="18"/>
              </w:rPr>
              <w:t>7</w:t>
            </w:r>
            <w:r>
              <w:rPr>
                <w:rFonts w:ascii="宋体" w:hAnsi="宋体" w:cs="宋体" w:eastAsia="宋体" w:hint="default"/>
                <w:spacing w:val="-2"/>
                <w:sz w:val="18"/>
                <w:szCs w:val="18"/>
              </w:rPr>
              <w:t>8</w:t>
            </w:r>
            <w:r>
              <w:rPr>
                <w:rFonts w:ascii="宋体" w:hAnsi="宋体" w:cs="宋体" w:eastAsia="宋体" w:hint="default"/>
                <w:spacing w:val="1"/>
                <w:sz w:val="18"/>
                <w:szCs w:val="18"/>
              </w:rPr>
              <w:t>.</w:t>
            </w:r>
            <w:r>
              <w:rPr>
                <w:rFonts w:ascii="宋体" w:hAnsi="宋体" w:cs="宋体" w:eastAsia="宋体" w:hint="default"/>
                <w:spacing w:val="-2"/>
                <w:sz w:val="18"/>
                <w:szCs w:val="18"/>
              </w:rPr>
              <w:t>09</w:t>
            </w:r>
            <w:r>
              <w:rPr>
                <w:rFonts w:ascii="宋体" w:hAnsi="宋体" w:cs="宋体" w:eastAsia="宋体" w:hint="default"/>
                <w:sz w:val="18"/>
                <w:szCs w:val="18"/>
              </w:rPr>
            </w:r>
          </w:p>
        </w:tc>
      </w:tr>
      <w:tr>
        <w:trPr>
          <w:trHeight w:val="338"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4"/>
              <w:jc w:val="right"/>
              <w:rPr>
                <w:rFonts w:ascii="宋体" w:hAnsi="宋体" w:cs="宋体" w:eastAsia="宋体" w:hint="default"/>
                <w:sz w:val="18"/>
                <w:szCs w:val="18"/>
              </w:rPr>
            </w:pPr>
            <w:r>
              <w:rPr>
                <w:rFonts w:ascii="宋体"/>
                <w:spacing w:val="-1"/>
                <w:sz w:val="18"/>
              </w:rPr>
              <w:t>70,400,000.00</w:t>
            </w:r>
            <w:r>
              <w:rPr>
                <w:rFonts w:ascii="宋体"/>
                <w:sz w:val="18"/>
              </w:rPr>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70,400,000.00</w:t>
            </w:r>
            <w:r>
              <w:rPr>
                <w:rFonts w:ascii="宋体" w:hAnsi="宋体" w:cs="宋体" w:eastAsia="宋体" w:hint="default"/>
                <w:spacing w:val="-1"/>
                <w:sz w:val="18"/>
                <w:szCs w:val="18"/>
              </w:rPr>
              <w:t>）</w:t>
            </w:r>
          </w:p>
        </w:tc>
        <w:tc>
          <w:tcPr>
            <w:tcW w:w="110" w:type="dxa"/>
            <w:tcBorders>
              <w:top w:val="single" w:sz="4" w:space="0" w:color="000000"/>
              <w:left w:val="nil" w:sz="6" w:space="0" w:color="auto"/>
              <w:bottom w:val="single" w:sz="4" w:space="0" w:color="000000"/>
              <w:right w:val="nil" w:sz="6" w:space="0" w:color="auto"/>
            </w:tcBorders>
          </w:tcPr>
          <w:p>
            <w:pPr/>
          </w:p>
        </w:tc>
        <w:tc>
          <w:tcPr>
            <w:tcW w:w="1013"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104"/>
              <w:jc w:val="right"/>
              <w:rPr>
                <w:rFonts w:ascii="宋体" w:hAnsi="宋体" w:cs="宋体" w:eastAsia="宋体" w:hint="default"/>
                <w:sz w:val="18"/>
                <w:szCs w:val="18"/>
              </w:rPr>
            </w:pPr>
            <w:r>
              <w:rPr>
                <w:rFonts w:ascii="宋体"/>
                <w:sz w:val="18"/>
              </w:rPr>
              <w:t>-</w:t>
            </w:r>
          </w:p>
        </w:tc>
        <w:tc>
          <w:tcPr>
            <w:tcW w:w="790"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2,290,759.50</w:t>
            </w:r>
          </w:p>
        </w:tc>
        <w:tc>
          <w:tcPr>
            <w:tcW w:w="84" w:type="dxa"/>
            <w:tcBorders>
              <w:top w:val="single" w:sz="4" w:space="0" w:color="000000"/>
              <w:left w:val="nil" w:sz="6" w:space="0" w:color="auto"/>
              <w:bottom w:val="single" w:sz="4" w:space="0" w:color="000000"/>
              <w:right w:val="nil" w:sz="6" w:space="0" w:color="auto"/>
            </w:tcBorders>
          </w:tcPr>
          <w:p>
            <w:pPr/>
          </w:p>
        </w:tc>
        <w:tc>
          <w:tcPr>
            <w:tcW w:w="821"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69"/>
              <w:jc w:val="right"/>
              <w:rPr>
                <w:rFonts w:ascii="宋体" w:hAnsi="宋体" w:cs="宋体" w:eastAsia="宋体" w:hint="default"/>
                <w:sz w:val="18"/>
                <w:szCs w:val="18"/>
              </w:rPr>
            </w:pPr>
            <w:r>
              <w:rPr>
                <w:rFonts w:ascii="宋体"/>
                <w:spacing w:val="-1"/>
                <w:sz w:val="18"/>
              </w:rPr>
              <w:t>14,953,145.85</w:t>
            </w:r>
            <w:r>
              <w:rPr>
                <w:rFonts w:ascii="宋体"/>
                <w:sz w:val="18"/>
              </w:rPr>
            </w:r>
          </w:p>
        </w:tc>
        <w:tc>
          <w:tcPr>
            <w:tcW w:w="130" w:type="dxa"/>
            <w:tcBorders>
              <w:top w:val="single" w:sz="4" w:space="0" w:color="000000"/>
              <w:left w:val="nil" w:sz="6" w:space="0" w:color="auto"/>
              <w:bottom w:val="single" w:sz="4" w:space="0" w:color="000000"/>
              <w:right w:val="nil" w:sz="6" w:space="0" w:color="auto"/>
            </w:tcBorders>
          </w:tcPr>
          <w:p>
            <w:pPr/>
          </w:p>
        </w:tc>
        <w:tc>
          <w:tcPr>
            <w:tcW w:w="972"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137"/>
              <w:jc w:val="right"/>
              <w:rPr>
                <w:rFonts w:ascii="宋体" w:hAnsi="宋体" w:cs="宋体" w:eastAsia="宋体" w:hint="default"/>
                <w:sz w:val="18"/>
                <w:szCs w:val="18"/>
              </w:rPr>
            </w:pPr>
            <w:r>
              <w:rPr>
                <w:rFonts w:ascii="宋体"/>
                <w:spacing w:val="-1"/>
                <w:sz w:val="18"/>
              </w:rPr>
              <w:t>17,243,905.35</w:t>
            </w:r>
            <w:r>
              <w:rPr>
                <w:rFonts w:ascii="宋体"/>
                <w:sz w:val="18"/>
              </w:rPr>
            </w:r>
          </w:p>
        </w:tc>
      </w:tr>
      <w:tr>
        <w:trPr>
          <w:trHeight w:val="331"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10" w:type="dxa"/>
            <w:tcBorders>
              <w:top w:val="single" w:sz="4" w:space="0" w:color="000000"/>
              <w:left w:val="nil" w:sz="6" w:space="0" w:color="auto"/>
              <w:bottom w:val="nil" w:sz="6" w:space="0" w:color="auto"/>
              <w:right w:val="nil" w:sz="6" w:space="0" w:color="auto"/>
            </w:tcBorders>
          </w:tcPr>
          <w:p>
            <w:pPr/>
          </w:p>
        </w:tc>
        <w:tc>
          <w:tcPr>
            <w:tcW w:w="1013"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04"/>
              <w:jc w:val="right"/>
              <w:rPr>
                <w:rFonts w:ascii="宋体" w:hAnsi="宋体" w:cs="宋体" w:eastAsia="宋体" w:hint="default"/>
                <w:sz w:val="18"/>
                <w:szCs w:val="18"/>
              </w:rPr>
            </w:pPr>
            <w:r>
              <w:rPr>
                <w:rFonts w:ascii="宋体"/>
                <w:sz w:val="18"/>
              </w:rPr>
              <w:t>-</w:t>
            </w:r>
          </w:p>
        </w:tc>
        <w:tc>
          <w:tcPr>
            <w:tcW w:w="790"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84" w:type="dxa"/>
            <w:tcBorders>
              <w:top w:val="single" w:sz="4" w:space="0" w:color="000000"/>
              <w:left w:val="nil" w:sz="6" w:space="0" w:color="auto"/>
              <w:bottom w:val="nil" w:sz="6" w:space="0" w:color="auto"/>
              <w:right w:val="nil" w:sz="6" w:space="0" w:color="auto"/>
            </w:tcBorders>
          </w:tcPr>
          <w:p>
            <w:pPr/>
          </w:p>
        </w:tc>
        <w:tc>
          <w:tcPr>
            <w:tcW w:w="821"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69"/>
              <w:jc w:val="right"/>
              <w:rPr>
                <w:rFonts w:ascii="宋体" w:hAnsi="宋体" w:cs="宋体" w:eastAsia="宋体" w:hint="default"/>
                <w:sz w:val="18"/>
                <w:szCs w:val="18"/>
              </w:rPr>
            </w:pPr>
            <w:r>
              <w:rPr>
                <w:rFonts w:ascii="宋体"/>
                <w:spacing w:val="-1"/>
                <w:sz w:val="18"/>
              </w:rPr>
              <w:t>22,523,905.35</w:t>
            </w:r>
            <w:r>
              <w:rPr>
                <w:rFonts w:ascii="宋体"/>
                <w:sz w:val="18"/>
              </w:rPr>
            </w:r>
          </w:p>
        </w:tc>
        <w:tc>
          <w:tcPr>
            <w:tcW w:w="130" w:type="dxa"/>
            <w:tcBorders>
              <w:top w:val="single" w:sz="4" w:space="0" w:color="000000"/>
              <w:left w:val="nil" w:sz="6" w:space="0" w:color="auto"/>
              <w:bottom w:val="nil" w:sz="6" w:space="0" w:color="auto"/>
              <w:right w:val="nil" w:sz="6" w:space="0" w:color="auto"/>
            </w:tcBorders>
          </w:tcPr>
          <w:p>
            <w:pPr/>
          </w:p>
        </w:tc>
        <w:tc>
          <w:tcPr>
            <w:tcW w:w="972"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37"/>
              <w:jc w:val="right"/>
              <w:rPr>
                <w:rFonts w:ascii="宋体" w:hAnsi="宋体" w:cs="宋体" w:eastAsia="宋体" w:hint="default"/>
                <w:sz w:val="18"/>
                <w:szCs w:val="18"/>
              </w:rPr>
            </w:pPr>
            <w:r>
              <w:rPr>
                <w:rFonts w:ascii="宋体"/>
                <w:spacing w:val="-1"/>
                <w:sz w:val="18"/>
              </w:rPr>
              <w:t>22,523,905.35</w:t>
            </w:r>
            <w:r>
              <w:rPr>
                <w:rFonts w:ascii="宋体"/>
                <w:sz w:val="18"/>
              </w:rPr>
            </w:r>
          </w:p>
        </w:tc>
      </w:tr>
      <w:tr>
        <w:trPr>
          <w:trHeight w:val="326"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1" w:right="0"/>
              <w:jc w:val="left"/>
              <w:rPr>
                <w:rFonts w:ascii="宋体" w:hAnsi="宋体" w:cs="宋体" w:eastAsia="宋体" w:hint="default"/>
                <w:sz w:val="18"/>
                <w:szCs w:val="18"/>
              </w:rPr>
            </w:pPr>
            <w:r>
              <w:rPr>
                <w:rFonts w:ascii="宋体" w:hAnsi="宋体" w:cs="宋体" w:eastAsia="宋体" w:hint="default"/>
                <w:sz w:val="18"/>
                <w:szCs w:val="18"/>
              </w:rPr>
              <w:t>（二）股东投入和减少股本</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4"/>
              <w:jc w:val="right"/>
              <w:rPr>
                <w:rFonts w:ascii="宋体" w:hAnsi="宋体" w:cs="宋体" w:eastAsia="宋体" w:hint="default"/>
                <w:sz w:val="18"/>
                <w:szCs w:val="18"/>
              </w:rPr>
            </w:pPr>
            <w:r>
              <w:rPr>
                <w:rFonts w:ascii="宋体"/>
                <w:sz w:val="18"/>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3"/>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0"/>
              <w:jc w:val="right"/>
              <w:rPr>
                <w:rFonts w:ascii="宋体" w:hAnsi="宋体" w:cs="宋体" w:eastAsia="宋体" w:hint="default"/>
                <w:sz w:val="18"/>
                <w:szCs w:val="18"/>
              </w:rPr>
            </w:pPr>
            <w:r>
              <w:rPr>
                <w:rFonts w:ascii="宋体"/>
                <w:sz w:val="18"/>
              </w:rPr>
              <w:t>-</w:t>
            </w:r>
          </w:p>
        </w:tc>
      </w:tr>
      <w:tr>
        <w:trPr>
          <w:trHeight w:val="329"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股东投入的普通股</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3"/>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0"/>
              <w:jc w:val="right"/>
              <w:rPr>
                <w:rFonts w:ascii="宋体" w:hAnsi="宋体" w:cs="宋体" w:eastAsia="宋体" w:hint="default"/>
                <w:sz w:val="18"/>
                <w:szCs w:val="18"/>
              </w:rPr>
            </w:pPr>
            <w:r>
              <w:rPr>
                <w:rFonts w:ascii="宋体"/>
                <w:sz w:val="18"/>
              </w:rPr>
              <w:t>-</w:t>
            </w:r>
          </w:p>
        </w:tc>
      </w:tr>
      <w:tr>
        <w:trPr>
          <w:trHeight w:val="296"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．其他权益工具持有者投入股本</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3"/>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0"/>
              <w:jc w:val="right"/>
              <w:rPr>
                <w:rFonts w:ascii="宋体" w:hAnsi="宋体" w:cs="宋体" w:eastAsia="宋体" w:hint="default"/>
                <w:sz w:val="18"/>
                <w:szCs w:val="18"/>
              </w:rPr>
            </w:pPr>
            <w:r>
              <w:rPr>
                <w:rFonts w:ascii="宋体"/>
                <w:sz w:val="18"/>
              </w:rPr>
              <w:t>-</w:t>
            </w:r>
          </w:p>
        </w:tc>
      </w:tr>
      <w:tr>
        <w:trPr>
          <w:trHeight w:val="462"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03"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．股份支付计入股东权益金额</w:t>
            </w:r>
          </w:p>
          <w:p>
            <w:pPr>
              <w:pStyle w:val="TableParagraph"/>
              <w:spacing w:line="217" w:lineRule="exact"/>
              <w:ind w:left="39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宋体" w:hAnsi="宋体" w:cs="宋体" w:eastAsia="宋体" w:hint="default"/>
                <w:sz w:val="18"/>
                <w:szCs w:val="18"/>
              </w:rPr>
            </w:pPr>
            <w:r>
              <w:rPr>
                <w:rFonts w:ascii="宋体"/>
                <w:sz w:val="18"/>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w:t>
            </w: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宋体" w:hAnsi="宋体" w:cs="宋体" w:eastAsia="宋体" w:hint="default"/>
                <w:sz w:val="18"/>
                <w:szCs w:val="18"/>
              </w:rPr>
            </w:pPr>
            <w:r>
              <w:rPr>
                <w:rFonts w:ascii="宋体"/>
                <w:sz w:val="18"/>
              </w:rPr>
              <w:t>-</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0"/>
              <w:jc w:val="right"/>
              <w:rPr>
                <w:rFonts w:ascii="宋体" w:hAnsi="宋体" w:cs="宋体" w:eastAsia="宋体" w:hint="default"/>
                <w:sz w:val="18"/>
                <w:szCs w:val="18"/>
              </w:rPr>
            </w:pPr>
            <w:r>
              <w:rPr>
                <w:rFonts w:ascii="宋体"/>
                <w:sz w:val="18"/>
              </w:rPr>
              <w:t>-</w:t>
            </w:r>
          </w:p>
        </w:tc>
      </w:tr>
      <w:tr>
        <w:trPr>
          <w:trHeight w:val="298"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22" w:lineRule="exact"/>
              <w:ind w:left="3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24" w:lineRule="exact"/>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24" w:lineRule="exact"/>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24" w:lineRule="exact"/>
              <w:ind w:right="104"/>
              <w:jc w:val="right"/>
              <w:rPr>
                <w:rFonts w:ascii="宋体" w:hAnsi="宋体" w:cs="宋体" w:eastAsia="宋体" w:hint="default"/>
                <w:sz w:val="18"/>
                <w:szCs w:val="18"/>
              </w:rPr>
            </w:pPr>
            <w:r>
              <w:rPr>
                <w:rFonts w:ascii="宋体"/>
                <w:sz w:val="18"/>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24" w:lineRule="exact"/>
              <w:ind w:right="25"/>
              <w:jc w:val="right"/>
              <w:rPr>
                <w:rFonts w:ascii="宋体" w:hAnsi="宋体" w:cs="宋体" w:eastAsia="宋体" w:hint="default"/>
                <w:sz w:val="18"/>
                <w:szCs w:val="18"/>
              </w:rPr>
            </w:pPr>
            <w:r>
              <w:rPr>
                <w:rFonts w:ascii="宋体"/>
                <w:sz w:val="18"/>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2,290,759.50</w:t>
            </w: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24" w:lineRule="exact"/>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24" w:lineRule="exact"/>
              <w:ind w:right="71"/>
              <w:jc w:val="right"/>
              <w:rPr>
                <w:rFonts w:ascii="宋体" w:hAnsi="宋体" w:cs="宋体" w:eastAsia="宋体" w:hint="default"/>
                <w:sz w:val="18"/>
                <w:szCs w:val="18"/>
              </w:rPr>
            </w:pPr>
            <w:r>
              <w:rPr>
                <w:rFonts w:ascii="宋体"/>
                <w:spacing w:val="-1"/>
                <w:sz w:val="18"/>
              </w:rPr>
              <w:t>(7,570,759.50)</w:t>
            </w: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24" w:lineRule="exact"/>
              <w:ind w:right="25"/>
              <w:jc w:val="right"/>
              <w:rPr>
                <w:rFonts w:ascii="宋体" w:hAnsi="宋体" w:cs="宋体" w:eastAsia="宋体" w:hint="default"/>
                <w:sz w:val="18"/>
                <w:szCs w:val="18"/>
              </w:rPr>
            </w:pPr>
            <w:r>
              <w:rPr>
                <w:rFonts w:ascii="宋体"/>
                <w:sz w:val="18"/>
              </w:rPr>
              <w:t>-</w:t>
            </w:r>
          </w:p>
        </w:tc>
        <w:tc>
          <w:tcPr>
            <w:tcW w:w="1517" w:type="dxa"/>
            <w:tcBorders>
              <w:top w:val="nil" w:sz="6" w:space="0" w:color="auto"/>
              <w:left w:val="nil" w:sz="6" w:space="0" w:color="auto"/>
              <w:bottom w:val="nil" w:sz="6" w:space="0" w:color="auto"/>
              <w:right w:val="nil" w:sz="6" w:space="0" w:color="auto"/>
            </w:tcBorders>
          </w:tcPr>
          <w:p>
            <w:pPr>
              <w:pStyle w:val="TableParagraph"/>
              <w:spacing w:line="224" w:lineRule="exact"/>
              <w:ind w:right="138"/>
              <w:jc w:val="right"/>
              <w:rPr>
                <w:rFonts w:ascii="宋体" w:hAnsi="宋体" w:cs="宋体" w:eastAsia="宋体" w:hint="default"/>
                <w:sz w:val="18"/>
                <w:szCs w:val="18"/>
              </w:rPr>
            </w:pPr>
            <w:r>
              <w:rPr>
                <w:rFonts w:ascii="宋体"/>
                <w:spacing w:val="-1"/>
                <w:sz w:val="18"/>
              </w:rPr>
              <w:t>(5,280,000.00)</w:t>
            </w:r>
          </w:p>
        </w:tc>
      </w:tr>
      <w:tr>
        <w:trPr>
          <w:trHeight w:val="329"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2,290,759.50</w:t>
            </w: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1"/>
              <w:jc w:val="right"/>
              <w:rPr>
                <w:rFonts w:ascii="宋体" w:hAnsi="宋体" w:cs="宋体" w:eastAsia="宋体" w:hint="default"/>
                <w:sz w:val="18"/>
                <w:szCs w:val="18"/>
              </w:rPr>
            </w:pPr>
            <w:r>
              <w:rPr>
                <w:rFonts w:ascii="宋体"/>
                <w:spacing w:val="-1"/>
                <w:sz w:val="18"/>
              </w:rPr>
              <w:t>(2,290,759.50)</w:t>
            </w: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07"/>
              <w:jc w:val="right"/>
              <w:rPr>
                <w:rFonts w:ascii="宋体" w:hAnsi="宋体" w:cs="宋体" w:eastAsia="宋体" w:hint="default"/>
                <w:sz w:val="18"/>
                <w:szCs w:val="18"/>
              </w:rPr>
            </w:pPr>
            <w:r>
              <w:rPr>
                <w:rFonts w:ascii="宋体"/>
                <w:sz w:val="18"/>
              </w:rPr>
              <w:t>-</w:t>
            </w:r>
          </w:p>
        </w:tc>
      </w:tr>
      <w:tr>
        <w:trPr>
          <w:trHeight w:val="326"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4"/>
              <w:jc w:val="right"/>
              <w:rPr>
                <w:rFonts w:ascii="宋体" w:hAnsi="宋体" w:cs="宋体" w:eastAsia="宋体" w:hint="default"/>
                <w:sz w:val="18"/>
                <w:szCs w:val="18"/>
              </w:rPr>
            </w:pPr>
            <w:r>
              <w:rPr>
                <w:rFonts w:ascii="宋体"/>
                <w:sz w:val="18"/>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
              <w:jc w:val="right"/>
              <w:rPr>
                <w:rFonts w:ascii="宋体" w:hAnsi="宋体" w:cs="宋体" w:eastAsia="宋体" w:hint="default"/>
                <w:sz w:val="18"/>
                <w:szCs w:val="18"/>
              </w:rPr>
            </w:pPr>
            <w:r>
              <w:rPr>
                <w:rFonts w:ascii="宋体"/>
                <w:spacing w:val="-1"/>
                <w:sz w:val="18"/>
              </w:rPr>
              <w:t>(5,280,000.00)</w:t>
            </w: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8"/>
              <w:jc w:val="right"/>
              <w:rPr>
                <w:rFonts w:ascii="宋体" w:hAnsi="宋体" w:cs="宋体" w:eastAsia="宋体" w:hint="default"/>
                <w:sz w:val="18"/>
                <w:szCs w:val="18"/>
              </w:rPr>
            </w:pPr>
            <w:r>
              <w:rPr>
                <w:rFonts w:ascii="宋体"/>
                <w:spacing w:val="-1"/>
                <w:sz w:val="18"/>
              </w:rPr>
              <w:t>(5,280,000.00)</w:t>
            </w:r>
          </w:p>
        </w:tc>
      </w:tr>
      <w:tr>
        <w:trPr>
          <w:trHeight w:val="329"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3"/>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07"/>
              <w:jc w:val="right"/>
              <w:rPr>
                <w:rFonts w:ascii="宋体" w:hAnsi="宋体" w:cs="宋体" w:eastAsia="宋体" w:hint="default"/>
                <w:sz w:val="18"/>
                <w:szCs w:val="18"/>
              </w:rPr>
            </w:pPr>
            <w:r>
              <w:rPr>
                <w:rFonts w:ascii="宋体"/>
                <w:sz w:val="18"/>
              </w:rPr>
              <w:t>-</w:t>
            </w:r>
          </w:p>
        </w:tc>
      </w:tr>
      <w:tr>
        <w:trPr>
          <w:trHeight w:val="329"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1"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70,400,000.00</w:t>
            </w:r>
            <w:r>
              <w:rPr>
                <w:rFonts w:ascii="宋体"/>
                <w:sz w:val="18"/>
              </w:rPr>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70,400,000.00</w:t>
            </w:r>
            <w:r>
              <w:rPr>
                <w:rFonts w:ascii="宋体" w:hAnsi="宋体" w:cs="宋体" w:eastAsia="宋体" w:hint="default"/>
                <w:spacing w:val="-1"/>
                <w:sz w:val="18"/>
                <w:szCs w:val="18"/>
              </w:rPr>
              <w:t>）</w:t>
            </w: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3"/>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0"/>
              <w:jc w:val="right"/>
              <w:rPr>
                <w:rFonts w:ascii="宋体" w:hAnsi="宋体" w:cs="宋体" w:eastAsia="宋体" w:hint="default"/>
                <w:sz w:val="18"/>
                <w:szCs w:val="18"/>
              </w:rPr>
            </w:pPr>
            <w:r>
              <w:rPr>
                <w:rFonts w:ascii="宋体"/>
                <w:sz w:val="18"/>
              </w:rPr>
              <w:t>-</w:t>
            </w:r>
          </w:p>
        </w:tc>
      </w:tr>
      <w:tr>
        <w:trPr>
          <w:trHeight w:val="326"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4"/>
              <w:jc w:val="right"/>
              <w:rPr>
                <w:rFonts w:ascii="宋体" w:hAnsi="宋体" w:cs="宋体" w:eastAsia="宋体" w:hint="default"/>
                <w:sz w:val="18"/>
                <w:szCs w:val="18"/>
              </w:rPr>
            </w:pPr>
            <w:r>
              <w:rPr>
                <w:rFonts w:ascii="宋体"/>
                <w:spacing w:val="-1"/>
                <w:sz w:val="18"/>
              </w:rPr>
              <w:t>70,400,000.00</w:t>
            </w:r>
            <w:r>
              <w:rPr>
                <w:rFonts w:ascii="宋体"/>
                <w:sz w:val="18"/>
              </w:rPr>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70,400,000.00</w:t>
            </w:r>
            <w:r>
              <w:rPr>
                <w:rFonts w:ascii="宋体" w:hAnsi="宋体" w:cs="宋体" w:eastAsia="宋体" w:hint="default"/>
                <w:spacing w:val="-1"/>
                <w:sz w:val="18"/>
                <w:szCs w:val="18"/>
              </w:rPr>
              <w:t>）</w:t>
            </w: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4"/>
              <w:jc w:val="right"/>
              <w:rPr>
                <w:rFonts w:ascii="宋体" w:hAnsi="宋体" w:cs="宋体" w:eastAsia="宋体" w:hint="default"/>
                <w:sz w:val="18"/>
                <w:szCs w:val="18"/>
              </w:rPr>
            </w:pPr>
            <w:r>
              <w:rPr>
                <w:rFonts w:ascii="宋体"/>
                <w:sz w:val="18"/>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3"/>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0"/>
              <w:jc w:val="right"/>
              <w:rPr>
                <w:rFonts w:ascii="宋体" w:hAnsi="宋体" w:cs="宋体" w:eastAsia="宋体" w:hint="default"/>
                <w:sz w:val="18"/>
                <w:szCs w:val="18"/>
              </w:rPr>
            </w:pPr>
            <w:r>
              <w:rPr>
                <w:rFonts w:ascii="宋体"/>
                <w:sz w:val="18"/>
              </w:rPr>
              <w:t>-</w:t>
            </w:r>
          </w:p>
        </w:tc>
      </w:tr>
      <w:tr>
        <w:trPr>
          <w:trHeight w:val="256" w:hRule="exact"/>
        </w:trPr>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156"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8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3"/>
              <w:jc w:val="right"/>
              <w:rPr>
                <w:rFonts w:ascii="宋体" w:hAnsi="宋体" w:cs="宋体" w:eastAsia="宋体" w:hint="default"/>
                <w:sz w:val="18"/>
                <w:szCs w:val="18"/>
              </w:rPr>
            </w:pPr>
            <w:r>
              <w:rPr>
                <w:rFonts w:ascii="宋体"/>
                <w:sz w:val="18"/>
              </w:rPr>
              <w:t>-</w:t>
            </w:r>
          </w:p>
        </w:tc>
        <w:tc>
          <w:tcPr>
            <w:tcW w:w="130"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0"/>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6840" w:h="11910" w:orient="landscape"/>
          <w:pgMar w:header="867" w:footer="982" w:top="1060" w:bottom="1180" w:left="580" w:right="680"/>
        </w:sectPr>
      </w:pPr>
    </w:p>
    <w:p>
      <w:pPr>
        <w:spacing w:line="240" w:lineRule="auto" w:before="2"/>
        <w:rPr>
          <w:rFonts w:ascii="Times New Roman" w:hAnsi="Times New Roman" w:cs="Times New Roman" w:eastAsia="Times New Roman" w:hint="default"/>
          <w:sz w:val="3"/>
          <w:szCs w:val="3"/>
        </w:rPr>
      </w:pPr>
    </w:p>
    <w:p>
      <w:pPr>
        <w:spacing w:line="20" w:lineRule="exact"/>
        <w:ind w:left="5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32.15pt;height:.75pt;mso-position-horizontal-relative:char;mso-position-vertical-relative:line" coordorigin="0,0" coordsize="14643,15">
            <v:group style="position:absolute;left:7;top:7;width:14628;height:2" coordorigin="7,7" coordsize="14628,2">
              <v:shape style="position:absolute;left:7;top:7;width:14628;height:2" coordorigin="7,7" coordsize="14628,0" path="m7,7l14635,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24"/>
        <w:ind w:left="502" w:right="12328" w:firstLine="0"/>
        <w:jc w:val="left"/>
        <w:rPr>
          <w:rFonts w:ascii="宋体" w:hAnsi="宋体" w:cs="宋体" w:eastAsia="宋体" w:hint="default"/>
          <w:sz w:val="18"/>
          <w:szCs w:val="18"/>
        </w:rPr>
      </w:pPr>
      <w:r>
        <w:rPr/>
        <w:pict>
          <v:shape style="position:absolute;margin-left:238.919998pt;margin-top:-.648257pt;width:557.9pt;height:133.3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8"/>
                    <w:gridCol w:w="110"/>
                    <w:gridCol w:w="1586"/>
                    <w:gridCol w:w="3216"/>
                    <w:gridCol w:w="2376"/>
                    <w:gridCol w:w="103"/>
                    <w:gridCol w:w="2448"/>
                  </w:tblGrid>
                  <w:tr>
                    <w:trPr>
                      <w:trHeight w:val="1276"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z w:val="18"/>
                          </w:rPr>
                          <w:t>-</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9"/>
                          <w:jc w:val="right"/>
                          <w:rPr>
                            <w:rFonts w:ascii="宋体" w:hAnsi="宋体" w:cs="宋体" w:eastAsia="宋体" w:hint="default"/>
                            <w:sz w:val="18"/>
                            <w:szCs w:val="18"/>
                          </w:rPr>
                        </w:pPr>
                        <w:r>
                          <w:rPr>
                            <w:rFonts w:ascii="宋体"/>
                            <w:sz w:val="18"/>
                          </w:rPr>
                          <w:t>-</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sz w:val="18"/>
                          </w:rPr>
                          <w:t>-</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z w:val="18"/>
                          </w:rPr>
                          <w:t>-</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3216" w:type="dxa"/>
                        <w:tcBorders>
                          <w:top w:val="nil" w:sz="6" w:space="0" w:color="auto"/>
                          <w:left w:val="nil" w:sz="6" w:space="0" w:color="auto"/>
                          <w:bottom w:val="nil" w:sz="6" w:space="0" w:color="auto"/>
                          <w:right w:val="nil" w:sz="6" w:space="0" w:color="auto"/>
                        </w:tcBorders>
                      </w:tcPr>
                      <w:p>
                        <w:pPr>
                          <w:pStyle w:val="TableParagraph"/>
                          <w:tabs>
                            <w:tab w:pos="1795" w:val="left" w:leader="none"/>
                            <w:tab w:pos="3098" w:val="left" w:leader="none"/>
                          </w:tabs>
                          <w:spacing w:line="240" w:lineRule="auto" w:before="39"/>
                          <w:ind w:left="926" w:right="0"/>
                          <w:jc w:val="left"/>
                          <w:rPr>
                            <w:rFonts w:ascii="宋体" w:hAnsi="宋体" w:cs="宋体" w:eastAsia="宋体" w:hint="default"/>
                            <w:sz w:val="18"/>
                            <w:szCs w:val="18"/>
                          </w:rPr>
                        </w:pPr>
                        <w:r>
                          <w:rPr>
                            <w:rFonts w:ascii="宋体"/>
                            <w:sz w:val="18"/>
                          </w:rPr>
                          <w:t>-</w:t>
                          <w:tab/>
                          <w:t>-</w:t>
                          <w:tab/>
                          <w:t>-</w:t>
                        </w:r>
                      </w:p>
                      <w:p>
                        <w:pPr>
                          <w:pStyle w:val="TableParagraph"/>
                          <w:spacing w:line="240" w:lineRule="auto" w:before="5"/>
                          <w:ind w:right="0"/>
                          <w:jc w:val="left"/>
                          <w:rPr>
                            <w:rFonts w:ascii="宋体" w:hAnsi="宋体" w:cs="宋体" w:eastAsia="宋体" w:hint="default"/>
                            <w:sz w:val="17"/>
                            <w:szCs w:val="17"/>
                          </w:rPr>
                        </w:pPr>
                      </w:p>
                      <w:p>
                        <w:pPr>
                          <w:pStyle w:val="TableParagraph"/>
                          <w:tabs>
                            <w:tab w:pos="1795" w:val="left" w:leader="none"/>
                            <w:tab w:pos="3098" w:val="left" w:leader="none"/>
                          </w:tabs>
                          <w:spacing w:line="240" w:lineRule="auto"/>
                          <w:ind w:left="926" w:right="0"/>
                          <w:jc w:val="left"/>
                          <w:rPr>
                            <w:rFonts w:ascii="宋体" w:hAnsi="宋体" w:cs="宋体" w:eastAsia="宋体" w:hint="default"/>
                            <w:sz w:val="18"/>
                            <w:szCs w:val="18"/>
                          </w:rPr>
                        </w:pPr>
                        <w:r>
                          <w:rPr>
                            <w:rFonts w:ascii="宋体"/>
                            <w:sz w:val="18"/>
                          </w:rPr>
                          <w:t>-</w:t>
                          <w:tab/>
                          <w:t>-</w:t>
                          <w:tab/>
                          <w:t>-</w:t>
                        </w:r>
                      </w:p>
                      <w:p>
                        <w:pPr>
                          <w:pStyle w:val="TableParagraph"/>
                          <w:spacing w:line="240" w:lineRule="auto" w:before="5"/>
                          <w:ind w:right="0"/>
                          <w:jc w:val="left"/>
                          <w:rPr>
                            <w:rFonts w:ascii="宋体" w:hAnsi="宋体" w:cs="宋体" w:eastAsia="宋体" w:hint="default"/>
                            <w:sz w:val="17"/>
                            <w:szCs w:val="17"/>
                          </w:rPr>
                        </w:pPr>
                      </w:p>
                      <w:p>
                        <w:pPr>
                          <w:pStyle w:val="TableParagraph"/>
                          <w:tabs>
                            <w:tab w:pos="1795" w:val="left" w:leader="none"/>
                            <w:tab w:pos="3098" w:val="left" w:leader="none"/>
                          </w:tabs>
                          <w:spacing w:line="240" w:lineRule="auto"/>
                          <w:ind w:left="926" w:right="0"/>
                          <w:jc w:val="left"/>
                          <w:rPr>
                            <w:rFonts w:ascii="宋体" w:hAnsi="宋体" w:cs="宋体" w:eastAsia="宋体" w:hint="default"/>
                            <w:sz w:val="18"/>
                            <w:szCs w:val="18"/>
                          </w:rPr>
                        </w:pPr>
                        <w:r>
                          <w:rPr>
                            <w:rFonts w:ascii="宋体"/>
                            <w:sz w:val="18"/>
                          </w:rPr>
                          <w:t>-</w:t>
                          <w:tab/>
                          <w:t>-</w:t>
                          <w:tab/>
                          <w:t>-</w:t>
                        </w:r>
                      </w:p>
                    </w:tc>
                    <w:tc>
                      <w:tcPr>
                        <w:tcW w:w="2376" w:type="dxa"/>
                        <w:tcBorders>
                          <w:top w:val="nil" w:sz="6" w:space="0" w:color="auto"/>
                          <w:left w:val="nil" w:sz="6" w:space="0" w:color="auto"/>
                          <w:bottom w:val="nil" w:sz="6" w:space="0" w:color="auto"/>
                          <w:right w:val="nil" w:sz="6" w:space="0" w:color="auto"/>
                        </w:tcBorders>
                      </w:tcPr>
                      <w:p>
                        <w:pPr>
                          <w:pStyle w:val="TableParagraph"/>
                          <w:tabs>
                            <w:tab w:pos="2258" w:val="left" w:leader="none"/>
                          </w:tabs>
                          <w:spacing w:line="240" w:lineRule="auto" w:before="39"/>
                          <w:ind w:left="787" w:right="0"/>
                          <w:jc w:val="left"/>
                          <w:rPr>
                            <w:rFonts w:ascii="宋体" w:hAnsi="宋体" w:cs="宋体" w:eastAsia="宋体" w:hint="default"/>
                            <w:sz w:val="18"/>
                            <w:szCs w:val="18"/>
                          </w:rPr>
                        </w:pPr>
                        <w:r>
                          <w:rPr>
                            <w:rFonts w:ascii="宋体"/>
                            <w:sz w:val="18"/>
                          </w:rPr>
                          <w:t>-</w:t>
                          <w:tab/>
                          <w:t>-</w:t>
                        </w:r>
                      </w:p>
                      <w:p>
                        <w:pPr>
                          <w:pStyle w:val="TableParagraph"/>
                          <w:spacing w:line="240" w:lineRule="auto" w:before="5"/>
                          <w:ind w:right="0"/>
                          <w:jc w:val="left"/>
                          <w:rPr>
                            <w:rFonts w:ascii="宋体" w:hAnsi="宋体" w:cs="宋体" w:eastAsia="宋体" w:hint="default"/>
                            <w:sz w:val="17"/>
                            <w:szCs w:val="17"/>
                          </w:rPr>
                        </w:pPr>
                      </w:p>
                      <w:p>
                        <w:pPr>
                          <w:pStyle w:val="TableParagraph"/>
                          <w:tabs>
                            <w:tab w:pos="2258" w:val="left" w:leader="none"/>
                          </w:tabs>
                          <w:spacing w:line="240" w:lineRule="auto"/>
                          <w:ind w:left="787" w:right="0"/>
                          <w:jc w:val="left"/>
                          <w:rPr>
                            <w:rFonts w:ascii="宋体" w:hAnsi="宋体" w:cs="宋体" w:eastAsia="宋体" w:hint="default"/>
                            <w:sz w:val="18"/>
                            <w:szCs w:val="18"/>
                          </w:rPr>
                        </w:pPr>
                        <w:r>
                          <w:rPr>
                            <w:rFonts w:ascii="宋体"/>
                            <w:sz w:val="18"/>
                          </w:rPr>
                          <w:t>-</w:t>
                          <w:tab/>
                          <w:t>-</w:t>
                        </w:r>
                      </w:p>
                      <w:p>
                        <w:pPr>
                          <w:pStyle w:val="TableParagraph"/>
                          <w:spacing w:line="240" w:lineRule="auto" w:before="5"/>
                          <w:ind w:right="0"/>
                          <w:jc w:val="left"/>
                          <w:rPr>
                            <w:rFonts w:ascii="宋体" w:hAnsi="宋体" w:cs="宋体" w:eastAsia="宋体" w:hint="default"/>
                            <w:sz w:val="17"/>
                            <w:szCs w:val="17"/>
                          </w:rPr>
                        </w:pPr>
                      </w:p>
                      <w:p>
                        <w:pPr>
                          <w:pStyle w:val="TableParagraph"/>
                          <w:tabs>
                            <w:tab w:pos="2258" w:val="left" w:leader="none"/>
                          </w:tabs>
                          <w:spacing w:line="240" w:lineRule="auto"/>
                          <w:ind w:left="787" w:right="0"/>
                          <w:jc w:val="left"/>
                          <w:rPr>
                            <w:rFonts w:ascii="宋体" w:hAnsi="宋体" w:cs="宋体" w:eastAsia="宋体" w:hint="default"/>
                            <w:sz w:val="18"/>
                            <w:szCs w:val="18"/>
                          </w:rPr>
                        </w:pPr>
                        <w:r>
                          <w:rPr>
                            <w:rFonts w:ascii="宋体"/>
                            <w:sz w:val="18"/>
                          </w:rPr>
                          <w:t>-</w:t>
                          <w:tab/>
                          <w:t>-</w:t>
                        </w:r>
                      </w:p>
                    </w:tc>
                    <w:tc>
                      <w:tcPr>
                        <w:tcW w:w="103"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nil" w:sz="6" w:space="0" w:color="auto"/>
                          <w:right w:val="nil" w:sz="6" w:space="0" w:color="auto"/>
                        </w:tcBorders>
                      </w:tcPr>
                      <w:p>
                        <w:pPr>
                          <w:pStyle w:val="TableParagraph"/>
                          <w:tabs>
                            <w:tab w:pos="2330" w:val="left" w:leader="none"/>
                          </w:tabs>
                          <w:spacing w:line="240" w:lineRule="auto" w:before="39"/>
                          <w:ind w:left="928" w:right="0"/>
                          <w:jc w:val="left"/>
                          <w:rPr>
                            <w:rFonts w:ascii="宋体" w:hAnsi="宋体" w:cs="宋体" w:eastAsia="宋体" w:hint="default"/>
                            <w:sz w:val="18"/>
                            <w:szCs w:val="18"/>
                          </w:rPr>
                        </w:pPr>
                        <w:r>
                          <w:rPr>
                            <w:rFonts w:ascii="宋体"/>
                            <w:sz w:val="18"/>
                          </w:rPr>
                          <w:t>-</w:t>
                          <w:tab/>
                          <w:t>-</w:t>
                        </w:r>
                      </w:p>
                      <w:p>
                        <w:pPr>
                          <w:pStyle w:val="TableParagraph"/>
                          <w:spacing w:line="240" w:lineRule="auto" w:before="5"/>
                          <w:ind w:right="0"/>
                          <w:jc w:val="left"/>
                          <w:rPr>
                            <w:rFonts w:ascii="宋体" w:hAnsi="宋体" w:cs="宋体" w:eastAsia="宋体" w:hint="default"/>
                            <w:sz w:val="17"/>
                            <w:szCs w:val="17"/>
                          </w:rPr>
                        </w:pPr>
                      </w:p>
                      <w:p>
                        <w:pPr>
                          <w:pStyle w:val="TableParagraph"/>
                          <w:tabs>
                            <w:tab w:pos="2330" w:val="left" w:leader="none"/>
                          </w:tabs>
                          <w:spacing w:line="240" w:lineRule="auto"/>
                          <w:ind w:left="928" w:right="0"/>
                          <w:jc w:val="left"/>
                          <w:rPr>
                            <w:rFonts w:ascii="宋体" w:hAnsi="宋体" w:cs="宋体" w:eastAsia="宋体" w:hint="default"/>
                            <w:sz w:val="18"/>
                            <w:szCs w:val="18"/>
                          </w:rPr>
                        </w:pPr>
                        <w:r>
                          <w:rPr>
                            <w:rFonts w:ascii="宋体"/>
                            <w:sz w:val="18"/>
                          </w:rPr>
                          <w:t>-</w:t>
                          <w:tab/>
                          <w:t>-</w:t>
                        </w:r>
                      </w:p>
                      <w:p>
                        <w:pPr>
                          <w:pStyle w:val="TableParagraph"/>
                          <w:spacing w:line="240" w:lineRule="auto" w:before="5"/>
                          <w:ind w:right="0"/>
                          <w:jc w:val="left"/>
                          <w:rPr>
                            <w:rFonts w:ascii="宋体" w:hAnsi="宋体" w:cs="宋体" w:eastAsia="宋体" w:hint="default"/>
                            <w:sz w:val="17"/>
                            <w:szCs w:val="17"/>
                          </w:rPr>
                        </w:pPr>
                      </w:p>
                      <w:p>
                        <w:pPr>
                          <w:pStyle w:val="TableParagraph"/>
                          <w:tabs>
                            <w:tab w:pos="2330" w:val="left" w:leader="none"/>
                          </w:tabs>
                          <w:spacing w:line="240" w:lineRule="auto"/>
                          <w:ind w:left="928" w:right="0"/>
                          <w:jc w:val="left"/>
                          <w:rPr>
                            <w:rFonts w:ascii="宋体" w:hAnsi="宋体" w:cs="宋体" w:eastAsia="宋体" w:hint="default"/>
                            <w:sz w:val="18"/>
                            <w:szCs w:val="18"/>
                          </w:rPr>
                        </w:pPr>
                        <w:r>
                          <w:rPr>
                            <w:rFonts w:ascii="宋体"/>
                            <w:sz w:val="18"/>
                          </w:rPr>
                          <w:t>-</w:t>
                          <w:tab/>
                          <w:t>-</w:t>
                        </w:r>
                      </w:p>
                    </w:tc>
                  </w:tr>
                  <w:tr>
                    <w:trPr>
                      <w:trHeight w:val="992" w:hRule="exact"/>
                    </w:trPr>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9"/>
                          <w:jc w:val="right"/>
                          <w:rPr>
                            <w:rFonts w:ascii="宋体" w:hAnsi="宋体" w:cs="宋体" w:eastAsia="宋体" w:hint="default"/>
                            <w:sz w:val="18"/>
                            <w:szCs w:val="18"/>
                          </w:rPr>
                        </w:pPr>
                        <w:r>
                          <w:rPr>
                            <w:rFonts w:ascii="宋体"/>
                            <w:sz w:val="18"/>
                          </w:rPr>
                          <w:t>-</w:t>
                        </w:r>
                      </w:p>
                      <w:p>
                        <w:pPr>
                          <w:pStyle w:val="TableParagraph"/>
                          <w:spacing w:line="240" w:lineRule="auto" w:before="93"/>
                          <w:ind w:right="29"/>
                          <w:jc w:val="right"/>
                          <w:rPr>
                            <w:rFonts w:ascii="宋体" w:hAnsi="宋体" w:cs="宋体" w:eastAsia="宋体" w:hint="default"/>
                            <w:sz w:val="18"/>
                            <w:szCs w:val="18"/>
                          </w:rPr>
                        </w:pPr>
                        <w:r>
                          <w:rPr>
                            <w:rFonts w:ascii="宋体"/>
                            <w:sz w:val="18"/>
                          </w:rPr>
                          <w:t>-</w:t>
                        </w:r>
                      </w:p>
                      <w:p>
                        <w:pPr>
                          <w:pStyle w:val="TableParagraph"/>
                          <w:spacing w:line="240" w:lineRule="auto" w:before="91"/>
                          <w:ind w:right="29"/>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5"/>
                          <w:jc w:val="right"/>
                          <w:rPr>
                            <w:rFonts w:ascii="宋体" w:hAnsi="宋体" w:cs="宋体" w:eastAsia="宋体" w:hint="default"/>
                            <w:sz w:val="18"/>
                            <w:szCs w:val="18"/>
                          </w:rPr>
                        </w:pPr>
                        <w:r>
                          <w:rPr>
                            <w:rFonts w:ascii="宋体"/>
                            <w:sz w:val="18"/>
                          </w:rPr>
                          <w:t>-</w:t>
                        </w:r>
                      </w:p>
                      <w:p>
                        <w:pPr>
                          <w:pStyle w:val="TableParagraph"/>
                          <w:spacing w:line="240" w:lineRule="auto" w:before="93"/>
                          <w:ind w:right="25"/>
                          <w:jc w:val="right"/>
                          <w:rPr>
                            <w:rFonts w:ascii="宋体" w:hAnsi="宋体" w:cs="宋体" w:eastAsia="宋体" w:hint="default"/>
                            <w:sz w:val="18"/>
                            <w:szCs w:val="18"/>
                          </w:rPr>
                        </w:pPr>
                        <w:r>
                          <w:rPr>
                            <w:rFonts w:ascii="宋体"/>
                            <w:sz w:val="18"/>
                          </w:rPr>
                          <w:t>-</w:t>
                        </w:r>
                      </w:p>
                      <w:p>
                        <w:pPr>
                          <w:pStyle w:val="TableParagraph"/>
                          <w:spacing w:line="240" w:lineRule="auto" w:before="91"/>
                          <w:ind w:right="25"/>
                          <w:jc w:val="right"/>
                          <w:rPr>
                            <w:rFonts w:ascii="宋体" w:hAnsi="宋体" w:cs="宋体" w:eastAsia="宋体" w:hint="default"/>
                            <w:sz w:val="18"/>
                            <w:szCs w:val="18"/>
                          </w:rPr>
                        </w:pPr>
                        <w:r>
                          <w:rPr>
                            <w:rFonts w:ascii="宋体"/>
                            <w:sz w:val="18"/>
                          </w:rPr>
                          <w:t>-</w:t>
                        </w:r>
                      </w:p>
                    </w:tc>
                    <w:tc>
                      <w:tcPr>
                        <w:tcW w:w="3216" w:type="dxa"/>
                        <w:tcBorders>
                          <w:top w:val="nil" w:sz="6" w:space="0" w:color="auto"/>
                          <w:left w:val="nil" w:sz="6" w:space="0" w:color="auto"/>
                          <w:bottom w:val="single" w:sz="4" w:space="0" w:color="000000"/>
                          <w:right w:val="nil" w:sz="6" w:space="0" w:color="auto"/>
                        </w:tcBorders>
                      </w:tcPr>
                      <w:p>
                        <w:pPr>
                          <w:pStyle w:val="TableParagraph"/>
                          <w:tabs>
                            <w:tab w:pos="1795" w:val="left" w:leader="none"/>
                            <w:tab w:pos="3098" w:val="left" w:leader="none"/>
                          </w:tabs>
                          <w:spacing w:line="240" w:lineRule="auto" w:before="19"/>
                          <w:ind w:left="926" w:right="0"/>
                          <w:jc w:val="left"/>
                          <w:rPr>
                            <w:rFonts w:ascii="宋体" w:hAnsi="宋体" w:cs="宋体" w:eastAsia="宋体" w:hint="default"/>
                            <w:sz w:val="18"/>
                            <w:szCs w:val="18"/>
                          </w:rPr>
                        </w:pPr>
                        <w:r>
                          <w:rPr>
                            <w:rFonts w:ascii="宋体"/>
                            <w:sz w:val="18"/>
                          </w:rPr>
                          <w:t>-</w:t>
                          <w:tab/>
                          <w:t>-</w:t>
                          <w:tab/>
                          <w:t>-</w:t>
                        </w:r>
                      </w:p>
                      <w:p>
                        <w:pPr>
                          <w:pStyle w:val="TableParagraph"/>
                          <w:tabs>
                            <w:tab w:pos="1795" w:val="left" w:leader="none"/>
                            <w:tab w:pos="3098" w:val="left" w:leader="none"/>
                          </w:tabs>
                          <w:spacing w:line="240" w:lineRule="auto" w:before="93"/>
                          <w:ind w:left="926" w:right="0"/>
                          <w:jc w:val="left"/>
                          <w:rPr>
                            <w:rFonts w:ascii="宋体" w:hAnsi="宋体" w:cs="宋体" w:eastAsia="宋体" w:hint="default"/>
                            <w:sz w:val="18"/>
                            <w:szCs w:val="18"/>
                          </w:rPr>
                        </w:pPr>
                        <w:r>
                          <w:rPr>
                            <w:rFonts w:ascii="宋体"/>
                            <w:sz w:val="18"/>
                          </w:rPr>
                          <w:t>-</w:t>
                          <w:tab/>
                          <w:t>-</w:t>
                          <w:tab/>
                          <w:t>-</w:t>
                        </w:r>
                      </w:p>
                      <w:p>
                        <w:pPr>
                          <w:pStyle w:val="TableParagraph"/>
                          <w:tabs>
                            <w:tab w:pos="1795" w:val="left" w:leader="none"/>
                            <w:tab w:pos="3098" w:val="left" w:leader="none"/>
                          </w:tabs>
                          <w:spacing w:line="240" w:lineRule="auto" w:before="91"/>
                          <w:ind w:left="926" w:right="0"/>
                          <w:jc w:val="left"/>
                          <w:rPr>
                            <w:rFonts w:ascii="宋体" w:hAnsi="宋体" w:cs="宋体" w:eastAsia="宋体" w:hint="default"/>
                            <w:sz w:val="18"/>
                            <w:szCs w:val="18"/>
                          </w:rPr>
                        </w:pPr>
                        <w:r>
                          <w:rPr>
                            <w:rFonts w:ascii="宋体"/>
                            <w:sz w:val="18"/>
                          </w:rPr>
                          <w:t>-</w:t>
                          <w:tab/>
                          <w:t>-</w:t>
                          <w:tab/>
                          <w:t>-</w:t>
                        </w:r>
                      </w:p>
                    </w:tc>
                    <w:tc>
                      <w:tcPr>
                        <w:tcW w:w="2376" w:type="dxa"/>
                        <w:tcBorders>
                          <w:top w:val="nil" w:sz="6" w:space="0" w:color="auto"/>
                          <w:left w:val="nil" w:sz="6" w:space="0" w:color="auto"/>
                          <w:bottom w:val="single" w:sz="4" w:space="0" w:color="000000"/>
                          <w:right w:val="nil" w:sz="6" w:space="0" w:color="auto"/>
                        </w:tcBorders>
                      </w:tcPr>
                      <w:p>
                        <w:pPr>
                          <w:pStyle w:val="TableParagraph"/>
                          <w:tabs>
                            <w:tab w:pos="2258" w:val="left" w:leader="none"/>
                          </w:tabs>
                          <w:spacing w:line="240" w:lineRule="auto" w:before="19"/>
                          <w:ind w:left="787" w:right="0"/>
                          <w:jc w:val="left"/>
                          <w:rPr>
                            <w:rFonts w:ascii="宋体" w:hAnsi="宋体" w:cs="宋体" w:eastAsia="宋体" w:hint="default"/>
                            <w:sz w:val="18"/>
                            <w:szCs w:val="18"/>
                          </w:rPr>
                        </w:pPr>
                        <w:r>
                          <w:rPr>
                            <w:rFonts w:ascii="宋体"/>
                            <w:sz w:val="18"/>
                          </w:rPr>
                          <w:t>-</w:t>
                          <w:tab/>
                          <w:t>-</w:t>
                        </w:r>
                      </w:p>
                      <w:p>
                        <w:pPr>
                          <w:pStyle w:val="TableParagraph"/>
                          <w:tabs>
                            <w:tab w:pos="2258" w:val="left" w:leader="none"/>
                          </w:tabs>
                          <w:spacing w:line="240" w:lineRule="auto" w:before="93"/>
                          <w:ind w:left="787" w:right="0"/>
                          <w:jc w:val="left"/>
                          <w:rPr>
                            <w:rFonts w:ascii="宋体" w:hAnsi="宋体" w:cs="宋体" w:eastAsia="宋体" w:hint="default"/>
                            <w:sz w:val="18"/>
                            <w:szCs w:val="18"/>
                          </w:rPr>
                        </w:pPr>
                        <w:r>
                          <w:rPr>
                            <w:rFonts w:ascii="宋体"/>
                            <w:sz w:val="18"/>
                          </w:rPr>
                          <w:t>-</w:t>
                          <w:tab/>
                          <w:t>-</w:t>
                        </w:r>
                      </w:p>
                      <w:p>
                        <w:pPr>
                          <w:pStyle w:val="TableParagraph"/>
                          <w:tabs>
                            <w:tab w:pos="2258" w:val="left" w:leader="none"/>
                          </w:tabs>
                          <w:spacing w:line="240" w:lineRule="auto" w:before="91"/>
                          <w:ind w:left="787" w:right="0"/>
                          <w:jc w:val="left"/>
                          <w:rPr>
                            <w:rFonts w:ascii="宋体" w:hAnsi="宋体" w:cs="宋体" w:eastAsia="宋体" w:hint="default"/>
                            <w:sz w:val="18"/>
                            <w:szCs w:val="18"/>
                          </w:rPr>
                        </w:pPr>
                        <w:r>
                          <w:rPr>
                            <w:rFonts w:ascii="宋体"/>
                            <w:sz w:val="18"/>
                          </w:rPr>
                          <w:t>-</w:t>
                          <w:tab/>
                          <w:t>-</w:t>
                        </w:r>
                      </w:p>
                    </w:tc>
                    <w:tc>
                      <w:tcPr>
                        <w:tcW w:w="103"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single" w:sz="4" w:space="0" w:color="000000"/>
                          <w:right w:val="nil" w:sz="6" w:space="0" w:color="auto"/>
                        </w:tcBorders>
                      </w:tcPr>
                      <w:p>
                        <w:pPr>
                          <w:pStyle w:val="TableParagraph"/>
                          <w:tabs>
                            <w:tab w:pos="2330" w:val="left" w:leader="none"/>
                          </w:tabs>
                          <w:spacing w:line="240" w:lineRule="auto" w:before="19"/>
                          <w:ind w:left="928" w:right="0"/>
                          <w:jc w:val="left"/>
                          <w:rPr>
                            <w:rFonts w:ascii="宋体" w:hAnsi="宋体" w:cs="宋体" w:eastAsia="宋体" w:hint="default"/>
                            <w:sz w:val="18"/>
                            <w:szCs w:val="18"/>
                          </w:rPr>
                        </w:pPr>
                        <w:r>
                          <w:rPr>
                            <w:rFonts w:ascii="宋体"/>
                            <w:sz w:val="18"/>
                          </w:rPr>
                          <w:t>-</w:t>
                          <w:tab/>
                          <w:t>-</w:t>
                        </w:r>
                      </w:p>
                      <w:p>
                        <w:pPr>
                          <w:pStyle w:val="TableParagraph"/>
                          <w:tabs>
                            <w:tab w:pos="2330" w:val="left" w:leader="none"/>
                          </w:tabs>
                          <w:spacing w:line="240" w:lineRule="auto" w:before="93"/>
                          <w:ind w:left="928" w:right="0"/>
                          <w:jc w:val="left"/>
                          <w:rPr>
                            <w:rFonts w:ascii="宋体" w:hAnsi="宋体" w:cs="宋体" w:eastAsia="宋体" w:hint="default"/>
                            <w:sz w:val="18"/>
                            <w:szCs w:val="18"/>
                          </w:rPr>
                        </w:pPr>
                        <w:r>
                          <w:rPr>
                            <w:rFonts w:ascii="宋体"/>
                            <w:sz w:val="18"/>
                          </w:rPr>
                          <w:t>-</w:t>
                          <w:tab/>
                          <w:t>-</w:t>
                        </w:r>
                      </w:p>
                      <w:p>
                        <w:pPr>
                          <w:pStyle w:val="TableParagraph"/>
                          <w:tabs>
                            <w:tab w:pos="2330" w:val="left" w:leader="none"/>
                          </w:tabs>
                          <w:spacing w:line="240" w:lineRule="auto" w:before="91"/>
                          <w:ind w:left="928" w:right="0"/>
                          <w:jc w:val="left"/>
                          <w:rPr>
                            <w:rFonts w:ascii="宋体" w:hAnsi="宋体" w:cs="宋体" w:eastAsia="宋体" w:hint="default"/>
                            <w:sz w:val="18"/>
                            <w:szCs w:val="18"/>
                          </w:rPr>
                        </w:pPr>
                        <w:r>
                          <w:rPr>
                            <w:rFonts w:ascii="宋体"/>
                            <w:sz w:val="18"/>
                          </w:rPr>
                          <w:t>-</w:t>
                          <w:tab/>
                          <w:t>-</w:t>
                        </w:r>
                      </w:p>
                    </w:tc>
                  </w:tr>
                  <w:tr>
                    <w:trPr>
                      <w:trHeight w:val="355" w:hRule="exact"/>
                    </w:trPr>
                    <w:tc>
                      <w:tcPr>
                        <w:tcW w:w="1318" w:type="dxa"/>
                        <w:tcBorders>
                          <w:top w:val="single" w:sz="4" w:space="0" w:color="000000"/>
                          <w:left w:val="nil" w:sz="6" w:space="0" w:color="auto"/>
                          <w:bottom w:val="single" w:sz="17" w:space="0" w:color="000000"/>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sz w:val="18"/>
                          </w:rPr>
                          <w:t>158,400,000.00</w:t>
                        </w:r>
                      </w:p>
                    </w:tc>
                    <w:tc>
                      <w:tcPr>
                        <w:tcW w:w="110"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17" w:space="0" w:color="000000"/>
                          <w:right w:val="nil" w:sz="6" w:space="0" w:color="auto"/>
                        </w:tcBorders>
                      </w:tcPr>
                      <w:p>
                        <w:pPr>
                          <w:pStyle w:val="TableParagraph"/>
                          <w:spacing w:line="240" w:lineRule="auto" w:before="15"/>
                          <w:ind w:left="388" w:right="0"/>
                          <w:jc w:val="left"/>
                          <w:rPr>
                            <w:rFonts w:ascii="宋体" w:hAnsi="宋体" w:cs="宋体" w:eastAsia="宋体" w:hint="default"/>
                            <w:sz w:val="18"/>
                            <w:szCs w:val="18"/>
                          </w:rPr>
                        </w:pPr>
                        <w:r>
                          <w:rPr>
                            <w:rFonts w:ascii="宋体"/>
                            <w:sz w:val="18"/>
                          </w:rPr>
                          <w:t>62,580,990.76</w:t>
                        </w:r>
                      </w:p>
                    </w:tc>
                    <w:tc>
                      <w:tcPr>
                        <w:tcW w:w="3216" w:type="dxa"/>
                        <w:tcBorders>
                          <w:top w:val="single" w:sz="4" w:space="0" w:color="000000"/>
                          <w:left w:val="nil" w:sz="6" w:space="0" w:color="auto"/>
                          <w:bottom w:val="single" w:sz="17" w:space="0" w:color="000000"/>
                          <w:right w:val="nil" w:sz="6" w:space="0" w:color="auto"/>
                        </w:tcBorders>
                      </w:tcPr>
                      <w:p>
                        <w:pPr>
                          <w:pStyle w:val="TableParagraph"/>
                          <w:tabs>
                            <w:tab w:pos="1795" w:val="left" w:leader="none"/>
                          </w:tabs>
                          <w:spacing w:line="240" w:lineRule="auto" w:before="15"/>
                          <w:ind w:left="926" w:right="0"/>
                          <w:jc w:val="left"/>
                          <w:rPr>
                            <w:rFonts w:ascii="宋体" w:hAnsi="宋体" w:cs="宋体" w:eastAsia="宋体" w:hint="default"/>
                            <w:sz w:val="18"/>
                            <w:szCs w:val="18"/>
                          </w:rPr>
                        </w:pPr>
                        <w:r>
                          <w:rPr>
                            <w:rFonts w:ascii="宋体"/>
                            <w:sz w:val="18"/>
                          </w:rPr>
                          <w:t>-</w:t>
                          <w:tab/>
                          <w:t>-</w:t>
                        </w:r>
                        <w:r>
                          <w:rPr>
                            <w:rFonts w:ascii="宋体"/>
                            <w:spacing w:val="41"/>
                            <w:sz w:val="18"/>
                          </w:rPr>
                          <w:t> </w:t>
                        </w:r>
                        <w:r>
                          <w:rPr>
                            <w:rFonts w:ascii="宋体"/>
                            <w:sz w:val="18"/>
                          </w:rPr>
                          <w:t>14,026,838.97</w:t>
                        </w:r>
                      </w:p>
                    </w:tc>
                    <w:tc>
                      <w:tcPr>
                        <w:tcW w:w="2376" w:type="dxa"/>
                        <w:tcBorders>
                          <w:top w:val="single" w:sz="4" w:space="0" w:color="000000"/>
                          <w:left w:val="nil" w:sz="6" w:space="0" w:color="auto"/>
                          <w:bottom w:val="single" w:sz="17" w:space="0" w:color="000000"/>
                          <w:right w:val="nil" w:sz="6" w:space="0" w:color="auto"/>
                        </w:tcBorders>
                      </w:tcPr>
                      <w:p>
                        <w:pPr>
                          <w:pStyle w:val="TableParagraph"/>
                          <w:tabs>
                            <w:tab w:pos="1089" w:val="left" w:leader="none"/>
                          </w:tabs>
                          <w:spacing w:line="240" w:lineRule="auto" w:before="15"/>
                          <w:ind w:left="787" w:right="0"/>
                          <w:jc w:val="left"/>
                          <w:rPr>
                            <w:rFonts w:ascii="宋体" w:hAnsi="宋体" w:cs="宋体" w:eastAsia="宋体" w:hint="default"/>
                            <w:sz w:val="18"/>
                            <w:szCs w:val="18"/>
                          </w:rPr>
                        </w:pPr>
                        <w:r>
                          <w:rPr>
                            <w:rFonts w:ascii="宋体"/>
                            <w:sz w:val="18"/>
                          </w:rPr>
                          <w:t>-</w:t>
                          <w:tab/>
                          <w:t>101,236,053.71</w:t>
                        </w:r>
                      </w:p>
                    </w:tc>
                    <w:tc>
                      <w:tcPr>
                        <w:tcW w:w="103" w:type="dxa"/>
                        <w:tcBorders>
                          <w:top w:val="nil" w:sz="6" w:space="0" w:color="auto"/>
                          <w:left w:val="nil" w:sz="6" w:space="0" w:color="auto"/>
                          <w:bottom w:val="nil" w:sz="6" w:space="0" w:color="auto"/>
                          <w:right w:val="nil" w:sz="6" w:space="0" w:color="auto"/>
                        </w:tcBorders>
                      </w:tcPr>
                      <w:p>
                        <w:pPr/>
                      </w:p>
                    </w:tc>
                    <w:tc>
                      <w:tcPr>
                        <w:tcW w:w="2448" w:type="dxa"/>
                        <w:tcBorders>
                          <w:top w:val="single" w:sz="4" w:space="0" w:color="000000"/>
                          <w:left w:val="nil" w:sz="6" w:space="0" w:color="auto"/>
                          <w:bottom w:val="single" w:sz="17" w:space="0" w:color="000000"/>
                          <w:right w:val="nil" w:sz="6" w:space="0" w:color="auto"/>
                        </w:tcBorders>
                      </w:tcPr>
                      <w:p>
                        <w:pPr>
                          <w:pStyle w:val="TableParagraph"/>
                          <w:spacing w:line="240" w:lineRule="auto" w:before="15"/>
                          <w:ind w:left="1161" w:right="0"/>
                          <w:jc w:val="left"/>
                          <w:rPr>
                            <w:rFonts w:ascii="宋体" w:hAnsi="宋体" w:cs="宋体" w:eastAsia="宋体" w:hint="default"/>
                            <w:sz w:val="18"/>
                            <w:szCs w:val="18"/>
                          </w:rPr>
                        </w:pPr>
                        <w:r>
                          <w:rPr>
                            <w:rFonts w:ascii="宋体"/>
                            <w:sz w:val="18"/>
                          </w:rPr>
                          <w:t>336,243,883.44</w:t>
                        </w:r>
                      </w:p>
                    </w:tc>
                  </w:tr>
                </w:tbl>
                <w:p>
                  <w:pPr/>
                </w:p>
              </w:txbxContent>
            </v:textbox>
            <w10:wrap type="none"/>
          </v:shape>
        </w:pict>
      </w:r>
      <w:r>
        <w:rPr>
          <w:rFonts w:ascii="宋体" w:hAnsi="宋体" w:cs="宋体" w:eastAsia="宋体" w:hint="default"/>
          <w:sz w:val="18"/>
          <w:szCs w:val="18"/>
        </w:rPr>
        <w:t>3</w:t>
      </w:r>
      <w:r>
        <w:rPr>
          <w:rFonts w:ascii="宋体" w:hAnsi="宋体" w:cs="宋体" w:eastAsia="宋体" w:hint="default"/>
          <w:sz w:val="18"/>
          <w:szCs w:val="18"/>
        </w:rPr>
        <w:t>．盈余公积弥补亏损</w:t>
      </w:r>
    </w:p>
    <w:p>
      <w:pPr>
        <w:spacing w:line="200" w:lineRule="exact" w:before="78"/>
        <w:ind w:left="140" w:right="12328" w:firstLine="36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．结转重新计量设定受益计划净 负债或净资产所产生的变动</w:t>
      </w:r>
    </w:p>
    <w:p>
      <w:pPr>
        <w:spacing w:line="187" w:lineRule="exact" w:before="0"/>
        <w:ind w:left="500" w:right="12328"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p>
      <w:pPr>
        <w:spacing w:before="28"/>
        <w:ind w:left="140" w:right="12328" w:firstLine="0"/>
        <w:jc w:val="left"/>
        <w:rPr>
          <w:rFonts w:ascii="宋体" w:hAnsi="宋体" w:cs="宋体" w:eastAsia="宋体" w:hint="default"/>
          <w:sz w:val="18"/>
          <w:szCs w:val="18"/>
        </w:rPr>
      </w:pPr>
      <w:r>
        <w:rPr>
          <w:rFonts w:ascii="宋体" w:hAnsi="宋体" w:cs="宋体" w:eastAsia="宋体" w:hint="default"/>
          <w:sz w:val="18"/>
          <w:szCs w:val="18"/>
        </w:rPr>
        <w:t>（五）专项储备</w:t>
      </w:r>
    </w:p>
    <w:p>
      <w:pPr>
        <w:spacing w:before="91"/>
        <w:ind w:left="502" w:right="12328"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p>
      <w:pPr>
        <w:spacing w:before="93"/>
        <w:ind w:left="502" w:right="1232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p>
      <w:pPr>
        <w:spacing w:line="345" w:lineRule="auto" w:before="93"/>
        <w:ind w:left="140" w:right="13852" w:firstLine="0"/>
        <w:jc w:val="left"/>
        <w:rPr>
          <w:rFonts w:ascii="宋体" w:hAnsi="宋体" w:cs="宋体" w:eastAsia="宋体" w:hint="default"/>
          <w:sz w:val="18"/>
          <w:szCs w:val="18"/>
        </w:rPr>
      </w:pPr>
      <w:r>
        <w:rPr/>
        <w:pict>
          <v:group style="position:absolute;margin-left:393.359985pt;margin-top:20.561729pt;width:48.6pt;height:.1pt;mso-position-horizontal-relative:page;mso-position-vertical-relative:paragraph;z-index:1984" coordorigin="7867,411" coordsize="972,2">
            <v:shape style="position:absolute;left:7867;top:411;width:972;height:2" coordorigin="7867,411" coordsize="972,0" path="m7867,411l8839,411e" filled="false" stroked="true" strokeweight=".48pt" strokecolor="#000000">
              <v:path arrowok="t"/>
            </v:shape>
            <w10:wrap type="none"/>
          </v:group>
        </w:pict>
      </w:r>
      <w:r>
        <w:rPr/>
        <w:pict>
          <v:group style="position:absolute;margin-left:445.799988pt;margin-top:20.561729pt;width:39.5pt;height:.1pt;mso-position-horizontal-relative:page;mso-position-vertical-relative:paragraph;z-index:2008" coordorigin="8916,411" coordsize="790,2">
            <v:shape style="position:absolute;left:8916;top:411;width:790;height:2" coordorigin="8916,411" coordsize="790,0" path="m8916,411l9706,411e" filled="false" stroked="true" strokeweight=".48pt" strokecolor="#000000">
              <v:path arrowok="t"/>
            </v:shape>
            <w10:wrap type="none"/>
          </v:group>
        </w:pict>
      </w:r>
      <w:r>
        <w:rPr/>
        <w:pict>
          <v:group style="position:absolute;margin-left:554.159973pt;margin-top:20.561729pt;width:41.65pt;height:.1pt;mso-position-horizontal-relative:page;mso-position-vertical-relative:paragraph;z-index:2032" coordorigin="11083,411" coordsize="833,2">
            <v:shape style="position:absolute;left:11083;top:411;width:833;height:2" coordorigin="11083,411" coordsize="833,0" path="m11083,411l11916,411e" filled="false" stroked="true" strokeweight=".48pt" strokecolor="#000000">
              <v:path arrowok="t"/>
            </v:shape>
            <w10:wrap type="none"/>
          </v:group>
        </w:pict>
      </w:r>
      <w:r>
        <w:rPr/>
        <w:pict>
          <v:group style="position:absolute;margin-left:674.400024pt;margin-top:20.561729pt;width:52.35pt;height:.1pt;mso-position-horizontal-relative:page;mso-position-vertical-relative:paragraph;z-index:2056" coordorigin="13488,411" coordsize="1047,2">
            <v:shape style="position:absolute;left:13488;top:411;width:1047;height:2" coordorigin="13488,411" coordsize="1047,0" path="m13488,411l14534,411e" filled="false" stroked="true" strokeweight=".48pt" strokecolor="#000000">
              <v:path arrowok="t"/>
            </v:shape>
            <w10:wrap type="none"/>
          </v:group>
        </w:pict>
      </w:r>
      <w:r>
        <w:rPr>
          <w:rFonts w:ascii="宋体" w:hAnsi="宋体" w:cs="宋体" w:eastAsia="宋体" w:hint="default"/>
          <w:sz w:val="18"/>
          <w:szCs w:val="18"/>
        </w:rPr>
        <w:t>（六）其他 </w:t>
      </w:r>
      <w:r>
        <w:rPr>
          <w:rFonts w:ascii="宋体" w:hAnsi="宋体" w:cs="宋体" w:eastAsia="宋体" w:hint="default"/>
          <w:b/>
          <w:bCs/>
          <w:sz w:val="18"/>
          <w:szCs w:val="18"/>
        </w:rPr>
        <w:t>四、本年年末余额</w:t>
      </w:r>
      <w:r>
        <w:rPr>
          <w:rFonts w:ascii="宋体" w:hAnsi="宋体" w:cs="宋体" w:eastAsia="宋体" w:hint="default"/>
          <w:sz w:val="18"/>
          <w:szCs w:val="18"/>
        </w:rPr>
      </w:r>
    </w:p>
    <w:p>
      <w:pPr>
        <w:spacing w:line="240" w:lineRule="auto" w:before="8"/>
        <w:rPr>
          <w:rFonts w:ascii="宋体" w:hAnsi="宋体" w:cs="宋体" w:eastAsia="宋体" w:hint="default"/>
          <w:b/>
          <w:bCs/>
          <w:sz w:val="18"/>
          <w:szCs w:val="18"/>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51.8pt;height:.5pt;mso-position-horizontal-relative:char;mso-position-vertical-relative:line" coordorigin="0,0" coordsize="15036,10">
            <v:group style="position:absolute;left:5;top:5;width:3032;height:2" coordorigin="5,5" coordsize="3032,2">
              <v:shape style="position:absolute;left:5;top:5;width:3032;height:2" coordorigin="5,5" coordsize="3032,0" path="m5,5l3036,5e" filled="false" stroked="true" strokeweight=".48pt" strokecolor="#000000">
                <v:path arrowok="t"/>
              </v:shape>
            </v:group>
            <v:group style="position:absolute;left:3036;top:5;width:10;height:2" coordorigin="3036,5" coordsize="10,2">
              <v:shape style="position:absolute;left:3036;top:5;width:10;height:2" coordorigin="3036,5" coordsize="10,0" path="m3036,5l3046,5e" filled="false" stroked="true" strokeweight=".48pt" strokecolor="#000000">
                <v:path arrowok="t"/>
              </v:shape>
            </v:group>
            <v:group style="position:absolute;left:3046;top:5;width:65;height:2" coordorigin="3046,5" coordsize="65,2">
              <v:shape style="position:absolute;left:3046;top:5;width:65;height:2" coordorigin="3046,5" coordsize="65,0" path="m3046,5l3110,5e" filled="false" stroked="true" strokeweight=".48pt" strokecolor="#000000">
                <v:path arrowok="t"/>
              </v:shape>
            </v:group>
            <v:group style="position:absolute;left:3110;top:5;width:10;height:2" coordorigin="3110,5" coordsize="10,2">
              <v:shape style="position:absolute;left:3110;top:5;width:10;height:2" coordorigin="3110,5" coordsize="10,0" path="m3110,5l3120,5e" filled="false" stroked="true" strokeweight=".48pt" strokecolor="#000000">
                <v:path arrowok="t"/>
              </v:shape>
            </v:group>
            <v:group style="position:absolute;left:3120;top:5;width:464;height:2" coordorigin="3120,5" coordsize="464,2">
              <v:shape style="position:absolute;left:3120;top:5;width:464;height:2" coordorigin="3120,5" coordsize="464,0" path="m3120,5l3583,5e" filled="false" stroked="true" strokeweight=".48pt" strokecolor="#000000">
                <v:path arrowok="t"/>
              </v:shape>
            </v:group>
            <v:group style="position:absolute;left:3583;top:5;width:10;height:2" coordorigin="3583,5" coordsize="10,2">
              <v:shape style="position:absolute;left:3583;top:5;width:10;height:2" coordorigin="3583,5" coordsize="10,0" path="m3583,5l3593,5e" filled="false" stroked="true" strokeweight=".48pt" strokecolor="#000000">
                <v:path arrowok="t"/>
              </v:shape>
            </v:group>
            <v:group style="position:absolute;left:3593;top:5;width:80;height:2" coordorigin="3593,5" coordsize="80,2">
              <v:shape style="position:absolute;left:3593;top:5;width:80;height:2" coordorigin="3593,5" coordsize="80,0" path="m3593,5l3672,5e" filled="false" stroked="true" strokeweight=".48pt" strokecolor="#000000">
                <v:path arrowok="t"/>
              </v:shape>
            </v:group>
            <v:group style="position:absolute;left:3672;top:5;width:10;height:2" coordorigin="3672,5" coordsize="10,2">
              <v:shape style="position:absolute;left:3672;top:5;width:10;height:2" coordorigin="3672,5" coordsize="10,0" path="m3672,5l3682,5e" filled="false" stroked="true" strokeweight=".48pt" strokecolor="#000000">
                <v:path arrowok="t"/>
              </v:shape>
            </v:group>
            <v:group style="position:absolute;left:3682;top:5;width:1380;height:2" coordorigin="3682,5" coordsize="1380,2">
              <v:shape style="position:absolute;left:3682;top:5;width:1380;height:2" coordorigin="3682,5" coordsize="1380,0" path="m3682,5l5062,5e" filled="false" stroked="true" strokeweight=".48pt" strokecolor="#000000">
                <v:path arrowok="t"/>
              </v:shape>
            </v:group>
            <v:group style="position:absolute;left:5062;top:5;width:10;height:2" coordorigin="5062,5" coordsize="10,2">
              <v:shape style="position:absolute;left:5062;top:5;width:10;height:2" coordorigin="5062,5" coordsize="10,0" path="m5062,5l5071,5e" filled="false" stroked="true" strokeweight=".48pt" strokecolor="#000000">
                <v:path arrowok="t"/>
              </v:shape>
            </v:group>
            <v:group style="position:absolute;left:5071;top:5;width:80;height:2" coordorigin="5071,5" coordsize="80,2">
              <v:shape style="position:absolute;left:5071;top:5;width:80;height:2" coordorigin="5071,5" coordsize="80,0" path="m5071,5l5150,5e" filled="false" stroked="true" strokeweight=".48pt" strokecolor="#000000">
                <v:path arrowok="t"/>
              </v:shape>
            </v:group>
            <v:group style="position:absolute;left:5150;top:5;width:10;height:2" coordorigin="5150,5" coordsize="10,2">
              <v:shape style="position:absolute;left:5150;top:5;width:10;height:2" coordorigin="5150,5" coordsize="10,0" path="m5150,5l5160,5e" filled="false" stroked="true" strokeweight=".48pt" strokecolor="#000000">
                <v:path arrowok="t"/>
              </v:shape>
            </v:group>
            <v:group style="position:absolute;left:5160;top:5;width:1805;height:2" coordorigin="5160,5" coordsize="1805,2">
              <v:shape style="position:absolute;left:5160;top:5;width:1805;height:2" coordorigin="5160,5" coordsize="1805,0" path="m5160,5l6965,5e" filled="false" stroked="true" strokeweight=".48pt" strokecolor="#000000">
                <v:path arrowok="t"/>
              </v:shape>
            </v:group>
            <v:group style="position:absolute;left:6965;top:5;width:10;height:2" coordorigin="6965,5" coordsize="10,2">
              <v:shape style="position:absolute;left:6965;top:5;width:10;height:2" coordorigin="6965,5" coordsize="10,0" path="m6965,5l6974,5e" filled="false" stroked="true" strokeweight=".48pt" strokecolor="#000000">
                <v:path arrowok="t"/>
              </v:shape>
            </v:group>
            <v:group style="position:absolute;left:6974;top:5;width:70;height:2" coordorigin="6974,5" coordsize="70,2">
              <v:shape style="position:absolute;left:6974;top:5;width:70;height:2" coordorigin="6974,5" coordsize="70,0" path="m6974,5l7044,5e" filled="false" stroked="true" strokeweight=".48pt" strokecolor="#000000">
                <v:path arrowok="t"/>
              </v:shape>
            </v:group>
            <v:group style="position:absolute;left:7044;top:5;width:10;height:2" coordorigin="7044,5" coordsize="10,2">
              <v:shape style="position:absolute;left:7044;top:5;width:10;height:2" coordorigin="7044,5" coordsize="10,0" path="m7044,5l7054,5e" filled="false" stroked="true" strokeweight=".48pt" strokecolor="#000000">
                <v:path arrowok="t"/>
              </v:shape>
            </v:group>
            <v:group style="position:absolute;left:7054;top:5;width:963;height:2" coordorigin="7054,5" coordsize="963,2">
              <v:shape style="position:absolute;left:7054;top:5;width:963;height:2" coordorigin="7054,5" coordsize="963,0" path="m7054,5l8016,5e" filled="false" stroked="true" strokeweight=".48pt" strokecolor="#000000">
                <v:path arrowok="t"/>
              </v:shape>
            </v:group>
            <v:group style="position:absolute;left:8016;top:5;width:10;height:2" coordorigin="8016,5" coordsize="10,2">
              <v:shape style="position:absolute;left:8016;top:5;width:10;height:2" coordorigin="8016,5" coordsize="10,0" path="m8016,5l8026,5e" filled="false" stroked="true" strokeweight=".48pt" strokecolor="#000000">
                <v:path arrowok="t"/>
              </v:shape>
            </v:group>
            <v:group style="position:absolute;left:8026;top:5;width:68;height:2" coordorigin="8026,5" coordsize="68,2">
              <v:shape style="position:absolute;left:8026;top:5;width:68;height:2" coordorigin="8026,5" coordsize="68,0" path="m8026,5l8093,5e" filled="false" stroked="true" strokeweight=".48pt" strokecolor="#000000">
                <v:path arrowok="t"/>
              </v:shape>
            </v:group>
            <v:group style="position:absolute;left:8093;top:5;width:10;height:2" coordorigin="8093,5" coordsize="10,2">
              <v:shape style="position:absolute;left:8093;top:5;width:10;height:2" coordorigin="8093,5" coordsize="10,0" path="m8093,5l8102,5e" filled="false" stroked="true" strokeweight=".48pt" strokecolor="#000000">
                <v:path arrowok="t"/>
              </v:shape>
            </v:group>
            <v:group style="position:absolute;left:8102;top:5;width:857;height:2" coordorigin="8102,5" coordsize="857,2">
              <v:shape style="position:absolute;left:8102;top:5;width:857;height:2" coordorigin="8102,5" coordsize="857,0" path="m8102,5l8959,5e" filled="false" stroked="true" strokeweight=".48pt" strokecolor="#000000">
                <v:path arrowok="t"/>
              </v:shape>
            </v:group>
            <v:group style="position:absolute;left:8959;top:5;width:10;height:2" coordorigin="8959,5" coordsize="10,2">
              <v:shape style="position:absolute;left:8959;top:5;width:10;height:2" coordorigin="8959,5" coordsize="10,0" path="m8959,5l8969,5e" filled="false" stroked="true" strokeweight=".48pt" strokecolor="#000000">
                <v:path arrowok="t"/>
              </v:shape>
            </v:group>
            <v:group style="position:absolute;left:8969;top:5;width:137;height:2" coordorigin="8969,5" coordsize="137,2">
              <v:shape style="position:absolute;left:8969;top:5;width:137;height:2" coordorigin="8969,5" coordsize="137,0" path="m8969,5l9106,5e" filled="false" stroked="true" strokeweight=".48pt" strokecolor="#000000">
                <v:path arrowok="t"/>
              </v:shape>
            </v:group>
            <v:group style="position:absolute;left:9106;top:5;width:10;height:2" coordorigin="9106,5" coordsize="10,2">
              <v:shape style="position:absolute;left:9106;top:5;width:10;height:2" coordorigin="9106,5" coordsize="10,0" path="m9106,5l9115,5e" filled="false" stroked="true" strokeweight=".48pt" strokecolor="#000000">
                <v:path arrowok="t"/>
              </v:shape>
            </v:group>
            <v:group style="position:absolute;left:9115;top:5;width:1268;height:2" coordorigin="9115,5" coordsize="1268,2">
              <v:shape style="position:absolute;left:9115;top:5;width:1268;height:2" coordorigin="9115,5" coordsize="1268,0" path="m9115,5l10382,5e" filled="false" stroked="true" strokeweight=".48pt" strokecolor="#000000">
                <v:path arrowok="t"/>
              </v:shape>
            </v:group>
            <v:group style="position:absolute;left:10382;top:5;width:10;height:2" coordorigin="10382,5" coordsize="10,2">
              <v:shape style="position:absolute;left:10382;top:5;width:10;height:2" coordorigin="10382,5" coordsize="10,0" path="m10382,5l10392,5e" filled="false" stroked="true" strokeweight=".48pt" strokecolor="#000000">
                <v:path arrowok="t"/>
              </v:shape>
            </v:group>
            <v:group style="position:absolute;left:10392;top:5;width:135;height:2" coordorigin="10392,5" coordsize="135,2">
              <v:shape style="position:absolute;left:10392;top:5;width:135;height:2" coordorigin="10392,5" coordsize="135,0" path="m10392,5l10526,5e" filled="false" stroked="true" strokeweight=".48pt" strokecolor="#000000">
                <v:path arrowok="t"/>
              </v:shape>
            </v:group>
            <v:group style="position:absolute;left:10526;top:5;width:10;height:2" coordorigin="10526,5" coordsize="10,2">
              <v:shape style="position:absolute;left:10526;top:5;width:10;height:2" coordorigin="10526,5" coordsize="10,0" path="m10526,5l10536,5e" filled="false" stroked="true" strokeweight=".48pt" strokecolor="#000000">
                <v:path arrowok="t"/>
              </v:shape>
            </v:group>
            <v:group style="position:absolute;left:10536;top:5;width:944;height:2" coordorigin="10536,5" coordsize="944,2">
              <v:shape style="position:absolute;left:10536;top:5;width:944;height:2" coordorigin="10536,5" coordsize="944,0" path="m10536,5l11479,5e" filled="false" stroked="true" strokeweight=".48pt" strokecolor="#000000">
                <v:path arrowok="t"/>
              </v:shape>
            </v:group>
            <v:group style="position:absolute;left:11479;top:5;width:10;height:2" coordorigin="11479,5" coordsize="10,2">
              <v:shape style="position:absolute;left:11479;top:5;width:10;height:2" coordorigin="11479,5" coordsize="10,0" path="m11479,5l11489,5e" filled="false" stroked="true" strokeweight=".48pt" strokecolor="#000000">
                <v:path arrowok="t"/>
              </v:shape>
            </v:group>
            <v:group style="position:absolute;left:11489;top:5;width:82;height:2" coordorigin="11489,5" coordsize="82,2">
              <v:shape style="position:absolute;left:11489;top:5;width:82;height:2" coordorigin="11489,5" coordsize="82,0" path="m11489,5l11570,5e" filled="false" stroked="true" strokeweight=".48pt" strokecolor="#000000">
                <v:path arrowok="t"/>
              </v:shape>
            </v:group>
            <v:group style="position:absolute;left:11570;top:5;width:10;height:2" coordorigin="11570,5" coordsize="10,2">
              <v:shape style="position:absolute;left:11570;top:5;width:10;height:2" coordorigin="11570,5" coordsize="10,0" path="m11570,5l11580,5e" filled="false" stroked="true" strokeweight=".48pt" strokecolor="#000000">
                <v:path arrowok="t"/>
              </v:shape>
            </v:group>
            <v:group style="position:absolute;left:11580;top:5;width:1440;height:2" coordorigin="11580,5" coordsize="1440,2">
              <v:shape style="position:absolute;left:11580;top:5;width:1440;height:2" coordorigin="11580,5" coordsize="1440,0" path="m11580,5l13020,5e" filled="false" stroked="true" strokeweight=".48pt" strokecolor="#000000">
                <v:path arrowok="t"/>
              </v:shape>
            </v:group>
            <v:group style="position:absolute;left:13020;top:5;width:10;height:2" coordorigin="13020,5" coordsize="10,2">
              <v:shape style="position:absolute;left:13020;top:5;width:10;height:2" coordorigin="13020,5" coordsize="10,0" path="m13020,5l13030,5e" filled="false" stroked="true" strokeweight=".48pt" strokecolor="#000000">
                <v:path arrowok="t"/>
              </v:shape>
            </v:group>
            <v:group style="position:absolute;left:13030;top:5;width:68;height:2" coordorigin="13030,5" coordsize="68,2">
              <v:shape style="position:absolute;left:13030;top:5;width:68;height:2" coordorigin="13030,5" coordsize="68,0" path="m13030,5l13097,5e" filled="false" stroked="true" strokeweight=".48pt" strokecolor="#000000">
                <v:path arrowok="t"/>
              </v:shape>
            </v:group>
            <v:group style="position:absolute;left:13097;top:5;width:10;height:2" coordorigin="13097,5" coordsize="10,2">
              <v:shape style="position:absolute;left:13097;top:5;width:10;height:2" coordorigin="13097,5" coordsize="10,0" path="m13097,5l13106,5e" filled="false" stroked="true" strokeweight=".48pt" strokecolor="#000000">
                <v:path arrowok="t"/>
              </v:shape>
            </v:group>
            <v:group style="position:absolute;left:13106;top:5;width:687;height:2" coordorigin="13106,5" coordsize="687,2">
              <v:shape style="position:absolute;left:13106;top:5;width:687;height:2" coordorigin="13106,5" coordsize="687,0" path="m13106,5l13793,5e" filled="false" stroked="true" strokeweight=".48pt" strokecolor="#000000">
                <v:path arrowok="t"/>
              </v:shape>
            </v:group>
            <v:group style="position:absolute;left:13793;top:5;width:10;height:2" coordorigin="13793,5" coordsize="10,2">
              <v:shape style="position:absolute;left:13793;top:5;width:10;height:2" coordorigin="13793,5" coordsize="10,0" path="m13793,5l13802,5e" filled="false" stroked="true" strokeweight=".48pt" strokecolor="#000000">
                <v:path arrowok="t"/>
              </v:shape>
            </v:group>
            <v:group style="position:absolute;left:13802;top:5;width:156;height:2" coordorigin="13802,5" coordsize="156,2">
              <v:shape style="position:absolute;left:13802;top:5;width:156;height:2" coordorigin="13802,5" coordsize="156,0" path="m13802,5l13958,5e" filled="false" stroked="true" strokeweight=".48pt" strokecolor="#000000">
                <v:path arrowok="t"/>
              </v:shape>
            </v:group>
            <v:group style="position:absolute;left:13958;top:5;width:10;height:2" coordorigin="13958,5" coordsize="10,2">
              <v:shape style="position:absolute;left:13958;top:5;width:10;height:2" coordorigin="13958,5" coordsize="10,0" path="m13958,5l13968,5e" filled="false" stroked="true" strokeweight=".48pt" strokecolor="#000000">
                <v:path arrowok="t"/>
              </v:shape>
            </v:group>
            <v:group style="position:absolute;left:13968;top:5;width:855;height:2" coordorigin="13968,5" coordsize="855,2">
              <v:shape style="position:absolute;left:13968;top:5;width:855;height:2" coordorigin="13968,5" coordsize="855,0" path="m13968,5l14822,5e" filled="false" stroked="true" strokeweight=".48pt" strokecolor="#000000">
                <v:path arrowok="t"/>
              </v:shape>
            </v:group>
            <v:group style="position:absolute;left:14822;top:5;width:10;height:2" coordorigin="14822,5" coordsize="10,2">
              <v:shape style="position:absolute;left:14822;top:5;width:10;height:2" coordorigin="14822,5" coordsize="10,0" path="m14822,5l14832,5e" filled="false" stroked="true" strokeweight=".48pt" strokecolor="#000000">
                <v:path arrowok="t"/>
              </v:shape>
            </v:group>
            <v:group style="position:absolute;left:14832;top:5;width:5;height:2" coordorigin="14832,5" coordsize="5,2">
              <v:shape style="position:absolute;left:14832;top:5;width:5;height:2" coordorigin="14832,5" coordsize="5,0" path="m14832,5l14837,5e" filled="false" stroked="true" strokeweight=".48pt" strokecolor="#000000">
                <v:path arrowok="t"/>
              </v:shape>
            </v:group>
            <v:group style="position:absolute;left:14837;top:5;width:10;height:2" coordorigin="14837,5" coordsize="10,2">
              <v:shape style="position:absolute;left:14837;top:5;width:10;height:2" coordorigin="14837,5" coordsize="10,0" path="m14837,5l14846,5e" filled="false" stroked="true" strokeweight=".48pt" strokecolor="#000000">
                <v:path arrowok="t"/>
              </v:shape>
            </v:group>
            <v:group style="position:absolute;left:14846;top:5;width:185;height:2" coordorigin="14846,5" coordsize="185,2">
              <v:shape style="position:absolute;left:14846;top:5;width:185;height:2" coordorigin="14846,5" coordsize="185,0" path="m14846,5l15031,5e" filled="false" stroked="true" strokeweight=".48pt" strokecolor="#000000">
                <v:path arrowok="t"/>
              </v:shape>
            </v:group>
          </v:group>
        </w:pict>
      </w:r>
      <w:r>
        <w:rPr>
          <w:rFonts w:ascii="宋体" w:hAnsi="宋体" w:cs="宋体" w:eastAsia="宋体" w:hint="default"/>
          <w:sz w:val="2"/>
          <w:szCs w:val="2"/>
        </w:rPr>
      </w:r>
    </w:p>
    <w:p>
      <w:pPr>
        <w:tabs>
          <w:tab w:pos="5636" w:val="left" w:leader="none"/>
          <w:tab w:pos="11309" w:val="left" w:leader="none"/>
        </w:tabs>
        <w:spacing w:before="5"/>
        <w:ind w:left="231" w:right="0" w:firstLine="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2"/>
          <w:sz w:val="18"/>
          <w:szCs w:val="18"/>
        </w:rPr>
        <w:t> </w:t>
      </w:r>
      <w:r>
        <w:rPr>
          <w:rFonts w:ascii="宋体" w:hAnsi="宋体" w:cs="宋体" w:eastAsia="宋体" w:hint="default"/>
          <w:sz w:val="18"/>
          <w:szCs w:val="18"/>
        </w:rPr>
        <w:t>孙晓玲</w:t>
        <w:tab/>
        <w:t>会计机构负责人：全丽</w:t>
      </w:r>
    </w:p>
    <w:p>
      <w:pPr>
        <w:spacing w:before="93"/>
        <w:ind w:left="140" w:right="0" w:firstLine="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p>
      <w:pPr>
        <w:spacing w:after="0"/>
        <w:jc w:val="left"/>
        <w:rPr>
          <w:rFonts w:ascii="宋体" w:hAnsi="宋体" w:cs="宋体" w:eastAsia="宋体" w:hint="default"/>
          <w:sz w:val="18"/>
          <w:szCs w:val="18"/>
        </w:rPr>
        <w:sectPr>
          <w:pgSz w:w="16840" w:h="11910" w:orient="landscape"/>
          <w:pgMar w:header="867" w:footer="982" w:top="1060" w:bottom="1180" w:left="580" w:right="800"/>
        </w:sectPr>
      </w:pPr>
    </w:p>
    <w:p>
      <w:pPr>
        <w:spacing w:line="240" w:lineRule="auto" w:before="11"/>
        <w:rPr>
          <w:rFonts w:ascii="宋体" w:hAnsi="宋体" w:cs="宋体" w:eastAsia="宋体" w:hint="default"/>
          <w:sz w:val="2"/>
          <w:szCs w:val="2"/>
        </w:rPr>
      </w:pPr>
      <w:r>
        <w:rPr/>
        <w:pict>
          <v:shape style="position:absolute;margin-left:303.840027pt;margin-top:398.040009pt;width:98.88086pt;height:.48pt;mso-position-horizontal-relative:page;mso-position-vertical-relative:page;z-index:-1222768" type="#_x0000_t75" stroked="false">
            <v:imagedata r:id="rId38"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、资产负债表</w:t>
      </w:r>
      <w:r>
        <w:rPr>
          <w:b w:val="0"/>
          <w:bCs w:val="0"/>
        </w:rPr>
      </w:r>
    </w:p>
    <w:p>
      <w:pPr>
        <w:spacing w:line="240" w:lineRule="auto" w:before="11"/>
        <w:rPr>
          <w:rFonts w:ascii="宋体" w:hAnsi="宋体" w:cs="宋体" w:eastAsia="宋体" w:hint="default"/>
          <w:b/>
          <w:bCs/>
          <w:sz w:val="18"/>
          <w:szCs w:val="18"/>
        </w:rPr>
      </w:pPr>
    </w:p>
    <w:tbl>
      <w:tblPr>
        <w:tblW w:w="0" w:type="auto"/>
        <w:jc w:val="left"/>
        <w:tblInd w:w="232" w:type="dxa"/>
        <w:tblLayout w:type="fixed"/>
        <w:tblCellMar>
          <w:top w:w="0" w:type="dxa"/>
          <w:left w:w="0" w:type="dxa"/>
          <w:bottom w:w="0" w:type="dxa"/>
          <w:right w:w="0" w:type="dxa"/>
        </w:tblCellMar>
        <w:tblLook w:val="01E0"/>
      </w:tblPr>
      <w:tblGrid>
        <w:gridCol w:w="3226"/>
        <w:gridCol w:w="254"/>
        <w:gridCol w:w="1933"/>
        <w:gridCol w:w="1429"/>
        <w:gridCol w:w="276"/>
        <w:gridCol w:w="2078"/>
      </w:tblGrid>
      <w:tr>
        <w:trPr>
          <w:trHeight w:val="433" w:hRule="exact"/>
        </w:trPr>
        <w:tc>
          <w:tcPr>
            <w:tcW w:w="3226"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81" w:lineRule="exact"/>
              <w:ind w:left="189" w:right="0"/>
              <w:jc w:val="left"/>
              <w:rPr>
                <w:rFonts w:ascii="宋体" w:hAnsi="宋体" w:cs="宋体" w:eastAsia="宋体" w:hint="default"/>
                <w:sz w:val="28"/>
                <w:szCs w:val="28"/>
              </w:rPr>
            </w:pPr>
            <w:r>
              <w:rPr>
                <w:rFonts w:ascii="宋体" w:hAnsi="宋体" w:cs="宋体" w:eastAsia="宋体" w:hint="default"/>
                <w:sz w:val="28"/>
                <w:szCs w:val="28"/>
              </w:rPr>
              <w:t>资产负债表</w:t>
            </w:r>
          </w:p>
        </w:tc>
        <w:tc>
          <w:tcPr>
            <w:tcW w:w="1429"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
        </w:tc>
      </w:tr>
      <w:tr>
        <w:trPr>
          <w:trHeight w:val="460" w:hRule="exact"/>
        </w:trPr>
        <w:tc>
          <w:tcPr>
            <w:tcW w:w="3226"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29"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4"/>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88" w:hRule="exact"/>
        </w:trPr>
        <w:tc>
          <w:tcPr>
            <w:tcW w:w="3226"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1"/>
                <w:sz w:val="18"/>
                <w:szCs w:val="18"/>
              </w:rPr>
              <w:t> </w:t>
            </w:r>
            <w:r>
              <w:rPr>
                <w:rFonts w:ascii="宋体" w:hAnsi="宋体" w:cs="宋体" w:eastAsia="宋体" w:hint="default"/>
                <w:sz w:val="18"/>
                <w:szCs w:val="18"/>
              </w:rPr>
              <w:t>产</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199" w:right="0"/>
              <w:jc w:val="left"/>
              <w:rPr>
                <w:rFonts w:ascii="宋体" w:hAnsi="宋体" w:cs="宋体" w:eastAsia="宋体" w:hint="default"/>
                <w:sz w:val="18"/>
                <w:szCs w:val="18"/>
              </w:rPr>
            </w:pPr>
            <w:r>
              <w:rPr>
                <w:rFonts w:ascii="宋体" w:hAnsi="宋体" w:cs="宋体" w:eastAsia="宋体" w:hint="default"/>
                <w:sz w:val="18"/>
                <w:szCs w:val="18"/>
              </w:rPr>
              <w:t>附注十四</w:t>
            </w:r>
          </w:p>
        </w:tc>
        <w:tc>
          <w:tcPr>
            <w:tcW w:w="1429"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16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7" w:hRule="exact"/>
        </w:trPr>
        <w:tc>
          <w:tcPr>
            <w:tcW w:w="322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6.4pt;height:.5pt;mso-position-horizontal-relative:char;mso-position-vertical-relative:line" coordorigin="0,0" coordsize="1128,10">
                  <v:group style="position:absolute;left:5;top:5;width:1119;height:2" coordorigin="5,5" coordsize="1119,2">
                    <v:shape style="position:absolute;left:5;top:5;width:1119;height:2" coordorigin="5,5" coordsize="1119,0" path="m5,5l112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29"/>
                <w:szCs w:val="29"/>
              </w:rPr>
            </w:pPr>
          </w:p>
        </w:tc>
        <w:tc>
          <w:tcPr>
            <w:tcW w:w="1429" w:type="dxa"/>
            <w:tcBorders>
              <w:top w:val="single" w:sz="4"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single" w:sz="4" w:space="0" w:color="000000"/>
              <w:left w:val="nil" w:sz="6" w:space="0" w:color="auto"/>
              <w:bottom w:val="nil" w:sz="6" w:space="0" w:color="auto"/>
              <w:right w:val="nil" w:sz="6" w:space="0" w:color="auto"/>
            </w:tcBorders>
          </w:tcPr>
          <w:p>
            <w:pPr/>
          </w:p>
        </w:tc>
      </w:tr>
      <w:tr>
        <w:trPr>
          <w:trHeight w:val="396"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67,509,630.73</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116,068,978.16</w:t>
            </w:r>
          </w:p>
        </w:tc>
      </w:tr>
      <w:tr>
        <w:trPr>
          <w:trHeight w:val="392"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8"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23,959,442.97</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16,396,589.97</w:t>
            </w:r>
          </w:p>
        </w:tc>
      </w:tr>
      <w:tr>
        <w:trPr>
          <w:trHeight w:val="387"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
              <w:jc w:val="right"/>
              <w:rPr>
                <w:rFonts w:ascii="Times New Roman" w:hAnsi="Times New Roman" w:cs="Times New Roman" w:eastAsia="Times New Roman" w:hint="default"/>
                <w:sz w:val="18"/>
                <w:szCs w:val="18"/>
              </w:rPr>
            </w:pPr>
            <w:r>
              <w:rPr>
                <w:rFonts w:ascii="Times New Roman"/>
                <w:spacing w:val="-1"/>
                <w:sz w:val="18"/>
              </w:rPr>
              <w:t>1,712,641.27</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3,368,725.73</w:t>
            </w:r>
            <w:r>
              <w:rPr>
                <w:rFonts w:ascii="Times New Roman"/>
                <w:sz w:val="18"/>
              </w:rPr>
            </w:r>
          </w:p>
        </w:tc>
      </w:tr>
      <w:tr>
        <w:trPr>
          <w:trHeight w:val="392"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spacing w:val="-1"/>
                <w:sz w:val="18"/>
              </w:rPr>
              <w:t>453,342.47</w:t>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1,628,808.89</w:t>
            </w:r>
            <w:r>
              <w:rPr>
                <w:rFonts w:ascii="Times New Roman"/>
                <w:sz w:val="18"/>
              </w:rPr>
            </w:r>
          </w:p>
        </w:tc>
      </w:tr>
      <w:tr>
        <w:trPr>
          <w:trHeight w:val="387"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594,309.98</w:t>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851,090.09</w:t>
            </w:r>
          </w:p>
        </w:tc>
      </w:tr>
      <w:tr>
        <w:trPr>
          <w:trHeight w:val="387"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
              <w:jc w:val="right"/>
              <w:rPr>
                <w:rFonts w:ascii="Times New Roman" w:hAnsi="Times New Roman" w:cs="Times New Roman" w:eastAsia="Times New Roman" w:hint="default"/>
                <w:sz w:val="18"/>
                <w:szCs w:val="18"/>
              </w:rPr>
            </w:pPr>
            <w:r>
              <w:rPr>
                <w:rFonts w:ascii="Times New Roman"/>
                <w:spacing w:val="-1"/>
                <w:sz w:val="18"/>
              </w:rPr>
              <w:t>7,993,208.51</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5,001,586.09</w:t>
            </w:r>
            <w:r>
              <w:rPr>
                <w:rFonts w:ascii="Times New Roman"/>
                <w:sz w:val="18"/>
              </w:rPr>
            </w:r>
          </w:p>
        </w:tc>
      </w:tr>
      <w:tr>
        <w:trPr>
          <w:trHeight w:val="391"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5"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spacing w:val="-1"/>
                <w:sz w:val="18"/>
              </w:rPr>
              <w:t>152,000,000.00</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single" w:sz="4" w:space="0" w:color="7E7E7E"/>
              <w:right w:val="nil" w:sz="6" w:space="0" w:color="auto"/>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r>
      <w:tr>
        <w:trPr>
          <w:trHeight w:val="401"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single" w:sz="4" w:space="0" w:color="000000"/>
              <w:right w:val="nil" w:sz="6" w:space="0" w:color="auto"/>
            </w:tcBorders>
          </w:tcPr>
          <w:p>
            <w:pPr/>
          </w:p>
        </w:tc>
        <w:tc>
          <w:tcPr>
            <w:tcW w:w="1429"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254,222,575.93</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single" w:sz="4" w:space="0" w:color="7E7E7E"/>
              <w:left w:val="nil" w:sz="6" w:space="0" w:color="auto"/>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243,315,778.93</w:t>
            </w:r>
          </w:p>
        </w:tc>
      </w:tr>
      <w:tr>
        <w:trPr>
          <w:trHeight w:val="434"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single" w:sz="4" w:space="0" w:color="000000"/>
              <w:left w:val="nil" w:sz="6" w:space="0" w:color="auto"/>
              <w:bottom w:val="nil" w:sz="6" w:space="0" w:color="auto"/>
              <w:right w:val="nil" w:sz="6" w:space="0" w:color="auto"/>
            </w:tcBorders>
          </w:tcPr>
          <w:p>
            <w:pPr/>
          </w:p>
        </w:tc>
        <w:tc>
          <w:tcPr>
            <w:tcW w:w="1429" w:type="dxa"/>
            <w:tcBorders>
              <w:top w:val="single" w:sz="4"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single" w:sz="4" w:space="0" w:color="000000"/>
              <w:left w:val="nil" w:sz="6" w:space="0" w:color="auto"/>
              <w:bottom w:val="nil" w:sz="6" w:space="0" w:color="auto"/>
              <w:right w:val="nil" w:sz="6" w:space="0" w:color="auto"/>
            </w:tcBorders>
          </w:tcPr>
          <w:p>
            <w:pPr/>
          </w:p>
        </w:tc>
      </w:tr>
      <w:tr>
        <w:trPr>
          <w:trHeight w:val="284" w:hRule="exact"/>
        </w:trPr>
        <w:tc>
          <w:tcPr>
            <w:tcW w:w="3226"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192" w:lineRule="exact"/>
              <w:ind w:right="45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9"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
        </w:tc>
      </w:tr>
      <w:tr>
        <w:trPr>
          <w:trHeight w:val="387"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1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5"/>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91"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8"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86"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spacing w:val="-1"/>
                <w:sz w:val="18"/>
              </w:rPr>
              <w:t>20,428,453.46</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8"/>
                <w:szCs w:val="18"/>
              </w:rPr>
            </w:pPr>
            <w:r>
              <w:rPr>
                <w:rFonts w:ascii="Times New Roman"/>
                <w:spacing w:val="-1"/>
                <w:sz w:val="18"/>
              </w:rPr>
              <w:t>18,829,001.62</w:t>
            </w:r>
            <w:r>
              <w:rPr>
                <w:rFonts w:ascii="Times New Roman"/>
                <w:sz w:val="18"/>
              </w:rPr>
            </w:r>
          </w:p>
        </w:tc>
      </w:tr>
      <w:tr>
        <w:trPr>
          <w:trHeight w:val="392"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spacing w:val="-1"/>
                <w:sz w:val="18"/>
              </w:rPr>
              <w:t>4,107,070.14</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
              <w:jc w:val="right"/>
              <w:rPr>
                <w:rFonts w:ascii="Times New Roman" w:hAnsi="Times New Roman" w:cs="Times New Roman" w:eastAsia="Times New Roman" w:hint="default"/>
                <w:sz w:val="18"/>
                <w:szCs w:val="18"/>
              </w:rPr>
            </w:pPr>
            <w:r>
              <w:rPr>
                <w:rFonts w:ascii="Times New Roman"/>
                <w:spacing w:val="-1"/>
                <w:sz w:val="18"/>
              </w:rPr>
              <w:t>3,678,299.87</w:t>
            </w:r>
          </w:p>
        </w:tc>
      </w:tr>
      <w:tr>
        <w:trPr>
          <w:trHeight w:val="392"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spacing w:val="-1"/>
                <w:sz w:val="18"/>
              </w:rPr>
              <w:t>2,295,755.16</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
              <w:jc w:val="right"/>
              <w:rPr>
                <w:rFonts w:ascii="Times New Roman" w:hAnsi="Times New Roman" w:cs="Times New Roman" w:eastAsia="Times New Roman" w:hint="default"/>
                <w:sz w:val="18"/>
                <w:szCs w:val="18"/>
              </w:rPr>
            </w:pPr>
            <w:r>
              <w:rPr>
                <w:rFonts w:ascii="Times New Roman"/>
                <w:spacing w:val="-1"/>
                <w:sz w:val="18"/>
              </w:rPr>
              <w:t>2,421,278.60</w:t>
            </w:r>
          </w:p>
        </w:tc>
      </w:tr>
      <w:tr>
        <w:trPr>
          <w:trHeight w:val="392"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
              <w:jc w:val="right"/>
              <w:rPr>
                <w:rFonts w:ascii="Times New Roman" w:hAnsi="Times New Roman" w:cs="Times New Roman" w:eastAsia="Times New Roman" w:hint="default"/>
                <w:sz w:val="18"/>
                <w:szCs w:val="18"/>
              </w:rPr>
            </w:pPr>
            <w:r>
              <w:rPr>
                <w:rFonts w:ascii="Times New Roman"/>
                <w:spacing w:val="-1"/>
                <w:sz w:val="18"/>
              </w:rPr>
              <w:t>137,659.03</w:t>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
              <w:jc w:val="right"/>
              <w:rPr>
                <w:rFonts w:ascii="Times New Roman" w:hAnsi="Times New Roman" w:cs="Times New Roman" w:eastAsia="Times New Roman" w:hint="default"/>
                <w:sz w:val="18"/>
                <w:szCs w:val="18"/>
              </w:rPr>
            </w:pPr>
            <w:r>
              <w:rPr>
                <w:rFonts w:ascii="Times New Roman"/>
                <w:spacing w:val="-1"/>
                <w:sz w:val="18"/>
              </w:rPr>
              <w:t>32,004.01</w:t>
            </w:r>
          </w:p>
        </w:tc>
      </w:tr>
      <w:tr>
        <w:trPr>
          <w:trHeight w:val="392"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
              <w:jc w:val="right"/>
              <w:rPr>
                <w:rFonts w:ascii="Times New Roman" w:hAnsi="Times New Roman" w:cs="Times New Roman" w:eastAsia="Times New Roman" w:hint="default"/>
                <w:sz w:val="18"/>
                <w:szCs w:val="18"/>
              </w:rPr>
            </w:pPr>
            <w:r>
              <w:rPr>
                <w:rFonts w:ascii="Times New Roman"/>
                <w:spacing w:val="-1"/>
                <w:sz w:val="18"/>
              </w:rPr>
              <w:t>224,677.61</w:t>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
              <w:jc w:val="right"/>
              <w:rPr>
                <w:rFonts w:ascii="Times New Roman" w:hAnsi="Times New Roman" w:cs="Times New Roman" w:eastAsia="Times New Roman" w:hint="default"/>
                <w:sz w:val="18"/>
                <w:szCs w:val="18"/>
              </w:rPr>
            </w:pPr>
            <w:r>
              <w:rPr>
                <w:rFonts w:ascii="Times New Roman"/>
                <w:spacing w:val="-1"/>
                <w:sz w:val="18"/>
              </w:rPr>
              <w:t>227,250.31</w:t>
            </w:r>
          </w:p>
        </w:tc>
      </w:tr>
      <w:tr>
        <w:trPr>
          <w:trHeight w:val="292"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4"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74,053,557.00</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74,053,557.00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36"/>
          <w:footerReference w:type="default" r:id="rId37"/>
          <w:pgSz w:w="11910" w:h="16840"/>
          <w:pgMar w:header="867" w:footer="982" w:top="1060" w:bottom="1180" w:left="980" w:right="980"/>
          <w:pgNumType w:start="77"/>
        </w:sectPr>
      </w:pPr>
    </w:p>
    <w:p>
      <w:pPr>
        <w:spacing w:line="240" w:lineRule="auto" w:before="2"/>
        <w:rPr>
          <w:rFonts w:ascii="Times New Roman" w:hAnsi="Times New Roman" w:cs="Times New Roman" w:eastAsia="Times New Roman" w:hint="default"/>
          <w:sz w:val="2"/>
          <w:szCs w:val="2"/>
        </w:rPr>
      </w:pPr>
      <w:r>
        <w:rPr/>
        <w:pict>
          <v:shape style="position:absolute;margin-left:303.840027pt;margin-top:56.639999pt;width:98.88086pt;height:.48pt;mso-position-horizontal-relative:page;mso-position-vertical-relative:page;z-index:-1222744" type="#_x0000_t75" stroked="false">
            <v:imagedata r:id="rId38" o:title=""/>
          </v:shape>
        </w:pict>
      </w:r>
      <w:r>
        <w:rPr/>
        <w:pict>
          <v:group style="position:absolute;margin-left:303.839996pt;margin-top:77.039986pt;width:98.9pt;height:.1pt;mso-position-horizontal-relative:page;mso-position-vertical-relative:page;z-index:-1222720" coordorigin="6077,1541" coordsize="1978,2">
            <v:shape style="position:absolute;left:6077;top:1541;width:1978;height:2" coordorigin="6077,1541" coordsize="1978,0" path="m6077,1541l8054,1541e" filled="false" stroked="true" strokeweight=".48pt" strokecolor="#000000">
              <v:path arrowok="t"/>
            </v:shape>
            <w10:wrap type="none"/>
          </v:group>
        </w:pict>
      </w:r>
      <w:r>
        <w:rPr/>
        <w:pict>
          <v:group style="position:absolute;margin-left:303.480011pt;margin-top:114.359985pt;width:99.6pt;height:2.2pt;mso-position-horizontal-relative:page;mso-position-vertical-relative:page;z-index:-1222696" coordorigin="6070,2287" coordsize="1992,44">
            <v:group style="position:absolute;left:6077;top:2294;width:1978;height:2" coordorigin="6077,2294" coordsize="1978,2">
              <v:shape style="position:absolute;left:6077;top:2294;width:1978;height:2" coordorigin="6077,2294" coordsize="1978,0" path="m6077,2294l8054,2294e" filled="false" stroked="true" strokeweight=".72pt" strokecolor="#000000">
                <v:path arrowok="t"/>
              </v:shape>
            </v:group>
            <v:group style="position:absolute;left:6077;top:2323;width:1978;height:2" coordorigin="6077,2323" coordsize="1978,2">
              <v:shape style="position:absolute;left:6077;top:2323;width:1978;height:2" coordorigin="6077,2323" coordsize="1978,0" path="m6077,2323l8054,2323e" filled="false" stroked="true" strokeweight=".72pt" strokecolor="#000000">
                <v:path arrowok="t"/>
              </v:shape>
            </v:group>
            <w10:wrap type="none"/>
          </v:group>
        </w:pict>
      </w:r>
    </w:p>
    <w:tbl>
      <w:tblPr>
        <w:tblW w:w="0" w:type="auto"/>
        <w:jc w:val="left"/>
        <w:tblInd w:w="103" w:type="dxa"/>
        <w:tblLayout w:type="fixed"/>
        <w:tblCellMar>
          <w:top w:w="0" w:type="dxa"/>
          <w:left w:w="0" w:type="dxa"/>
          <w:bottom w:w="0" w:type="dxa"/>
          <w:right w:w="0" w:type="dxa"/>
        </w:tblCellMar>
        <w:tblLook w:val="01E0"/>
      </w:tblPr>
      <w:tblGrid>
        <w:gridCol w:w="29"/>
        <w:gridCol w:w="3151"/>
        <w:gridCol w:w="235"/>
        <w:gridCol w:w="1558"/>
        <w:gridCol w:w="292"/>
        <w:gridCol w:w="2032"/>
        <w:gridCol w:w="103"/>
        <w:gridCol w:w="230"/>
        <w:gridCol w:w="1884"/>
        <w:gridCol w:w="182"/>
      </w:tblGrid>
      <w:tr>
        <w:trPr>
          <w:trHeight w:val="430" w:hRule="exact"/>
        </w:trPr>
        <w:tc>
          <w:tcPr>
            <w:tcW w:w="29" w:type="dxa"/>
            <w:tcBorders>
              <w:top w:val="single" w:sz="6" w:space="0" w:color="000000"/>
              <w:left w:val="nil" w:sz="6" w:space="0" w:color="auto"/>
              <w:bottom w:val="nil" w:sz="6" w:space="0" w:color="auto"/>
              <w:right w:val="nil" w:sz="6" w:space="0" w:color="auto"/>
            </w:tcBorders>
          </w:tcPr>
          <w:p>
            <w:pPr/>
          </w:p>
        </w:tc>
        <w:tc>
          <w:tcPr>
            <w:tcW w:w="3151" w:type="dxa"/>
            <w:tcBorders>
              <w:top w:val="single" w:sz="6" w:space="0" w:color="000000"/>
              <w:left w:val="nil" w:sz="6" w:space="0" w:color="auto"/>
              <w:bottom w:val="nil" w:sz="6" w:space="0" w:color="auto"/>
              <w:right w:val="nil" w:sz="6" w:space="0" w:color="auto"/>
            </w:tcBorders>
          </w:tcPr>
          <w:p>
            <w:pPr>
              <w:pStyle w:val="TableParagraph"/>
              <w:spacing w:line="240" w:lineRule="auto" w:before="75"/>
              <w:ind w:left="29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35" w:type="dxa"/>
            <w:tcBorders>
              <w:top w:val="single" w:sz="6" w:space="0" w:color="000000"/>
              <w:left w:val="nil" w:sz="6" w:space="0" w:color="auto"/>
              <w:bottom w:val="nil" w:sz="6" w:space="0" w:color="auto"/>
              <w:right w:val="nil" w:sz="6" w:space="0" w:color="auto"/>
            </w:tcBorders>
          </w:tcPr>
          <w:p>
            <w:pPr/>
          </w:p>
        </w:tc>
        <w:tc>
          <w:tcPr>
            <w:tcW w:w="1558" w:type="dxa"/>
            <w:tcBorders>
              <w:top w:val="single" w:sz="6" w:space="0" w:color="000000"/>
              <w:left w:val="nil" w:sz="6" w:space="0" w:color="auto"/>
              <w:bottom w:val="nil" w:sz="6" w:space="0" w:color="auto"/>
              <w:right w:val="nil" w:sz="6" w:space="0" w:color="auto"/>
            </w:tcBorders>
          </w:tcPr>
          <w:p>
            <w:pPr/>
          </w:p>
        </w:tc>
        <w:tc>
          <w:tcPr>
            <w:tcW w:w="292" w:type="dxa"/>
            <w:tcBorders>
              <w:top w:val="single" w:sz="6" w:space="0" w:color="000000"/>
              <w:left w:val="nil" w:sz="6" w:space="0" w:color="auto"/>
              <w:bottom w:val="nil" w:sz="6" w:space="0" w:color="auto"/>
              <w:right w:val="nil" w:sz="6" w:space="0" w:color="auto"/>
            </w:tcBorders>
          </w:tcPr>
          <w:p>
            <w:pPr/>
          </w:p>
        </w:tc>
        <w:tc>
          <w:tcPr>
            <w:tcW w:w="2032" w:type="dxa"/>
            <w:tcBorders>
              <w:top w:val="single" w:sz="6" w:space="0" w:color="000000"/>
              <w:left w:val="nil" w:sz="6" w:space="0" w:color="auto"/>
              <w:bottom w:val="single" w:sz="4" w:space="0" w:color="000000"/>
              <w:right w:val="nil" w:sz="6" w:space="0" w:color="auto"/>
            </w:tcBorders>
          </w:tcPr>
          <w:p>
            <w:pPr>
              <w:pStyle w:val="TableParagraph"/>
              <w:spacing w:line="240" w:lineRule="auto" w:before="117"/>
              <w:ind w:left="533" w:right="0"/>
              <w:jc w:val="left"/>
              <w:rPr>
                <w:rFonts w:ascii="Times New Roman" w:hAnsi="Times New Roman" w:cs="Times New Roman" w:eastAsia="Times New Roman" w:hint="default"/>
                <w:sz w:val="18"/>
                <w:szCs w:val="18"/>
              </w:rPr>
            </w:pPr>
            <w:r>
              <w:rPr>
                <w:rFonts w:ascii="Times New Roman"/>
                <w:sz w:val="18"/>
              </w:rPr>
              <w:t>109,247,172.40</w:t>
            </w:r>
          </w:p>
        </w:tc>
        <w:tc>
          <w:tcPr>
            <w:tcW w:w="103" w:type="dxa"/>
            <w:tcBorders>
              <w:top w:val="single" w:sz="15" w:space="0" w:color="000000"/>
              <w:left w:val="nil" w:sz="6" w:space="0" w:color="auto"/>
              <w:bottom w:val="single" w:sz="4" w:space="0" w:color="000000"/>
              <w:right w:val="nil" w:sz="6" w:space="0" w:color="auto"/>
            </w:tcBorders>
          </w:tcPr>
          <w:p>
            <w:pPr/>
          </w:p>
        </w:tc>
        <w:tc>
          <w:tcPr>
            <w:tcW w:w="230" w:type="dxa"/>
            <w:tcBorders>
              <w:top w:val="single" w:sz="15" w:space="0" w:color="000000"/>
              <w:left w:val="nil" w:sz="6" w:space="0" w:color="auto"/>
              <w:bottom w:val="single" w:sz="4" w:space="0" w:color="000000"/>
              <w:right w:val="nil" w:sz="6" w:space="0" w:color="auto"/>
            </w:tcBorders>
          </w:tcPr>
          <w:p>
            <w:pPr/>
          </w:p>
        </w:tc>
        <w:tc>
          <w:tcPr>
            <w:tcW w:w="1884" w:type="dxa"/>
            <w:tcBorders>
              <w:top w:val="single" w:sz="15" w:space="0" w:color="000000"/>
              <w:left w:val="nil" w:sz="6" w:space="0" w:color="auto"/>
              <w:bottom w:val="single" w:sz="4" w:space="0" w:color="000000"/>
              <w:right w:val="nil" w:sz="6" w:space="0" w:color="auto"/>
            </w:tcBorders>
          </w:tcPr>
          <w:p>
            <w:pPr>
              <w:pStyle w:val="TableParagraph"/>
              <w:spacing w:line="240" w:lineRule="auto" w:before="105"/>
              <w:ind w:right="234"/>
              <w:jc w:val="right"/>
              <w:rPr>
                <w:rFonts w:ascii="Times New Roman" w:hAnsi="Times New Roman" w:cs="Times New Roman" w:eastAsia="Times New Roman" w:hint="default"/>
                <w:sz w:val="18"/>
                <w:szCs w:val="18"/>
              </w:rPr>
            </w:pPr>
            <w:r>
              <w:rPr>
                <w:rFonts w:ascii="Times New Roman"/>
                <w:spacing w:val="-1"/>
                <w:sz w:val="18"/>
              </w:rPr>
              <w:t>107,241,391.41</w:t>
            </w:r>
          </w:p>
        </w:tc>
        <w:tc>
          <w:tcPr>
            <w:tcW w:w="182" w:type="dxa"/>
            <w:tcBorders>
              <w:top w:val="single" w:sz="6" w:space="0" w:color="000000"/>
              <w:left w:val="nil" w:sz="6" w:space="0" w:color="auto"/>
              <w:bottom w:val="nil" w:sz="6" w:space="0" w:color="auto"/>
              <w:right w:val="nil" w:sz="6" w:space="0" w:color="auto"/>
            </w:tcBorders>
          </w:tcPr>
          <w:p>
            <w:pPr/>
          </w:p>
        </w:tc>
      </w:tr>
      <w:tr>
        <w:trPr>
          <w:trHeight w:val="350"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single" w:sz="4" w:space="0" w:color="000000"/>
              <w:right w:val="nil" w:sz="6" w:space="0" w:color="auto"/>
            </w:tcBorders>
          </w:tcPr>
          <w:p>
            <w:pPr/>
          </w:p>
        </w:tc>
        <w:tc>
          <w:tcPr>
            <w:tcW w:w="2032" w:type="dxa"/>
            <w:tcBorders>
              <w:top w:val="single" w:sz="4" w:space="0" w:color="000000"/>
              <w:left w:val="nil" w:sz="6" w:space="0" w:color="auto"/>
              <w:bottom w:val="single" w:sz="4" w:space="0" w:color="000000"/>
              <w:right w:val="nil" w:sz="6" w:space="0" w:color="auto"/>
            </w:tcBorders>
          </w:tcPr>
          <w:p>
            <w:pPr/>
          </w:p>
        </w:tc>
        <w:tc>
          <w:tcPr>
            <w:tcW w:w="103" w:type="dxa"/>
            <w:tcBorders>
              <w:top w:val="single" w:sz="4" w:space="0" w:color="000000"/>
              <w:left w:val="nil" w:sz="6" w:space="0" w:color="auto"/>
              <w:bottom w:val="single" w:sz="4" w:space="0" w:color="000000"/>
              <w:right w:val="nil" w:sz="6" w:space="0" w:color="auto"/>
            </w:tcBorders>
          </w:tcPr>
          <w:p>
            <w:pPr/>
          </w:p>
        </w:tc>
        <w:tc>
          <w:tcPr>
            <w:tcW w:w="230" w:type="dxa"/>
            <w:tcBorders>
              <w:top w:val="single" w:sz="4" w:space="0" w:color="000000"/>
              <w:left w:val="nil" w:sz="6" w:space="0" w:color="auto"/>
              <w:bottom w:val="single" w:sz="4" w:space="0" w:color="000000"/>
              <w:right w:val="nil" w:sz="6" w:space="0" w:color="auto"/>
            </w:tcBorders>
          </w:tcPr>
          <w:p>
            <w:pPr/>
          </w:p>
        </w:tc>
        <w:tc>
          <w:tcPr>
            <w:tcW w:w="1884" w:type="dxa"/>
            <w:tcBorders>
              <w:top w:val="single" w:sz="4" w:space="0" w:color="000000"/>
              <w:left w:val="nil" w:sz="6" w:space="0" w:color="auto"/>
              <w:bottom w:val="single" w:sz="4" w:space="0" w:color="000000"/>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r>
      <w:tr>
        <w:trPr>
          <w:trHeight w:val="418"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single" w:sz="4" w:space="0" w:color="000000"/>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363,469,748.33</w:t>
            </w:r>
          </w:p>
        </w:tc>
        <w:tc>
          <w:tcPr>
            <w:tcW w:w="103" w:type="dxa"/>
            <w:tcBorders>
              <w:top w:val="single" w:sz="4" w:space="0" w:color="000000"/>
              <w:left w:val="nil" w:sz="6" w:space="0" w:color="auto"/>
              <w:bottom w:val="single" w:sz="17" w:space="0" w:color="000000"/>
              <w:right w:val="nil" w:sz="6" w:space="0" w:color="auto"/>
            </w:tcBorders>
          </w:tcPr>
          <w:p>
            <w:pPr/>
          </w:p>
        </w:tc>
        <w:tc>
          <w:tcPr>
            <w:tcW w:w="230" w:type="dxa"/>
            <w:tcBorders>
              <w:top w:val="single" w:sz="4" w:space="0" w:color="000000"/>
              <w:left w:val="nil" w:sz="6" w:space="0" w:color="auto"/>
              <w:bottom w:val="single" w:sz="17" w:space="0" w:color="000000"/>
              <w:right w:val="nil" w:sz="6" w:space="0" w:color="auto"/>
            </w:tcBorders>
          </w:tcPr>
          <w:p>
            <w:pPr/>
          </w:p>
        </w:tc>
        <w:tc>
          <w:tcPr>
            <w:tcW w:w="1884"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234"/>
              <w:jc w:val="right"/>
              <w:rPr>
                <w:rFonts w:ascii="Times New Roman" w:hAnsi="Times New Roman" w:cs="Times New Roman" w:eastAsia="Times New Roman" w:hint="default"/>
                <w:sz w:val="18"/>
                <w:szCs w:val="18"/>
              </w:rPr>
            </w:pPr>
            <w:r>
              <w:rPr>
                <w:rFonts w:ascii="Times New Roman"/>
                <w:spacing w:val="-1"/>
                <w:sz w:val="18"/>
              </w:rPr>
              <w:t>350,557,170.34</w:t>
            </w:r>
          </w:p>
        </w:tc>
        <w:tc>
          <w:tcPr>
            <w:tcW w:w="182" w:type="dxa"/>
            <w:tcBorders>
              <w:top w:val="nil" w:sz="6" w:space="0" w:color="auto"/>
              <w:left w:val="nil" w:sz="6" w:space="0" w:color="auto"/>
              <w:bottom w:val="nil" w:sz="6" w:space="0" w:color="auto"/>
              <w:right w:val="nil" w:sz="6" w:space="0" w:color="auto"/>
            </w:tcBorders>
          </w:tcPr>
          <w:p>
            <w:pPr/>
          </w:p>
        </w:tc>
      </w:tr>
      <w:tr>
        <w:trPr>
          <w:trHeight w:val="420"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
        </w:tc>
        <w:tc>
          <w:tcPr>
            <w:tcW w:w="292" w:type="dxa"/>
            <w:tcBorders>
              <w:top w:val="nil" w:sz="6" w:space="0" w:color="auto"/>
              <w:left w:val="nil" w:sz="6" w:space="0" w:color="auto"/>
              <w:bottom w:val="single" w:sz="4" w:space="0" w:color="000000"/>
              <w:right w:val="nil" w:sz="6" w:space="0" w:color="auto"/>
            </w:tcBorders>
          </w:tcPr>
          <w:p>
            <w:pPr/>
          </w:p>
        </w:tc>
        <w:tc>
          <w:tcPr>
            <w:tcW w:w="2032" w:type="dxa"/>
            <w:tcBorders>
              <w:top w:val="single" w:sz="17" w:space="0" w:color="000000"/>
              <w:left w:val="nil" w:sz="6" w:space="0" w:color="auto"/>
              <w:bottom w:val="single" w:sz="4" w:space="0" w:color="000000"/>
              <w:right w:val="nil" w:sz="6" w:space="0" w:color="auto"/>
            </w:tcBorders>
          </w:tcPr>
          <w:p>
            <w:pPr/>
          </w:p>
        </w:tc>
        <w:tc>
          <w:tcPr>
            <w:tcW w:w="103" w:type="dxa"/>
            <w:tcBorders>
              <w:top w:val="single" w:sz="17" w:space="0" w:color="000000"/>
              <w:left w:val="nil" w:sz="6" w:space="0" w:color="auto"/>
              <w:bottom w:val="single" w:sz="4" w:space="0" w:color="000000"/>
              <w:right w:val="nil" w:sz="6" w:space="0" w:color="auto"/>
            </w:tcBorders>
          </w:tcPr>
          <w:p>
            <w:pPr/>
          </w:p>
        </w:tc>
        <w:tc>
          <w:tcPr>
            <w:tcW w:w="230" w:type="dxa"/>
            <w:tcBorders>
              <w:top w:val="single" w:sz="17" w:space="0" w:color="000000"/>
              <w:left w:val="nil" w:sz="6" w:space="0" w:color="auto"/>
              <w:bottom w:val="single" w:sz="4" w:space="0" w:color="000000"/>
              <w:right w:val="nil" w:sz="6" w:space="0" w:color="auto"/>
            </w:tcBorders>
          </w:tcPr>
          <w:p>
            <w:pPr/>
          </w:p>
        </w:tc>
        <w:tc>
          <w:tcPr>
            <w:tcW w:w="1884" w:type="dxa"/>
            <w:tcBorders>
              <w:top w:val="single" w:sz="17" w:space="0" w:color="000000"/>
              <w:left w:val="nil" w:sz="6" w:space="0" w:color="auto"/>
              <w:bottom w:val="single" w:sz="4" w:space="0" w:color="000000"/>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r>
      <w:tr>
        <w:trPr>
          <w:trHeight w:val="397" w:hRule="exact"/>
        </w:trPr>
        <w:tc>
          <w:tcPr>
            <w:tcW w:w="9696" w:type="dxa"/>
            <w:gridSpan w:val="10"/>
            <w:tcBorders>
              <w:top w:val="nil" w:sz="6" w:space="0" w:color="auto"/>
              <w:left w:val="nil" w:sz="6" w:space="0" w:color="auto"/>
              <w:bottom w:val="nil" w:sz="6" w:space="0" w:color="auto"/>
              <w:right w:val="nil" w:sz="6" w:space="0" w:color="auto"/>
            </w:tcBorders>
          </w:tcPr>
          <w:p>
            <w:pPr>
              <w:pStyle w:val="TableParagraph"/>
              <w:tabs>
                <w:tab w:pos="3110" w:val="left" w:leader="none"/>
                <w:tab w:pos="7072" w:val="left" w:leader="none"/>
              </w:tabs>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89"/>
                <w:sz w:val="18"/>
                <w:szCs w:val="18"/>
              </w:rPr>
              <w:t> </w:t>
            </w:r>
            <w:r>
              <w:rPr>
                <w:rFonts w:ascii="宋体" w:hAnsi="宋体" w:cs="宋体" w:eastAsia="宋体" w:hint="default"/>
                <w:sz w:val="18"/>
                <w:szCs w:val="18"/>
              </w:rPr>
              <w:t>孙晓玲</w:t>
              <w:tab/>
              <w:t>会计机构负责人：全丽</w:t>
            </w:r>
          </w:p>
        </w:tc>
      </w:tr>
      <w:tr>
        <w:trPr>
          <w:trHeight w:val="798" w:hRule="exact"/>
        </w:trPr>
        <w:tc>
          <w:tcPr>
            <w:tcW w:w="9696"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r>
      <w:tr>
        <w:trPr>
          <w:trHeight w:val="955" w:hRule="exact"/>
        </w:trPr>
        <w:tc>
          <w:tcPr>
            <w:tcW w:w="9696"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7"/>
                <w:szCs w:val="37"/>
              </w:rPr>
            </w:pPr>
          </w:p>
          <w:p>
            <w:pPr>
              <w:pStyle w:val="TableParagraph"/>
              <w:spacing w:line="240" w:lineRule="auto"/>
              <w:ind w:left="-1" w:right="180"/>
              <w:jc w:val="center"/>
              <w:rPr>
                <w:rFonts w:ascii="宋体" w:hAnsi="宋体" w:cs="宋体" w:eastAsia="宋体" w:hint="default"/>
                <w:sz w:val="28"/>
                <w:szCs w:val="28"/>
              </w:rPr>
            </w:pPr>
            <w:r>
              <w:rPr>
                <w:rFonts w:ascii="宋体" w:hAnsi="宋体" w:cs="宋体" w:eastAsia="宋体" w:hint="default"/>
                <w:sz w:val="28"/>
                <w:szCs w:val="28"/>
              </w:rPr>
              <w:t>资产负债表（续）</w:t>
            </w:r>
          </w:p>
        </w:tc>
      </w:tr>
      <w:tr>
        <w:trPr>
          <w:trHeight w:val="443"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921" w:right="-27"/>
              <w:jc w:val="left"/>
              <w:rPr>
                <w:rFonts w:ascii="Times New Roman" w:hAnsi="Times New Roman" w:cs="Times New Roman" w:eastAsia="Times New Roman" w:hint="default"/>
                <w:sz w:val="18"/>
                <w:szCs w:val="18"/>
              </w:rPr>
            </w:pPr>
            <w:r>
              <w:rPr>
                <w:rFonts w:ascii="Times New Roman"/>
                <w:sz w:val="18"/>
              </w:rPr>
              <w:t>2015-12-</w:t>
            </w: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4" w:right="0"/>
              <w:jc w:val="left"/>
              <w:rPr>
                <w:rFonts w:ascii="Times New Roman" w:hAnsi="Times New Roman" w:cs="Times New Roman" w:eastAsia="Times New Roman" w:hint="default"/>
                <w:sz w:val="18"/>
                <w:szCs w:val="18"/>
              </w:rPr>
            </w:pPr>
            <w:r>
              <w:rPr>
                <w:rFonts w:ascii="Times New Roman"/>
                <w:sz w:val="18"/>
              </w:rPr>
              <w:t>31</w:t>
            </w:r>
          </w:p>
        </w:tc>
        <w:tc>
          <w:tcPr>
            <w:tcW w:w="203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r>
      <w:tr>
        <w:trPr>
          <w:trHeight w:val="387"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3"/>
              <w:jc w:val="right"/>
              <w:rPr>
                <w:rFonts w:ascii="宋体" w:hAnsi="宋体" w:cs="宋体" w:eastAsia="宋体" w:hint="default"/>
                <w:sz w:val="18"/>
                <w:szCs w:val="18"/>
              </w:rPr>
            </w:pPr>
            <w:r>
              <w:rPr>
                <w:rFonts w:ascii="宋体" w:hAnsi="宋体" w:cs="宋体" w:eastAsia="宋体" w:hint="default"/>
                <w:sz w:val="18"/>
                <w:szCs w:val="18"/>
              </w:rPr>
              <w:t>单位：人民币元</w:t>
            </w:r>
          </w:p>
        </w:tc>
        <w:tc>
          <w:tcPr>
            <w:tcW w:w="182" w:type="dxa"/>
            <w:tcBorders>
              <w:top w:val="nil" w:sz="6" w:space="0" w:color="auto"/>
              <w:left w:val="nil" w:sz="6" w:space="0" w:color="auto"/>
              <w:bottom w:val="nil" w:sz="6" w:space="0" w:color="auto"/>
              <w:right w:val="nil" w:sz="6" w:space="0" w:color="auto"/>
            </w:tcBorders>
          </w:tcPr>
          <w:p>
            <w:pPr/>
          </w:p>
        </w:tc>
      </w:tr>
      <w:tr>
        <w:trPr>
          <w:trHeight w:val="398"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943"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附注十四</w:t>
            </w:r>
          </w:p>
        </w:tc>
        <w:tc>
          <w:tcPr>
            <w:tcW w:w="292" w:type="dxa"/>
            <w:tcBorders>
              <w:top w:val="nil" w:sz="6" w:space="0" w:color="auto"/>
              <w:left w:val="nil" w:sz="6" w:space="0" w:color="auto"/>
              <w:bottom w:val="single" w:sz="4" w:space="0" w:color="000000"/>
              <w:right w:val="nil" w:sz="6" w:space="0" w:color="auto"/>
            </w:tcBorders>
          </w:tcPr>
          <w:p>
            <w:pPr/>
          </w:p>
        </w:tc>
        <w:tc>
          <w:tcPr>
            <w:tcW w:w="203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10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03" w:type="dxa"/>
            <w:tcBorders>
              <w:top w:val="nil" w:sz="6" w:space="0" w:color="auto"/>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2" w:type="dxa"/>
            <w:tcBorders>
              <w:top w:val="nil" w:sz="6" w:space="0" w:color="auto"/>
              <w:left w:val="nil" w:sz="6" w:space="0" w:color="auto"/>
              <w:bottom w:val="nil" w:sz="6" w:space="0" w:color="auto"/>
              <w:right w:val="nil" w:sz="6" w:space="0" w:color="auto"/>
            </w:tcBorders>
          </w:tcPr>
          <w:p>
            <w:pPr/>
          </w:p>
        </w:tc>
      </w:tr>
      <w:tr>
        <w:trPr>
          <w:trHeight w:val="395"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
        </w:tc>
        <w:tc>
          <w:tcPr>
            <w:tcW w:w="292" w:type="dxa"/>
            <w:tcBorders>
              <w:top w:val="single" w:sz="4" w:space="0" w:color="000000"/>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nil" w:sz="6" w:space="0" w:color="auto"/>
              <w:right w:val="nil" w:sz="6" w:space="0" w:color="auto"/>
            </w:tcBorders>
          </w:tcPr>
          <w:p>
            <w:pPr/>
          </w:p>
        </w:tc>
        <w:tc>
          <w:tcPr>
            <w:tcW w:w="103" w:type="dxa"/>
            <w:tcBorders>
              <w:top w:val="single" w:sz="4"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r>
      <w:tr>
        <w:trPr>
          <w:trHeight w:val="397"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392"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391"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392"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pacing w:val="-1"/>
                <w:sz w:val="18"/>
              </w:rPr>
              <w:t>14,683,424.20</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1"/>
                <w:sz w:val="18"/>
              </w:rPr>
              <w:t>6,691,306.63</w:t>
            </w:r>
          </w:p>
        </w:tc>
        <w:tc>
          <w:tcPr>
            <w:tcW w:w="182" w:type="dxa"/>
            <w:tcBorders>
              <w:top w:val="nil" w:sz="6" w:space="0" w:color="auto"/>
              <w:left w:val="nil" w:sz="6" w:space="0" w:color="auto"/>
              <w:bottom w:val="nil" w:sz="6" w:space="0" w:color="auto"/>
              <w:right w:val="nil" w:sz="6" w:space="0" w:color="auto"/>
            </w:tcBorders>
          </w:tcPr>
          <w:p>
            <w:pPr/>
          </w:p>
        </w:tc>
      </w:tr>
      <w:tr>
        <w:trPr>
          <w:trHeight w:val="392"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spacing w:val="-1"/>
                <w:sz w:val="18"/>
              </w:rPr>
              <w:t>847,398.97</w:t>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1,218,599.82</w:t>
            </w:r>
          </w:p>
        </w:tc>
        <w:tc>
          <w:tcPr>
            <w:tcW w:w="182" w:type="dxa"/>
            <w:tcBorders>
              <w:top w:val="nil" w:sz="6" w:space="0" w:color="auto"/>
              <w:left w:val="nil" w:sz="6" w:space="0" w:color="auto"/>
              <w:bottom w:val="nil" w:sz="6" w:space="0" w:color="auto"/>
              <w:right w:val="nil" w:sz="6" w:space="0" w:color="auto"/>
            </w:tcBorders>
          </w:tcPr>
          <w:p>
            <w:pPr/>
          </w:p>
        </w:tc>
      </w:tr>
      <w:tr>
        <w:trPr>
          <w:trHeight w:val="391"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pacing w:val="-1"/>
                <w:sz w:val="18"/>
              </w:rPr>
              <w:t>1,586,698.87</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1"/>
                <w:sz w:val="18"/>
              </w:rPr>
              <w:t>833,936.88</w:t>
            </w:r>
          </w:p>
        </w:tc>
        <w:tc>
          <w:tcPr>
            <w:tcW w:w="182" w:type="dxa"/>
            <w:tcBorders>
              <w:top w:val="nil" w:sz="6" w:space="0" w:color="auto"/>
              <w:left w:val="nil" w:sz="6" w:space="0" w:color="auto"/>
              <w:bottom w:val="nil" w:sz="6" w:space="0" w:color="auto"/>
              <w:right w:val="nil" w:sz="6" w:space="0" w:color="auto"/>
            </w:tcBorders>
          </w:tcPr>
          <w:p>
            <w:pPr/>
          </w:p>
        </w:tc>
      </w:tr>
      <w:tr>
        <w:trPr>
          <w:trHeight w:val="392"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pacing w:val="-1"/>
                <w:sz w:val="18"/>
              </w:rPr>
              <w:t>543,291.26</w:t>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1"/>
                <w:sz w:val="18"/>
              </w:rPr>
              <w:t>363,933.51</w:t>
            </w:r>
          </w:p>
        </w:tc>
        <w:tc>
          <w:tcPr>
            <w:tcW w:w="182" w:type="dxa"/>
            <w:tcBorders>
              <w:top w:val="nil" w:sz="6" w:space="0" w:color="auto"/>
              <w:left w:val="nil" w:sz="6" w:space="0" w:color="auto"/>
              <w:bottom w:val="nil" w:sz="6" w:space="0" w:color="auto"/>
              <w:right w:val="nil" w:sz="6" w:space="0" w:color="auto"/>
            </w:tcBorders>
          </w:tcPr>
          <w:p>
            <w:pPr/>
          </w:p>
        </w:tc>
      </w:tr>
      <w:tr>
        <w:trPr>
          <w:trHeight w:val="392"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469"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pacing w:val="-1"/>
                <w:sz w:val="18"/>
              </w:rPr>
              <w:t>1,785,834.26</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1"/>
                <w:sz w:val="18"/>
              </w:rPr>
              <w:t>4,477,977.25</w:t>
            </w:r>
          </w:p>
        </w:tc>
        <w:tc>
          <w:tcPr>
            <w:tcW w:w="182" w:type="dxa"/>
            <w:tcBorders>
              <w:top w:val="nil" w:sz="6" w:space="0" w:color="auto"/>
              <w:left w:val="nil" w:sz="6" w:space="0" w:color="auto"/>
              <w:bottom w:val="nil" w:sz="6" w:space="0" w:color="auto"/>
              <w:right w:val="nil" w:sz="6" w:space="0" w:color="auto"/>
            </w:tcBorders>
          </w:tcPr>
          <w:p>
            <w:pPr/>
          </w:p>
        </w:tc>
      </w:tr>
      <w:tr>
        <w:trPr>
          <w:trHeight w:val="352"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9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r>
      <w:tr>
        <w:trPr>
          <w:trHeight w:val="275"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177" w:lineRule="exact"/>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r>
      <w:tr>
        <w:trPr>
          <w:trHeight w:val="393"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4" w:space="0" w:color="7E7E7E"/>
              <w:right w:val="nil" w:sz="6" w:space="0" w:color="auto"/>
            </w:tcBorders>
          </w:tcPr>
          <w:p>
            <w:pPr>
              <w:pStyle w:val="TableParagraph"/>
              <w:spacing w:line="240" w:lineRule="auto" w:before="8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 w:type="dxa"/>
            <w:tcBorders>
              <w:top w:val="nil" w:sz="6" w:space="0" w:color="auto"/>
              <w:left w:val="nil" w:sz="6" w:space="0" w:color="auto"/>
              <w:bottom w:val="single" w:sz="4" w:space="0" w:color="7E7E7E"/>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403"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7E7E7E"/>
              <w:left w:val="nil" w:sz="6" w:space="0" w:color="auto"/>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19,446,647.56</w:t>
            </w:r>
            <w:r>
              <w:rPr>
                <w:rFonts w:ascii="Times New Roman"/>
                <w:sz w:val="18"/>
              </w:rPr>
            </w:r>
          </w:p>
        </w:tc>
        <w:tc>
          <w:tcPr>
            <w:tcW w:w="103" w:type="dxa"/>
            <w:tcBorders>
              <w:top w:val="single" w:sz="4" w:space="0" w:color="7E7E7E"/>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20" w:lineRule="exact"/>
              <w:ind w:left="7"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91779" cy="6096"/>
                  <wp:effectExtent l="0" t="0" r="0" b="0"/>
                  <wp:docPr id="59" name="image11.png" descr=""/>
                  <wp:cNvGraphicFramePr>
                    <a:graphicFrameLocks noChangeAspect="1"/>
                  </wp:cNvGraphicFramePr>
                  <a:graphic>
                    <a:graphicData uri="http://schemas.openxmlformats.org/drawingml/2006/picture">
                      <pic:pic>
                        <pic:nvPicPr>
                          <pic:cNvPr id="60" name="image11.png"/>
                          <pic:cNvPicPr/>
                        </pic:nvPicPr>
                        <pic:blipFill>
                          <a:blip r:embed="rId39" cstate="print"/>
                          <a:stretch>
                            <a:fillRect/>
                          </a:stretch>
                        </pic:blipFill>
                        <pic:spPr>
                          <a:xfrm>
                            <a:off x="0" y="0"/>
                            <a:ext cx="1191779"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13,585,754.09</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395"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nil" w:sz="6" w:space="0" w:color="auto"/>
              <w:right w:val="nil" w:sz="6" w:space="0" w:color="auto"/>
            </w:tcBorders>
          </w:tcPr>
          <w:p>
            <w:pPr/>
          </w:p>
        </w:tc>
        <w:tc>
          <w:tcPr>
            <w:tcW w:w="103" w:type="dxa"/>
            <w:tcBorders>
              <w:top w:val="single" w:sz="4"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r>
      <w:tr>
        <w:trPr>
          <w:trHeight w:val="396"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392"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392"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391"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8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392"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pacing w:val="-1"/>
                <w:sz w:val="18"/>
              </w:rPr>
              <w:t>4,694,298.17</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1"/>
                <w:sz w:val="18"/>
              </w:rPr>
              <w:t>5,405,801.36</w:t>
            </w:r>
          </w:p>
        </w:tc>
        <w:tc>
          <w:tcPr>
            <w:tcW w:w="182" w:type="dxa"/>
            <w:tcBorders>
              <w:top w:val="nil" w:sz="6" w:space="0" w:color="auto"/>
              <w:left w:val="nil" w:sz="6" w:space="0" w:color="auto"/>
              <w:bottom w:val="nil" w:sz="6" w:space="0" w:color="auto"/>
              <w:right w:val="nil" w:sz="6" w:space="0" w:color="auto"/>
            </w:tcBorders>
          </w:tcPr>
          <w:p>
            <w:pPr/>
          </w:p>
        </w:tc>
      </w:tr>
      <w:tr>
        <w:trPr>
          <w:trHeight w:val="392"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spacing w:val="-1"/>
                <w:sz w:val="18"/>
              </w:rPr>
              <w:t>416,284.68</w:t>
            </w:r>
          </w:p>
        </w:tc>
        <w:tc>
          <w:tcPr>
            <w:tcW w:w="10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196,234.42</w:t>
            </w:r>
          </w:p>
        </w:tc>
        <w:tc>
          <w:tcPr>
            <w:tcW w:w="182" w:type="dxa"/>
            <w:tcBorders>
              <w:top w:val="nil" w:sz="6" w:space="0" w:color="auto"/>
              <w:left w:val="nil" w:sz="6" w:space="0" w:color="auto"/>
              <w:bottom w:val="nil" w:sz="6" w:space="0" w:color="auto"/>
              <w:right w:val="nil" w:sz="6" w:space="0" w:color="auto"/>
            </w:tcBorders>
          </w:tcPr>
          <w:p>
            <w:pPr/>
          </w:p>
        </w:tc>
      </w:tr>
      <w:tr>
        <w:trPr>
          <w:trHeight w:val="392"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4" w:space="0" w:color="7E7E7E"/>
              <w:right w:val="nil" w:sz="6" w:space="0" w:color="auto"/>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 w:type="dxa"/>
            <w:tcBorders>
              <w:top w:val="nil" w:sz="6" w:space="0" w:color="auto"/>
              <w:left w:val="nil" w:sz="6" w:space="0" w:color="auto"/>
              <w:bottom w:val="single" w:sz="4" w:space="0" w:color="7E7E7E"/>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403"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7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7E7E7E"/>
              <w:left w:val="nil" w:sz="6" w:space="0" w:color="auto"/>
              <w:bottom w:val="single" w:sz="4" w:space="0" w:color="000000"/>
              <w:right w:val="nil" w:sz="6" w:space="0" w:color="auto"/>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
                <w:sz w:val="18"/>
              </w:rPr>
              <w:t>5,110,582.85</w:t>
            </w:r>
          </w:p>
        </w:tc>
        <w:tc>
          <w:tcPr>
            <w:tcW w:w="103" w:type="dxa"/>
            <w:tcBorders>
              <w:top w:val="single" w:sz="4" w:space="0" w:color="7E7E7E"/>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20" w:lineRule="exact"/>
              <w:ind w:left="7"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91779" cy="6096"/>
                  <wp:effectExtent l="0" t="0" r="0" b="0"/>
                  <wp:docPr id="61" name="image11.png" descr=""/>
                  <wp:cNvGraphicFramePr>
                    <a:graphicFrameLocks noChangeAspect="1"/>
                  </wp:cNvGraphicFramePr>
                  <a:graphic>
                    <a:graphicData uri="http://schemas.openxmlformats.org/drawingml/2006/picture">
                      <pic:pic>
                        <pic:nvPicPr>
                          <pic:cNvPr id="62" name="image11.png"/>
                          <pic:cNvPicPr/>
                        </pic:nvPicPr>
                        <pic:blipFill>
                          <a:blip r:embed="rId39" cstate="print"/>
                          <a:stretch>
                            <a:fillRect/>
                          </a:stretch>
                        </pic:blipFill>
                        <pic:spPr>
                          <a:xfrm>
                            <a:off x="0" y="0"/>
                            <a:ext cx="1191779"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3"/>
              <w:ind w:right="104"/>
              <w:jc w:val="right"/>
              <w:rPr>
                <w:rFonts w:ascii="Times New Roman" w:hAnsi="Times New Roman" w:cs="Times New Roman" w:eastAsia="Times New Roman" w:hint="default"/>
                <w:sz w:val="18"/>
                <w:szCs w:val="18"/>
              </w:rPr>
            </w:pPr>
            <w:r>
              <w:rPr>
                <w:rFonts w:ascii="Times New Roman"/>
                <w:spacing w:val="-1"/>
                <w:sz w:val="18"/>
              </w:rPr>
              <w:t>5,602,035.78</w:t>
            </w:r>
          </w:p>
        </w:tc>
        <w:tc>
          <w:tcPr>
            <w:tcW w:w="182" w:type="dxa"/>
            <w:tcBorders>
              <w:top w:val="nil" w:sz="6" w:space="0" w:color="auto"/>
              <w:left w:val="nil" w:sz="6" w:space="0" w:color="auto"/>
              <w:bottom w:val="nil" w:sz="6" w:space="0" w:color="auto"/>
              <w:right w:val="nil" w:sz="6" w:space="0" w:color="auto"/>
            </w:tcBorders>
          </w:tcPr>
          <w:p>
            <w:pPr/>
          </w:p>
        </w:tc>
      </w:tr>
      <w:tr>
        <w:trPr>
          <w:trHeight w:val="420" w:hRule="exact"/>
        </w:trPr>
        <w:tc>
          <w:tcPr>
            <w:tcW w:w="2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24,557,230.41</w:t>
            </w:r>
            <w:r>
              <w:rPr>
                <w:rFonts w:ascii="Times New Roman"/>
                <w:sz w:val="18"/>
              </w:rPr>
            </w:r>
          </w:p>
        </w:tc>
        <w:tc>
          <w:tcPr>
            <w:tcW w:w="103" w:type="dxa"/>
            <w:tcBorders>
              <w:top w:val="single" w:sz="4" w:space="0" w:color="000000"/>
              <w:left w:val="nil" w:sz="6" w:space="0" w:color="auto"/>
              <w:bottom w:val="single" w:sz="17"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19,187,789.87</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67" w:footer="982" w:top="1060" w:bottom="1180" w:left="1000" w:right="1000"/>
        </w:sectPr>
      </w:pPr>
    </w:p>
    <w:p>
      <w:pPr>
        <w:spacing w:line="240" w:lineRule="auto" w:before="2"/>
        <w:rPr>
          <w:rFonts w:ascii="Times New Roman" w:hAnsi="Times New Roman" w:cs="Times New Roman" w:eastAsia="Times New Roman" w:hint="default"/>
          <w:sz w:val="3"/>
          <w:szCs w:val="3"/>
        </w:rPr>
      </w:pPr>
      <w:r>
        <w:rPr/>
        <w:pict>
          <v:group style="position:absolute;margin-left:318.239990pt;margin-top:273.839996pt;width:107.3pt;height:2.2pt;mso-position-horizontal-relative:page;mso-position-vertical-relative:page;z-index:-1222648" coordorigin="6365,5477" coordsize="2146,44">
            <v:group style="position:absolute;left:6372;top:5484;width:2132;height:2" coordorigin="6372,5484" coordsize="2132,2">
              <v:shape style="position:absolute;left:6372;top:5484;width:2132;height:2" coordorigin="6372,5484" coordsize="2132,0" path="m6372,5484l8503,5484e" filled="false" stroked="true" strokeweight=".72pt" strokecolor="#000000">
                <v:path arrowok="t"/>
              </v:shape>
            </v:group>
            <v:group style="position:absolute;left:6372;top:5513;width:2132;height:2" coordorigin="6372,5513" coordsize="2132,2">
              <v:shape style="position:absolute;left:6372;top:5513;width:2132;height:2" coordorigin="6372,5513" coordsize="2132,0" path="m6372,5513l8503,5513e" filled="false" stroked="true" strokeweight=".72pt" strokecolor="#000000">
                <v:path arrowok="t"/>
              </v:shape>
            </v:group>
            <w10:wrap type="none"/>
          </v:group>
        </w:pict>
      </w:r>
    </w:p>
    <w:tbl>
      <w:tblPr>
        <w:tblW w:w="0" w:type="auto"/>
        <w:jc w:val="left"/>
        <w:tblInd w:w="103" w:type="dxa"/>
        <w:tblLayout w:type="fixed"/>
        <w:tblCellMar>
          <w:top w:w="0" w:type="dxa"/>
          <w:left w:w="0" w:type="dxa"/>
          <w:bottom w:w="0" w:type="dxa"/>
          <w:right w:w="0" w:type="dxa"/>
        </w:tblCellMar>
        <w:tblLook w:val="01E0"/>
      </w:tblPr>
      <w:tblGrid>
        <w:gridCol w:w="5268"/>
        <w:gridCol w:w="2131"/>
        <w:gridCol w:w="238"/>
        <w:gridCol w:w="1877"/>
        <w:gridCol w:w="182"/>
      </w:tblGrid>
      <w:tr>
        <w:trPr>
          <w:trHeight w:val="413" w:hRule="exact"/>
        </w:trPr>
        <w:tc>
          <w:tcPr>
            <w:tcW w:w="5268"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left="136"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2131" w:type="dxa"/>
            <w:tcBorders>
              <w:top w:val="single" w:sz="6" w:space="0" w:color="000000"/>
              <w:left w:val="nil" w:sz="6" w:space="0" w:color="auto"/>
              <w:bottom w:val="nil" w:sz="6" w:space="0" w:color="auto"/>
              <w:right w:val="nil" w:sz="6" w:space="0" w:color="auto"/>
            </w:tcBorders>
          </w:tcPr>
          <w:p>
            <w:pPr/>
          </w:p>
        </w:tc>
        <w:tc>
          <w:tcPr>
            <w:tcW w:w="238" w:type="dxa"/>
            <w:tcBorders>
              <w:top w:val="single" w:sz="6" w:space="0" w:color="000000"/>
              <w:left w:val="nil" w:sz="6" w:space="0" w:color="auto"/>
              <w:bottom w:val="nil" w:sz="6" w:space="0" w:color="auto"/>
              <w:right w:val="nil" w:sz="6" w:space="0" w:color="auto"/>
            </w:tcBorders>
          </w:tcPr>
          <w:p>
            <w:pPr/>
          </w:p>
        </w:tc>
        <w:tc>
          <w:tcPr>
            <w:tcW w:w="1877" w:type="dxa"/>
            <w:tcBorders>
              <w:top w:val="single" w:sz="6" w:space="0" w:color="000000"/>
              <w:left w:val="nil" w:sz="6" w:space="0" w:color="auto"/>
              <w:bottom w:val="nil" w:sz="6" w:space="0" w:color="auto"/>
              <w:right w:val="nil" w:sz="6" w:space="0" w:color="auto"/>
            </w:tcBorders>
          </w:tcPr>
          <w:p>
            <w:pPr/>
          </w:p>
        </w:tc>
        <w:tc>
          <w:tcPr>
            <w:tcW w:w="182" w:type="dxa"/>
            <w:tcBorders>
              <w:top w:val="single" w:sz="6" w:space="0" w:color="000000"/>
              <w:left w:val="nil" w:sz="6" w:space="0" w:color="auto"/>
              <w:bottom w:val="nil" w:sz="6" w:space="0" w:color="auto"/>
              <w:right w:val="nil" w:sz="6" w:space="0" w:color="auto"/>
            </w:tcBorders>
          </w:tcPr>
          <w:p>
            <w:pPr/>
          </w:p>
        </w:tc>
      </w:tr>
      <w:tr>
        <w:trPr>
          <w:trHeight w:val="397" w:hRule="exact"/>
        </w:trPr>
        <w:tc>
          <w:tcPr>
            <w:tcW w:w="526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158,400,000.00</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158,400,000.00</w:t>
            </w:r>
          </w:p>
        </w:tc>
        <w:tc>
          <w:tcPr>
            <w:tcW w:w="182" w:type="dxa"/>
            <w:tcBorders>
              <w:top w:val="nil" w:sz="6" w:space="0" w:color="auto"/>
              <w:left w:val="nil" w:sz="6" w:space="0" w:color="auto"/>
              <w:bottom w:val="nil" w:sz="6" w:space="0" w:color="auto"/>
              <w:right w:val="nil" w:sz="6" w:space="0" w:color="auto"/>
            </w:tcBorders>
          </w:tcPr>
          <w:p>
            <w:pPr/>
          </w:p>
        </w:tc>
      </w:tr>
      <w:tr>
        <w:trPr>
          <w:trHeight w:val="391" w:hRule="exact"/>
        </w:trPr>
        <w:tc>
          <w:tcPr>
            <w:tcW w:w="526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1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62,580,990.76</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pacing w:val="-1"/>
                <w:sz w:val="18"/>
              </w:rPr>
              <w:t>62,580,990.76</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392" w:hRule="exact"/>
        </w:trPr>
        <w:tc>
          <w:tcPr>
            <w:tcW w:w="526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1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392" w:hRule="exact"/>
        </w:trPr>
        <w:tc>
          <w:tcPr>
            <w:tcW w:w="526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1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391" w:hRule="exact"/>
        </w:trPr>
        <w:tc>
          <w:tcPr>
            <w:tcW w:w="526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1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16,365,152.72</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pacing w:val="-1"/>
                <w:sz w:val="18"/>
              </w:rPr>
              <w:t>14,026,838.97</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392" w:hRule="exact"/>
        </w:trPr>
        <w:tc>
          <w:tcPr>
            <w:tcW w:w="526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1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101,566,374.44</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pacing w:val="-1"/>
                <w:sz w:val="18"/>
              </w:rPr>
              <w:t>96,361,550.74</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393" w:hRule="exact"/>
        </w:trPr>
        <w:tc>
          <w:tcPr>
            <w:tcW w:w="526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19"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131" w:type="dxa"/>
            <w:tcBorders>
              <w:top w:val="nil" w:sz="6" w:space="0" w:color="auto"/>
              <w:left w:val="nil" w:sz="6" w:space="0" w:color="auto"/>
              <w:bottom w:val="single" w:sz="4" w:space="0" w:color="7E7E7E"/>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403" w:hRule="exact"/>
        </w:trPr>
        <w:tc>
          <w:tcPr>
            <w:tcW w:w="52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2131" w:type="dxa"/>
            <w:tcBorders>
              <w:top w:val="single" w:sz="4" w:space="0" w:color="7E7E7E"/>
              <w:left w:val="nil" w:sz="6" w:space="0" w:color="auto"/>
              <w:bottom w:val="nil" w:sz="6" w:space="0" w:color="auto"/>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338,912,517.92</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91779" cy="6096"/>
                  <wp:effectExtent l="0" t="0" r="0" b="0"/>
                  <wp:docPr id="63" name="image11.png" descr=""/>
                  <wp:cNvGraphicFramePr>
                    <a:graphicFrameLocks noChangeAspect="1"/>
                  </wp:cNvGraphicFramePr>
                  <a:graphic>
                    <a:graphicData uri="http://schemas.openxmlformats.org/drawingml/2006/picture">
                      <pic:pic>
                        <pic:nvPicPr>
                          <pic:cNvPr id="64" name="image11.png"/>
                          <pic:cNvPicPr/>
                        </pic:nvPicPr>
                        <pic:blipFill>
                          <a:blip r:embed="rId39" cstate="print"/>
                          <a:stretch>
                            <a:fillRect/>
                          </a:stretch>
                        </pic:blipFill>
                        <pic:spPr>
                          <a:xfrm>
                            <a:off x="0" y="0"/>
                            <a:ext cx="1191779"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331,369,380.47</w:t>
            </w:r>
          </w:p>
        </w:tc>
        <w:tc>
          <w:tcPr>
            <w:tcW w:w="182" w:type="dxa"/>
            <w:tcBorders>
              <w:top w:val="nil" w:sz="6" w:space="0" w:color="auto"/>
              <w:left w:val="nil" w:sz="6" w:space="0" w:color="auto"/>
              <w:bottom w:val="nil" w:sz="6" w:space="0" w:color="auto"/>
              <w:right w:val="nil" w:sz="6" w:space="0" w:color="auto"/>
            </w:tcBorders>
          </w:tcPr>
          <w:p>
            <w:pPr/>
          </w:p>
        </w:tc>
      </w:tr>
      <w:tr>
        <w:trPr>
          <w:trHeight w:val="401" w:hRule="exact"/>
        </w:trPr>
        <w:tc>
          <w:tcPr>
            <w:tcW w:w="5268"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55"/>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7.05pt;height:.5pt;mso-position-horizontal-relative:char;mso-position-vertical-relative:line" coordorigin="0,0" coordsize="2141,10">
                  <v:group style="position:absolute;left:5;top:5;width:2132;height:2" coordorigin="5,5" coordsize="2132,2">
                    <v:shape style="position:absolute;left:5;top:5;width:2132;height:2" coordorigin="5,5" coordsize="2132,0" path="m5,5l2136,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0"/>
                <w:szCs w:val="20"/>
              </w:rPr>
            </w:pP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single" w:sz="4" w:space="0" w:color="000000"/>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r>
      <w:tr>
        <w:trPr>
          <w:trHeight w:val="420" w:hRule="exact"/>
        </w:trPr>
        <w:tc>
          <w:tcPr>
            <w:tcW w:w="52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3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363,469,748.33</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350,557,170.34</w:t>
            </w:r>
            <w:r>
              <w:rPr>
                <w:rFonts w:ascii="Times New Roman"/>
                <w:sz w:val="18"/>
              </w:rPr>
            </w:r>
          </w:p>
        </w:tc>
        <w:tc>
          <w:tcPr>
            <w:tcW w:w="182" w:type="dxa"/>
            <w:tcBorders>
              <w:top w:val="nil" w:sz="6" w:space="0" w:color="auto"/>
              <w:left w:val="nil" w:sz="6" w:space="0" w:color="auto"/>
              <w:bottom w:val="nil" w:sz="6" w:space="0" w:color="auto"/>
              <w:right w:val="nil" w:sz="6" w:space="0" w:color="auto"/>
            </w:tcBorders>
          </w:tcPr>
          <w:p>
            <w:pPr/>
          </w:p>
        </w:tc>
      </w:tr>
      <w:tr>
        <w:trPr>
          <w:trHeight w:val="420" w:hRule="exact"/>
        </w:trPr>
        <w:tc>
          <w:tcPr>
            <w:tcW w:w="5268" w:type="dxa"/>
            <w:tcBorders>
              <w:top w:val="nil" w:sz="6" w:space="0" w:color="auto"/>
              <w:left w:val="nil" w:sz="6" w:space="0" w:color="auto"/>
              <w:bottom w:val="single" w:sz="4" w:space="0" w:color="000000"/>
              <w:right w:val="nil" w:sz="6" w:space="0" w:color="auto"/>
            </w:tcBorders>
          </w:tcPr>
          <w:p>
            <w:pPr/>
          </w:p>
        </w:tc>
        <w:tc>
          <w:tcPr>
            <w:tcW w:w="2131"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877" w:type="dxa"/>
            <w:tcBorders>
              <w:top w:val="single" w:sz="17" w:space="0" w:color="000000"/>
              <w:left w:val="nil" w:sz="6" w:space="0" w:color="auto"/>
              <w:bottom w:val="single" w:sz="4" w:space="0" w:color="000000"/>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r>
      <w:tr>
        <w:trPr>
          <w:trHeight w:val="395" w:hRule="exact"/>
        </w:trPr>
        <w:tc>
          <w:tcPr>
            <w:tcW w:w="9696" w:type="dxa"/>
            <w:gridSpan w:val="5"/>
            <w:tcBorders>
              <w:top w:val="nil" w:sz="6" w:space="0" w:color="auto"/>
              <w:left w:val="nil" w:sz="6" w:space="0" w:color="auto"/>
              <w:bottom w:val="nil" w:sz="6" w:space="0" w:color="auto"/>
              <w:right w:val="nil" w:sz="6" w:space="0" w:color="auto"/>
            </w:tcBorders>
          </w:tcPr>
          <w:p>
            <w:pPr>
              <w:pStyle w:val="TableParagraph"/>
              <w:tabs>
                <w:tab w:pos="3110" w:val="left" w:leader="none"/>
                <w:tab w:pos="7072" w:val="left" w:leader="none"/>
              </w:tabs>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89"/>
                <w:sz w:val="18"/>
                <w:szCs w:val="18"/>
              </w:rPr>
              <w:t> </w:t>
            </w:r>
            <w:r>
              <w:rPr>
                <w:rFonts w:ascii="宋体" w:hAnsi="宋体" w:cs="宋体" w:eastAsia="宋体" w:hint="default"/>
                <w:sz w:val="18"/>
                <w:szCs w:val="18"/>
              </w:rPr>
              <w:t>孙晓玲</w:t>
              <w:tab/>
              <w:t>会计机构负责人：全丽</w:t>
            </w:r>
          </w:p>
        </w:tc>
      </w:tr>
      <w:tr>
        <w:trPr>
          <w:trHeight w:val="286" w:hRule="exact"/>
        </w:trPr>
        <w:tc>
          <w:tcPr>
            <w:tcW w:w="526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c>
          <w:tcPr>
            <w:tcW w:w="213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67" w:footer="982" w:top="1060" w:bottom="1180" w:left="1000" w:right="1000"/>
        </w:sectPr>
      </w:pPr>
    </w:p>
    <w:p>
      <w:pPr>
        <w:spacing w:line="240" w:lineRule="auto" w:before="2"/>
        <w:rPr>
          <w:rFonts w:ascii="Times New Roman" w:hAnsi="Times New Roman" w:cs="Times New Roman" w:eastAsia="Times New Roman" w:hint="default"/>
          <w:sz w:val="3"/>
          <w:szCs w:val="3"/>
        </w:rPr>
      </w:pPr>
      <w:r>
        <w:rPr/>
        <w:pict>
          <v:group style="position:absolute;margin-left:318.839996pt;margin-top:508.079987pt;width:109.6pt;height:2.2pt;mso-position-horizontal-relative:page;mso-position-vertical-relative:page;z-index:-1222600" coordorigin="6377,10162" coordsize="2192,44">
            <v:group style="position:absolute;left:6384;top:10169;width:2177;height:2" coordorigin="6384,10169" coordsize="2177,2">
              <v:shape style="position:absolute;left:6384;top:10169;width:2177;height:2" coordorigin="6384,10169" coordsize="2177,0" path="m6384,10169l8561,10169e" filled="false" stroked="true" strokeweight=".72pt" strokecolor="#000000">
                <v:path arrowok="t"/>
              </v:shape>
            </v:group>
            <v:group style="position:absolute;left:6384;top:10198;width:2177;height:2" coordorigin="6384,10198" coordsize="2177,2">
              <v:shape style="position:absolute;left:6384;top:10198;width:2177;height:2" coordorigin="6384,10198" coordsize="2177,0" path="m6384,10198l8561,10198e" filled="false" stroked="true" strokeweight=".72pt" strokecolor="#000000">
                <v:path arrowok="t"/>
              </v:shape>
            </v:group>
            <w10:wrap type="none"/>
          </v:group>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、利润表</w:t>
      </w:r>
      <w:r>
        <w:rPr>
          <w:b w:val="0"/>
          <w:bCs w:val="0"/>
        </w:rPr>
      </w:r>
    </w:p>
    <w:p>
      <w:pPr>
        <w:spacing w:line="240" w:lineRule="auto" w:before="1"/>
        <w:rPr>
          <w:rFonts w:ascii="宋体" w:hAnsi="宋体" w:cs="宋体" w:eastAsia="宋体" w:hint="default"/>
          <w:b/>
          <w:bCs/>
          <w:sz w:val="8"/>
          <w:szCs w:val="8"/>
        </w:rPr>
      </w:pPr>
    </w:p>
    <w:tbl>
      <w:tblPr>
        <w:tblW w:w="0" w:type="auto"/>
        <w:jc w:val="left"/>
        <w:tblInd w:w="152" w:type="dxa"/>
        <w:tblLayout w:type="fixed"/>
        <w:tblCellMar>
          <w:top w:w="0" w:type="dxa"/>
          <w:left w:w="0" w:type="dxa"/>
          <w:bottom w:w="0" w:type="dxa"/>
          <w:right w:w="0" w:type="dxa"/>
        </w:tblCellMar>
        <w:tblLook w:val="01E0"/>
      </w:tblPr>
      <w:tblGrid>
        <w:gridCol w:w="3247"/>
        <w:gridCol w:w="238"/>
        <w:gridCol w:w="1531"/>
        <w:gridCol w:w="235"/>
        <w:gridCol w:w="2177"/>
        <w:gridCol w:w="221"/>
        <w:gridCol w:w="2059"/>
      </w:tblGrid>
      <w:tr>
        <w:trPr>
          <w:trHeight w:val="303" w:hRule="exact"/>
        </w:trPr>
        <w:tc>
          <w:tcPr>
            <w:tcW w:w="324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exact"/>
              <w:ind w:right="74"/>
              <w:jc w:val="right"/>
              <w:rPr>
                <w:rFonts w:ascii="宋体" w:hAnsi="宋体" w:cs="宋体" w:eastAsia="宋体" w:hint="default"/>
                <w:sz w:val="24"/>
                <w:szCs w:val="24"/>
              </w:rPr>
            </w:pPr>
            <w:r>
              <w:rPr>
                <w:rFonts w:ascii="宋体" w:hAnsi="宋体" w:cs="宋体" w:eastAsia="宋体" w:hint="default"/>
                <w:sz w:val="24"/>
                <w:szCs w:val="24"/>
              </w:rPr>
              <w:t>利 润</w:t>
            </w: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exact"/>
              <w:ind w:left="-192" w:right="0"/>
              <w:jc w:val="left"/>
              <w:rPr>
                <w:rFonts w:ascii="宋体" w:hAnsi="宋体" w:cs="宋体" w:eastAsia="宋体" w:hint="default"/>
                <w:sz w:val="24"/>
                <w:szCs w:val="24"/>
              </w:rPr>
            </w:pPr>
            <w:r>
              <w:rPr>
                <w:rFonts w:ascii="宋体" w:hAnsi="宋体" w:cs="宋体" w:eastAsia="宋体" w:hint="default"/>
                <w:sz w:val="24"/>
                <w:szCs w:val="24"/>
              </w:rPr>
              <w:t>表</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
        </w:tc>
      </w:tr>
      <w:tr>
        <w:trPr>
          <w:trHeight w:val="345" w:hRule="exact"/>
        </w:trPr>
        <w:tc>
          <w:tcPr>
            <w:tcW w:w="324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74" w:lineRule="exact"/>
              <w:ind w:right="-41"/>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5" w:type="dxa"/>
            <w:tcBorders>
              <w:top w:val="nil" w:sz="6" w:space="0" w:color="auto"/>
              <w:left w:val="nil" w:sz="6" w:space="0" w:color="auto"/>
              <w:bottom w:val="nil" w:sz="6" w:space="0" w:color="auto"/>
              <w:right w:val="nil" w:sz="6" w:space="0" w:color="auto"/>
            </w:tcBorders>
          </w:tcPr>
          <w:p>
            <w:pPr>
              <w:pStyle w:val="TableParagraph"/>
              <w:spacing w:line="274" w:lineRule="exact"/>
              <w:ind w:left="40" w:right="-17"/>
              <w:jc w:val="left"/>
              <w:rPr>
                <w:rFonts w:ascii="宋体" w:hAnsi="宋体" w:cs="宋体" w:eastAsia="宋体" w:hint="default"/>
                <w:sz w:val="21"/>
                <w:szCs w:val="21"/>
              </w:rPr>
            </w:pPr>
            <w:r>
              <w:rPr>
                <w:rFonts w:ascii="宋体" w:hAnsi="宋体" w:cs="宋体" w:eastAsia="宋体" w:hint="default"/>
                <w:w w:val="100"/>
                <w:sz w:val="21"/>
                <w:szCs w:val="21"/>
              </w:rPr>
              <w:t>度</w:t>
            </w:r>
          </w:p>
        </w:tc>
        <w:tc>
          <w:tcPr>
            <w:tcW w:w="2177"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
        </w:tc>
      </w:tr>
      <w:tr>
        <w:trPr>
          <w:trHeight w:val="346" w:hRule="exact"/>
        </w:trPr>
        <w:tc>
          <w:tcPr>
            <w:tcW w:w="324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77" w:hRule="exact"/>
        </w:trPr>
        <w:tc>
          <w:tcPr>
            <w:tcW w:w="324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405" w:right="0"/>
              <w:jc w:val="left"/>
              <w:rPr>
                <w:rFonts w:ascii="宋体" w:hAnsi="宋体" w:cs="宋体" w:eastAsia="宋体" w:hint="default"/>
                <w:sz w:val="18"/>
                <w:szCs w:val="18"/>
              </w:rPr>
            </w:pPr>
            <w:r>
              <w:rPr>
                <w:rFonts w:ascii="宋体" w:hAnsi="宋体" w:cs="宋体" w:eastAsia="宋体" w:hint="default"/>
                <w:sz w:val="18"/>
                <w:szCs w:val="18"/>
              </w:rPr>
              <w:t>附注十四</w:t>
            </w: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72" w:hRule="exact"/>
        </w:trPr>
        <w:tc>
          <w:tcPr>
            <w:tcW w:w="324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07"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489" w:right="0"/>
              <w:jc w:val="left"/>
              <w:rPr>
                <w:rFonts w:ascii="宋体" w:hAnsi="宋体" w:cs="宋体" w:eastAsia="宋体"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宋体" w:hAnsi="宋体" w:cs="宋体" w:eastAsia="宋体" w:hint="default"/>
                <w:sz w:val="20"/>
                <w:szCs w:val="20"/>
              </w:rPr>
              <w:t>4</w:t>
            </w: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1"/>
                <w:sz w:val="18"/>
              </w:rPr>
              <w:t>99,222,256.31</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79,859,719.78</w:t>
            </w:r>
          </w:p>
        </w:tc>
      </w:tr>
      <w:tr>
        <w:trPr>
          <w:trHeight w:val="373"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89" w:right="0"/>
              <w:jc w:val="left"/>
              <w:rPr>
                <w:rFonts w:ascii="宋体" w:hAnsi="宋体" w:cs="宋体" w:eastAsia="宋体"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宋体" w:hAnsi="宋体" w:cs="宋体" w:eastAsia="宋体" w:hint="default"/>
                <w:sz w:val="20"/>
                <w:szCs w:val="20"/>
              </w:rPr>
              <w:t>4</w:t>
            </w: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pacing w:val="-1"/>
                <w:sz w:val="18"/>
              </w:rPr>
              <w:t>34,770,439.10</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19,309,068.71</w:t>
            </w:r>
          </w:p>
        </w:tc>
      </w:tr>
      <w:tr>
        <w:trPr>
          <w:trHeight w:val="363"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5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宋体" w:hAnsi="宋体" w:cs="宋体" w:eastAsia="宋体" w:hint="default"/>
                <w:sz w:val="18"/>
                <w:szCs w:val="18"/>
              </w:rPr>
            </w:pPr>
            <w:r>
              <w:rPr>
                <w:rFonts w:ascii="宋体"/>
                <w:spacing w:val="-1"/>
                <w:sz w:val="18"/>
              </w:rPr>
              <w:t>817,297.35</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2"/>
              <w:jc w:val="right"/>
              <w:rPr>
                <w:rFonts w:ascii="宋体" w:hAnsi="宋体" w:cs="宋体" w:eastAsia="宋体" w:hint="default"/>
                <w:sz w:val="18"/>
                <w:szCs w:val="18"/>
              </w:rPr>
            </w:pPr>
            <w:r>
              <w:rPr>
                <w:rFonts w:ascii="宋体"/>
                <w:spacing w:val="-1"/>
                <w:sz w:val="18"/>
              </w:rPr>
              <w:t>849,358.35</w:t>
            </w:r>
          </w:p>
        </w:tc>
      </w:tr>
      <w:tr>
        <w:trPr>
          <w:trHeight w:val="370"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5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pacing w:val="-1"/>
                <w:sz w:val="18"/>
              </w:rPr>
              <w:t>21,731,301.26</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19,399,026.24</w:t>
            </w:r>
          </w:p>
        </w:tc>
      </w:tr>
      <w:tr>
        <w:trPr>
          <w:trHeight w:val="370"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5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pacing w:val="-1"/>
                <w:sz w:val="18"/>
              </w:rPr>
              <w:t>26,409,617.16</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26,943,346.34</w:t>
            </w:r>
          </w:p>
        </w:tc>
      </w:tr>
      <w:tr>
        <w:trPr>
          <w:trHeight w:val="368"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5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宋体" w:hAnsi="宋体" w:cs="宋体" w:eastAsia="宋体" w:hint="default"/>
                <w:sz w:val="18"/>
                <w:szCs w:val="18"/>
              </w:rPr>
            </w:pPr>
            <w:r>
              <w:rPr>
                <w:rFonts w:ascii="宋体"/>
                <w:spacing w:val="-1"/>
                <w:sz w:val="18"/>
              </w:rPr>
              <w:t>-754,803.09</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-2,934,798.83</w:t>
            </w:r>
          </w:p>
        </w:tc>
      </w:tr>
      <w:tr>
        <w:trPr>
          <w:trHeight w:val="368"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5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宋体" w:hAnsi="宋体" w:cs="宋体" w:eastAsia="宋体" w:hint="default"/>
                <w:sz w:val="18"/>
                <w:szCs w:val="18"/>
              </w:rPr>
            </w:pPr>
            <w:r>
              <w:rPr>
                <w:rFonts w:ascii="宋体"/>
                <w:spacing w:val="-1"/>
                <w:sz w:val="18"/>
              </w:rPr>
              <w:t>463,016.27</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2"/>
              <w:jc w:val="right"/>
              <w:rPr>
                <w:rFonts w:ascii="宋体" w:hAnsi="宋体" w:cs="宋体" w:eastAsia="宋体" w:hint="default"/>
                <w:sz w:val="18"/>
                <w:szCs w:val="18"/>
              </w:rPr>
            </w:pPr>
            <w:r>
              <w:rPr>
                <w:rFonts w:ascii="宋体"/>
                <w:spacing w:val="-1"/>
                <w:sz w:val="18"/>
              </w:rPr>
              <w:t>1,767,167.91</w:t>
            </w:r>
          </w:p>
        </w:tc>
      </w:tr>
      <w:tr>
        <w:trPr>
          <w:trHeight w:val="370"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90"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w:t>
            </w:r>
          </w:p>
        </w:tc>
      </w:tr>
      <w:tr>
        <w:trPr>
          <w:trHeight w:val="355"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5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宋体" w:hAnsi="宋体" w:cs="宋体" w:eastAsia="宋体" w:hint="default"/>
                <w:sz w:val="18"/>
                <w:szCs w:val="18"/>
              </w:rPr>
            </w:pPr>
            <w:r>
              <w:rPr>
                <w:rFonts w:ascii="宋体"/>
                <w:spacing w:val="-1"/>
                <w:sz w:val="18"/>
              </w:rPr>
              <w:t>7,135,179.48</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4,424,106.13</w:t>
            </w:r>
          </w:p>
        </w:tc>
      </w:tr>
      <w:tr>
        <w:trPr>
          <w:trHeight w:val="645"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316" w:lineRule="auto" w:before="25"/>
              <w:ind w:left="107" w:right="105" w:firstLine="542"/>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w:t>
            </w:r>
            <w:r>
              <w:rPr>
                <w:rFonts w:ascii="宋体" w:hAnsi="宋体" w:cs="宋体" w:eastAsia="宋体" w:hint="default"/>
                <w:sz w:val="18"/>
                <w:szCs w:val="18"/>
              </w:rPr>
              <w:t> 投资收益</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single" w:sz="4" w:space="0" w:color="7E7E7E"/>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r>
      <w:tr>
        <w:trPr>
          <w:trHeight w:val="379"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b/>
                <w:bCs/>
                <w:sz w:val="18"/>
                <w:szCs w:val="18"/>
              </w:rPr>
              <w:t>二、营业利润</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382280" cy="6096"/>
                  <wp:effectExtent l="0" t="0" r="0" b="0"/>
                  <wp:docPr id="65" name="image12.png" descr=""/>
                  <wp:cNvGraphicFramePr>
                    <a:graphicFrameLocks noChangeAspect="1"/>
                  </wp:cNvGraphicFramePr>
                  <a:graphic>
                    <a:graphicData uri="http://schemas.openxmlformats.org/drawingml/2006/picture">
                      <pic:pic>
                        <pic:nvPicPr>
                          <pic:cNvPr id="66" name="image12.png"/>
                          <pic:cNvPicPr/>
                        </pic:nvPicPr>
                        <pic:blipFill>
                          <a:blip r:embed="rId40" cstate="print"/>
                          <a:stretch>
                            <a:fillRect/>
                          </a:stretch>
                        </pic:blipFill>
                        <pic:spPr>
                          <a:xfrm>
                            <a:off x="0" y="0"/>
                            <a:ext cx="138228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6"/>
              <w:ind w:right="103"/>
              <w:jc w:val="right"/>
              <w:rPr>
                <w:rFonts w:ascii="宋体" w:hAnsi="宋体" w:cs="宋体" w:eastAsia="宋体" w:hint="default"/>
                <w:sz w:val="18"/>
                <w:szCs w:val="18"/>
              </w:rPr>
            </w:pPr>
            <w:r>
              <w:rPr>
                <w:rFonts w:ascii="宋体"/>
                <w:spacing w:val="-1"/>
                <w:sz w:val="18"/>
              </w:rPr>
              <w:t>22,920,567.74</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single" w:sz="4" w:space="0" w:color="7E7E7E"/>
              <w:left w:val="nil" w:sz="6" w:space="0" w:color="auto"/>
              <w:bottom w:val="single" w:sz="4" w:space="0" w:color="000000"/>
              <w:right w:val="nil" w:sz="6" w:space="0" w:color="auto"/>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18,950,657.19</w:t>
            </w:r>
            <w:r>
              <w:rPr>
                <w:rFonts w:ascii="宋体"/>
                <w:sz w:val="18"/>
              </w:rPr>
            </w:r>
          </w:p>
        </w:tc>
      </w:tr>
      <w:tr>
        <w:trPr>
          <w:trHeight w:val="371"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7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08"/>
              <w:jc w:val="right"/>
              <w:rPr>
                <w:rFonts w:ascii="宋体" w:hAnsi="宋体" w:cs="宋体" w:eastAsia="宋体" w:hint="default"/>
                <w:sz w:val="18"/>
                <w:szCs w:val="18"/>
              </w:rPr>
            </w:pPr>
            <w:r>
              <w:rPr>
                <w:rFonts w:ascii="宋体"/>
                <w:spacing w:val="-1"/>
                <w:sz w:val="18"/>
              </w:rPr>
              <w:t>3,663,996.88</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7,386,670.98</w:t>
            </w:r>
          </w:p>
        </w:tc>
      </w:tr>
      <w:tr>
        <w:trPr>
          <w:trHeight w:val="368"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7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pacing w:val="-1"/>
                <w:sz w:val="18"/>
              </w:rPr>
              <w:t>10,591.50</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2"/>
              <w:jc w:val="right"/>
              <w:rPr>
                <w:rFonts w:ascii="宋体" w:hAnsi="宋体" w:cs="宋体" w:eastAsia="宋体" w:hint="default"/>
                <w:sz w:val="18"/>
                <w:szCs w:val="18"/>
              </w:rPr>
            </w:pPr>
            <w:r>
              <w:rPr>
                <w:rFonts w:ascii="宋体"/>
                <w:spacing w:val="-1"/>
                <w:sz w:val="18"/>
              </w:rPr>
              <w:t>6,876.88</w:t>
            </w:r>
          </w:p>
        </w:tc>
      </w:tr>
      <w:tr>
        <w:trPr>
          <w:trHeight w:val="377"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3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pacing w:val="-1"/>
                <w:sz w:val="18"/>
              </w:rPr>
              <w:t>10,519.27</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single" w:sz="4" w:space="0" w:color="7E7E7E"/>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6,876.88</w:t>
            </w:r>
          </w:p>
        </w:tc>
      </w:tr>
      <w:tr>
        <w:trPr>
          <w:trHeight w:val="379"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b/>
                <w:bCs/>
                <w:sz w:val="18"/>
                <w:szCs w:val="18"/>
              </w:rPr>
              <w:t>三、利润总额</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382280" cy="6096"/>
                  <wp:effectExtent l="0" t="0" r="0" b="0"/>
                  <wp:docPr id="67" name="image12.png" descr=""/>
                  <wp:cNvGraphicFramePr>
                    <a:graphicFrameLocks noChangeAspect="1"/>
                  </wp:cNvGraphicFramePr>
                  <a:graphic>
                    <a:graphicData uri="http://schemas.openxmlformats.org/drawingml/2006/picture">
                      <pic:pic>
                        <pic:nvPicPr>
                          <pic:cNvPr id="68" name="image12.png"/>
                          <pic:cNvPicPr/>
                        </pic:nvPicPr>
                        <pic:blipFill>
                          <a:blip r:embed="rId40" cstate="print"/>
                          <a:stretch>
                            <a:fillRect/>
                          </a:stretch>
                        </pic:blipFill>
                        <pic:spPr>
                          <a:xfrm>
                            <a:off x="0" y="0"/>
                            <a:ext cx="138228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6"/>
              <w:ind w:right="107"/>
              <w:jc w:val="right"/>
              <w:rPr>
                <w:rFonts w:ascii="宋体" w:hAnsi="宋体" w:cs="宋体" w:eastAsia="宋体" w:hint="default"/>
                <w:sz w:val="18"/>
                <w:szCs w:val="18"/>
              </w:rPr>
            </w:pPr>
            <w:r>
              <w:rPr>
                <w:rFonts w:ascii="宋体"/>
                <w:spacing w:val="-1"/>
                <w:sz w:val="18"/>
              </w:rPr>
              <w:t>26,573,973.12</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single" w:sz="4" w:space="0" w:color="7E7E7E"/>
              <w:left w:val="nil" w:sz="6" w:space="0" w:color="auto"/>
              <w:bottom w:val="single" w:sz="4" w:space="0" w:color="000000"/>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26,330,451.29</w:t>
            </w:r>
          </w:p>
        </w:tc>
      </w:tr>
      <w:tr>
        <w:trPr>
          <w:trHeight w:val="379"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7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08"/>
              <w:jc w:val="right"/>
              <w:rPr>
                <w:rFonts w:ascii="宋体" w:hAnsi="宋体" w:cs="宋体" w:eastAsia="宋体" w:hint="default"/>
                <w:sz w:val="18"/>
                <w:szCs w:val="18"/>
              </w:rPr>
            </w:pPr>
            <w:r>
              <w:rPr>
                <w:rFonts w:ascii="宋体"/>
                <w:spacing w:val="-1"/>
                <w:sz w:val="18"/>
              </w:rPr>
              <w:t>3,190,835.67</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single" w:sz="4" w:space="0" w:color="000000"/>
              <w:left w:val="nil" w:sz="6" w:space="0" w:color="auto"/>
              <w:bottom w:val="single" w:sz="4" w:space="0" w:color="7E7E7E"/>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3,422,856.32</w:t>
            </w:r>
          </w:p>
        </w:tc>
      </w:tr>
      <w:tr>
        <w:trPr>
          <w:trHeight w:val="379"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b/>
                <w:bCs/>
                <w:sz w:val="18"/>
                <w:szCs w:val="18"/>
              </w:rPr>
              <w:t>四、净利润</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382280" cy="6096"/>
                  <wp:effectExtent l="0" t="0" r="0" b="0"/>
                  <wp:docPr id="69" name="image12.png" descr=""/>
                  <wp:cNvGraphicFramePr>
                    <a:graphicFrameLocks noChangeAspect="1"/>
                  </wp:cNvGraphicFramePr>
                  <a:graphic>
                    <a:graphicData uri="http://schemas.openxmlformats.org/drawingml/2006/picture">
                      <pic:pic>
                        <pic:nvPicPr>
                          <pic:cNvPr id="70" name="image12.png"/>
                          <pic:cNvPicPr/>
                        </pic:nvPicPr>
                        <pic:blipFill>
                          <a:blip r:embed="rId40" cstate="print"/>
                          <a:stretch>
                            <a:fillRect/>
                          </a:stretch>
                        </pic:blipFill>
                        <pic:spPr>
                          <a:xfrm>
                            <a:off x="0" y="0"/>
                            <a:ext cx="138228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6"/>
              <w:ind w:right="107"/>
              <w:jc w:val="right"/>
              <w:rPr>
                <w:rFonts w:ascii="宋体" w:hAnsi="宋体" w:cs="宋体" w:eastAsia="宋体" w:hint="default"/>
                <w:sz w:val="18"/>
                <w:szCs w:val="18"/>
              </w:rPr>
            </w:pPr>
            <w:r>
              <w:rPr>
                <w:rFonts w:ascii="宋体"/>
                <w:spacing w:val="-1"/>
                <w:sz w:val="18"/>
              </w:rPr>
              <w:t>23,383,137.45</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single" w:sz="4" w:space="0" w:color="7E7E7E"/>
              <w:left w:val="nil" w:sz="6" w:space="0" w:color="auto"/>
              <w:bottom w:val="single" w:sz="4" w:space="0" w:color="000000"/>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22,907,594.97</w:t>
            </w:r>
          </w:p>
        </w:tc>
      </w:tr>
      <w:tr>
        <w:trPr>
          <w:trHeight w:val="396"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b/>
                <w:bCs/>
                <w:sz w:val="18"/>
                <w:szCs w:val="18"/>
              </w:rPr>
              <w:t>五、综合收益总额</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1"/>
                <w:sz w:val="18"/>
              </w:rPr>
              <w:t>23,383,137.45</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22,907,594.97</w:t>
            </w:r>
          </w:p>
        </w:tc>
      </w:tr>
      <w:tr>
        <w:trPr>
          <w:trHeight w:val="396" w:hRule="exact"/>
        </w:trPr>
        <w:tc>
          <w:tcPr>
            <w:tcW w:w="3247"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
        </w:tc>
        <w:tc>
          <w:tcPr>
            <w:tcW w:w="221" w:type="dxa"/>
            <w:tcBorders>
              <w:top w:val="nil" w:sz="6" w:space="0" w:color="auto"/>
              <w:left w:val="nil" w:sz="6" w:space="0" w:color="auto"/>
              <w:bottom w:val="single" w:sz="4" w:space="0" w:color="000000"/>
              <w:right w:val="nil" w:sz="6" w:space="0" w:color="auto"/>
            </w:tcBorders>
          </w:tcPr>
          <w:p>
            <w:pPr/>
          </w:p>
        </w:tc>
        <w:tc>
          <w:tcPr>
            <w:tcW w:w="2059" w:type="dxa"/>
            <w:tcBorders>
              <w:top w:val="single" w:sz="17" w:space="0" w:color="000000"/>
              <w:left w:val="nil" w:sz="6" w:space="0" w:color="auto"/>
              <w:bottom w:val="single" w:sz="4" w:space="0" w:color="000000"/>
              <w:right w:val="nil" w:sz="6" w:space="0" w:color="auto"/>
            </w:tcBorders>
          </w:tcPr>
          <w:p>
            <w:pPr/>
          </w:p>
        </w:tc>
      </w:tr>
      <w:tr>
        <w:trPr>
          <w:trHeight w:val="372" w:hRule="exact"/>
        </w:trPr>
        <w:tc>
          <w:tcPr>
            <w:tcW w:w="9708" w:type="dxa"/>
            <w:gridSpan w:val="7"/>
            <w:tcBorders>
              <w:top w:val="single" w:sz="4" w:space="0" w:color="000000"/>
              <w:left w:val="nil" w:sz="6" w:space="0" w:color="auto"/>
              <w:bottom w:val="nil" w:sz="6" w:space="0" w:color="auto"/>
              <w:right w:val="nil" w:sz="6" w:space="0" w:color="auto"/>
            </w:tcBorders>
          </w:tcPr>
          <w:p>
            <w:pPr>
              <w:pStyle w:val="TableParagraph"/>
              <w:tabs>
                <w:tab w:pos="3081" w:val="left" w:leader="none"/>
                <w:tab w:pos="7044" w:val="left" w:leader="none"/>
              </w:tabs>
              <w:spacing w:line="240" w:lineRule="auto" w:before="37"/>
              <w:ind w:left="107"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89"/>
                <w:sz w:val="18"/>
                <w:szCs w:val="18"/>
              </w:rPr>
              <w:t> </w:t>
            </w:r>
            <w:r>
              <w:rPr>
                <w:rFonts w:ascii="宋体" w:hAnsi="宋体" w:cs="宋体" w:eastAsia="宋体" w:hint="default"/>
                <w:sz w:val="18"/>
                <w:szCs w:val="18"/>
              </w:rPr>
              <w:t>孙晓玲</w:t>
              <w:tab/>
              <w:t>会计机构负责人：全丽</w:t>
            </w:r>
          </w:p>
        </w:tc>
      </w:tr>
      <w:tr>
        <w:trPr>
          <w:trHeight w:val="275"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7"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c>
          <w:tcPr>
            <w:tcW w:w="23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0" w:right="0"/>
              <w:jc w:val="left"/>
              <w:rPr>
                <w:rFonts w:ascii="宋体" w:hAnsi="宋体" w:cs="宋体" w:eastAsia="宋体" w:hint="default"/>
                <w:sz w:val="18"/>
                <w:szCs w:val="18"/>
              </w:rPr>
            </w:pPr>
            <w:r>
              <w:rPr>
                <w:rFonts w:ascii="宋体" w:hAnsi="宋体" w:cs="宋体" w:eastAsia="宋体" w:hint="default"/>
                <w:sz w:val="18"/>
                <w:szCs w:val="18"/>
              </w:rPr>
              <w:t>）</w:t>
            </w: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67" w:footer="982" w:top="1060" w:bottom="1180" w:left="980" w:right="960"/>
        </w:sectPr>
      </w:pPr>
    </w:p>
    <w:p>
      <w:pPr>
        <w:spacing w:line="240" w:lineRule="auto" w:before="2"/>
        <w:rPr>
          <w:rFonts w:ascii="宋体" w:hAnsi="宋体" w:cs="宋体" w:eastAsia="宋体" w:hint="default"/>
          <w:b/>
          <w:bCs/>
          <w:sz w:val="25"/>
          <w:szCs w:val="25"/>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、现金流量表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5172"/>
        <w:gridCol w:w="941"/>
        <w:gridCol w:w="1961"/>
        <w:gridCol w:w="163"/>
        <w:gridCol w:w="1762"/>
      </w:tblGrid>
      <w:tr>
        <w:trPr>
          <w:trHeight w:val="370" w:hRule="exact"/>
        </w:trPr>
        <w:tc>
          <w:tcPr>
            <w:tcW w:w="9998" w:type="dxa"/>
            <w:gridSpan w:val="5"/>
            <w:tcBorders>
              <w:top w:val="nil" w:sz="6" w:space="0" w:color="auto"/>
              <w:left w:val="nil" w:sz="6" w:space="0" w:color="auto"/>
              <w:bottom w:val="nil" w:sz="6" w:space="0" w:color="auto"/>
              <w:right w:val="nil" w:sz="6" w:space="0" w:color="auto"/>
            </w:tcBorders>
          </w:tcPr>
          <w:p>
            <w:pPr>
              <w:pStyle w:val="TableParagraph"/>
              <w:spacing w:line="281" w:lineRule="exact"/>
              <w:ind w:left="-1" w:right="0"/>
              <w:jc w:val="center"/>
              <w:rPr>
                <w:rFonts w:ascii="宋体" w:hAnsi="宋体" w:cs="宋体" w:eastAsia="宋体" w:hint="default"/>
                <w:sz w:val="28"/>
                <w:szCs w:val="28"/>
              </w:rPr>
            </w:pPr>
            <w:r>
              <w:rPr>
                <w:rFonts w:ascii="宋体" w:hAnsi="宋体" w:cs="宋体" w:eastAsia="宋体" w:hint="default"/>
                <w:sz w:val="28"/>
                <w:szCs w:val="28"/>
              </w:rPr>
              <w:t>现 金 流 量</w:t>
            </w:r>
            <w:r>
              <w:rPr>
                <w:rFonts w:ascii="宋体" w:hAnsi="宋体" w:cs="宋体" w:eastAsia="宋体" w:hint="default"/>
                <w:spacing w:val="2"/>
                <w:sz w:val="28"/>
                <w:szCs w:val="28"/>
              </w:rPr>
              <w:t> </w:t>
            </w:r>
            <w:r>
              <w:rPr>
                <w:rFonts w:ascii="宋体" w:hAnsi="宋体" w:cs="宋体" w:eastAsia="宋体" w:hint="default"/>
                <w:sz w:val="28"/>
                <w:szCs w:val="28"/>
              </w:rPr>
              <w:t>表</w:t>
            </w:r>
          </w:p>
        </w:tc>
      </w:tr>
      <w:tr>
        <w:trPr>
          <w:trHeight w:val="375" w:hRule="exact"/>
        </w:trPr>
        <w:tc>
          <w:tcPr>
            <w:tcW w:w="999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5"/>
              <w:ind w:left="-1" w:right="0"/>
              <w:jc w:val="center"/>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275" w:hRule="exact"/>
        </w:trPr>
        <w:tc>
          <w:tcPr>
            <w:tcW w:w="5172"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25" w:lineRule="exact"/>
              <w:ind w:right="24"/>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277" w:hRule="exact"/>
        </w:trPr>
        <w:tc>
          <w:tcPr>
            <w:tcW w:w="5172" w:type="dxa"/>
            <w:tcBorders>
              <w:top w:val="nil" w:sz="6" w:space="0" w:color="auto"/>
              <w:left w:val="nil" w:sz="6" w:space="0" w:color="auto"/>
              <w:bottom w:val="single" w:sz="4" w:space="0" w:color="000000"/>
              <w:right w:val="nil" w:sz="6" w:space="0" w:color="auto"/>
            </w:tcBorders>
          </w:tcPr>
          <w:p>
            <w:pPr>
              <w:pStyle w:val="TableParagraph"/>
              <w:spacing w:line="230" w:lineRule="exact"/>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941" w:type="dxa"/>
            <w:tcBorders>
              <w:top w:val="nil" w:sz="6" w:space="0" w:color="auto"/>
              <w:left w:val="nil" w:sz="6" w:space="0" w:color="auto"/>
              <w:bottom w:val="single" w:sz="4" w:space="0" w:color="000000"/>
              <w:right w:val="nil" w:sz="6" w:space="0" w:color="auto"/>
            </w:tcBorders>
          </w:tcPr>
          <w:p>
            <w:pPr>
              <w:pStyle w:val="TableParagraph"/>
              <w:spacing w:line="230" w:lineRule="exact"/>
              <w:ind w:left="151" w:right="0"/>
              <w:jc w:val="left"/>
              <w:rPr>
                <w:rFonts w:ascii="宋体" w:hAnsi="宋体" w:cs="宋体" w:eastAsia="宋体" w:hint="default"/>
                <w:sz w:val="18"/>
                <w:szCs w:val="18"/>
              </w:rPr>
            </w:pPr>
            <w:r>
              <w:rPr>
                <w:rFonts w:ascii="宋体" w:hAnsi="宋体" w:cs="宋体" w:eastAsia="宋体" w:hint="default"/>
                <w:sz w:val="18"/>
                <w:szCs w:val="18"/>
              </w:rPr>
              <w:t>附注十四</w:t>
            </w:r>
          </w:p>
        </w:tc>
        <w:tc>
          <w:tcPr>
            <w:tcW w:w="1961" w:type="dxa"/>
            <w:tcBorders>
              <w:top w:val="nil" w:sz="6" w:space="0" w:color="auto"/>
              <w:left w:val="nil" w:sz="6" w:space="0" w:color="auto"/>
              <w:bottom w:val="single" w:sz="4" w:space="0" w:color="000000"/>
              <w:right w:val="nil" w:sz="6" w:space="0" w:color="auto"/>
            </w:tcBorders>
          </w:tcPr>
          <w:p>
            <w:pPr>
              <w:pStyle w:val="TableParagraph"/>
              <w:spacing w:line="230" w:lineRule="exact"/>
              <w:ind w:left="7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230" w:lineRule="exact"/>
              <w:ind w:left="657"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297" w:hRule="exact"/>
        </w:trPr>
        <w:tc>
          <w:tcPr>
            <w:tcW w:w="517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941" w:type="dxa"/>
            <w:tcBorders>
              <w:top w:val="single" w:sz="4" w:space="0" w:color="000000"/>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nil" w:sz="6" w:space="0" w:color="auto"/>
              <w:right w:val="nil" w:sz="6" w:space="0" w:color="auto"/>
            </w:tcBorders>
          </w:tcPr>
          <w:p>
            <w:pPr/>
          </w:p>
        </w:tc>
      </w:tr>
      <w:tr>
        <w:trPr>
          <w:trHeight w:val="304"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9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33" w:lineRule="exact"/>
              <w:ind w:right="29"/>
              <w:jc w:val="right"/>
              <w:rPr>
                <w:rFonts w:ascii="宋体" w:hAnsi="宋体" w:cs="宋体" w:eastAsia="宋体" w:hint="default"/>
                <w:sz w:val="18"/>
                <w:szCs w:val="18"/>
              </w:rPr>
            </w:pPr>
            <w:r>
              <w:rPr>
                <w:rFonts w:ascii="宋体"/>
                <w:spacing w:val="-1"/>
                <w:sz w:val="18"/>
              </w:rPr>
              <w:t>103,906,532.53</w:t>
            </w:r>
            <w:r>
              <w:rPr>
                <w:rFonts w:ascii="宋体"/>
                <w:sz w:val="18"/>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33" w:lineRule="exact"/>
              <w:ind w:right="23"/>
              <w:jc w:val="right"/>
              <w:rPr>
                <w:rFonts w:ascii="宋体" w:hAnsi="宋体" w:cs="宋体" w:eastAsia="宋体" w:hint="default"/>
                <w:sz w:val="18"/>
                <w:szCs w:val="18"/>
              </w:rPr>
            </w:pPr>
            <w:r>
              <w:rPr>
                <w:rFonts w:ascii="宋体"/>
                <w:spacing w:val="-1"/>
                <w:sz w:val="18"/>
              </w:rPr>
              <w:t>92,048,326.39</w:t>
            </w: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2,637,415.11</w:t>
            </w:r>
            <w:r>
              <w:rPr>
                <w:rFonts w:ascii="宋体"/>
                <w:sz w:val="18"/>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3"/>
              <w:jc w:val="right"/>
              <w:rPr>
                <w:rFonts w:ascii="宋体" w:hAnsi="宋体" w:cs="宋体" w:eastAsia="宋体" w:hint="default"/>
                <w:sz w:val="18"/>
                <w:szCs w:val="18"/>
              </w:rPr>
            </w:pPr>
            <w:r>
              <w:rPr>
                <w:rFonts w:ascii="宋体"/>
                <w:spacing w:val="-1"/>
                <w:sz w:val="18"/>
              </w:rPr>
              <w:t>3,564,977.33</w:t>
            </w:r>
          </w:p>
        </w:tc>
      </w:tr>
      <w:tr>
        <w:trPr>
          <w:trHeight w:val="31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594,163.50</w:t>
            </w:r>
            <w:r>
              <w:rPr>
                <w:rFonts w:ascii="宋体"/>
                <w:sz w:val="18"/>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3"/>
              <w:jc w:val="right"/>
              <w:rPr>
                <w:rFonts w:ascii="宋体" w:hAnsi="宋体" w:cs="宋体" w:eastAsia="宋体" w:hint="default"/>
                <w:sz w:val="18"/>
                <w:szCs w:val="18"/>
              </w:rPr>
            </w:pPr>
            <w:r>
              <w:rPr>
                <w:rFonts w:ascii="宋体"/>
                <w:spacing w:val="-1"/>
                <w:sz w:val="18"/>
              </w:rPr>
              <w:t>5,401,190.74</w:t>
            </w:r>
          </w:p>
        </w:tc>
      </w:tr>
      <w:tr>
        <w:trPr>
          <w:trHeight w:val="319"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94826" cy="6096"/>
                  <wp:effectExtent l="0" t="0" r="0" b="0"/>
                  <wp:docPr id="71" name="image13.png" descr=""/>
                  <wp:cNvGraphicFramePr>
                    <a:graphicFrameLocks noChangeAspect="1"/>
                  </wp:cNvGraphicFramePr>
                  <a:graphic>
                    <a:graphicData uri="http://schemas.openxmlformats.org/drawingml/2006/picture">
                      <pic:pic>
                        <pic:nvPicPr>
                          <pic:cNvPr id="72" name="image13.png"/>
                          <pic:cNvPicPr/>
                        </pic:nvPicPr>
                        <pic:blipFill>
                          <a:blip r:embed="rId41" cstate="print"/>
                          <a:stretch>
                            <a:fillRect/>
                          </a:stretch>
                        </pic:blipFill>
                        <pic:spPr>
                          <a:xfrm>
                            <a:off x="0" y="0"/>
                            <a:ext cx="119482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29"/>
              <w:jc w:val="right"/>
              <w:rPr>
                <w:rFonts w:ascii="宋体" w:hAnsi="宋体" w:cs="宋体" w:eastAsia="宋体" w:hint="default"/>
                <w:sz w:val="18"/>
                <w:szCs w:val="18"/>
              </w:rPr>
            </w:pPr>
            <w:r>
              <w:rPr>
                <w:rFonts w:ascii="宋体"/>
                <w:spacing w:val="-1"/>
                <w:sz w:val="18"/>
              </w:rPr>
              <w:t>107,138,111.14</w:t>
            </w:r>
            <w:r>
              <w:rPr>
                <w:rFonts w:ascii="宋体"/>
                <w:sz w:val="18"/>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18626" cy="6096"/>
                  <wp:effectExtent l="0" t="0" r="0" b="0"/>
                  <wp:docPr id="73" name="image14.png" descr=""/>
                  <wp:cNvGraphicFramePr>
                    <a:graphicFrameLocks noChangeAspect="1"/>
                  </wp:cNvGraphicFramePr>
                  <a:graphic>
                    <a:graphicData uri="http://schemas.openxmlformats.org/drawingml/2006/picture">
                      <pic:pic>
                        <pic:nvPicPr>
                          <pic:cNvPr id="74" name="image14.png"/>
                          <pic:cNvPicPr/>
                        </pic:nvPicPr>
                        <pic:blipFill>
                          <a:blip r:embed="rId42" cstate="print"/>
                          <a:stretch>
                            <a:fillRect/>
                          </a:stretch>
                        </pic:blipFill>
                        <pic:spPr>
                          <a:xfrm>
                            <a:off x="0" y="0"/>
                            <a:ext cx="111862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23"/>
              <w:jc w:val="right"/>
              <w:rPr>
                <w:rFonts w:ascii="宋体" w:hAnsi="宋体" w:cs="宋体" w:eastAsia="宋体" w:hint="default"/>
                <w:sz w:val="18"/>
                <w:szCs w:val="18"/>
              </w:rPr>
            </w:pPr>
            <w:r>
              <w:rPr>
                <w:rFonts w:ascii="宋体"/>
                <w:spacing w:val="-1"/>
                <w:sz w:val="18"/>
              </w:rPr>
              <w:t>101,014,494.46</w:t>
            </w:r>
          </w:p>
        </w:tc>
      </w:tr>
      <w:tr>
        <w:trPr>
          <w:trHeight w:val="319"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9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34,013,213.48</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25,616,207.26</w:t>
            </w: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24,240,616.31</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3"/>
              <w:jc w:val="right"/>
              <w:rPr>
                <w:rFonts w:ascii="宋体" w:hAnsi="宋体" w:cs="宋体" w:eastAsia="宋体" w:hint="default"/>
                <w:sz w:val="18"/>
                <w:szCs w:val="18"/>
              </w:rPr>
            </w:pPr>
            <w:r>
              <w:rPr>
                <w:rFonts w:ascii="宋体"/>
                <w:spacing w:val="-1"/>
                <w:sz w:val="18"/>
              </w:rPr>
              <w:t>24,320,907.01</w:t>
            </w: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10,471,194.69</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3"/>
              <w:jc w:val="right"/>
              <w:rPr>
                <w:rFonts w:ascii="宋体" w:hAnsi="宋体" w:cs="宋体" w:eastAsia="宋体" w:hint="default"/>
                <w:sz w:val="18"/>
                <w:szCs w:val="18"/>
              </w:rPr>
            </w:pPr>
            <w:r>
              <w:rPr>
                <w:rFonts w:ascii="宋体"/>
                <w:spacing w:val="-1"/>
                <w:sz w:val="18"/>
              </w:rPr>
              <w:t>12,804,578.41</w:t>
            </w:r>
          </w:p>
        </w:tc>
      </w:tr>
      <w:tr>
        <w:trPr>
          <w:trHeight w:val="318"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19,116,501.52</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3"/>
              <w:jc w:val="right"/>
              <w:rPr>
                <w:rFonts w:ascii="宋体" w:hAnsi="宋体" w:cs="宋体" w:eastAsia="宋体" w:hint="default"/>
                <w:sz w:val="18"/>
                <w:szCs w:val="18"/>
              </w:rPr>
            </w:pPr>
            <w:r>
              <w:rPr>
                <w:rFonts w:ascii="宋体"/>
                <w:spacing w:val="-1"/>
                <w:sz w:val="18"/>
              </w:rPr>
              <w:t>18,982,301.16</w:t>
            </w:r>
          </w:p>
        </w:tc>
      </w:tr>
      <w:tr>
        <w:trPr>
          <w:trHeight w:val="320"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94826" cy="6096"/>
                  <wp:effectExtent l="0" t="0" r="0" b="0"/>
                  <wp:docPr id="75" name="image13.png" descr=""/>
                  <wp:cNvGraphicFramePr>
                    <a:graphicFrameLocks noChangeAspect="1"/>
                  </wp:cNvGraphicFramePr>
                  <a:graphic>
                    <a:graphicData uri="http://schemas.openxmlformats.org/drawingml/2006/picture">
                      <pic:pic>
                        <pic:nvPicPr>
                          <pic:cNvPr id="76" name="image13.png"/>
                          <pic:cNvPicPr/>
                        </pic:nvPicPr>
                        <pic:blipFill>
                          <a:blip r:embed="rId41" cstate="print"/>
                          <a:stretch>
                            <a:fillRect/>
                          </a:stretch>
                        </pic:blipFill>
                        <pic:spPr>
                          <a:xfrm>
                            <a:off x="0" y="0"/>
                            <a:ext cx="119482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29"/>
              <w:jc w:val="right"/>
              <w:rPr>
                <w:rFonts w:ascii="宋体" w:hAnsi="宋体" w:cs="宋体" w:eastAsia="宋体" w:hint="default"/>
                <w:sz w:val="18"/>
                <w:szCs w:val="18"/>
              </w:rPr>
            </w:pPr>
            <w:r>
              <w:rPr>
                <w:rFonts w:ascii="宋体"/>
                <w:spacing w:val="-1"/>
                <w:sz w:val="18"/>
              </w:rPr>
              <w:t>87,841,526.00</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18626" cy="6096"/>
                  <wp:effectExtent l="0" t="0" r="0" b="0"/>
                  <wp:docPr id="77" name="image14.png" descr=""/>
                  <wp:cNvGraphicFramePr>
                    <a:graphicFrameLocks noChangeAspect="1"/>
                  </wp:cNvGraphicFramePr>
                  <a:graphic>
                    <a:graphicData uri="http://schemas.openxmlformats.org/drawingml/2006/picture">
                      <pic:pic>
                        <pic:nvPicPr>
                          <pic:cNvPr id="78" name="image14.png"/>
                          <pic:cNvPicPr/>
                        </pic:nvPicPr>
                        <pic:blipFill>
                          <a:blip r:embed="rId42" cstate="print"/>
                          <a:stretch>
                            <a:fillRect/>
                          </a:stretch>
                        </pic:blipFill>
                        <pic:spPr>
                          <a:xfrm>
                            <a:off x="0" y="0"/>
                            <a:ext cx="111862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23"/>
              <w:jc w:val="right"/>
              <w:rPr>
                <w:rFonts w:ascii="宋体" w:hAnsi="宋体" w:cs="宋体" w:eastAsia="宋体" w:hint="default"/>
                <w:sz w:val="18"/>
                <w:szCs w:val="18"/>
              </w:rPr>
            </w:pPr>
            <w:r>
              <w:rPr>
                <w:rFonts w:ascii="宋体"/>
                <w:spacing w:val="-1"/>
                <w:sz w:val="18"/>
              </w:rPr>
              <w:t>81,723,993.84</w:t>
            </w:r>
          </w:p>
        </w:tc>
      </w:tr>
      <w:tr>
        <w:trPr>
          <w:trHeight w:val="338"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7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19,296,585.14</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19,290,500.62</w:t>
            </w:r>
            <w:r>
              <w:rPr>
                <w:rFonts w:ascii="宋体"/>
                <w:sz w:val="18"/>
              </w:rPr>
            </w:r>
          </w:p>
        </w:tc>
      </w:tr>
      <w:tr>
        <w:trPr>
          <w:trHeight w:val="336"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single" w:sz="17" w:space="0" w:color="000000"/>
              <w:left w:val="nil" w:sz="6" w:space="0" w:color="auto"/>
              <w:bottom w:val="nil" w:sz="6" w:space="0" w:color="auto"/>
              <w:right w:val="nil" w:sz="6" w:space="0" w:color="auto"/>
            </w:tcBorders>
          </w:tcPr>
          <w:p>
            <w:pPr>
              <w:pStyle w:val="TableParagraph"/>
              <w:spacing w:line="240" w:lineRule="auto" w:before="8"/>
              <w:ind w:right="27"/>
              <w:jc w:val="right"/>
              <w:rPr>
                <w:rFonts w:ascii="宋体" w:hAnsi="宋体" w:cs="宋体" w:eastAsia="宋体" w:hint="default"/>
                <w:sz w:val="18"/>
                <w:szCs w:val="18"/>
              </w:rPr>
            </w:pPr>
            <w:r>
              <w:rPr>
                <w:rFonts w:ascii="宋体"/>
                <w:sz w:val="18"/>
              </w:rPr>
              <w:t>-</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single" w:sz="17" w:space="0" w:color="000000"/>
              <w:left w:val="nil" w:sz="6" w:space="0" w:color="auto"/>
              <w:bottom w:val="nil" w:sz="6" w:space="0" w:color="auto"/>
              <w:right w:val="nil" w:sz="6" w:space="0" w:color="auto"/>
            </w:tcBorders>
          </w:tcPr>
          <w:p>
            <w:pP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510,470,000.00</w:t>
            </w:r>
            <w:r>
              <w:rPr>
                <w:rFonts w:ascii="宋体"/>
                <w:sz w:val="18"/>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3"/>
              <w:jc w:val="right"/>
              <w:rPr>
                <w:rFonts w:ascii="宋体" w:hAnsi="宋体" w:cs="宋体" w:eastAsia="宋体" w:hint="default"/>
                <w:sz w:val="18"/>
                <w:szCs w:val="18"/>
              </w:rPr>
            </w:pPr>
            <w:r>
              <w:rPr>
                <w:rFonts w:ascii="宋体"/>
                <w:spacing w:val="-1"/>
                <w:sz w:val="18"/>
              </w:rPr>
              <w:t>215,000,000.00</w:t>
            </w: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8,026,439.75</w:t>
            </w:r>
            <w:r>
              <w:rPr>
                <w:rFonts w:ascii="宋体"/>
                <w:sz w:val="18"/>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3"/>
              <w:jc w:val="right"/>
              <w:rPr>
                <w:rFonts w:ascii="宋体" w:hAnsi="宋体" w:cs="宋体" w:eastAsia="宋体" w:hint="default"/>
                <w:sz w:val="18"/>
                <w:szCs w:val="18"/>
              </w:rPr>
            </w:pPr>
            <w:r>
              <w:rPr>
                <w:rFonts w:ascii="宋体"/>
                <w:spacing w:val="-1"/>
                <w:sz w:val="18"/>
              </w:rPr>
              <w:t>3,083,530.79</w:t>
            </w: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宋体" w:hAnsi="宋体" w:cs="宋体" w:eastAsia="宋体" w:hint="default"/>
                <w:sz w:val="18"/>
                <w:szCs w:val="18"/>
              </w:rPr>
            </w:pPr>
            <w:r>
              <w:rPr>
                <w:rFonts w:ascii="宋体"/>
                <w:spacing w:val="-1"/>
                <w:sz w:val="18"/>
              </w:rPr>
              <w:t>920.00</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3"/>
              <w:jc w:val="right"/>
              <w:rPr>
                <w:rFonts w:ascii="宋体" w:hAnsi="宋体" w:cs="宋体" w:eastAsia="宋体" w:hint="default"/>
                <w:sz w:val="18"/>
                <w:szCs w:val="18"/>
              </w:rPr>
            </w:pPr>
            <w:r>
              <w:rPr>
                <w:rFonts w:ascii="宋体"/>
                <w:spacing w:val="-1"/>
                <w:sz w:val="18"/>
              </w:rPr>
              <w:t>850,720.00</w:t>
            </w: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宋体" w:hAnsi="宋体" w:cs="宋体" w:eastAsia="宋体" w:hint="default"/>
                <w:sz w:val="18"/>
                <w:szCs w:val="18"/>
              </w:rPr>
            </w:pPr>
            <w:r>
              <w:rPr>
                <w:rFonts w:ascii="宋体"/>
                <w:sz w:val="18"/>
              </w:rPr>
              <w:t>-</w:t>
            </w:r>
          </w:p>
        </w:tc>
      </w:tr>
      <w:tr>
        <w:trPr>
          <w:trHeight w:val="318"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7"/>
              <w:jc w:val="right"/>
              <w:rPr>
                <w:rFonts w:ascii="宋体" w:hAnsi="宋体" w:cs="宋体" w:eastAsia="宋体" w:hint="default"/>
                <w:sz w:val="18"/>
                <w:szCs w:val="18"/>
              </w:rPr>
            </w:pPr>
            <w:r>
              <w:rPr>
                <w:rFonts w:ascii="宋体"/>
                <w:sz w:val="18"/>
              </w:rPr>
              <w:t>-</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宋体" w:hAnsi="宋体" w:cs="宋体" w:eastAsia="宋体" w:hint="default"/>
                <w:sz w:val="18"/>
                <w:szCs w:val="18"/>
              </w:rPr>
            </w:pPr>
            <w:r>
              <w:rPr>
                <w:rFonts w:ascii="宋体"/>
                <w:sz w:val="18"/>
              </w:rPr>
              <w:t>-</w:t>
            </w:r>
          </w:p>
        </w:tc>
      </w:tr>
      <w:tr>
        <w:trPr>
          <w:trHeight w:val="320"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94826" cy="6096"/>
                  <wp:effectExtent l="0" t="0" r="0" b="0"/>
                  <wp:docPr id="79" name="image13.png" descr=""/>
                  <wp:cNvGraphicFramePr>
                    <a:graphicFrameLocks noChangeAspect="1"/>
                  </wp:cNvGraphicFramePr>
                  <a:graphic>
                    <a:graphicData uri="http://schemas.openxmlformats.org/drawingml/2006/picture">
                      <pic:pic>
                        <pic:nvPicPr>
                          <pic:cNvPr id="80" name="image13.png"/>
                          <pic:cNvPicPr/>
                        </pic:nvPicPr>
                        <pic:blipFill>
                          <a:blip r:embed="rId41" cstate="print"/>
                          <a:stretch>
                            <a:fillRect/>
                          </a:stretch>
                        </pic:blipFill>
                        <pic:spPr>
                          <a:xfrm>
                            <a:off x="0" y="0"/>
                            <a:ext cx="119482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29"/>
              <w:jc w:val="right"/>
              <w:rPr>
                <w:rFonts w:ascii="宋体" w:hAnsi="宋体" w:cs="宋体" w:eastAsia="宋体" w:hint="default"/>
                <w:sz w:val="18"/>
                <w:szCs w:val="18"/>
              </w:rPr>
            </w:pPr>
            <w:r>
              <w:rPr>
                <w:rFonts w:ascii="宋体"/>
                <w:spacing w:val="-1"/>
                <w:sz w:val="18"/>
              </w:rPr>
              <w:t>518,497,359.75</w:t>
            </w:r>
            <w:r>
              <w:rPr>
                <w:rFonts w:ascii="宋体"/>
                <w:sz w:val="18"/>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18626" cy="6096"/>
                  <wp:effectExtent l="0" t="0" r="0" b="0"/>
                  <wp:docPr id="81" name="image14.png" descr=""/>
                  <wp:cNvGraphicFramePr>
                    <a:graphicFrameLocks noChangeAspect="1"/>
                  </wp:cNvGraphicFramePr>
                  <a:graphic>
                    <a:graphicData uri="http://schemas.openxmlformats.org/drawingml/2006/picture">
                      <pic:pic>
                        <pic:nvPicPr>
                          <pic:cNvPr id="82" name="image14.png"/>
                          <pic:cNvPicPr/>
                        </pic:nvPicPr>
                        <pic:blipFill>
                          <a:blip r:embed="rId42" cstate="print"/>
                          <a:stretch>
                            <a:fillRect/>
                          </a:stretch>
                        </pic:blipFill>
                        <pic:spPr>
                          <a:xfrm>
                            <a:off x="0" y="0"/>
                            <a:ext cx="111862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23"/>
              <w:jc w:val="right"/>
              <w:rPr>
                <w:rFonts w:ascii="宋体" w:hAnsi="宋体" w:cs="宋体" w:eastAsia="宋体" w:hint="default"/>
                <w:sz w:val="18"/>
                <w:szCs w:val="18"/>
              </w:rPr>
            </w:pPr>
            <w:r>
              <w:rPr>
                <w:rFonts w:ascii="宋体"/>
                <w:spacing w:val="-1"/>
                <w:sz w:val="18"/>
              </w:rPr>
              <w:t>218,934,250.79</w:t>
            </w:r>
          </w:p>
        </w:tc>
      </w:tr>
      <w:tr>
        <w:trPr>
          <w:trHeight w:val="319"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9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5,562,670.87</w:t>
            </w:r>
            <w:r>
              <w:rPr>
                <w:rFonts w:ascii="宋体"/>
                <w:sz w:val="18"/>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2,939,673.92</w:t>
            </w: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565,470,000.00</w:t>
            </w:r>
            <w:r>
              <w:rPr>
                <w:rFonts w:ascii="宋体"/>
                <w:sz w:val="18"/>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1"/>
              <w:jc w:val="right"/>
              <w:rPr>
                <w:rFonts w:ascii="宋体" w:hAnsi="宋体" w:cs="宋体" w:eastAsia="宋体" w:hint="default"/>
                <w:sz w:val="18"/>
                <w:szCs w:val="18"/>
              </w:rPr>
            </w:pPr>
            <w:r>
              <w:rPr>
                <w:rFonts w:ascii="宋体"/>
                <w:spacing w:val="-1"/>
                <w:sz w:val="18"/>
              </w:rPr>
              <w:t>238,000,000.00</w:t>
            </w:r>
            <w:r>
              <w:rPr>
                <w:rFonts w:ascii="宋体"/>
                <w:sz w:val="18"/>
              </w:rPr>
            </w: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8"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宋体" w:hAnsi="宋体" w:cs="宋体" w:eastAsia="宋体" w:hint="default"/>
                <w:sz w:val="18"/>
                <w:szCs w:val="18"/>
              </w:rPr>
            </w:pPr>
            <w:r>
              <w:rPr>
                <w:rFonts w:ascii="宋体"/>
                <w:sz w:val="18"/>
              </w:rPr>
              <w:t>-</w:t>
            </w: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宋体" w:hAnsi="宋体" w:cs="宋体" w:eastAsia="宋体" w:hint="default"/>
                <w:sz w:val="18"/>
                <w:szCs w:val="18"/>
              </w:rPr>
            </w:pPr>
            <w:r>
              <w:rPr>
                <w:rFonts w:ascii="宋体"/>
                <w:sz w:val="18"/>
              </w:rPr>
              <w:t>-</w:t>
            </w:r>
          </w:p>
        </w:tc>
      </w:tr>
      <w:tr>
        <w:trPr>
          <w:trHeight w:val="31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94826" cy="6096"/>
                  <wp:effectExtent l="0" t="0" r="0" b="0"/>
                  <wp:docPr id="83" name="image13.png" descr=""/>
                  <wp:cNvGraphicFramePr>
                    <a:graphicFrameLocks noChangeAspect="1"/>
                  </wp:cNvGraphicFramePr>
                  <a:graphic>
                    <a:graphicData uri="http://schemas.openxmlformats.org/drawingml/2006/picture">
                      <pic:pic>
                        <pic:nvPicPr>
                          <pic:cNvPr id="84" name="image13.png"/>
                          <pic:cNvPicPr/>
                        </pic:nvPicPr>
                        <pic:blipFill>
                          <a:blip r:embed="rId41" cstate="print"/>
                          <a:stretch>
                            <a:fillRect/>
                          </a:stretch>
                        </pic:blipFill>
                        <pic:spPr>
                          <a:xfrm>
                            <a:off x="0" y="0"/>
                            <a:ext cx="1194826" cy="6096"/>
                          </a:xfrm>
                          <a:prstGeom prst="rect">
                            <a:avLst/>
                          </a:prstGeom>
                        </pic:spPr>
                      </pic:pic>
                    </a:graphicData>
                  </a:graphic>
                </wp:inline>
              </w:drawing>
            </w:r>
            <w:r>
              <w:rPr>
                <w:rFonts w:ascii="宋体" w:hAnsi="宋体" w:cs="宋体" w:eastAsia="宋体" w:hint="default"/>
                <w:sz w:val="2"/>
                <w:szCs w:val="2"/>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宋体" w:hAnsi="宋体" w:cs="宋体" w:eastAsia="宋体" w:hint="default"/>
                <w:sz w:val="18"/>
                <w:szCs w:val="18"/>
              </w:rPr>
            </w:pPr>
            <w:r>
              <w:rPr>
                <w:rFonts w:ascii="宋体"/>
                <w:sz w:val="18"/>
              </w:rPr>
              <w:t>-</w:t>
            </w:r>
          </w:p>
        </w:tc>
      </w:tr>
      <w:tr>
        <w:trPr>
          <w:trHeight w:val="319"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571,032,670.87</w:t>
            </w:r>
            <w:r>
              <w:rPr>
                <w:rFonts w:ascii="宋体"/>
                <w:sz w:val="18"/>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18626" cy="6096"/>
                  <wp:effectExtent l="0" t="0" r="0" b="0"/>
                  <wp:docPr id="85" name="image14.png" descr=""/>
                  <wp:cNvGraphicFramePr>
                    <a:graphicFrameLocks noChangeAspect="1"/>
                  </wp:cNvGraphicFramePr>
                  <a:graphic>
                    <a:graphicData uri="http://schemas.openxmlformats.org/drawingml/2006/picture">
                      <pic:pic>
                        <pic:nvPicPr>
                          <pic:cNvPr id="86" name="image14.png"/>
                          <pic:cNvPicPr/>
                        </pic:nvPicPr>
                        <pic:blipFill>
                          <a:blip r:embed="rId42" cstate="print"/>
                          <a:stretch>
                            <a:fillRect/>
                          </a:stretch>
                        </pic:blipFill>
                        <pic:spPr>
                          <a:xfrm>
                            <a:off x="0" y="0"/>
                            <a:ext cx="111862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23"/>
              <w:jc w:val="right"/>
              <w:rPr>
                <w:rFonts w:ascii="宋体" w:hAnsi="宋体" w:cs="宋体" w:eastAsia="宋体" w:hint="default"/>
                <w:sz w:val="18"/>
                <w:szCs w:val="18"/>
              </w:rPr>
            </w:pPr>
            <w:r>
              <w:rPr>
                <w:rFonts w:ascii="宋体"/>
                <w:spacing w:val="-1"/>
                <w:sz w:val="18"/>
              </w:rPr>
              <w:t>240,939,673.92</w:t>
            </w:r>
          </w:p>
        </w:tc>
      </w:tr>
      <w:tr>
        <w:trPr>
          <w:trHeight w:val="338"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7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-52,535,311.12</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(22,005,423.13)</w:t>
            </w:r>
            <w:r>
              <w:rPr>
                <w:rFonts w:ascii="宋体"/>
                <w:sz w:val="18"/>
              </w:rPr>
            </w:r>
          </w:p>
        </w:tc>
      </w:tr>
      <w:tr>
        <w:trPr>
          <w:trHeight w:val="339"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single" w:sz="17" w:space="0" w:color="000000"/>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single" w:sz="17" w:space="0" w:color="000000"/>
              <w:left w:val="nil" w:sz="6" w:space="0" w:color="auto"/>
              <w:bottom w:val="nil" w:sz="6" w:space="0" w:color="auto"/>
              <w:right w:val="nil" w:sz="6" w:space="0" w:color="auto"/>
            </w:tcBorders>
          </w:tcPr>
          <w:p>
            <w:pP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7"/>
              <w:jc w:val="right"/>
              <w:rPr>
                <w:rFonts w:ascii="宋体" w:hAnsi="宋体" w:cs="宋体" w:eastAsia="宋体" w:hint="default"/>
                <w:sz w:val="18"/>
                <w:szCs w:val="18"/>
              </w:rPr>
            </w:pPr>
            <w:r>
              <w:rPr>
                <w:rFonts w:ascii="宋体"/>
                <w:sz w:val="18"/>
              </w:rPr>
              <w:t>-</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宋体" w:hAnsi="宋体" w:cs="宋体" w:eastAsia="宋体" w:hint="default"/>
                <w:sz w:val="18"/>
                <w:szCs w:val="18"/>
              </w:rPr>
            </w:pPr>
            <w:r>
              <w:rPr>
                <w:rFonts w:ascii="宋体"/>
                <w:sz w:val="18"/>
              </w:rPr>
              <w:t>-</w:t>
            </w: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7"/>
              <w:jc w:val="right"/>
              <w:rPr>
                <w:rFonts w:ascii="宋体" w:hAnsi="宋体" w:cs="宋体" w:eastAsia="宋体" w:hint="default"/>
                <w:sz w:val="18"/>
                <w:szCs w:val="18"/>
              </w:rPr>
            </w:pPr>
            <w:r>
              <w:rPr>
                <w:rFonts w:ascii="宋体"/>
                <w:sz w:val="18"/>
              </w:rPr>
              <w:t>-</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宋体" w:hAnsi="宋体" w:cs="宋体" w:eastAsia="宋体" w:hint="default"/>
                <w:sz w:val="18"/>
                <w:szCs w:val="18"/>
              </w:rPr>
            </w:pPr>
            <w:r>
              <w:rPr>
                <w:rFonts w:ascii="宋体"/>
                <w:sz w:val="18"/>
              </w:rPr>
              <w:t>-</w:t>
            </w: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7"/>
              <w:jc w:val="right"/>
              <w:rPr>
                <w:rFonts w:ascii="宋体" w:hAnsi="宋体" w:cs="宋体" w:eastAsia="宋体" w:hint="default"/>
                <w:sz w:val="18"/>
                <w:szCs w:val="18"/>
              </w:rPr>
            </w:pPr>
            <w:r>
              <w:rPr>
                <w:rFonts w:ascii="宋体"/>
                <w:sz w:val="18"/>
              </w:rPr>
              <w:t>-</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宋体" w:hAnsi="宋体" w:cs="宋体" w:eastAsia="宋体" w:hint="default"/>
                <w:sz w:val="18"/>
                <w:szCs w:val="18"/>
              </w:rPr>
            </w:pPr>
            <w:r>
              <w:rPr>
                <w:rFonts w:ascii="宋体"/>
                <w:sz w:val="18"/>
              </w:rPr>
              <w:t>-</w:t>
            </w:r>
          </w:p>
        </w:tc>
      </w:tr>
      <w:tr>
        <w:trPr>
          <w:trHeight w:val="31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516,066.58</w:t>
            </w:r>
            <w:r>
              <w:rPr>
                <w:rFonts w:ascii="宋体"/>
                <w:sz w:val="18"/>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3"/>
              <w:jc w:val="right"/>
              <w:rPr>
                <w:rFonts w:ascii="宋体" w:hAnsi="宋体" w:cs="宋体" w:eastAsia="宋体" w:hint="default"/>
                <w:sz w:val="18"/>
                <w:szCs w:val="18"/>
              </w:rPr>
            </w:pPr>
            <w:r>
              <w:rPr>
                <w:rFonts w:ascii="宋体"/>
                <w:spacing w:val="-1"/>
                <w:sz w:val="18"/>
              </w:rPr>
              <w:t>1,560,939.09</w:t>
            </w:r>
          </w:p>
        </w:tc>
      </w:tr>
      <w:tr>
        <w:trPr>
          <w:trHeight w:val="319"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94826" cy="6095"/>
                  <wp:effectExtent l="0" t="0" r="0" b="0"/>
                  <wp:docPr id="87" name="image13.png" descr=""/>
                  <wp:cNvGraphicFramePr>
                    <a:graphicFrameLocks noChangeAspect="1"/>
                  </wp:cNvGraphicFramePr>
                  <a:graphic>
                    <a:graphicData uri="http://schemas.openxmlformats.org/drawingml/2006/picture">
                      <pic:pic>
                        <pic:nvPicPr>
                          <pic:cNvPr id="88" name="image13.png"/>
                          <pic:cNvPicPr/>
                        </pic:nvPicPr>
                        <pic:blipFill>
                          <a:blip r:embed="rId41" cstate="print"/>
                          <a:stretch>
                            <a:fillRect/>
                          </a:stretch>
                        </pic:blipFill>
                        <pic:spPr>
                          <a:xfrm>
                            <a:off x="0" y="0"/>
                            <a:ext cx="1194826"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29"/>
              <w:jc w:val="right"/>
              <w:rPr>
                <w:rFonts w:ascii="宋体" w:hAnsi="宋体" w:cs="宋体" w:eastAsia="宋体" w:hint="default"/>
                <w:sz w:val="18"/>
                <w:szCs w:val="18"/>
              </w:rPr>
            </w:pPr>
            <w:r>
              <w:rPr>
                <w:rFonts w:ascii="宋体"/>
                <w:spacing w:val="-1"/>
                <w:sz w:val="18"/>
              </w:rPr>
              <w:t>516,066.58</w:t>
            </w:r>
            <w:r>
              <w:rPr>
                <w:rFonts w:ascii="宋体"/>
                <w:sz w:val="18"/>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18626" cy="6095"/>
                  <wp:effectExtent l="0" t="0" r="0" b="0"/>
                  <wp:docPr id="89" name="image14.png" descr=""/>
                  <wp:cNvGraphicFramePr>
                    <a:graphicFrameLocks noChangeAspect="1"/>
                  </wp:cNvGraphicFramePr>
                  <a:graphic>
                    <a:graphicData uri="http://schemas.openxmlformats.org/drawingml/2006/picture">
                      <pic:pic>
                        <pic:nvPicPr>
                          <pic:cNvPr id="90" name="image14.png"/>
                          <pic:cNvPicPr/>
                        </pic:nvPicPr>
                        <pic:blipFill>
                          <a:blip r:embed="rId42" cstate="print"/>
                          <a:stretch>
                            <a:fillRect/>
                          </a:stretch>
                        </pic:blipFill>
                        <pic:spPr>
                          <a:xfrm>
                            <a:off x="0" y="0"/>
                            <a:ext cx="1118626"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23"/>
              <w:jc w:val="right"/>
              <w:rPr>
                <w:rFonts w:ascii="宋体" w:hAnsi="宋体" w:cs="宋体" w:eastAsia="宋体" w:hint="default"/>
                <w:sz w:val="18"/>
                <w:szCs w:val="18"/>
              </w:rPr>
            </w:pPr>
            <w:r>
              <w:rPr>
                <w:rFonts w:ascii="宋体"/>
                <w:spacing w:val="-1"/>
                <w:sz w:val="18"/>
              </w:rPr>
              <w:t>1,560,939.09</w:t>
            </w:r>
          </w:p>
        </w:tc>
      </w:tr>
      <w:tr>
        <w:trPr>
          <w:trHeight w:val="319"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9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7"/>
              <w:jc w:val="right"/>
              <w:rPr>
                <w:rFonts w:ascii="宋体" w:hAnsi="宋体" w:cs="宋体" w:eastAsia="宋体" w:hint="default"/>
                <w:sz w:val="18"/>
                <w:szCs w:val="18"/>
              </w:rPr>
            </w:pPr>
            <w:r>
              <w:rPr>
                <w:rFonts w:ascii="宋体"/>
                <w:sz w:val="18"/>
              </w:rPr>
              <w:t>-</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w:t>
            </w:r>
          </w:p>
        </w:tc>
      </w:tr>
      <w:tr>
        <w:trPr>
          <w:trHeight w:val="312"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15,836,066.04</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3"/>
              <w:jc w:val="right"/>
              <w:rPr>
                <w:rFonts w:ascii="宋体" w:hAnsi="宋体" w:cs="宋体" w:eastAsia="宋体" w:hint="default"/>
                <w:sz w:val="18"/>
                <w:szCs w:val="18"/>
              </w:rPr>
            </w:pPr>
            <w:r>
              <w:rPr>
                <w:rFonts w:ascii="宋体"/>
                <w:spacing w:val="-1"/>
                <w:sz w:val="18"/>
              </w:rPr>
              <w:t>5,278,773.20</w:t>
            </w:r>
          </w:p>
        </w:tc>
      </w:tr>
      <w:tr>
        <w:trPr>
          <w:trHeight w:val="31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宋体" w:hAnsi="宋体" w:cs="宋体" w:eastAsia="宋体" w:hint="default"/>
                <w:sz w:val="18"/>
                <w:szCs w:val="18"/>
              </w:rPr>
            </w:pPr>
            <w:r>
              <w:rPr>
                <w:rFonts w:ascii="宋体"/>
                <w:spacing w:val="-1"/>
                <w:sz w:val="18"/>
              </w:rPr>
              <w:t>621.99</w:t>
            </w:r>
            <w:r>
              <w:rPr>
                <w:rFonts w:ascii="宋体"/>
                <w:sz w:val="18"/>
              </w:rPr>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3"/>
              <w:jc w:val="right"/>
              <w:rPr>
                <w:rFonts w:ascii="宋体" w:hAnsi="宋体" w:cs="宋体" w:eastAsia="宋体" w:hint="default"/>
                <w:sz w:val="18"/>
                <w:szCs w:val="18"/>
              </w:rPr>
            </w:pPr>
            <w:r>
              <w:rPr>
                <w:rFonts w:ascii="宋体"/>
                <w:spacing w:val="-1"/>
                <w:sz w:val="18"/>
              </w:rPr>
              <w:t>1,205.06</w:t>
            </w:r>
          </w:p>
        </w:tc>
      </w:tr>
      <w:tr>
        <w:trPr>
          <w:trHeight w:val="319"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94826" cy="6095"/>
                  <wp:effectExtent l="0" t="0" r="0" b="0"/>
                  <wp:docPr id="91" name="image13.png" descr=""/>
                  <wp:cNvGraphicFramePr>
                    <a:graphicFrameLocks noChangeAspect="1"/>
                  </wp:cNvGraphicFramePr>
                  <a:graphic>
                    <a:graphicData uri="http://schemas.openxmlformats.org/drawingml/2006/picture">
                      <pic:pic>
                        <pic:nvPicPr>
                          <pic:cNvPr id="92" name="image13.png"/>
                          <pic:cNvPicPr/>
                        </pic:nvPicPr>
                        <pic:blipFill>
                          <a:blip r:embed="rId41" cstate="print"/>
                          <a:stretch>
                            <a:fillRect/>
                          </a:stretch>
                        </pic:blipFill>
                        <pic:spPr>
                          <a:xfrm>
                            <a:off x="0" y="0"/>
                            <a:ext cx="1194826"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29"/>
              <w:jc w:val="right"/>
              <w:rPr>
                <w:rFonts w:ascii="宋体" w:hAnsi="宋体" w:cs="宋体" w:eastAsia="宋体" w:hint="default"/>
                <w:sz w:val="18"/>
                <w:szCs w:val="18"/>
              </w:rPr>
            </w:pPr>
            <w:r>
              <w:rPr>
                <w:rFonts w:ascii="宋体"/>
                <w:spacing w:val="-1"/>
                <w:sz w:val="18"/>
              </w:rPr>
              <w:t>15,836,688.03</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18626" cy="6095"/>
                  <wp:effectExtent l="0" t="0" r="0" b="0"/>
                  <wp:docPr id="93" name="image14.png" descr=""/>
                  <wp:cNvGraphicFramePr>
                    <a:graphicFrameLocks noChangeAspect="1"/>
                  </wp:cNvGraphicFramePr>
                  <a:graphic>
                    <a:graphicData uri="http://schemas.openxmlformats.org/drawingml/2006/picture">
                      <pic:pic>
                        <pic:nvPicPr>
                          <pic:cNvPr id="94" name="image14.png"/>
                          <pic:cNvPicPr/>
                        </pic:nvPicPr>
                        <pic:blipFill>
                          <a:blip r:embed="rId42" cstate="print"/>
                          <a:stretch>
                            <a:fillRect/>
                          </a:stretch>
                        </pic:blipFill>
                        <pic:spPr>
                          <a:xfrm>
                            <a:off x="0" y="0"/>
                            <a:ext cx="1118626"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23"/>
              <w:jc w:val="right"/>
              <w:rPr>
                <w:rFonts w:ascii="宋体" w:hAnsi="宋体" w:cs="宋体" w:eastAsia="宋体" w:hint="default"/>
                <w:sz w:val="18"/>
                <w:szCs w:val="18"/>
              </w:rPr>
            </w:pPr>
            <w:r>
              <w:rPr>
                <w:rFonts w:ascii="宋体"/>
                <w:spacing w:val="-1"/>
                <w:sz w:val="18"/>
              </w:rPr>
              <w:t>5,279,978.26</w:t>
            </w:r>
          </w:p>
        </w:tc>
      </w:tr>
      <w:tr>
        <w:trPr>
          <w:trHeight w:val="341"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-15,320,621.45</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(3,719,039.17)</w:t>
            </w:r>
          </w:p>
        </w:tc>
      </w:tr>
      <w:tr>
        <w:trPr>
          <w:trHeight w:val="341"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b/>
                <w:bCs/>
                <w:sz w:val="18"/>
                <w:szCs w:val="18"/>
              </w:rPr>
              <w:t>四、汇率变动对现金的影响</w:t>
            </w:r>
            <w:r>
              <w:rPr>
                <w:rFonts w:ascii="宋体" w:hAnsi="宋体" w:cs="宋体" w:eastAsia="宋体" w:hint="default"/>
                <w:sz w:val="18"/>
                <w:szCs w:val="18"/>
              </w:rPr>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single" w:sz="17" w:space="0" w:color="000000"/>
              <w:left w:val="nil" w:sz="6" w:space="0" w:color="auto"/>
              <w:bottom w:val="nil" w:sz="6" w:space="0" w:color="auto"/>
              <w:right w:val="nil" w:sz="6" w:space="0" w:color="auto"/>
            </w:tcBorders>
          </w:tcPr>
          <w:p>
            <w:pPr>
              <w:pStyle w:val="TableParagraph"/>
              <w:spacing w:line="240" w:lineRule="auto" w:before="8"/>
              <w:ind w:right="27"/>
              <w:jc w:val="right"/>
              <w:rPr>
                <w:rFonts w:ascii="宋体" w:hAnsi="宋体" w:cs="宋体" w:eastAsia="宋体" w:hint="default"/>
                <w:sz w:val="18"/>
                <w:szCs w:val="18"/>
              </w:rPr>
            </w:pPr>
            <w:r>
              <w:rPr>
                <w:rFonts w:ascii="宋体"/>
                <w:sz w:val="18"/>
              </w:rPr>
              <w:t>-</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single" w:sz="17" w:space="0" w:color="000000"/>
              <w:left w:val="nil" w:sz="6" w:space="0" w:color="auto"/>
              <w:bottom w:val="nil" w:sz="6" w:space="0" w:color="auto"/>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w:t>
            </w:r>
          </w:p>
        </w:tc>
      </w:tr>
      <w:tr>
        <w:trPr>
          <w:trHeight w:val="256"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941"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94826" cy="6096"/>
                  <wp:effectExtent l="0" t="0" r="0" b="0"/>
                  <wp:docPr id="95" name="image13.png" descr=""/>
                  <wp:cNvGraphicFramePr>
                    <a:graphicFrameLocks noChangeAspect="1"/>
                  </wp:cNvGraphicFramePr>
                  <a:graphic>
                    <a:graphicData uri="http://schemas.openxmlformats.org/drawingml/2006/picture">
                      <pic:pic>
                        <pic:nvPicPr>
                          <pic:cNvPr id="96" name="image13.png"/>
                          <pic:cNvPicPr/>
                        </pic:nvPicPr>
                        <pic:blipFill>
                          <a:blip r:embed="rId41" cstate="print"/>
                          <a:stretch>
                            <a:fillRect/>
                          </a:stretch>
                        </pic:blipFill>
                        <pic:spPr>
                          <a:xfrm>
                            <a:off x="0" y="0"/>
                            <a:ext cx="119482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29"/>
              <w:jc w:val="right"/>
              <w:rPr>
                <w:rFonts w:ascii="宋体" w:hAnsi="宋体" w:cs="宋体" w:eastAsia="宋体" w:hint="default"/>
                <w:sz w:val="18"/>
                <w:szCs w:val="18"/>
              </w:rPr>
            </w:pPr>
            <w:r>
              <w:rPr>
                <w:rFonts w:ascii="宋体"/>
                <w:spacing w:val="-1"/>
                <w:sz w:val="18"/>
              </w:rPr>
              <w:t>-48,559,347.43</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18626" cy="6096"/>
                  <wp:effectExtent l="0" t="0" r="0" b="0"/>
                  <wp:docPr id="97" name="image14.png" descr=""/>
                  <wp:cNvGraphicFramePr>
                    <a:graphicFrameLocks noChangeAspect="1"/>
                  </wp:cNvGraphicFramePr>
                  <a:graphic>
                    <a:graphicData uri="http://schemas.openxmlformats.org/drawingml/2006/picture">
                      <pic:pic>
                        <pic:nvPicPr>
                          <pic:cNvPr id="98" name="image14.png"/>
                          <pic:cNvPicPr/>
                        </pic:nvPicPr>
                        <pic:blipFill>
                          <a:blip r:embed="rId42" cstate="print"/>
                          <a:stretch>
                            <a:fillRect/>
                          </a:stretch>
                        </pic:blipFill>
                        <pic:spPr>
                          <a:xfrm>
                            <a:off x="0" y="0"/>
                            <a:ext cx="111862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23"/>
              <w:jc w:val="right"/>
              <w:rPr>
                <w:rFonts w:ascii="宋体" w:hAnsi="宋体" w:cs="宋体" w:eastAsia="宋体" w:hint="default"/>
                <w:sz w:val="18"/>
                <w:szCs w:val="18"/>
              </w:rPr>
            </w:pPr>
            <w:r>
              <w:rPr>
                <w:rFonts w:ascii="宋体"/>
                <w:spacing w:val="-1"/>
                <w:sz w:val="18"/>
              </w:rPr>
              <w:t>(6,433,961.68)</w:t>
            </w:r>
          </w:p>
        </w:tc>
      </w:tr>
    </w:tbl>
    <w:p>
      <w:pPr>
        <w:spacing w:after="0" w:line="240" w:lineRule="auto"/>
        <w:jc w:val="right"/>
        <w:rPr>
          <w:rFonts w:ascii="宋体" w:hAnsi="宋体" w:cs="宋体" w:eastAsia="宋体" w:hint="default"/>
          <w:sz w:val="18"/>
          <w:szCs w:val="18"/>
        </w:rPr>
        <w:sectPr>
          <w:pgSz w:w="11910" w:h="16840"/>
          <w:pgMar w:header="867" w:footer="982" w:top="1060" w:bottom="1180" w:left="980" w:right="700"/>
        </w:sectPr>
      </w:pPr>
    </w:p>
    <w:p>
      <w:pPr>
        <w:spacing w:line="240" w:lineRule="auto" w:before="2"/>
        <w:rPr>
          <w:rFonts w:ascii="Times New Roman" w:hAnsi="Times New Roman" w:cs="Times New Roman" w:eastAsia="Times New Roman" w:hint="default"/>
          <w:sz w:val="2"/>
          <w:szCs w:val="2"/>
        </w:rPr>
      </w:pPr>
      <w:r>
        <w:rPr/>
        <w:pict>
          <v:group style="position:absolute;margin-left:364.440002pt;margin-top:88.919983pt;width:94.8pt;height:2.2pt;mso-position-horizontal-relative:page;mso-position-vertical-relative:page;z-index:-1222576" coordorigin="7289,1778" coordsize="1896,44">
            <v:group style="position:absolute;left:7296;top:1786;width:1882;height:2" coordorigin="7296,1786" coordsize="1882,2">
              <v:shape style="position:absolute;left:7296;top:1786;width:1882;height:2" coordorigin="7296,1786" coordsize="1882,0" path="m7296,1786l9178,1786e" filled="false" stroked="true" strokeweight=".72pt" strokecolor="#000000">
                <v:path arrowok="t"/>
              </v:shape>
            </v:group>
            <v:group style="position:absolute;left:7296;top:1814;width:1882;height:2" coordorigin="7296,1814" coordsize="1882,2">
              <v:shape style="position:absolute;left:7296;top:1814;width:1882;height:2" coordorigin="7296,1814" coordsize="1882,0" path="m7296,1814l9178,1814e" filled="false" stroked="true" strokeweight=".72pt" strokecolor="#000000">
                <v:path arrowok="t"/>
              </v:shape>
            </v:group>
            <w10:wrap type="none"/>
          </v:group>
        </w:pict>
      </w:r>
    </w:p>
    <w:tbl>
      <w:tblPr>
        <w:tblW w:w="0" w:type="auto"/>
        <w:jc w:val="left"/>
        <w:tblInd w:w="103" w:type="dxa"/>
        <w:tblLayout w:type="fixed"/>
        <w:tblCellMar>
          <w:top w:w="0" w:type="dxa"/>
          <w:left w:w="0" w:type="dxa"/>
          <w:bottom w:w="0" w:type="dxa"/>
          <w:right w:w="0" w:type="dxa"/>
        </w:tblCellMar>
        <w:tblLook w:val="01E0"/>
      </w:tblPr>
      <w:tblGrid>
        <w:gridCol w:w="6192"/>
        <w:gridCol w:w="1882"/>
        <w:gridCol w:w="163"/>
        <w:gridCol w:w="1762"/>
      </w:tblGrid>
      <w:tr>
        <w:trPr>
          <w:trHeight w:val="350" w:hRule="exact"/>
        </w:trPr>
        <w:tc>
          <w:tcPr>
            <w:tcW w:w="6192" w:type="dxa"/>
            <w:tcBorders>
              <w:top w:val="single" w:sz="6" w:space="0" w:color="000000"/>
              <w:left w:val="nil" w:sz="6" w:space="0" w:color="auto"/>
              <w:bottom w:val="nil" w:sz="6" w:space="0" w:color="auto"/>
              <w:right w:val="nil" w:sz="6" w:space="0" w:color="auto"/>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1882" w:type="dxa"/>
            <w:tcBorders>
              <w:top w:val="single" w:sz="15" w:space="0" w:color="000000"/>
              <w:left w:val="nil" w:sz="6" w:space="0" w:color="auto"/>
              <w:bottom w:val="single" w:sz="4"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116,068,978.16</w:t>
            </w:r>
            <w:r>
              <w:rPr>
                <w:rFonts w:ascii="宋体"/>
                <w:sz w:val="18"/>
              </w:rPr>
            </w:r>
          </w:p>
        </w:tc>
        <w:tc>
          <w:tcPr>
            <w:tcW w:w="163" w:type="dxa"/>
            <w:tcBorders>
              <w:top w:val="single" w:sz="6" w:space="0" w:color="000000"/>
              <w:left w:val="nil" w:sz="6" w:space="0" w:color="auto"/>
              <w:bottom w:val="nil" w:sz="6" w:space="0" w:color="auto"/>
              <w:right w:val="nil" w:sz="6" w:space="0" w:color="auto"/>
            </w:tcBorders>
          </w:tcPr>
          <w:p>
            <w:pPr/>
          </w:p>
        </w:tc>
        <w:tc>
          <w:tcPr>
            <w:tcW w:w="1762" w:type="dxa"/>
            <w:tcBorders>
              <w:top w:val="single" w:sz="15" w:space="0" w:color="000000"/>
              <w:left w:val="nil" w:sz="6" w:space="0" w:color="auto"/>
              <w:bottom w:val="single" w:sz="4"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122,502,939.84</w:t>
            </w:r>
          </w:p>
        </w:tc>
      </w:tr>
      <w:tr>
        <w:trPr>
          <w:trHeight w:val="338" w:hRule="exact"/>
        </w:trPr>
        <w:tc>
          <w:tcPr>
            <w:tcW w:w="619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b/>
                <w:bCs/>
                <w:sz w:val="18"/>
                <w:szCs w:val="18"/>
              </w:rPr>
              <w:t>六、年末现金及现金等价物余额</w:t>
            </w:r>
            <w:r>
              <w:rPr>
                <w:rFonts w:ascii="宋体" w:hAnsi="宋体" w:cs="宋体" w:eastAsia="宋体" w:hint="default"/>
                <w:sz w:val="18"/>
                <w:szCs w:val="18"/>
              </w:rPr>
            </w:r>
          </w:p>
        </w:tc>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67,509,630.73</w:t>
            </w: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pacing w:val="-1"/>
                <w:sz w:val="18"/>
              </w:rPr>
              <w:t>116,068,978.16</w:t>
            </w:r>
          </w:p>
        </w:tc>
      </w:tr>
      <w:tr>
        <w:trPr>
          <w:trHeight w:val="307" w:hRule="exact"/>
        </w:trPr>
        <w:tc>
          <w:tcPr>
            <w:tcW w:w="6192" w:type="dxa"/>
            <w:tcBorders>
              <w:top w:val="nil" w:sz="6" w:space="0" w:color="auto"/>
              <w:left w:val="nil" w:sz="6" w:space="0" w:color="auto"/>
              <w:bottom w:val="single" w:sz="4" w:space="0" w:color="000000"/>
              <w:right w:val="nil" w:sz="6" w:space="0" w:color="auto"/>
            </w:tcBorders>
          </w:tcPr>
          <w:p>
            <w:pPr/>
          </w:p>
        </w:tc>
        <w:tc>
          <w:tcPr>
            <w:tcW w:w="1882" w:type="dxa"/>
            <w:tcBorders>
              <w:top w:val="nil" w:sz="6" w:space="0" w:color="auto"/>
              <w:left w:val="nil" w:sz="6" w:space="0" w:color="auto"/>
              <w:bottom w:val="single" w:sz="4" w:space="0" w:color="000000"/>
              <w:right w:val="nil" w:sz="6" w:space="0" w:color="auto"/>
            </w:tcBorders>
          </w:tcPr>
          <w:p>
            <w:pPr/>
          </w:p>
        </w:tc>
        <w:tc>
          <w:tcPr>
            <w:tcW w:w="163" w:type="dxa"/>
            <w:tcBorders>
              <w:top w:val="nil" w:sz="6" w:space="0" w:color="auto"/>
              <w:left w:val="nil" w:sz="6" w:space="0" w:color="auto"/>
              <w:bottom w:val="single" w:sz="4" w:space="0" w:color="000000"/>
              <w:right w:val="nil" w:sz="6" w:space="0" w:color="auto"/>
            </w:tcBorders>
          </w:tcPr>
          <w:p>
            <w:pPr/>
          </w:p>
        </w:tc>
        <w:tc>
          <w:tcPr>
            <w:tcW w:w="1762" w:type="dxa"/>
            <w:tcBorders>
              <w:top w:val="single" w:sz="17" w:space="0" w:color="000000"/>
              <w:left w:val="nil" w:sz="6" w:space="0" w:color="auto"/>
              <w:bottom w:val="single" w:sz="4" w:space="0" w:color="000000"/>
              <w:right w:val="nil" w:sz="6" w:space="0" w:color="auto"/>
            </w:tcBorders>
          </w:tcPr>
          <w:p>
            <w:pPr/>
          </w:p>
        </w:tc>
      </w:tr>
      <w:tr>
        <w:trPr>
          <w:trHeight w:val="293" w:hRule="exact"/>
        </w:trPr>
        <w:tc>
          <w:tcPr>
            <w:tcW w:w="9998" w:type="dxa"/>
            <w:gridSpan w:val="4"/>
            <w:tcBorders>
              <w:top w:val="single" w:sz="4" w:space="0" w:color="000000"/>
              <w:left w:val="nil" w:sz="6" w:space="0" w:color="auto"/>
              <w:bottom w:val="nil" w:sz="6" w:space="0" w:color="auto"/>
              <w:right w:val="nil" w:sz="6" w:space="0" w:color="auto"/>
            </w:tcBorders>
          </w:tcPr>
          <w:p>
            <w:pPr>
              <w:pStyle w:val="TableParagraph"/>
              <w:tabs>
                <w:tab w:pos="3002" w:val="left" w:leader="none"/>
                <w:tab w:pos="6964" w:val="left" w:leader="none"/>
              </w:tabs>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89"/>
                <w:sz w:val="18"/>
                <w:szCs w:val="18"/>
              </w:rPr>
              <w:t> </w:t>
            </w:r>
            <w:r>
              <w:rPr>
                <w:rFonts w:ascii="宋体" w:hAnsi="宋体" w:cs="宋体" w:eastAsia="宋体" w:hint="default"/>
                <w:sz w:val="18"/>
                <w:szCs w:val="18"/>
              </w:rPr>
              <w:t>孙晓玲</w:t>
              <w:tab/>
              <w:t>会计机构负责人：全丽</w:t>
            </w:r>
          </w:p>
        </w:tc>
      </w:tr>
      <w:tr>
        <w:trPr>
          <w:trHeight w:val="229" w:hRule="exact"/>
        </w:trPr>
        <w:tc>
          <w:tcPr>
            <w:tcW w:w="6192" w:type="dxa"/>
            <w:tcBorders>
              <w:top w:val="nil" w:sz="6" w:space="0" w:color="auto"/>
              <w:left w:val="nil" w:sz="6" w:space="0" w:color="auto"/>
              <w:bottom w:val="nil" w:sz="6" w:space="0" w:color="auto"/>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c>
          <w:tcPr>
            <w:tcW w:w="1882"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67" w:footer="982" w:top="1060" w:bottom="1180" w:left="1000" w:right="700"/>
        </w:sectPr>
      </w:pPr>
    </w:p>
    <w:p>
      <w:pPr>
        <w:spacing w:line="240" w:lineRule="auto" w:before="5"/>
        <w:rPr>
          <w:rFonts w:ascii="Times New Roman" w:hAnsi="Times New Roman" w:cs="Times New Roman" w:eastAsia="Times New Roman" w:hint="default"/>
          <w:sz w:val="3"/>
          <w:szCs w:val="3"/>
        </w:rPr>
      </w:pPr>
      <w:r>
        <w:rPr/>
        <w:pict>
          <v:group style="position:absolute;margin-left:185.399994pt;margin-top:103.320007pt;width:36.85pt;height:.1pt;mso-position-horizontal-relative:page;mso-position-vertical-relative:page;z-index:-1222552" coordorigin="3708,2066" coordsize="737,2">
            <v:shape style="position:absolute;left:3708;top:2066;width:737;height:2" coordorigin="3708,2066" coordsize="737,0" path="m3708,2066l4445,2066e" filled="false" stroked="true" strokeweight=".48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2904"/>
        <w:gridCol w:w="2621"/>
        <w:gridCol w:w="1513"/>
        <w:gridCol w:w="1007"/>
        <w:gridCol w:w="134"/>
        <w:gridCol w:w="814"/>
        <w:gridCol w:w="134"/>
        <w:gridCol w:w="1354"/>
        <w:gridCol w:w="134"/>
        <w:gridCol w:w="1217"/>
        <w:gridCol w:w="134"/>
        <w:gridCol w:w="1406"/>
        <w:gridCol w:w="139"/>
        <w:gridCol w:w="1495"/>
      </w:tblGrid>
      <w:tr>
        <w:trPr>
          <w:trHeight w:val="633" w:hRule="exact"/>
        </w:trPr>
        <w:tc>
          <w:tcPr>
            <w:tcW w:w="15007" w:type="dxa"/>
            <w:gridSpan w:val="14"/>
            <w:tcBorders>
              <w:top w:val="nil" w:sz="6" w:space="0" w:color="auto"/>
              <w:left w:val="nil" w:sz="6" w:space="0" w:color="auto"/>
              <w:bottom w:val="nil" w:sz="6" w:space="0" w:color="auto"/>
              <w:right w:val="nil" w:sz="6" w:space="0" w:color="auto"/>
            </w:tcBorders>
          </w:tcPr>
          <w:p>
            <w:pPr>
              <w:pStyle w:val="TableParagraph"/>
              <w:spacing w:line="282" w:lineRule="exact"/>
              <w:ind w:left="35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、股东权益变动表</w:t>
            </w:r>
            <w:r>
              <w:rPr>
                <w:rFonts w:ascii="宋体" w:hAnsi="宋体" w:cs="宋体" w:eastAsia="宋体" w:hint="default"/>
                <w:sz w:val="21"/>
                <w:szCs w:val="21"/>
              </w:rPr>
            </w:r>
          </w:p>
          <w:p>
            <w:pPr>
              <w:pStyle w:val="TableParagraph"/>
              <w:spacing w:line="311" w:lineRule="exact"/>
              <w:ind w:right="151"/>
              <w:jc w:val="center"/>
              <w:rPr>
                <w:rFonts w:ascii="宋体" w:hAnsi="宋体" w:cs="宋体" w:eastAsia="宋体" w:hint="default"/>
                <w:sz w:val="21"/>
                <w:szCs w:val="21"/>
              </w:rPr>
            </w:pPr>
            <w:r>
              <w:rPr>
                <w:rFonts w:ascii="宋体" w:hAnsi="宋体" w:cs="宋体" w:eastAsia="宋体" w:hint="default"/>
                <w:sz w:val="24"/>
                <w:szCs w:val="24"/>
              </w:rPr>
              <w:t>股东权益变动表（</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年度）</w:t>
            </w:r>
          </w:p>
        </w:tc>
      </w:tr>
      <w:tr>
        <w:trPr>
          <w:trHeight w:val="253" w:hRule="exact"/>
        </w:trPr>
        <w:tc>
          <w:tcPr>
            <w:tcW w:w="2904"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Style w:val="TableParagraph"/>
              <w:spacing w:line="220" w:lineRule="exact"/>
              <w:ind w:left="69" w:right="-111"/>
              <w:jc w:val="left"/>
              <w:rPr>
                <w:rFonts w:ascii="宋体" w:hAnsi="宋体" w:cs="宋体" w:eastAsia="宋体" w:hint="default"/>
                <w:sz w:val="18"/>
                <w:szCs w:val="18"/>
              </w:rPr>
            </w:pPr>
            <w:r>
              <w:rPr>
                <w:rFonts w:ascii="宋体" w:hAnsi="宋体" w:cs="宋体" w:eastAsia="宋体" w:hint="default"/>
                <w:sz w:val="18"/>
                <w:szCs w:val="18"/>
              </w:rPr>
              <w:t>单</w:t>
            </w:r>
          </w:p>
        </w:tc>
        <w:tc>
          <w:tcPr>
            <w:tcW w:w="1495" w:type="dxa"/>
            <w:tcBorders>
              <w:top w:val="nil" w:sz="6" w:space="0" w:color="auto"/>
              <w:left w:val="nil" w:sz="6" w:space="0" w:color="auto"/>
              <w:bottom w:val="nil" w:sz="6" w:space="0" w:color="auto"/>
              <w:right w:val="nil" w:sz="6" w:space="0" w:color="auto"/>
            </w:tcBorders>
          </w:tcPr>
          <w:p>
            <w:pPr>
              <w:pStyle w:val="TableParagraph"/>
              <w:spacing w:line="220" w:lineRule="exact"/>
              <w:ind w:left="110" w:right="0"/>
              <w:jc w:val="left"/>
              <w:rPr>
                <w:rFonts w:ascii="宋体" w:hAnsi="宋体" w:cs="宋体" w:eastAsia="宋体" w:hint="default"/>
                <w:sz w:val="18"/>
                <w:szCs w:val="18"/>
              </w:rPr>
            </w:pPr>
            <w:r>
              <w:rPr>
                <w:rFonts w:ascii="宋体" w:hAnsi="宋体" w:cs="宋体" w:eastAsia="宋体" w:hint="default"/>
                <w:sz w:val="18"/>
                <w:szCs w:val="18"/>
              </w:rPr>
              <w:t>位：人民币元</w:t>
            </w:r>
          </w:p>
        </w:tc>
      </w:tr>
      <w:tr>
        <w:trPr>
          <w:trHeight w:val="240" w:hRule="exact"/>
        </w:trPr>
        <w:tc>
          <w:tcPr>
            <w:tcW w:w="2904" w:type="dxa"/>
            <w:tcBorders>
              <w:top w:val="nil" w:sz="6" w:space="0" w:color="auto"/>
              <w:left w:val="nil" w:sz="6" w:space="0" w:color="auto"/>
              <w:bottom w:val="single" w:sz="4" w:space="0" w:color="000000"/>
              <w:right w:val="nil" w:sz="6" w:space="0" w:color="auto"/>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621" w:type="dxa"/>
            <w:tcBorders>
              <w:top w:val="nil" w:sz="6" w:space="0" w:color="auto"/>
              <w:left w:val="nil" w:sz="6" w:space="0" w:color="auto"/>
              <w:bottom w:val="single" w:sz="4" w:space="0" w:color="000000"/>
              <w:right w:val="nil" w:sz="6" w:space="0" w:color="auto"/>
            </w:tcBorders>
          </w:tcPr>
          <w:p>
            <w:pPr>
              <w:pStyle w:val="TableParagraph"/>
              <w:spacing w:line="240" w:lineRule="auto"/>
              <w:ind w:left="124" w:right="0"/>
              <w:jc w:val="left"/>
              <w:rPr>
                <w:rFonts w:ascii="宋体" w:hAnsi="宋体" w:cs="宋体" w:eastAsia="宋体" w:hint="default"/>
                <w:sz w:val="16"/>
                <w:szCs w:val="16"/>
              </w:rPr>
            </w:pPr>
            <w:r>
              <w:rPr>
                <w:rFonts w:ascii="宋体" w:hAnsi="宋体" w:cs="宋体" w:eastAsia="宋体" w:hint="default"/>
                <w:sz w:val="16"/>
                <w:szCs w:val="16"/>
              </w:rPr>
              <w:t>附注十四</w:t>
            </w:r>
          </w:p>
        </w:tc>
        <w:tc>
          <w:tcPr>
            <w:tcW w:w="1513" w:type="dxa"/>
            <w:tcBorders>
              <w:top w:val="nil" w:sz="6" w:space="0" w:color="auto"/>
              <w:left w:val="nil" w:sz="6" w:space="0" w:color="auto"/>
              <w:bottom w:val="single" w:sz="4" w:space="0" w:color="000000"/>
              <w:right w:val="nil" w:sz="6" w:space="0" w:color="auto"/>
            </w:tcBorders>
          </w:tcPr>
          <w:p>
            <w:pPr/>
          </w:p>
        </w:tc>
        <w:tc>
          <w:tcPr>
            <w:tcW w:w="1007"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814"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1354"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1406" w:type="dxa"/>
            <w:tcBorders>
              <w:top w:val="nil" w:sz="6" w:space="0" w:color="auto"/>
              <w:left w:val="nil" w:sz="6" w:space="0" w:color="auto"/>
              <w:bottom w:val="single" w:sz="4" w:space="0" w:color="000000"/>
              <w:right w:val="nil" w:sz="6" w:space="0" w:color="auto"/>
            </w:tcBorders>
          </w:tcPr>
          <w:p>
            <w:pPr/>
          </w:p>
        </w:tc>
        <w:tc>
          <w:tcPr>
            <w:tcW w:w="139" w:type="dxa"/>
            <w:tcBorders>
              <w:top w:val="nil" w:sz="6" w:space="0" w:color="auto"/>
              <w:left w:val="nil" w:sz="6" w:space="0" w:color="auto"/>
              <w:bottom w:val="single" w:sz="4" w:space="0" w:color="000000"/>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
        </w:tc>
      </w:tr>
      <w:tr>
        <w:trPr>
          <w:trHeight w:val="250" w:hRule="exact"/>
        </w:trPr>
        <w:tc>
          <w:tcPr>
            <w:tcW w:w="2904" w:type="dxa"/>
            <w:tcBorders>
              <w:top w:val="single" w:sz="4" w:space="0" w:color="000000"/>
              <w:left w:val="nil" w:sz="6" w:space="0" w:color="auto"/>
              <w:bottom w:val="nil" w:sz="6" w:space="0" w:color="auto"/>
              <w:right w:val="nil" w:sz="6" w:space="0" w:color="auto"/>
            </w:tcBorders>
          </w:tcPr>
          <w:p>
            <w:pPr/>
          </w:p>
        </w:tc>
        <w:tc>
          <w:tcPr>
            <w:tcW w:w="2621"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144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07"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34" w:type="dxa"/>
            <w:tcBorders>
              <w:top w:val="single" w:sz="4" w:space="0" w:color="000000"/>
              <w:left w:val="nil" w:sz="6" w:space="0" w:color="auto"/>
              <w:bottom w:val="nil" w:sz="6" w:space="0" w:color="auto"/>
              <w:right w:val="nil" w:sz="6" w:space="0" w:color="auto"/>
            </w:tcBorders>
          </w:tcPr>
          <w:p>
            <w:pPr/>
          </w:p>
        </w:tc>
        <w:tc>
          <w:tcPr>
            <w:tcW w:w="814"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48"/>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34" w:type="dxa"/>
            <w:tcBorders>
              <w:top w:val="single" w:sz="4" w:space="0" w:color="000000"/>
              <w:left w:val="nil" w:sz="6" w:space="0" w:color="auto"/>
              <w:bottom w:val="nil" w:sz="6" w:space="0" w:color="auto"/>
              <w:right w:val="nil" w:sz="6" w:space="0" w:color="auto"/>
            </w:tcBorders>
          </w:tcPr>
          <w:p>
            <w:pPr/>
          </w:p>
        </w:tc>
        <w:tc>
          <w:tcPr>
            <w:tcW w:w="1354"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31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4"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4" w:type="dxa"/>
            <w:tcBorders>
              <w:top w:val="single" w:sz="4" w:space="0" w:color="000000"/>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9" w:type="dxa"/>
            <w:tcBorders>
              <w:top w:val="single" w:sz="4" w:space="0" w:color="000000"/>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03"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22"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262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73"/>
              <w:jc w:val="right"/>
              <w:rPr>
                <w:rFonts w:ascii="宋体" w:hAnsi="宋体" w:cs="宋体" w:eastAsia="宋体" w:hint="default"/>
                <w:sz w:val="18"/>
                <w:szCs w:val="18"/>
              </w:rPr>
            </w:pPr>
            <w:r>
              <w:rPr>
                <w:rFonts w:ascii="宋体"/>
                <w:spacing w:val="-1"/>
                <w:sz w:val="18"/>
              </w:rPr>
              <w:t>158,400,000.00</w:t>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61"/>
              <w:jc w:val="right"/>
              <w:rPr>
                <w:rFonts w:ascii="宋体" w:hAnsi="宋体" w:cs="宋体" w:eastAsia="宋体" w:hint="default"/>
                <w:sz w:val="18"/>
                <w:szCs w:val="18"/>
              </w:rPr>
            </w:pPr>
            <w:r>
              <w:rPr>
                <w:rFonts w:ascii="宋体"/>
                <w:spacing w:val="-1"/>
                <w:sz w:val="18"/>
              </w:rPr>
              <w:t>62,580,990.76</w:t>
            </w:r>
            <w:r>
              <w:rPr>
                <w:rFonts w:ascii="宋体"/>
                <w:sz w:val="18"/>
              </w:rPr>
            </w:r>
          </w:p>
        </w:tc>
        <w:tc>
          <w:tcPr>
            <w:tcW w:w="100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single" w:sz="4" w:space="0" w:color="000000"/>
              <w:right w:val="nil" w:sz="6" w:space="0" w:color="auto"/>
            </w:tcBorders>
          </w:tcPr>
          <w:p>
            <w:pPr/>
          </w:p>
        </w:tc>
        <w:tc>
          <w:tcPr>
            <w:tcW w:w="81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single" w:sz="4" w:space="0" w:color="000000"/>
              <w:right w:val="nil" w:sz="6" w:space="0" w:color="auto"/>
            </w:tcBorders>
          </w:tcPr>
          <w:p>
            <w:pPr/>
          </w:p>
        </w:tc>
        <w:tc>
          <w:tcPr>
            <w:tcW w:w="135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14,026,838.97</w:t>
            </w:r>
            <w:r>
              <w:rPr>
                <w:rFonts w:ascii="宋体"/>
                <w:sz w:val="18"/>
              </w:rPr>
            </w:r>
          </w:p>
        </w:tc>
        <w:tc>
          <w:tcPr>
            <w:tcW w:w="134" w:type="dxa"/>
            <w:tcBorders>
              <w:top w:val="nil" w:sz="6" w:space="0" w:color="auto"/>
              <w:left w:val="nil" w:sz="6" w:space="0" w:color="auto"/>
              <w:bottom w:val="single" w:sz="4" w:space="0" w:color="000000"/>
              <w:right w:val="nil" w:sz="6" w:space="0" w:color="auto"/>
            </w:tcBorders>
          </w:tcPr>
          <w:p>
            <w:pPr/>
          </w:p>
        </w:tc>
        <w:tc>
          <w:tcPr>
            <w:tcW w:w="12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single" w:sz="4" w:space="0" w:color="000000"/>
              <w:right w:val="nil" w:sz="6" w:space="0" w:color="auto"/>
            </w:tcBorders>
          </w:tcPr>
          <w:p>
            <w:pP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96,361,550.74</w:t>
            </w:r>
            <w:r>
              <w:rPr>
                <w:rFonts w:ascii="宋体"/>
                <w:sz w:val="18"/>
              </w:rPr>
            </w:r>
          </w:p>
        </w:tc>
        <w:tc>
          <w:tcPr>
            <w:tcW w:w="139" w:type="dxa"/>
            <w:tcBorders>
              <w:top w:val="nil" w:sz="6" w:space="0" w:color="auto"/>
              <w:left w:val="nil" w:sz="6" w:space="0" w:color="auto"/>
              <w:bottom w:val="single" w:sz="4" w:space="0" w:color="000000"/>
              <w:right w:val="nil" w:sz="6" w:space="0" w:color="auto"/>
            </w:tcBorders>
          </w:tcPr>
          <w:p>
            <w:pPr/>
          </w:p>
        </w:tc>
        <w:tc>
          <w:tcPr>
            <w:tcW w:w="149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331,369,380.47</w:t>
            </w:r>
            <w:r>
              <w:rPr>
                <w:rFonts w:ascii="宋体"/>
                <w:sz w:val="18"/>
              </w:rPr>
            </w:r>
          </w:p>
        </w:tc>
      </w:tr>
      <w:tr>
        <w:trPr>
          <w:trHeight w:val="286"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62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75"/>
              <w:jc w:val="right"/>
              <w:rPr>
                <w:rFonts w:ascii="宋体" w:hAnsi="宋体" w:cs="宋体" w:eastAsia="宋体" w:hint="default"/>
                <w:sz w:val="18"/>
                <w:szCs w:val="18"/>
              </w:rPr>
            </w:pPr>
            <w:r>
              <w:rPr>
                <w:rFonts w:ascii="宋体"/>
                <w:sz w:val="18"/>
              </w:rPr>
              <w:t>-</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65"/>
              <w:jc w:val="right"/>
              <w:rPr>
                <w:rFonts w:ascii="宋体" w:hAnsi="宋体" w:cs="宋体" w:eastAsia="宋体" w:hint="default"/>
                <w:sz w:val="18"/>
                <w:szCs w:val="18"/>
              </w:rPr>
            </w:pPr>
            <w:r>
              <w:rPr>
                <w:rFonts w:ascii="宋体"/>
                <w:sz w:val="18"/>
              </w:rPr>
              <w:t>-</w:t>
            </w:r>
          </w:p>
        </w:tc>
        <w:tc>
          <w:tcPr>
            <w:tcW w:w="100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4" w:type="dxa"/>
            <w:tcBorders>
              <w:top w:val="single" w:sz="4" w:space="0" w:color="000000"/>
              <w:left w:val="nil" w:sz="6" w:space="0" w:color="auto"/>
              <w:bottom w:val="nil" w:sz="6" w:space="0" w:color="auto"/>
              <w:right w:val="nil" w:sz="6" w:space="0" w:color="auto"/>
            </w:tcBorders>
          </w:tcPr>
          <w:p>
            <w:pPr/>
          </w:p>
        </w:tc>
        <w:tc>
          <w:tcPr>
            <w:tcW w:w="81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w:t>
            </w:r>
          </w:p>
        </w:tc>
        <w:tc>
          <w:tcPr>
            <w:tcW w:w="134" w:type="dxa"/>
            <w:tcBorders>
              <w:top w:val="single" w:sz="4" w:space="0" w:color="000000"/>
              <w:left w:val="nil" w:sz="6" w:space="0" w:color="auto"/>
              <w:bottom w:val="nil" w:sz="6" w:space="0" w:color="auto"/>
              <w:right w:val="nil" w:sz="6" w:space="0" w:color="auto"/>
            </w:tcBorders>
          </w:tcPr>
          <w:p>
            <w:pP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4"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w:t>
            </w:r>
          </w:p>
        </w:tc>
        <w:tc>
          <w:tcPr>
            <w:tcW w:w="134" w:type="dxa"/>
            <w:tcBorders>
              <w:top w:val="single" w:sz="4" w:space="0" w:color="000000"/>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w:t>
            </w:r>
          </w:p>
        </w:tc>
        <w:tc>
          <w:tcPr>
            <w:tcW w:w="139" w:type="dxa"/>
            <w:tcBorders>
              <w:top w:val="single" w:sz="4" w:space="0" w:color="000000"/>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32"/>
              <w:jc w:val="right"/>
              <w:rPr>
                <w:rFonts w:ascii="宋体" w:hAnsi="宋体" w:cs="宋体" w:eastAsia="宋体" w:hint="default"/>
                <w:sz w:val="18"/>
                <w:szCs w:val="18"/>
              </w:rPr>
            </w:pPr>
            <w:r>
              <w:rPr>
                <w:rFonts w:ascii="宋体"/>
                <w:sz w:val="18"/>
              </w:rPr>
              <w:t>-</w:t>
            </w:r>
          </w:p>
        </w:tc>
      </w:tr>
      <w:tr>
        <w:trPr>
          <w:trHeight w:val="456"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02" w:lineRule="exact" w:before="30"/>
              <w:ind w:left="388" w:right="1433"/>
              <w:jc w:val="left"/>
              <w:rPr>
                <w:rFonts w:ascii="宋体" w:hAnsi="宋体" w:cs="宋体" w:eastAsia="宋体" w:hint="default"/>
                <w:sz w:val="18"/>
                <w:szCs w:val="18"/>
              </w:rPr>
            </w:pPr>
            <w:r>
              <w:rPr>
                <w:rFonts w:ascii="宋体" w:hAnsi="宋体" w:cs="宋体" w:eastAsia="宋体" w:hint="default"/>
                <w:sz w:val="18"/>
                <w:szCs w:val="18"/>
              </w:rPr>
              <w:t>前期差错更正 其他</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2"/>
              <w:jc w:val="right"/>
              <w:rPr>
                <w:rFonts w:ascii="宋体" w:hAnsi="宋体" w:cs="宋体" w:eastAsia="宋体" w:hint="default"/>
                <w:sz w:val="18"/>
                <w:szCs w:val="18"/>
              </w:rPr>
            </w:pPr>
            <w:r>
              <w:rPr>
                <w:rFonts w:ascii="宋体"/>
                <w:sz w:val="18"/>
              </w:rPr>
              <w:t>-</w:t>
            </w:r>
          </w:p>
        </w:tc>
      </w:tr>
      <w:tr>
        <w:trPr>
          <w:trHeight w:val="293"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2621" w:type="dxa"/>
            <w:tcBorders>
              <w:top w:val="nil" w:sz="6" w:space="0" w:color="auto"/>
              <w:left w:val="nil" w:sz="6" w:space="0" w:color="auto"/>
              <w:bottom w:val="single" w:sz="4" w:space="0" w:color="000000"/>
              <w:right w:val="nil" w:sz="6" w:space="0" w:color="auto"/>
            </w:tcBorders>
          </w:tcPr>
          <w:p>
            <w:pPr>
              <w:pStyle w:val="TableParagraph"/>
              <w:spacing w:line="220" w:lineRule="exact"/>
              <w:ind w:right="273"/>
              <w:jc w:val="right"/>
              <w:rPr>
                <w:rFonts w:ascii="宋体" w:hAnsi="宋体" w:cs="宋体" w:eastAsia="宋体" w:hint="default"/>
                <w:sz w:val="18"/>
                <w:szCs w:val="18"/>
              </w:rPr>
            </w:pPr>
            <w:r>
              <w:rPr>
                <w:rFonts w:ascii="宋体"/>
                <w:spacing w:val="-1"/>
                <w:sz w:val="18"/>
              </w:rPr>
              <w:t>158,400,000.00</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220" w:lineRule="exact"/>
              <w:ind w:right="61"/>
              <w:jc w:val="right"/>
              <w:rPr>
                <w:rFonts w:ascii="宋体" w:hAnsi="宋体" w:cs="宋体" w:eastAsia="宋体" w:hint="default"/>
                <w:sz w:val="18"/>
                <w:szCs w:val="18"/>
              </w:rPr>
            </w:pPr>
            <w:r>
              <w:rPr>
                <w:rFonts w:ascii="宋体"/>
                <w:spacing w:val="-1"/>
                <w:sz w:val="18"/>
              </w:rPr>
              <w:t>62,580,990.76</w:t>
            </w:r>
            <w:r>
              <w:rPr>
                <w:rFonts w:ascii="宋体"/>
                <w:sz w:val="18"/>
              </w:rPr>
            </w:r>
          </w:p>
        </w:tc>
        <w:tc>
          <w:tcPr>
            <w:tcW w:w="1007" w:type="dxa"/>
            <w:tcBorders>
              <w:top w:val="nil" w:sz="6" w:space="0" w:color="auto"/>
              <w:left w:val="nil" w:sz="6" w:space="0" w:color="auto"/>
              <w:bottom w:val="single" w:sz="4" w:space="0" w:color="000000"/>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single" w:sz="4" w:space="0" w:color="000000"/>
              <w:right w:val="nil" w:sz="6" w:space="0" w:color="auto"/>
            </w:tcBorders>
          </w:tcPr>
          <w:p>
            <w:pPr>
              <w:pStyle w:val="TableParagraph"/>
              <w:spacing w:line="220" w:lineRule="exact"/>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4" w:space="0" w:color="000000"/>
              <w:right w:val="nil" w:sz="6" w:space="0" w:color="auto"/>
            </w:tcBorders>
          </w:tcPr>
          <w:p>
            <w:pPr>
              <w:pStyle w:val="TableParagraph"/>
              <w:spacing w:line="220" w:lineRule="exact"/>
              <w:ind w:right="24"/>
              <w:jc w:val="right"/>
              <w:rPr>
                <w:rFonts w:ascii="宋体" w:hAnsi="宋体" w:cs="宋体" w:eastAsia="宋体" w:hint="default"/>
                <w:sz w:val="18"/>
                <w:szCs w:val="18"/>
              </w:rPr>
            </w:pPr>
            <w:r>
              <w:rPr>
                <w:rFonts w:ascii="宋体"/>
                <w:spacing w:val="-1"/>
                <w:sz w:val="18"/>
              </w:rPr>
              <w:t>14,026,838.97</w:t>
            </w:r>
            <w:r>
              <w:rPr>
                <w:rFonts w:ascii="宋体"/>
                <w:sz w:val="18"/>
              </w:rPr>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single" w:sz="4" w:space="0" w:color="000000"/>
              <w:right w:val="nil" w:sz="6" w:space="0" w:color="auto"/>
            </w:tcBorders>
          </w:tcPr>
          <w:p>
            <w:pPr>
              <w:pStyle w:val="TableParagraph"/>
              <w:spacing w:line="220" w:lineRule="exact"/>
              <w:ind w:right="21"/>
              <w:jc w:val="right"/>
              <w:rPr>
                <w:rFonts w:ascii="宋体" w:hAnsi="宋体" w:cs="宋体" w:eastAsia="宋体" w:hint="default"/>
                <w:sz w:val="18"/>
                <w:szCs w:val="18"/>
              </w:rPr>
            </w:pPr>
            <w:r>
              <w:rPr>
                <w:rFonts w:ascii="宋体"/>
                <w:spacing w:val="-1"/>
                <w:sz w:val="18"/>
              </w:rPr>
              <w:t>96,361,550.74</w:t>
            </w:r>
            <w:r>
              <w:rPr>
                <w:rFonts w:ascii="宋体"/>
                <w:sz w:val="18"/>
              </w:rPr>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20" w:lineRule="exact"/>
              <w:ind w:right="30"/>
              <w:jc w:val="right"/>
              <w:rPr>
                <w:rFonts w:ascii="宋体" w:hAnsi="宋体" w:cs="宋体" w:eastAsia="宋体" w:hint="default"/>
                <w:sz w:val="18"/>
                <w:szCs w:val="18"/>
              </w:rPr>
            </w:pPr>
            <w:r>
              <w:rPr>
                <w:rFonts w:ascii="宋体"/>
                <w:spacing w:val="-1"/>
                <w:sz w:val="18"/>
              </w:rPr>
              <w:t>331,369,380.47</w:t>
            </w:r>
          </w:p>
        </w:tc>
      </w:tr>
      <w:tr>
        <w:trPr>
          <w:trHeight w:val="322"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262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75"/>
              <w:jc w:val="right"/>
              <w:rPr>
                <w:rFonts w:ascii="宋体" w:hAnsi="宋体" w:cs="宋体" w:eastAsia="宋体" w:hint="default"/>
                <w:sz w:val="18"/>
                <w:szCs w:val="18"/>
              </w:rPr>
            </w:pPr>
            <w:r>
              <w:rPr>
                <w:rFonts w:ascii="宋体"/>
                <w:sz w:val="18"/>
              </w:rPr>
              <w:t>-</w:t>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65"/>
              <w:jc w:val="right"/>
              <w:rPr>
                <w:rFonts w:ascii="宋体" w:hAnsi="宋体" w:cs="宋体" w:eastAsia="宋体" w:hint="default"/>
                <w:sz w:val="18"/>
                <w:szCs w:val="18"/>
              </w:rPr>
            </w:pPr>
            <w:r>
              <w:rPr>
                <w:rFonts w:ascii="宋体"/>
                <w:sz w:val="18"/>
              </w:rPr>
              <w:t>-</w:t>
            </w:r>
          </w:p>
        </w:tc>
        <w:tc>
          <w:tcPr>
            <w:tcW w:w="100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7"/>
              <w:jc w:val="right"/>
              <w:rPr>
                <w:rFonts w:ascii="宋体" w:hAnsi="宋体" w:cs="宋体" w:eastAsia="宋体" w:hint="default"/>
                <w:sz w:val="18"/>
                <w:szCs w:val="18"/>
              </w:rPr>
            </w:pPr>
            <w:r>
              <w:rPr>
                <w:rFonts w:ascii="宋体"/>
                <w:spacing w:val="-1"/>
                <w:sz w:val="18"/>
              </w:rPr>
              <w:t>2,338,313.75</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pacing w:val="-1"/>
                <w:sz w:val="18"/>
              </w:rPr>
              <w:t>5,204,823.70</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7,543,137.45</w:t>
            </w:r>
          </w:p>
        </w:tc>
      </w:tr>
      <w:tr>
        <w:trPr>
          <w:trHeight w:val="315"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262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75"/>
              <w:jc w:val="right"/>
              <w:rPr>
                <w:rFonts w:ascii="宋体" w:hAnsi="宋体" w:cs="宋体" w:eastAsia="宋体" w:hint="default"/>
                <w:sz w:val="18"/>
                <w:szCs w:val="18"/>
              </w:rPr>
            </w:pPr>
            <w:r>
              <w:rPr>
                <w:rFonts w:ascii="宋体"/>
                <w:sz w:val="18"/>
              </w:rPr>
              <w:t>-</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65"/>
              <w:jc w:val="right"/>
              <w:rPr>
                <w:rFonts w:ascii="宋体" w:hAnsi="宋体" w:cs="宋体" w:eastAsia="宋体" w:hint="default"/>
                <w:sz w:val="18"/>
                <w:szCs w:val="18"/>
              </w:rPr>
            </w:pPr>
            <w:r>
              <w:rPr>
                <w:rFonts w:ascii="宋体"/>
                <w:sz w:val="18"/>
              </w:rPr>
              <w:t>-</w:t>
            </w:r>
          </w:p>
        </w:tc>
        <w:tc>
          <w:tcPr>
            <w:tcW w:w="100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23,383,137.45</w:t>
            </w:r>
            <w:r>
              <w:rPr>
                <w:rFonts w:ascii="宋体"/>
                <w:sz w:val="18"/>
              </w:rPr>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23,383,137.45</w:t>
            </w:r>
            <w:r>
              <w:rPr>
                <w:rFonts w:ascii="宋体"/>
                <w:sz w:val="18"/>
              </w:rPr>
            </w:r>
          </w:p>
        </w:tc>
      </w:tr>
      <w:tr>
        <w:trPr>
          <w:trHeight w:val="312"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（二）股东投入和减少股本</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right"/>
              <w:rPr>
                <w:rFonts w:ascii="宋体" w:hAnsi="宋体" w:cs="宋体" w:eastAsia="宋体" w:hint="default"/>
                <w:sz w:val="18"/>
                <w:szCs w:val="18"/>
              </w:rPr>
            </w:pPr>
            <w:r>
              <w:rPr>
                <w:rFonts w:ascii="宋体"/>
                <w:sz w:val="18"/>
              </w:rPr>
              <w:t>-</w:t>
            </w:r>
          </w:p>
        </w:tc>
      </w:tr>
      <w:tr>
        <w:trPr>
          <w:trHeight w:val="283"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股东投入的普通股</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right"/>
              <w:rPr>
                <w:rFonts w:ascii="宋体" w:hAnsi="宋体" w:cs="宋体" w:eastAsia="宋体" w:hint="default"/>
                <w:sz w:val="18"/>
                <w:szCs w:val="18"/>
              </w:rPr>
            </w:pPr>
            <w:r>
              <w:rPr>
                <w:rFonts w:ascii="宋体"/>
                <w:sz w:val="18"/>
              </w:rPr>
              <w:t>-</w:t>
            </w:r>
          </w:p>
        </w:tc>
      </w:tr>
      <w:tr>
        <w:trPr>
          <w:trHeight w:val="428"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00"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．其他权益工具持有者投入股</w:t>
            </w:r>
          </w:p>
          <w:p>
            <w:pPr>
              <w:pStyle w:val="TableParagraph"/>
              <w:spacing w:line="219" w:lineRule="exact"/>
              <w:ind w:left="28" w:right="0"/>
              <w:jc w:val="left"/>
              <w:rPr>
                <w:rFonts w:ascii="宋体" w:hAnsi="宋体" w:cs="宋体" w:eastAsia="宋体" w:hint="default"/>
                <w:sz w:val="18"/>
                <w:szCs w:val="18"/>
              </w:rPr>
            </w:pPr>
            <w:r>
              <w:rPr>
                <w:rFonts w:ascii="宋体" w:hAnsi="宋体" w:cs="宋体" w:eastAsia="宋体" w:hint="default"/>
                <w:sz w:val="18"/>
                <w:szCs w:val="18"/>
              </w:rPr>
              <w:t>本</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2"/>
              <w:jc w:val="right"/>
              <w:rPr>
                <w:rFonts w:ascii="宋体" w:hAnsi="宋体" w:cs="宋体" w:eastAsia="宋体" w:hint="default"/>
                <w:sz w:val="18"/>
                <w:szCs w:val="18"/>
              </w:rPr>
            </w:pPr>
            <w:r>
              <w:rPr>
                <w:rFonts w:ascii="宋体"/>
                <w:sz w:val="18"/>
              </w:rPr>
              <w:t>-</w:t>
            </w:r>
          </w:p>
        </w:tc>
      </w:tr>
      <w:tr>
        <w:trPr>
          <w:trHeight w:val="427"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171" w:lineRule="exact"/>
              <w:ind w:left="38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．股份支付计入股东权益金额</w:t>
            </w:r>
          </w:p>
          <w:p>
            <w:pPr>
              <w:pStyle w:val="TableParagraph"/>
              <w:spacing w:line="217" w:lineRule="exact"/>
              <w:ind w:left="38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2"/>
              <w:jc w:val="right"/>
              <w:rPr>
                <w:rFonts w:ascii="宋体" w:hAnsi="宋体" w:cs="宋体" w:eastAsia="宋体" w:hint="default"/>
                <w:sz w:val="18"/>
                <w:szCs w:val="18"/>
              </w:rPr>
            </w:pPr>
            <w:r>
              <w:rPr>
                <w:rFonts w:ascii="宋体"/>
                <w:sz w:val="18"/>
              </w:rPr>
              <w:t>-</w:t>
            </w:r>
          </w:p>
        </w:tc>
      </w:tr>
      <w:tr>
        <w:trPr>
          <w:trHeight w:val="286"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18" w:lineRule="exact"/>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2621" w:type="dxa"/>
            <w:tcBorders>
              <w:top w:val="nil" w:sz="6" w:space="0" w:color="auto"/>
              <w:left w:val="nil" w:sz="6" w:space="0" w:color="auto"/>
              <w:bottom w:val="nil" w:sz="6" w:space="0" w:color="auto"/>
              <w:right w:val="nil" w:sz="6" w:space="0" w:color="auto"/>
            </w:tcBorders>
          </w:tcPr>
          <w:p>
            <w:pPr>
              <w:pStyle w:val="TableParagraph"/>
              <w:spacing w:line="221" w:lineRule="exact"/>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21" w:lineRule="exact"/>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21" w:lineRule="exact"/>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21" w:lineRule="exact"/>
              <w:ind w:right="25"/>
              <w:jc w:val="right"/>
              <w:rPr>
                <w:rFonts w:ascii="宋体" w:hAnsi="宋体" w:cs="宋体" w:eastAsia="宋体" w:hint="default"/>
                <w:sz w:val="18"/>
                <w:szCs w:val="18"/>
              </w:rPr>
            </w:pPr>
            <w:r>
              <w:rPr>
                <w:rFonts w:ascii="宋体"/>
                <w:spacing w:val="-1"/>
                <w:sz w:val="18"/>
              </w:rPr>
              <w:t>2,338,313.75</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21"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21" w:lineRule="exact"/>
              <w:ind w:right="21"/>
              <w:jc w:val="right"/>
              <w:rPr>
                <w:rFonts w:ascii="宋体" w:hAnsi="宋体" w:cs="宋体" w:eastAsia="宋体" w:hint="default"/>
                <w:sz w:val="18"/>
                <w:szCs w:val="18"/>
              </w:rPr>
            </w:pPr>
            <w:r>
              <w:rPr>
                <w:rFonts w:ascii="宋体"/>
                <w:spacing w:val="-1"/>
                <w:sz w:val="18"/>
              </w:rPr>
              <w:t>(18,178,313.75)</w:t>
            </w:r>
            <w:r>
              <w:rPr>
                <w:rFonts w:ascii="宋体"/>
                <w:sz w:val="18"/>
              </w:rPr>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21" w:lineRule="exact"/>
              <w:ind w:left="110" w:right="0"/>
              <w:jc w:val="left"/>
              <w:rPr>
                <w:rFonts w:ascii="宋体" w:hAnsi="宋体" w:cs="宋体" w:eastAsia="宋体" w:hint="default"/>
                <w:sz w:val="18"/>
                <w:szCs w:val="18"/>
              </w:rPr>
            </w:pPr>
            <w:r>
              <w:rPr>
                <w:rFonts w:ascii="宋体"/>
                <w:sz w:val="18"/>
              </w:rPr>
              <w:t>(15,840,000.00)</w:t>
            </w:r>
          </w:p>
        </w:tc>
      </w:tr>
      <w:tr>
        <w:trPr>
          <w:trHeight w:val="312"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pacing w:val="-1"/>
                <w:sz w:val="18"/>
              </w:rPr>
              <w:t>2,338,313.75</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3"/>
              <w:jc w:val="right"/>
              <w:rPr>
                <w:rFonts w:ascii="宋体" w:hAnsi="宋体" w:cs="宋体" w:eastAsia="宋体" w:hint="default"/>
                <w:sz w:val="18"/>
                <w:szCs w:val="18"/>
              </w:rPr>
            </w:pPr>
            <w:r>
              <w:rPr>
                <w:rFonts w:ascii="宋体"/>
                <w:spacing w:val="-1"/>
                <w:sz w:val="18"/>
              </w:rPr>
              <w:t>(2,338,313.75)</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right"/>
              <w:rPr>
                <w:rFonts w:ascii="宋体" w:hAnsi="宋体" w:cs="宋体" w:eastAsia="宋体" w:hint="default"/>
                <w:sz w:val="18"/>
                <w:szCs w:val="18"/>
              </w:rPr>
            </w:pPr>
            <w:r>
              <w:rPr>
                <w:rFonts w:ascii="宋体"/>
                <w:sz w:val="18"/>
              </w:rPr>
              <w:t>-</w:t>
            </w:r>
          </w:p>
        </w:tc>
      </w:tr>
      <w:tr>
        <w:trPr>
          <w:trHeight w:val="312"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
              <w:jc w:val="right"/>
              <w:rPr>
                <w:rFonts w:ascii="宋体" w:hAnsi="宋体" w:cs="宋体" w:eastAsia="宋体" w:hint="default"/>
                <w:sz w:val="18"/>
                <w:szCs w:val="18"/>
              </w:rPr>
            </w:pPr>
            <w:r>
              <w:rPr>
                <w:rFonts w:ascii="宋体"/>
                <w:spacing w:val="-1"/>
                <w:sz w:val="18"/>
              </w:rPr>
              <w:t>(15,840,000.00)</w:t>
            </w:r>
            <w:r>
              <w:rPr>
                <w:rFonts w:ascii="宋体"/>
                <w:sz w:val="18"/>
              </w:rPr>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0" w:right="0"/>
              <w:jc w:val="left"/>
              <w:rPr>
                <w:rFonts w:ascii="宋体" w:hAnsi="宋体" w:cs="宋体" w:eastAsia="宋体" w:hint="default"/>
                <w:sz w:val="18"/>
                <w:szCs w:val="18"/>
              </w:rPr>
            </w:pPr>
            <w:r>
              <w:rPr>
                <w:rFonts w:ascii="宋体"/>
                <w:sz w:val="18"/>
              </w:rPr>
              <w:t>(15,840,000.00)</w:t>
            </w:r>
          </w:p>
        </w:tc>
      </w:tr>
      <w:tr>
        <w:trPr>
          <w:trHeight w:val="312"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right"/>
              <w:rPr>
                <w:rFonts w:ascii="宋体" w:hAnsi="宋体" w:cs="宋体" w:eastAsia="宋体" w:hint="default"/>
                <w:sz w:val="18"/>
                <w:szCs w:val="18"/>
              </w:rPr>
            </w:pPr>
            <w:r>
              <w:rPr>
                <w:rFonts w:ascii="宋体"/>
                <w:sz w:val="18"/>
              </w:rPr>
              <w:t>-</w:t>
            </w:r>
          </w:p>
        </w:tc>
      </w:tr>
      <w:tr>
        <w:trPr>
          <w:trHeight w:val="312"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2621"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right"/>
              <w:rPr>
                <w:rFonts w:ascii="宋体" w:hAnsi="宋体" w:cs="宋体" w:eastAsia="宋体" w:hint="default"/>
                <w:sz w:val="18"/>
                <w:szCs w:val="18"/>
              </w:rPr>
            </w:pPr>
            <w:r>
              <w:rPr>
                <w:rFonts w:ascii="宋体"/>
                <w:sz w:val="18"/>
              </w:rPr>
              <w:t>-</w:t>
            </w:r>
          </w:p>
        </w:tc>
      </w:tr>
      <w:tr>
        <w:trPr>
          <w:trHeight w:val="312"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right"/>
              <w:rPr>
                <w:rFonts w:ascii="宋体" w:hAnsi="宋体" w:cs="宋体" w:eastAsia="宋体" w:hint="default"/>
                <w:sz w:val="18"/>
                <w:szCs w:val="18"/>
              </w:rPr>
            </w:pPr>
            <w:r>
              <w:rPr>
                <w:rFonts w:ascii="宋体"/>
                <w:sz w:val="18"/>
              </w:rPr>
              <w:t>-</w:t>
            </w:r>
          </w:p>
        </w:tc>
      </w:tr>
      <w:tr>
        <w:trPr>
          <w:trHeight w:val="312"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right"/>
              <w:rPr>
                <w:rFonts w:ascii="宋体" w:hAnsi="宋体" w:cs="宋体" w:eastAsia="宋体" w:hint="default"/>
                <w:sz w:val="18"/>
                <w:szCs w:val="18"/>
              </w:rPr>
            </w:pPr>
            <w:r>
              <w:rPr>
                <w:rFonts w:ascii="宋体"/>
                <w:sz w:val="18"/>
              </w:rPr>
              <w:t>-</w:t>
            </w:r>
          </w:p>
        </w:tc>
      </w:tr>
      <w:tr>
        <w:trPr>
          <w:trHeight w:val="284"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right"/>
              <w:rPr>
                <w:rFonts w:ascii="宋体" w:hAnsi="宋体" w:cs="宋体" w:eastAsia="宋体" w:hint="default"/>
                <w:sz w:val="18"/>
                <w:szCs w:val="18"/>
              </w:rPr>
            </w:pPr>
            <w:r>
              <w:rPr>
                <w:rFonts w:ascii="宋体"/>
                <w:sz w:val="18"/>
              </w:rPr>
              <w:t>-</w:t>
            </w:r>
          </w:p>
        </w:tc>
      </w:tr>
      <w:tr>
        <w:trPr>
          <w:trHeight w:val="654"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00" w:lineRule="exact" w:before="32"/>
              <w:ind w:left="28" w:right="81" w:firstLine="36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．结转重新计量设定受益计划 净负债或净资产所产生的变动</w:t>
            </w:r>
          </w:p>
          <w:p>
            <w:pPr>
              <w:pStyle w:val="TableParagraph"/>
              <w:spacing w:line="185" w:lineRule="exact"/>
              <w:ind w:left="38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sz w:val="18"/>
              </w:rPr>
              <w:t>-</w:t>
            </w:r>
          </w:p>
        </w:tc>
      </w:tr>
      <w:tr>
        <w:trPr>
          <w:trHeight w:val="286"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18" w:lineRule="exact"/>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2621" w:type="dxa"/>
            <w:tcBorders>
              <w:top w:val="nil" w:sz="6" w:space="0" w:color="auto"/>
              <w:left w:val="nil" w:sz="6" w:space="0" w:color="auto"/>
              <w:bottom w:val="nil" w:sz="6" w:space="0" w:color="auto"/>
              <w:right w:val="nil" w:sz="6" w:space="0" w:color="auto"/>
            </w:tcBorders>
          </w:tcPr>
          <w:p>
            <w:pPr>
              <w:pStyle w:val="TableParagraph"/>
              <w:spacing w:line="221" w:lineRule="exact"/>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21" w:lineRule="exact"/>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21" w:lineRule="exact"/>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21"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21" w:lineRule="exact"/>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21" w:lineRule="exact"/>
              <w:ind w:right="32"/>
              <w:jc w:val="right"/>
              <w:rPr>
                <w:rFonts w:ascii="宋体" w:hAnsi="宋体" w:cs="宋体" w:eastAsia="宋体" w:hint="default"/>
                <w:sz w:val="18"/>
                <w:szCs w:val="18"/>
              </w:rPr>
            </w:pPr>
            <w:r>
              <w:rPr>
                <w:rFonts w:ascii="宋体"/>
                <w:sz w:val="18"/>
              </w:rPr>
              <w:t>-</w:t>
            </w:r>
          </w:p>
        </w:tc>
      </w:tr>
      <w:tr>
        <w:trPr>
          <w:trHeight w:val="312"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right"/>
              <w:rPr>
                <w:rFonts w:ascii="宋体" w:hAnsi="宋体" w:cs="宋体" w:eastAsia="宋体" w:hint="default"/>
                <w:sz w:val="18"/>
                <w:szCs w:val="18"/>
              </w:rPr>
            </w:pPr>
            <w:r>
              <w:rPr>
                <w:rFonts w:ascii="宋体"/>
                <w:sz w:val="18"/>
              </w:rPr>
              <w:t>-</w:t>
            </w:r>
          </w:p>
        </w:tc>
      </w:tr>
      <w:tr>
        <w:trPr>
          <w:trHeight w:val="312"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right"/>
              <w:rPr>
                <w:rFonts w:ascii="宋体" w:hAnsi="宋体" w:cs="宋体" w:eastAsia="宋体" w:hint="default"/>
                <w:sz w:val="18"/>
                <w:szCs w:val="18"/>
              </w:rPr>
            </w:pPr>
            <w:r>
              <w:rPr>
                <w:rFonts w:ascii="宋体"/>
                <w:sz w:val="18"/>
              </w:rPr>
              <w:t>-</w:t>
            </w:r>
          </w:p>
        </w:tc>
      </w:tr>
      <w:tr>
        <w:trPr>
          <w:trHeight w:val="32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262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75"/>
              <w:jc w:val="right"/>
              <w:rPr>
                <w:rFonts w:ascii="宋体" w:hAnsi="宋体" w:cs="宋体" w:eastAsia="宋体" w:hint="default"/>
                <w:sz w:val="18"/>
                <w:szCs w:val="18"/>
              </w:rPr>
            </w:pPr>
            <w:r>
              <w:rPr>
                <w:rFonts w:ascii="宋体"/>
                <w:sz w:val="18"/>
              </w:rPr>
              <w:t>-</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65"/>
              <w:jc w:val="right"/>
              <w:rPr>
                <w:rFonts w:ascii="宋体" w:hAnsi="宋体" w:cs="宋体" w:eastAsia="宋体" w:hint="default"/>
                <w:sz w:val="18"/>
                <w:szCs w:val="18"/>
              </w:rPr>
            </w:pPr>
            <w:r>
              <w:rPr>
                <w:rFonts w:ascii="宋体"/>
                <w:sz w:val="18"/>
              </w:rPr>
              <w:t>-</w:t>
            </w:r>
          </w:p>
        </w:tc>
        <w:tc>
          <w:tcPr>
            <w:tcW w:w="100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32"/>
              <w:jc w:val="right"/>
              <w:rPr>
                <w:rFonts w:ascii="宋体" w:hAnsi="宋体" w:cs="宋体" w:eastAsia="宋体" w:hint="default"/>
                <w:sz w:val="18"/>
                <w:szCs w:val="18"/>
              </w:rPr>
            </w:pPr>
            <w:r>
              <w:rPr>
                <w:rFonts w:ascii="宋体"/>
                <w:sz w:val="18"/>
              </w:rPr>
              <w:t>-</w:t>
            </w:r>
          </w:p>
        </w:tc>
      </w:tr>
      <w:tr>
        <w:trPr>
          <w:trHeight w:val="338"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2621"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73"/>
              <w:jc w:val="right"/>
              <w:rPr>
                <w:rFonts w:ascii="宋体" w:hAnsi="宋体" w:cs="宋体" w:eastAsia="宋体" w:hint="default"/>
                <w:sz w:val="18"/>
                <w:szCs w:val="18"/>
              </w:rPr>
            </w:pPr>
            <w:r>
              <w:rPr>
                <w:rFonts w:ascii="宋体"/>
                <w:spacing w:val="-1"/>
                <w:sz w:val="18"/>
              </w:rPr>
              <w:t>158,400,000.00</w:t>
            </w:r>
          </w:p>
        </w:tc>
        <w:tc>
          <w:tcPr>
            <w:tcW w:w="1513"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61"/>
              <w:jc w:val="right"/>
              <w:rPr>
                <w:rFonts w:ascii="宋体" w:hAnsi="宋体" w:cs="宋体" w:eastAsia="宋体" w:hint="default"/>
                <w:sz w:val="18"/>
                <w:szCs w:val="18"/>
              </w:rPr>
            </w:pPr>
            <w:r>
              <w:rPr>
                <w:rFonts w:ascii="宋体"/>
                <w:spacing w:val="-1"/>
                <w:sz w:val="18"/>
              </w:rPr>
              <w:t>62,580,990.76</w:t>
            </w:r>
            <w:r>
              <w:rPr>
                <w:rFonts w:ascii="宋体"/>
                <w:sz w:val="18"/>
              </w:rPr>
            </w:r>
          </w:p>
        </w:tc>
        <w:tc>
          <w:tcPr>
            <w:tcW w:w="1007"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814"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16,365,152.72</w:t>
            </w:r>
            <w:r>
              <w:rPr>
                <w:rFonts w:ascii="宋体"/>
                <w:sz w:val="18"/>
              </w:rPr>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101,566,374.44</w:t>
            </w:r>
          </w:p>
        </w:tc>
        <w:tc>
          <w:tcPr>
            <w:tcW w:w="139"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338,912,517.92</w:t>
            </w:r>
          </w:p>
        </w:tc>
      </w:tr>
      <w:tr>
        <w:trPr>
          <w:trHeight w:val="241" w:hRule="exact"/>
        </w:trPr>
        <w:tc>
          <w:tcPr>
            <w:tcW w:w="15007" w:type="dxa"/>
            <w:gridSpan w:val="14"/>
            <w:tcBorders>
              <w:top w:val="nil" w:sz="6" w:space="0" w:color="auto"/>
              <w:left w:val="nil" w:sz="6" w:space="0" w:color="auto"/>
              <w:bottom w:val="nil" w:sz="6" w:space="0" w:color="auto"/>
              <w:right w:val="nil" w:sz="6" w:space="0" w:color="auto"/>
            </w:tcBorders>
          </w:tcPr>
          <w:p>
            <w:pPr>
              <w:pStyle w:val="TableParagraph"/>
              <w:tabs>
                <w:tab w:pos="6245" w:val="left" w:leader="none"/>
                <w:tab w:pos="11916" w:val="left" w:leader="none"/>
              </w:tabs>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3"/>
                <w:sz w:val="18"/>
                <w:szCs w:val="18"/>
              </w:rPr>
              <w:t> </w:t>
            </w:r>
            <w:r>
              <w:rPr>
                <w:rFonts w:ascii="宋体" w:hAnsi="宋体" w:cs="宋体" w:eastAsia="宋体" w:hint="default"/>
                <w:sz w:val="18"/>
                <w:szCs w:val="18"/>
              </w:rPr>
              <w:t>孙晓玲</w:t>
              <w:tab/>
              <w:t>会计机构负责人：全丽</w:t>
            </w:r>
          </w:p>
        </w:tc>
      </w:tr>
    </w:tbl>
    <w:p>
      <w:pPr>
        <w:spacing w:after="0" w:line="240" w:lineRule="auto"/>
        <w:jc w:val="left"/>
        <w:rPr>
          <w:rFonts w:ascii="宋体" w:hAnsi="宋体" w:cs="宋体" w:eastAsia="宋体" w:hint="default"/>
          <w:sz w:val="18"/>
          <w:szCs w:val="18"/>
        </w:rPr>
        <w:sectPr>
          <w:headerReference w:type="default" r:id="rId43"/>
          <w:footerReference w:type="default" r:id="rId44"/>
          <w:pgSz w:w="16840" w:h="11910" w:orient="landscape"/>
          <w:pgMar w:header="694" w:footer="782" w:top="880" w:bottom="980" w:left="620" w:right="1000"/>
          <w:pgNumType w:start="83"/>
        </w:sectPr>
      </w:pPr>
    </w:p>
    <w:p>
      <w:pPr>
        <w:spacing w:line="240" w:lineRule="auto" w:before="5"/>
        <w:rPr>
          <w:rFonts w:ascii="Times New Roman" w:hAnsi="Times New Roman" w:cs="Times New Roman" w:eastAsia="Times New Roman" w:hint="default"/>
          <w:sz w:val="3"/>
          <w:szCs w:val="3"/>
        </w:rPr>
      </w:pPr>
      <w:r>
        <w:rPr/>
        <w:pict>
          <v:group style="position:absolute;margin-left:177.119995pt;margin-top:91.920006pt;width:37.35pt;height:.1pt;mso-position-horizontal-relative:page;mso-position-vertical-relative:page;z-index:-1222528" coordorigin="3542,1838" coordsize="747,2">
            <v:shape style="position:absolute;left:3542;top:1838;width:747;height:2" coordorigin="3542,1838" coordsize="747,0" path="m3542,1838l4289,1838e" filled="false" stroked="true" strokeweight=".48pt" strokecolor="#000000">
              <v:path arrowok="t"/>
            </v:shape>
            <w10:wrap type="none"/>
          </v:group>
        </w:pict>
      </w:r>
      <w:r>
        <w:rPr/>
        <w:pict>
          <v:group style="position:absolute;margin-left:217.679993pt;margin-top:504.240021pt;width:216.75pt;height:2.2pt;mso-position-horizontal-relative:page;mso-position-vertical-relative:page;z-index:-1222504" coordorigin="4354,10085" coordsize="4335,44">
            <v:group style="position:absolute;left:4361;top:10092;width:1515;height:2" coordorigin="4361,10092" coordsize="1515,2">
              <v:shape style="position:absolute;left:4361;top:10092;width:1515;height:2" coordorigin="4361,10092" coordsize="1515,0" path="m4361,10092l5875,10092e" filled="false" stroked="true" strokeweight=".72pt" strokecolor="#000000">
                <v:path arrowok="t"/>
              </v:shape>
            </v:group>
            <v:group style="position:absolute;left:4361;top:10121;width:1515;height:2" coordorigin="4361,10121" coordsize="1515,2">
              <v:shape style="position:absolute;left:4361;top:10121;width:1515;height:2" coordorigin="4361,10121" coordsize="1515,0" path="m4361,10121l5875,10121e" filled="false" stroked="true" strokeweight=".72pt" strokecolor="#000000">
                <v:path arrowok="t"/>
              </v:shape>
            </v:group>
            <v:group style="position:absolute;left:5938;top:10092;width:1688;height:2" coordorigin="5938,10092" coordsize="1688,2">
              <v:shape style="position:absolute;left:5938;top:10092;width:1688;height:2" coordorigin="5938,10092" coordsize="1688,0" path="m5938,10092l7625,10092e" filled="false" stroked="true" strokeweight=".72pt" strokecolor="#000000">
                <v:path arrowok="t"/>
              </v:shape>
            </v:group>
            <v:group style="position:absolute;left:5938;top:10121;width:1688;height:2" coordorigin="5938,10121" coordsize="1688,2">
              <v:shape style="position:absolute;left:5938;top:10121;width:1688;height:2" coordorigin="5938,10121" coordsize="1688,0" path="m5938,10121l7625,10121e" filled="false" stroked="true" strokeweight=".72pt" strokecolor="#000000">
                <v:path arrowok="t"/>
              </v:shape>
            </v:group>
            <v:group style="position:absolute;left:7687;top:10092;width:994;height:2" coordorigin="7687,10092" coordsize="994,2">
              <v:shape style="position:absolute;left:7687;top:10092;width:994;height:2" coordorigin="7687,10092" coordsize="994,0" path="m7687,10092l8681,10092e" filled="false" stroked="true" strokeweight=".72pt" strokecolor="#000000">
                <v:path arrowok="t"/>
              </v:shape>
            </v:group>
            <v:group style="position:absolute;left:7687;top:10121;width:994;height:2" coordorigin="7687,10121" coordsize="994,2">
              <v:shape style="position:absolute;left:7687;top:10121;width:994;height:2" coordorigin="7687,10121" coordsize="994,0" path="m7687,10121l8681,10121e" filled="false" stroked="true" strokeweight=".72pt" strokecolor="#000000">
                <v:path arrowok="t"/>
              </v:shape>
            </v:group>
            <w10:wrap type="none"/>
          </v:group>
        </w:pict>
      </w:r>
      <w:r>
        <w:rPr/>
        <w:pict>
          <v:group style="position:absolute;margin-left:440.640015pt;margin-top:504.240021pt;width:41.9pt;height:2.2pt;mso-position-horizontal-relative:page;mso-position-vertical-relative:page;z-index:-1222480" coordorigin="8813,10085" coordsize="838,44">
            <v:group style="position:absolute;left:8820;top:10092;width:824;height:2" coordorigin="8820,10092" coordsize="824,2">
              <v:shape style="position:absolute;left:8820;top:10092;width:824;height:2" coordorigin="8820,10092" coordsize="824,0" path="m8820,10092l9643,10092e" filled="false" stroked="true" strokeweight=".72pt" strokecolor="#000000">
                <v:path arrowok="t"/>
              </v:shape>
            </v:group>
            <v:group style="position:absolute;left:8820;top:10121;width:824;height:2" coordorigin="8820,10121" coordsize="824,2">
              <v:shape style="position:absolute;left:8820;top:10121;width:824;height:2" coordorigin="8820,10121" coordsize="824,0" path="m8820,10121l9643,10121e" filled="false" stroked="true" strokeweight=".72pt" strokecolor="#000000">
                <v:path arrowok="t"/>
              </v:shape>
            </v:group>
            <w10:wrap type="none"/>
          </v:group>
        </w:pict>
      </w:r>
      <w:r>
        <w:rPr/>
        <w:pict>
          <v:group style="position:absolute;margin-left:488.640015pt;margin-top:504.240021pt;width:69.6pt;height:2.2pt;mso-position-horizontal-relative:page;mso-position-vertical-relative:page;z-index:-1222456" coordorigin="9773,10085" coordsize="1392,44">
            <v:group style="position:absolute;left:9780;top:10092;width:1378;height:2" coordorigin="9780,10092" coordsize="1378,2">
              <v:shape style="position:absolute;left:9780;top:10092;width:1378;height:2" coordorigin="9780,10092" coordsize="1378,0" path="m9780,10092l11158,10092e" filled="false" stroked="true" strokeweight=".72pt" strokecolor="#000000">
                <v:path arrowok="t"/>
              </v:shape>
            </v:group>
            <v:group style="position:absolute;left:9780;top:10121;width:1378;height:2" coordorigin="9780,10121" coordsize="1378,2">
              <v:shape style="position:absolute;left:9780;top:10121;width:1378;height:2" coordorigin="9780,10121" coordsize="1378,0" path="m9780,10121l11158,10121e" filled="false" stroked="true" strokeweight=".72pt" strokecolor="#000000">
                <v:path arrowok="t"/>
              </v:shape>
            </v:group>
            <w10:wrap type="none"/>
          </v:group>
        </w:pict>
      </w:r>
      <w:r>
        <w:rPr/>
        <w:pict>
          <v:group style="position:absolute;margin-left:564.359985pt;margin-top:504.240021pt;width:62.8pt;height:2.2pt;mso-position-horizontal-relative:page;mso-position-vertical-relative:page;z-index:-1222432" coordorigin="11287,10085" coordsize="1256,44">
            <v:group style="position:absolute;left:11294;top:10092;width:1241;height:2" coordorigin="11294,10092" coordsize="1241,2">
              <v:shape style="position:absolute;left:11294;top:10092;width:1241;height:2" coordorigin="11294,10092" coordsize="1241,0" path="m11294,10092l12535,10092e" filled="false" stroked="true" strokeweight=".72pt" strokecolor="#000000">
                <v:path arrowok="t"/>
              </v:shape>
            </v:group>
            <v:group style="position:absolute;left:11294;top:10121;width:1241;height:2" coordorigin="11294,10121" coordsize="1241,2">
              <v:shape style="position:absolute;left:11294;top:10121;width:1241;height:2" coordorigin="11294,10121" coordsize="1241,0" path="m11294,10121l12535,10121e" filled="false" stroked="true" strokeweight=".72pt" strokecolor="#000000">
                <v:path arrowok="t"/>
              </v:shape>
            </v:group>
            <w10:wrap type="none"/>
          </v:group>
        </w:pict>
      </w:r>
      <w:r>
        <w:rPr/>
        <w:pict>
          <v:group style="position:absolute;margin-left:633.479980pt;margin-top:504.240021pt;width:71.2pt;height:2.2pt;mso-position-horizontal-relative:page;mso-position-vertical-relative:page;z-index:-1222408" coordorigin="12670,10085" coordsize="1424,44">
            <v:group style="position:absolute;left:12677;top:10092;width:1409;height:2" coordorigin="12677,10092" coordsize="1409,2">
              <v:shape style="position:absolute;left:12677;top:10092;width:1409;height:2" coordorigin="12677,10092" coordsize="1409,0" path="m12677,10092l14086,10092e" filled="false" stroked="true" strokeweight=".72pt" strokecolor="#000000">
                <v:path arrowok="t"/>
              </v:shape>
            </v:group>
            <v:group style="position:absolute;left:12677;top:10121;width:1409;height:2" coordorigin="12677,10121" coordsize="1409,2">
              <v:shape style="position:absolute;left:12677;top:10121;width:1409;height:2" coordorigin="12677,10121" coordsize="1409,0" path="m12677,10121l14086,10121e" filled="false" stroked="true" strokeweight=".72pt" strokecolor="#000000">
                <v:path arrowok="t"/>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2952"/>
        <w:gridCol w:w="2494"/>
        <w:gridCol w:w="1709"/>
        <w:gridCol w:w="1015"/>
        <w:gridCol w:w="139"/>
        <w:gridCol w:w="823"/>
        <w:gridCol w:w="137"/>
        <w:gridCol w:w="1378"/>
        <w:gridCol w:w="137"/>
        <w:gridCol w:w="1241"/>
        <w:gridCol w:w="142"/>
        <w:gridCol w:w="1409"/>
        <w:gridCol w:w="142"/>
        <w:gridCol w:w="1507"/>
      </w:tblGrid>
      <w:tr>
        <w:trPr>
          <w:trHeight w:val="342" w:hRule="exact"/>
        </w:trPr>
        <w:tc>
          <w:tcPr>
            <w:tcW w:w="15223" w:type="dxa"/>
            <w:gridSpan w:val="14"/>
            <w:tcBorders>
              <w:top w:val="nil" w:sz="6" w:space="0" w:color="auto"/>
              <w:left w:val="nil" w:sz="6" w:space="0" w:color="auto"/>
              <w:bottom w:val="nil" w:sz="6" w:space="0" w:color="auto"/>
              <w:right w:val="nil" w:sz="6" w:space="0" w:color="auto"/>
            </w:tcBorders>
          </w:tcPr>
          <w:p>
            <w:pPr>
              <w:pStyle w:val="TableParagraph"/>
              <w:spacing w:line="281" w:lineRule="exact"/>
              <w:ind w:right="137"/>
              <w:jc w:val="center"/>
              <w:rPr>
                <w:rFonts w:ascii="宋体" w:hAnsi="宋体" w:cs="宋体" w:eastAsia="宋体" w:hint="default"/>
                <w:sz w:val="24"/>
                <w:szCs w:val="24"/>
              </w:rPr>
            </w:pPr>
            <w:r>
              <w:rPr>
                <w:rFonts w:ascii="宋体" w:hAnsi="宋体" w:cs="宋体" w:eastAsia="宋体" w:hint="default"/>
                <w:sz w:val="24"/>
                <w:szCs w:val="24"/>
              </w:rPr>
              <w:t>股东权益变动表（</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295" w:hRule="exact"/>
        </w:trPr>
        <w:tc>
          <w:tcPr>
            <w:tcW w:w="15223"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5"/>
              <w:ind w:right="299"/>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261" w:hRule="exact"/>
        </w:trPr>
        <w:tc>
          <w:tcPr>
            <w:tcW w:w="2952" w:type="dxa"/>
            <w:tcBorders>
              <w:top w:val="nil" w:sz="6" w:space="0" w:color="auto"/>
              <w:left w:val="nil" w:sz="6" w:space="0" w:color="auto"/>
              <w:bottom w:val="single" w:sz="4" w:space="0" w:color="000000"/>
              <w:right w:val="nil" w:sz="6" w:space="0" w:color="auto"/>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494"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131" w:right="0"/>
              <w:jc w:val="left"/>
              <w:rPr>
                <w:rFonts w:ascii="宋体" w:hAnsi="宋体" w:cs="宋体" w:eastAsia="宋体" w:hint="default"/>
                <w:sz w:val="16"/>
                <w:szCs w:val="16"/>
              </w:rPr>
            </w:pPr>
            <w:r>
              <w:rPr>
                <w:rFonts w:ascii="宋体" w:hAnsi="宋体" w:cs="宋体" w:eastAsia="宋体" w:hint="default"/>
                <w:sz w:val="16"/>
                <w:szCs w:val="16"/>
              </w:rPr>
              <w:t>附注十四</w:t>
            </w:r>
          </w:p>
        </w:tc>
        <w:tc>
          <w:tcPr>
            <w:tcW w:w="1709" w:type="dxa"/>
            <w:tcBorders>
              <w:top w:val="nil" w:sz="6" w:space="0" w:color="auto"/>
              <w:left w:val="nil" w:sz="6" w:space="0" w:color="auto"/>
              <w:bottom w:val="single" w:sz="4" w:space="0" w:color="000000"/>
              <w:right w:val="nil" w:sz="6" w:space="0" w:color="auto"/>
            </w:tcBorders>
          </w:tcPr>
          <w:p>
            <w:pPr/>
          </w:p>
        </w:tc>
        <w:tc>
          <w:tcPr>
            <w:tcW w:w="1015" w:type="dxa"/>
            <w:tcBorders>
              <w:top w:val="nil" w:sz="6" w:space="0" w:color="auto"/>
              <w:left w:val="nil" w:sz="6" w:space="0" w:color="auto"/>
              <w:bottom w:val="single" w:sz="4" w:space="0" w:color="000000"/>
              <w:right w:val="nil" w:sz="6" w:space="0" w:color="auto"/>
            </w:tcBorders>
          </w:tcPr>
          <w:p>
            <w:pPr/>
          </w:p>
        </w:tc>
        <w:tc>
          <w:tcPr>
            <w:tcW w:w="139" w:type="dxa"/>
            <w:tcBorders>
              <w:top w:val="nil" w:sz="6" w:space="0" w:color="auto"/>
              <w:left w:val="nil" w:sz="6" w:space="0" w:color="auto"/>
              <w:bottom w:val="single" w:sz="4" w:space="0" w:color="000000"/>
              <w:right w:val="nil" w:sz="6" w:space="0" w:color="auto"/>
            </w:tcBorders>
          </w:tcPr>
          <w:p>
            <w:pPr/>
          </w:p>
        </w:tc>
        <w:tc>
          <w:tcPr>
            <w:tcW w:w="823"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single" w:sz="4" w:space="0" w:color="000000"/>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single" w:sz="4" w:space="0" w:color="000000"/>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
        </w:tc>
      </w:tr>
      <w:tr>
        <w:trPr>
          <w:trHeight w:val="250" w:hRule="exact"/>
        </w:trPr>
        <w:tc>
          <w:tcPr>
            <w:tcW w:w="2952" w:type="dxa"/>
            <w:tcBorders>
              <w:top w:val="single" w:sz="4" w:space="0" w:color="000000"/>
              <w:left w:val="nil" w:sz="6" w:space="0" w:color="auto"/>
              <w:bottom w:val="nil" w:sz="6" w:space="0" w:color="auto"/>
              <w:right w:val="nil" w:sz="6" w:space="0" w:color="auto"/>
            </w:tcBorders>
          </w:tcPr>
          <w:p>
            <w:pPr/>
          </w:p>
        </w:tc>
        <w:tc>
          <w:tcPr>
            <w:tcW w:w="2494"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14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9"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15"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47"/>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39" w:type="dxa"/>
            <w:tcBorders>
              <w:top w:val="single" w:sz="4" w:space="0" w:color="000000"/>
              <w:left w:val="nil" w:sz="6" w:space="0" w:color="auto"/>
              <w:bottom w:val="nil" w:sz="6" w:space="0" w:color="auto"/>
              <w:right w:val="nil" w:sz="6" w:space="0" w:color="auto"/>
            </w:tcBorders>
          </w:tcPr>
          <w:p>
            <w:pPr/>
          </w:p>
        </w:tc>
        <w:tc>
          <w:tcPr>
            <w:tcW w:w="823"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50"/>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37" w:type="dxa"/>
            <w:tcBorders>
              <w:top w:val="single" w:sz="4" w:space="0" w:color="000000"/>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32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7" w:type="dxa"/>
            <w:tcBorders>
              <w:top w:val="single" w:sz="4" w:space="0" w:color="000000"/>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2" w:type="dxa"/>
            <w:tcBorders>
              <w:top w:val="single" w:sz="4" w:space="0" w:color="000000"/>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 w:type="dxa"/>
            <w:tcBorders>
              <w:top w:val="single" w:sz="4" w:space="0" w:color="000000"/>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11"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2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249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88,000,000.00</w:t>
            </w:r>
            <w:r>
              <w:rPr>
                <w:rFonts w:ascii="宋体"/>
                <w:sz w:val="18"/>
              </w:rPr>
            </w:r>
          </w:p>
        </w:tc>
        <w:tc>
          <w:tcPr>
            <w:tcW w:w="170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66"/>
              <w:jc w:val="right"/>
              <w:rPr>
                <w:rFonts w:ascii="宋体" w:hAnsi="宋体" w:cs="宋体" w:eastAsia="宋体" w:hint="default"/>
                <w:sz w:val="18"/>
                <w:szCs w:val="18"/>
              </w:rPr>
            </w:pPr>
            <w:r>
              <w:rPr>
                <w:rFonts w:ascii="宋体"/>
                <w:spacing w:val="-1"/>
                <w:sz w:val="18"/>
              </w:rPr>
              <w:t>132,980,990.76</w:t>
            </w:r>
          </w:p>
        </w:tc>
        <w:tc>
          <w:tcPr>
            <w:tcW w:w="101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single" w:sz="4" w:space="0" w:color="000000"/>
              <w:right w:val="nil" w:sz="6" w:space="0" w:color="auto"/>
            </w:tcBorders>
          </w:tcPr>
          <w:p>
            <w:pPr/>
          </w:p>
        </w:tc>
        <w:tc>
          <w:tcPr>
            <w:tcW w:w="82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single" w:sz="4" w:space="0" w:color="000000"/>
              <w:right w:val="nil" w:sz="6" w:space="0" w:color="auto"/>
            </w:tcBorders>
          </w:tcPr>
          <w:p>
            <w:pP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11,736,079.47</w:t>
            </w:r>
            <w:r>
              <w:rPr>
                <w:rFonts w:ascii="宋体"/>
                <w:sz w:val="18"/>
              </w:rPr>
            </w:r>
          </w:p>
        </w:tc>
        <w:tc>
          <w:tcPr>
            <w:tcW w:w="137" w:type="dxa"/>
            <w:tcBorders>
              <w:top w:val="nil" w:sz="6" w:space="0" w:color="auto"/>
              <w:left w:val="nil" w:sz="6" w:space="0" w:color="auto"/>
              <w:bottom w:val="single" w:sz="4" w:space="0" w:color="000000"/>
              <w:right w:val="nil" w:sz="6" w:space="0" w:color="auto"/>
            </w:tcBorders>
          </w:tcPr>
          <w:p>
            <w:pPr/>
          </w:p>
        </w:tc>
        <w:tc>
          <w:tcPr>
            <w:tcW w:w="124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single" w:sz="4" w:space="0" w:color="000000"/>
              <w:right w:val="nil" w:sz="6" w:space="0" w:color="auto"/>
            </w:tcBorders>
          </w:tcPr>
          <w:p>
            <w:pPr/>
          </w:p>
        </w:tc>
        <w:tc>
          <w:tcPr>
            <w:tcW w:w="140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81,024,715.27</w:t>
            </w:r>
            <w:r>
              <w:rPr>
                <w:rFonts w:ascii="宋体"/>
                <w:sz w:val="18"/>
              </w:rPr>
            </w:r>
          </w:p>
        </w:tc>
        <w:tc>
          <w:tcPr>
            <w:tcW w:w="142" w:type="dxa"/>
            <w:tcBorders>
              <w:top w:val="nil" w:sz="6" w:space="0" w:color="auto"/>
              <w:left w:val="nil" w:sz="6" w:space="0" w:color="auto"/>
              <w:bottom w:val="single" w:sz="4" w:space="0" w:color="000000"/>
              <w:right w:val="nil" w:sz="6" w:space="0" w:color="auto"/>
            </w:tcBorders>
          </w:tcPr>
          <w:p>
            <w:pPr/>
          </w:p>
        </w:tc>
        <w:tc>
          <w:tcPr>
            <w:tcW w:w="150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313,741,785.50</w:t>
            </w:r>
            <w:r>
              <w:rPr>
                <w:rFonts w:ascii="宋体"/>
                <w:sz w:val="18"/>
              </w:rPr>
            </w:r>
          </w:p>
        </w:tc>
      </w:tr>
      <w:tr>
        <w:trPr>
          <w:trHeight w:val="286"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49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9"/>
              <w:jc w:val="right"/>
              <w:rPr>
                <w:rFonts w:ascii="宋体" w:hAnsi="宋体" w:cs="宋体" w:eastAsia="宋体" w:hint="default"/>
                <w:sz w:val="18"/>
                <w:szCs w:val="18"/>
              </w:rPr>
            </w:pPr>
            <w:r>
              <w:rPr>
                <w:rFonts w:ascii="宋体"/>
                <w:sz w:val="18"/>
              </w:rPr>
              <w:t>-</w:t>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68"/>
              <w:jc w:val="right"/>
              <w:rPr>
                <w:rFonts w:ascii="宋体" w:hAnsi="宋体" w:cs="宋体" w:eastAsia="宋体" w:hint="default"/>
                <w:sz w:val="18"/>
                <w:szCs w:val="18"/>
              </w:rPr>
            </w:pPr>
            <w:r>
              <w:rPr>
                <w:rFonts w:ascii="宋体"/>
                <w:sz w:val="18"/>
              </w:rPr>
              <w:t>-</w:t>
            </w: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9" w:type="dxa"/>
            <w:tcBorders>
              <w:top w:val="single" w:sz="4" w:space="0" w:color="000000"/>
              <w:left w:val="nil" w:sz="6" w:space="0" w:color="auto"/>
              <w:bottom w:val="nil" w:sz="6" w:space="0" w:color="auto"/>
              <w:right w:val="nil" w:sz="6" w:space="0" w:color="auto"/>
            </w:tcBorders>
          </w:tcPr>
          <w:p>
            <w:pPr/>
          </w:p>
        </w:tc>
        <w:tc>
          <w:tcPr>
            <w:tcW w:w="82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7" w:type="dxa"/>
            <w:tcBorders>
              <w:top w:val="single" w:sz="4" w:space="0" w:color="000000"/>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7" w:type="dxa"/>
            <w:tcBorders>
              <w:top w:val="single" w:sz="4" w:space="0" w:color="000000"/>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42" w:type="dxa"/>
            <w:tcBorders>
              <w:top w:val="single" w:sz="4" w:space="0" w:color="000000"/>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42" w:type="dxa"/>
            <w:tcBorders>
              <w:top w:val="single" w:sz="4" w:space="0" w:color="000000"/>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w:t>
            </w:r>
          </w:p>
        </w:tc>
      </w:tr>
      <w:tr>
        <w:trPr>
          <w:trHeight w:val="455"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00" w:lineRule="exact" w:before="32"/>
              <w:ind w:left="388" w:right="1481"/>
              <w:jc w:val="left"/>
              <w:rPr>
                <w:rFonts w:ascii="宋体" w:hAnsi="宋体" w:cs="宋体" w:eastAsia="宋体" w:hint="default"/>
                <w:sz w:val="18"/>
                <w:szCs w:val="18"/>
              </w:rPr>
            </w:pPr>
            <w:r>
              <w:rPr>
                <w:rFonts w:ascii="宋体" w:hAnsi="宋体" w:cs="宋体" w:eastAsia="宋体" w:hint="default"/>
                <w:sz w:val="18"/>
                <w:szCs w:val="18"/>
              </w:rPr>
              <w:t>前期差错更正 其他</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0"/>
              <w:jc w:val="right"/>
              <w:rPr>
                <w:rFonts w:ascii="宋体" w:hAnsi="宋体" w:cs="宋体" w:eastAsia="宋体" w:hint="default"/>
                <w:sz w:val="18"/>
                <w:szCs w:val="18"/>
              </w:rPr>
            </w:pPr>
            <w:r>
              <w:rPr>
                <w:rFonts w:ascii="宋体"/>
                <w:sz w:val="18"/>
              </w:rPr>
              <w:t>-</w:t>
            </w:r>
          </w:p>
        </w:tc>
      </w:tr>
      <w:tr>
        <w:trPr>
          <w:trHeight w:val="294"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18"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2494" w:type="dxa"/>
            <w:tcBorders>
              <w:top w:val="nil" w:sz="6" w:space="0" w:color="auto"/>
              <w:left w:val="nil" w:sz="6" w:space="0" w:color="auto"/>
              <w:bottom w:val="single" w:sz="4" w:space="0" w:color="000000"/>
              <w:right w:val="nil" w:sz="6" w:space="0" w:color="auto"/>
            </w:tcBorders>
          </w:tcPr>
          <w:p>
            <w:pPr>
              <w:pStyle w:val="TableParagraph"/>
              <w:spacing w:line="221" w:lineRule="exact"/>
              <w:ind w:right="105"/>
              <w:jc w:val="right"/>
              <w:rPr>
                <w:rFonts w:ascii="宋体" w:hAnsi="宋体" w:cs="宋体" w:eastAsia="宋体" w:hint="default"/>
                <w:sz w:val="18"/>
                <w:szCs w:val="18"/>
              </w:rPr>
            </w:pPr>
            <w:r>
              <w:rPr>
                <w:rFonts w:ascii="宋体"/>
                <w:spacing w:val="-1"/>
                <w:sz w:val="18"/>
              </w:rPr>
              <w:t>88,000,000.00</w:t>
            </w:r>
            <w:r>
              <w:rPr>
                <w:rFonts w:ascii="宋体"/>
                <w:sz w:val="18"/>
              </w:rPr>
            </w:r>
          </w:p>
        </w:tc>
        <w:tc>
          <w:tcPr>
            <w:tcW w:w="1709" w:type="dxa"/>
            <w:tcBorders>
              <w:top w:val="nil" w:sz="6" w:space="0" w:color="auto"/>
              <w:left w:val="nil" w:sz="6" w:space="0" w:color="auto"/>
              <w:bottom w:val="single" w:sz="4" w:space="0" w:color="000000"/>
              <w:right w:val="nil" w:sz="6" w:space="0" w:color="auto"/>
            </w:tcBorders>
          </w:tcPr>
          <w:p>
            <w:pPr>
              <w:pStyle w:val="TableParagraph"/>
              <w:spacing w:line="221" w:lineRule="exact"/>
              <w:ind w:right="66"/>
              <w:jc w:val="right"/>
              <w:rPr>
                <w:rFonts w:ascii="宋体" w:hAnsi="宋体" w:cs="宋体" w:eastAsia="宋体" w:hint="default"/>
                <w:sz w:val="18"/>
                <w:szCs w:val="18"/>
              </w:rPr>
            </w:pPr>
            <w:r>
              <w:rPr>
                <w:rFonts w:ascii="宋体"/>
                <w:spacing w:val="-1"/>
                <w:sz w:val="18"/>
              </w:rPr>
              <w:t>132,980,990.76</w:t>
            </w:r>
          </w:p>
        </w:tc>
        <w:tc>
          <w:tcPr>
            <w:tcW w:w="1015" w:type="dxa"/>
            <w:tcBorders>
              <w:top w:val="nil" w:sz="6" w:space="0" w:color="auto"/>
              <w:left w:val="nil" w:sz="6" w:space="0" w:color="auto"/>
              <w:bottom w:val="single" w:sz="4" w:space="0" w:color="000000"/>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single" w:sz="4" w:space="0" w:color="000000"/>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Style w:val="TableParagraph"/>
              <w:spacing w:line="221" w:lineRule="exact"/>
              <w:ind w:right="24"/>
              <w:jc w:val="right"/>
              <w:rPr>
                <w:rFonts w:ascii="宋体" w:hAnsi="宋体" w:cs="宋体" w:eastAsia="宋体" w:hint="default"/>
                <w:sz w:val="18"/>
                <w:szCs w:val="18"/>
              </w:rPr>
            </w:pPr>
            <w:r>
              <w:rPr>
                <w:rFonts w:ascii="宋体"/>
                <w:spacing w:val="-1"/>
                <w:sz w:val="18"/>
              </w:rPr>
              <w:t>11,736,079.47</w:t>
            </w:r>
            <w:r>
              <w:rPr>
                <w:rFonts w:ascii="宋体"/>
                <w:sz w:val="18"/>
              </w:rPr>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21" w:lineRule="exact"/>
              <w:ind w:right="24"/>
              <w:jc w:val="right"/>
              <w:rPr>
                <w:rFonts w:ascii="宋体" w:hAnsi="宋体" w:cs="宋体" w:eastAsia="宋体" w:hint="default"/>
                <w:sz w:val="18"/>
                <w:szCs w:val="18"/>
              </w:rPr>
            </w:pPr>
            <w:r>
              <w:rPr>
                <w:rFonts w:ascii="宋体"/>
                <w:spacing w:val="-1"/>
                <w:sz w:val="18"/>
              </w:rPr>
              <w:t>81,024,715.27</w:t>
            </w:r>
            <w:r>
              <w:rPr>
                <w:rFonts w:ascii="宋体"/>
                <w:sz w:val="18"/>
              </w:rPr>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21" w:lineRule="exact"/>
              <w:ind w:right="27"/>
              <w:jc w:val="right"/>
              <w:rPr>
                <w:rFonts w:ascii="宋体" w:hAnsi="宋体" w:cs="宋体" w:eastAsia="宋体" w:hint="default"/>
                <w:sz w:val="18"/>
                <w:szCs w:val="18"/>
              </w:rPr>
            </w:pPr>
            <w:r>
              <w:rPr>
                <w:rFonts w:ascii="宋体"/>
                <w:spacing w:val="-1"/>
                <w:sz w:val="18"/>
              </w:rPr>
              <w:t>313,741,785.50</w:t>
            </w:r>
          </w:p>
        </w:tc>
      </w:tr>
      <w:tr>
        <w:trPr>
          <w:trHeight w:val="32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249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70,400,000.00</w:t>
            </w:r>
            <w:r>
              <w:rPr>
                <w:rFonts w:ascii="宋体"/>
                <w:sz w:val="18"/>
              </w:rPr>
            </w:r>
          </w:p>
        </w:tc>
        <w:tc>
          <w:tcPr>
            <w:tcW w:w="170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6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70,400,000.00</w:t>
            </w:r>
            <w:r>
              <w:rPr>
                <w:rFonts w:ascii="宋体" w:hAnsi="宋体" w:cs="宋体" w:eastAsia="宋体" w:hint="default"/>
                <w:spacing w:val="-1"/>
                <w:sz w:val="18"/>
                <w:szCs w:val="18"/>
              </w:rPr>
              <w:t>）</w:t>
            </w:r>
          </w:p>
        </w:tc>
        <w:tc>
          <w:tcPr>
            <w:tcW w:w="101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7"/>
              <w:jc w:val="right"/>
              <w:rPr>
                <w:rFonts w:ascii="宋体" w:hAnsi="宋体" w:cs="宋体" w:eastAsia="宋体" w:hint="default"/>
                <w:sz w:val="18"/>
                <w:szCs w:val="18"/>
              </w:rPr>
            </w:pPr>
            <w:r>
              <w:rPr>
                <w:rFonts w:ascii="宋体"/>
                <w:spacing w:val="-1"/>
                <w:sz w:val="18"/>
              </w:rPr>
              <w:t>2,290,759.50</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pacing w:val="-1"/>
                <w:sz w:val="18"/>
              </w:rPr>
              <w:t>15,336,835.47</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17,627,594.97</w:t>
            </w:r>
            <w:r>
              <w:rPr>
                <w:rFonts w:ascii="宋体"/>
                <w:sz w:val="18"/>
              </w:rPr>
            </w:r>
          </w:p>
        </w:tc>
      </w:tr>
      <w:tr>
        <w:trPr>
          <w:trHeight w:val="313"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249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9"/>
              <w:jc w:val="right"/>
              <w:rPr>
                <w:rFonts w:ascii="宋体" w:hAnsi="宋体" w:cs="宋体" w:eastAsia="宋体" w:hint="default"/>
                <w:sz w:val="18"/>
                <w:szCs w:val="18"/>
              </w:rPr>
            </w:pPr>
            <w:r>
              <w:rPr>
                <w:rFonts w:ascii="宋体"/>
                <w:sz w:val="18"/>
              </w:rPr>
              <w:t>-</w:t>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68"/>
              <w:jc w:val="right"/>
              <w:rPr>
                <w:rFonts w:ascii="宋体" w:hAnsi="宋体" w:cs="宋体" w:eastAsia="宋体" w:hint="default"/>
                <w:sz w:val="18"/>
                <w:szCs w:val="18"/>
              </w:rPr>
            </w:pPr>
            <w:r>
              <w:rPr>
                <w:rFonts w:ascii="宋体"/>
                <w:sz w:val="18"/>
              </w:rPr>
              <w:t>-</w:t>
            </w: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22,907,594.97</w:t>
            </w:r>
            <w:r>
              <w:rPr>
                <w:rFonts w:ascii="宋体"/>
                <w:sz w:val="18"/>
              </w:rPr>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22,907,594.97</w:t>
            </w:r>
            <w:r>
              <w:rPr>
                <w:rFonts w:ascii="宋体"/>
                <w:sz w:val="18"/>
              </w:rPr>
            </w:r>
          </w:p>
        </w:tc>
      </w:tr>
      <w:tr>
        <w:trPr>
          <w:trHeight w:val="31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（二）股东投入和减少股本</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r>
      <w:tr>
        <w:trPr>
          <w:trHeight w:val="31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股东投入的普通股</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r>
      <w:tr>
        <w:trPr>
          <w:trHeight w:val="284"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其他权益工具持有者</w:t>
            </w:r>
            <w:r>
              <w:rPr>
                <w:rFonts w:ascii="宋体" w:hAnsi="宋体" w:cs="宋体" w:eastAsia="宋体" w:hint="default"/>
                <w:spacing w:val="-3"/>
                <w:sz w:val="18"/>
                <w:szCs w:val="18"/>
              </w:rPr>
              <w:t>投</w:t>
            </w:r>
            <w:r>
              <w:rPr>
                <w:rFonts w:ascii="宋体" w:hAnsi="宋体" w:cs="宋体" w:eastAsia="宋体" w:hint="default"/>
                <w:sz w:val="18"/>
                <w:szCs w:val="18"/>
              </w:rPr>
              <w:t>入股本</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r>
      <w:tr>
        <w:trPr>
          <w:trHeight w:val="455"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199" w:lineRule="exact"/>
              <w:ind w:left="38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．股份支付计入股东权益金额</w:t>
            </w:r>
          </w:p>
          <w:p>
            <w:pPr>
              <w:pStyle w:val="TableParagraph"/>
              <w:spacing w:line="217" w:lineRule="exact"/>
              <w:ind w:left="38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0"/>
              <w:jc w:val="right"/>
              <w:rPr>
                <w:rFonts w:ascii="宋体" w:hAnsi="宋体" w:cs="宋体" w:eastAsia="宋体" w:hint="default"/>
                <w:sz w:val="18"/>
                <w:szCs w:val="18"/>
              </w:rPr>
            </w:pPr>
            <w:r>
              <w:rPr>
                <w:rFonts w:ascii="宋体"/>
                <w:sz w:val="18"/>
              </w:rPr>
              <w:t>-</w:t>
            </w:r>
          </w:p>
        </w:tc>
      </w:tr>
      <w:tr>
        <w:trPr>
          <w:trHeight w:val="286"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18" w:lineRule="exact"/>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2494" w:type="dxa"/>
            <w:tcBorders>
              <w:top w:val="nil" w:sz="6" w:space="0" w:color="auto"/>
              <w:left w:val="nil" w:sz="6" w:space="0" w:color="auto"/>
              <w:bottom w:val="nil" w:sz="6" w:space="0" w:color="auto"/>
              <w:right w:val="nil" w:sz="6" w:space="0" w:color="auto"/>
            </w:tcBorders>
          </w:tcPr>
          <w:p>
            <w:pPr>
              <w:pStyle w:val="TableParagraph"/>
              <w:spacing w:line="221" w:lineRule="exact"/>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21" w:lineRule="exact"/>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21" w:lineRule="exact"/>
              <w:ind w:right="25"/>
              <w:jc w:val="right"/>
              <w:rPr>
                <w:rFonts w:ascii="宋体" w:hAnsi="宋体" w:cs="宋体" w:eastAsia="宋体" w:hint="default"/>
                <w:sz w:val="18"/>
                <w:szCs w:val="18"/>
              </w:rPr>
            </w:pPr>
            <w:r>
              <w:rPr>
                <w:rFonts w:ascii="宋体"/>
                <w:spacing w:val="-1"/>
                <w:sz w:val="18"/>
              </w:rPr>
              <w:t>2,290,759.50</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21" w:lineRule="exact"/>
              <w:ind w:right="25"/>
              <w:jc w:val="right"/>
              <w:rPr>
                <w:rFonts w:ascii="宋体" w:hAnsi="宋体" w:cs="宋体" w:eastAsia="宋体" w:hint="default"/>
                <w:sz w:val="18"/>
                <w:szCs w:val="18"/>
              </w:rPr>
            </w:pPr>
            <w:r>
              <w:rPr>
                <w:rFonts w:ascii="宋体"/>
                <w:spacing w:val="-1"/>
                <w:sz w:val="18"/>
              </w:rPr>
              <w:t>(7,570,759.50)</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21" w:lineRule="exact"/>
              <w:ind w:right="27"/>
              <w:jc w:val="right"/>
              <w:rPr>
                <w:rFonts w:ascii="宋体" w:hAnsi="宋体" w:cs="宋体" w:eastAsia="宋体" w:hint="default"/>
                <w:sz w:val="18"/>
                <w:szCs w:val="18"/>
              </w:rPr>
            </w:pPr>
            <w:r>
              <w:rPr>
                <w:rFonts w:ascii="宋体"/>
                <w:spacing w:val="-1"/>
                <w:sz w:val="18"/>
              </w:rPr>
              <w:t>(5,280,000.00)</w:t>
            </w:r>
          </w:p>
        </w:tc>
      </w:tr>
      <w:tr>
        <w:trPr>
          <w:trHeight w:val="31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pacing w:val="-1"/>
                <w:sz w:val="18"/>
              </w:rPr>
              <w:t>2,290,759.50</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pacing w:val="-1"/>
                <w:sz w:val="18"/>
              </w:rPr>
              <w:t>(2,290,759.50)</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r>
      <w:tr>
        <w:trPr>
          <w:trHeight w:val="31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
              <w:jc w:val="right"/>
              <w:rPr>
                <w:rFonts w:ascii="宋体" w:hAnsi="宋体" w:cs="宋体" w:eastAsia="宋体" w:hint="default"/>
                <w:sz w:val="18"/>
                <w:szCs w:val="18"/>
              </w:rPr>
            </w:pPr>
            <w:r>
              <w:rPr>
                <w:rFonts w:ascii="宋体"/>
                <w:spacing w:val="-1"/>
                <w:sz w:val="18"/>
              </w:rPr>
              <w:t>(5,280,000.00)</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
              <w:jc w:val="right"/>
              <w:rPr>
                <w:rFonts w:ascii="宋体" w:hAnsi="宋体" w:cs="宋体" w:eastAsia="宋体" w:hint="default"/>
                <w:sz w:val="18"/>
                <w:szCs w:val="18"/>
              </w:rPr>
            </w:pPr>
            <w:r>
              <w:rPr>
                <w:rFonts w:ascii="宋体"/>
                <w:spacing w:val="-1"/>
                <w:sz w:val="18"/>
              </w:rPr>
              <w:t>(5,280,000.00)</w:t>
            </w:r>
          </w:p>
        </w:tc>
      </w:tr>
      <w:tr>
        <w:trPr>
          <w:trHeight w:val="31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r>
      <w:tr>
        <w:trPr>
          <w:trHeight w:val="31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8"/>
                <w:szCs w:val="18"/>
              </w:rPr>
            </w:pPr>
            <w:r>
              <w:rPr>
                <w:rFonts w:ascii="宋体"/>
                <w:spacing w:val="-1"/>
                <w:sz w:val="18"/>
              </w:rPr>
              <w:t>70,400,000.00</w:t>
            </w:r>
            <w:r>
              <w:rPr>
                <w:rFonts w:ascii="宋体"/>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70,400,000.00</w:t>
            </w:r>
            <w:r>
              <w:rPr>
                <w:rFonts w:ascii="宋体" w:hAnsi="宋体" w:cs="宋体" w:eastAsia="宋体" w:hint="default"/>
                <w:spacing w:val="-1"/>
                <w:sz w:val="18"/>
                <w:szCs w:val="18"/>
              </w:rPr>
              <w:t>）</w:t>
            </w:r>
          </w:p>
        </w:tc>
        <w:tc>
          <w:tcPr>
            <w:tcW w:w="101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r>
      <w:tr>
        <w:trPr>
          <w:trHeight w:val="31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8"/>
                <w:szCs w:val="18"/>
              </w:rPr>
            </w:pPr>
            <w:r>
              <w:rPr>
                <w:rFonts w:ascii="宋体"/>
                <w:spacing w:val="-1"/>
                <w:sz w:val="18"/>
              </w:rPr>
              <w:t>70,400,000.00</w:t>
            </w:r>
            <w:r>
              <w:rPr>
                <w:rFonts w:ascii="宋体"/>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70,400,000.00</w:t>
            </w:r>
            <w:r>
              <w:rPr>
                <w:rFonts w:ascii="宋体" w:hAnsi="宋体" w:cs="宋体" w:eastAsia="宋体" w:hint="default"/>
                <w:spacing w:val="-1"/>
                <w:sz w:val="18"/>
                <w:szCs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r>
      <w:tr>
        <w:trPr>
          <w:trHeight w:val="31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r>
      <w:tr>
        <w:trPr>
          <w:trHeight w:val="284"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r>
      <w:tr>
        <w:trPr>
          <w:trHeight w:val="654"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00" w:lineRule="exact" w:before="32"/>
              <w:ind w:left="28" w:right="26" w:firstLine="360"/>
              <w:jc w:val="left"/>
              <w:rPr>
                <w:rFonts w:ascii="宋体" w:hAnsi="宋体" w:cs="宋体" w:eastAsia="宋体" w:hint="default"/>
                <w:sz w:val="18"/>
                <w:szCs w:val="18"/>
              </w:rPr>
            </w:pPr>
            <w:r>
              <w:rPr>
                <w:rFonts w:ascii="宋体" w:hAnsi="宋体" w:cs="宋体" w:eastAsia="宋体" w:hint="default"/>
                <w:spacing w:val="-6"/>
                <w:sz w:val="18"/>
                <w:szCs w:val="18"/>
              </w:rPr>
              <w:t>4</w:t>
            </w:r>
            <w:r>
              <w:rPr>
                <w:rFonts w:ascii="宋体" w:hAnsi="宋体" w:cs="宋体" w:eastAsia="宋体" w:hint="default"/>
                <w:spacing w:val="-6"/>
                <w:sz w:val="18"/>
                <w:szCs w:val="18"/>
              </w:rPr>
              <w:t>．结转重新计量设定受益计划净</w:t>
            </w:r>
            <w:r>
              <w:rPr>
                <w:rFonts w:ascii="宋体" w:hAnsi="宋体" w:cs="宋体" w:eastAsia="宋体" w:hint="default"/>
                <w:sz w:val="18"/>
                <w:szCs w:val="18"/>
              </w:rPr>
              <w:t> 负债或净资产所产生的变动</w:t>
            </w:r>
          </w:p>
          <w:p>
            <w:pPr>
              <w:pStyle w:val="TableParagraph"/>
              <w:spacing w:line="185" w:lineRule="exact"/>
              <w:ind w:left="38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0"/>
              <w:jc w:val="right"/>
              <w:rPr>
                <w:rFonts w:ascii="宋体" w:hAnsi="宋体" w:cs="宋体" w:eastAsia="宋体" w:hint="default"/>
                <w:sz w:val="18"/>
                <w:szCs w:val="18"/>
              </w:rPr>
            </w:pPr>
            <w:r>
              <w:rPr>
                <w:rFonts w:ascii="宋体"/>
                <w:sz w:val="18"/>
              </w:rPr>
              <w:t>-</w:t>
            </w:r>
          </w:p>
        </w:tc>
      </w:tr>
      <w:tr>
        <w:trPr>
          <w:trHeight w:val="286"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18" w:lineRule="exact"/>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2494" w:type="dxa"/>
            <w:tcBorders>
              <w:top w:val="nil" w:sz="6" w:space="0" w:color="auto"/>
              <w:left w:val="nil" w:sz="6" w:space="0" w:color="auto"/>
              <w:bottom w:val="nil" w:sz="6" w:space="0" w:color="auto"/>
              <w:right w:val="nil" w:sz="6" w:space="0" w:color="auto"/>
            </w:tcBorders>
          </w:tcPr>
          <w:p>
            <w:pPr>
              <w:pStyle w:val="TableParagraph"/>
              <w:spacing w:line="221" w:lineRule="exact"/>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21" w:lineRule="exact"/>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21"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21" w:lineRule="exact"/>
              <w:ind w:right="30"/>
              <w:jc w:val="right"/>
              <w:rPr>
                <w:rFonts w:ascii="宋体" w:hAnsi="宋体" w:cs="宋体" w:eastAsia="宋体" w:hint="default"/>
                <w:sz w:val="18"/>
                <w:szCs w:val="18"/>
              </w:rPr>
            </w:pPr>
            <w:r>
              <w:rPr>
                <w:rFonts w:ascii="宋体"/>
                <w:sz w:val="18"/>
              </w:rPr>
              <w:t>-</w:t>
            </w:r>
          </w:p>
        </w:tc>
      </w:tr>
      <w:tr>
        <w:trPr>
          <w:trHeight w:val="31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r>
      <w:tr>
        <w:trPr>
          <w:trHeight w:val="31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r>
      <w:tr>
        <w:trPr>
          <w:trHeight w:val="320"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249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9"/>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68"/>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w:t>
            </w:r>
          </w:p>
        </w:tc>
      </w:tr>
      <w:tr>
        <w:trPr>
          <w:trHeight w:val="338"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249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158,400,000.00</w:t>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65"/>
              <w:jc w:val="right"/>
              <w:rPr>
                <w:rFonts w:ascii="宋体" w:hAnsi="宋体" w:cs="宋体" w:eastAsia="宋体" w:hint="default"/>
                <w:sz w:val="18"/>
                <w:szCs w:val="18"/>
              </w:rPr>
            </w:pPr>
            <w:r>
              <w:rPr>
                <w:rFonts w:ascii="宋体"/>
                <w:spacing w:val="-1"/>
                <w:sz w:val="18"/>
              </w:rPr>
              <w:t>62,580,990.76</w:t>
            </w:r>
            <w:r>
              <w:rPr>
                <w:rFonts w:ascii="宋体"/>
                <w:sz w:val="18"/>
              </w:rPr>
            </w: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82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14,026,838.97</w:t>
            </w:r>
            <w:r>
              <w:rPr>
                <w:rFonts w:ascii="宋体"/>
                <w:sz w:val="18"/>
              </w:rPr>
            </w:r>
          </w:p>
        </w:tc>
        <w:tc>
          <w:tcPr>
            <w:tcW w:w="137"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96,361,550.74</w:t>
            </w:r>
            <w:r>
              <w:rPr>
                <w:rFonts w:ascii="宋体"/>
                <w:sz w:val="18"/>
              </w:rPr>
            </w:r>
          </w:p>
        </w:tc>
        <w:tc>
          <w:tcPr>
            <w:tcW w:w="142"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27"/>
              <w:jc w:val="right"/>
              <w:rPr>
                <w:rFonts w:ascii="宋体" w:hAnsi="宋体" w:cs="宋体" w:eastAsia="宋体" w:hint="default"/>
                <w:sz w:val="18"/>
                <w:szCs w:val="18"/>
              </w:rPr>
            </w:pPr>
            <w:r>
              <w:rPr>
                <w:rFonts w:ascii="宋体"/>
                <w:spacing w:val="-1"/>
                <w:sz w:val="18"/>
              </w:rPr>
              <w:t>331,369,380.47</w:t>
            </w:r>
          </w:p>
        </w:tc>
      </w:tr>
      <w:tr>
        <w:trPr>
          <w:trHeight w:val="341" w:hRule="exact"/>
        </w:trPr>
        <w:tc>
          <w:tcPr>
            <w:tcW w:w="2952" w:type="dxa"/>
            <w:tcBorders>
              <w:top w:val="nil" w:sz="6" w:space="0" w:color="auto"/>
              <w:left w:val="nil" w:sz="6" w:space="0" w:color="auto"/>
              <w:bottom w:val="single" w:sz="4" w:space="0" w:color="000000"/>
              <w:right w:val="nil" w:sz="6" w:space="0" w:color="auto"/>
            </w:tcBorders>
          </w:tcPr>
          <w:p>
            <w:pPr/>
          </w:p>
        </w:tc>
        <w:tc>
          <w:tcPr>
            <w:tcW w:w="2494" w:type="dxa"/>
            <w:tcBorders>
              <w:top w:val="nil" w:sz="6" w:space="0" w:color="auto"/>
              <w:left w:val="nil" w:sz="6" w:space="0" w:color="auto"/>
              <w:bottom w:val="single" w:sz="4" w:space="0" w:color="000000"/>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
        </w:tc>
        <w:tc>
          <w:tcPr>
            <w:tcW w:w="1015" w:type="dxa"/>
            <w:tcBorders>
              <w:top w:val="nil" w:sz="6" w:space="0" w:color="auto"/>
              <w:left w:val="nil" w:sz="6" w:space="0" w:color="auto"/>
              <w:bottom w:val="single" w:sz="4" w:space="0" w:color="000000"/>
              <w:right w:val="nil" w:sz="6" w:space="0" w:color="auto"/>
            </w:tcBorders>
          </w:tcPr>
          <w:p>
            <w:pPr/>
          </w:p>
        </w:tc>
        <w:tc>
          <w:tcPr>
            <w:tcW w:w="139" w:type="dxa"/>
            <w:tcBorders>
              <w:top w:val="nil" w:sz="6" w:space="0" w:color="auto"/>
              <w:left w:val="nil" w:sz="6" w:space="0" w:color="auto"/>
              <w:bottom w:val="single" w:sz="4" w:space="0" w:color="000000"/>
              <w:right w:val="nil" w:sz="6" w:space="0" w:color="auto"/>
            </w:tcBorders>
          </w:tcPr>
          <w:p>
            <w:pPr/>
          </w:p>
        </w:tc>
        <w:tc>
          <w:tcPr>
            <w:tcW w:w="823"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single" w:sz="4" w:space="0" w:color="000000"/>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single" w:sz="4" w:space="0" w:color="000000"/>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507" w:type="dxa"/>
            <w:tcBorders>
              <w:top w:val="single" w:sz="17" w:space="0" w:color="000000"/>
              <w:left w:val="nil" w:sz="6" w:space="0" w:color="auto"/>
              <w:bottom w:val="single" w:sz="4" w:space="0" w:color="000000"/>
              <w:right w:val="nil" w:sz="6" w:space="0" w:color="auto"/>
            </w:tcBorders>
          </w:tcPr>
          <w:p>
            <w:pPr/>
          </w:p>
        </w:tc>
      </w:tr>
      <w:tr>
        <w:trPr>
          <w:trHeight w:val="222" w:hRule="exact"/>
        </w:trPr>
        <w:tc>
          <w:tcPr>
            <w:tcW w:w="13574" w:type="dxa"/>
            <w:gridSpan w:val="12"/>
            <w:tcBorders>
              <w:top w:val="single" w:sz="4" w:space="0" w:color="000000"/>
              <w:left w:val="nil" w:sz="6" w:space="0" w:color="auto"/>
              <w:bottom w:val="nil" w:sz="6" w:space="0" w:color="auto"/>
              <w:right w:val="nil" w:sz="6" w:space="0" w:color="auto"/>
            </w:tcBorders>
          </w:tcPr>
          <w:p>
            <w:pPr>
              <w:pStyle w:val="TableParagraph"/>
              <w:tabs>
                <w:tab w:pos="6245" w:val="left" w:leader="none"/>
                <w:tab w:pos="11916" w:val="left" w:leader="none"/>
              </w:tabs>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3"/>
                <w:sz w:val="18"/>
                <w:szCs w:val="18"/>
              </w:rPr>
              <w:t> </w:t>
            </w:r>
            <w:r>
              <w:rPr>
                <w:rFonts w:ascii="宋体" w:hAnsi="宋体" w:cs="宋体" w:eastAsia="宋体" w:hint="default"/>
                <w:sz w:val="18"/>
                <w:szCs w:val="18"/>
              </w:rPr>
              <w:t>孙晓玲</w:t>
              <w:tab/>
              <w:t>会计机构负责人：全</w:t>
            </w:r>
          </w:p>
        </w:tc>
        <w:tc>
          <w:tcPr>
            <w:tcW w:w="142" w:type="dxa"/>
            <w:tcBorders>
              <w:top w:val="single" w:sz="4" w:space="0" w:color="000000"/>
              <w:left w:val="nil" w:sz="6" w:space="0" w:color="auto"/>
              <w:bottom w:val="nil" w:sz="6" w:space="0" w:color="auto"/>
              <w:right w:val="nil" w:sz="6" w:space="0" w:color="auto"/>
            </w:tcBorders>
          </w:tcPr>
          <w:p>
            <w:pPr>
              <w:pStyle w:val="TableParagraph"/>
              <w:spacing w:line="217" w:lineRule="exact"/>
              <w:ind w:left="-41" w:right="0"/>
              <w:jc w:val="left"/>
              <w:rPr>
                <w:rFonts w:ascii="宋体" w:hAnsi="宋体" w:cs="宋体" w:eastAsia="宋体" w:hint="default"/>
                <w:sz w:val="18"/>
                <w:szCs w:val="18"/>
              </w:rPr>
            </w:pPr>
            <w:r>
              <w:rPr>
                <w:rFonts w:ascii="宋体" w:hAnsi="宋体" w:cs="宋体" w:eastAsia="宋体" w:hint="default"/>
                <w:sz w:val="18"/>
                <w:szCs w:val="18"/>
              </w:rPr>
              <w:t>丽</w:t>
            </w:r>
          </w:p>
        </w:tc>
        <w:tc>
          <w:tcPr>
            <w:tcW w:w="1507" w:type="dxa"/>
            <w:tcBorders>
              <w:top w:val="single" w:sz="4" w:space="0" w:color="000000"/>
              <w:left w:val="nil" w:sz="6" w:space="0" w:color="auto"/>
              <w:bottom w:val="nil" w:sz="6" w:space="0" w:color="auto"/>
              <w:right w:val="nil" w:sz="6" w:space="0" w:color="auto"/>
            </w:tcBorders>
          </w:tcPr>
          <w:p>
            <w:pPr/>
          </w:p>
        </w:tc>
      </w:tr>
    </w:tbl>
    <w:p>
      <w:pPr>
        <w:spacing w:after="0"/>
        <w:sectPr>
          <w:pgSz w:w="16840" w:h="11910" w:orient="landscape"/>
          <w:pgMar w:header="694" w:footer="782" w:top="880" w:bottom="980" w:left="400" w:right="1000"/>
        </w:sectPr>
      </w:pPr>
    </w:p>
    <w:p>
      <w:pPr>
        <w:spacing w:line="240" w:lineRule="auto" w:before="5"/>
        <w:rPr>
          <w:rFonts w:ascii="Times New Roman" w:hAnsi="Times New Roman" w:cs="Times New Roman" w:eastAsia="Times New Roman" w:hint="default"/>
          <w:sz w:val="20"/>
          <w:szCs w:val="20"/>
        </w:rPr>
      </w:pPr>
    </w:p>
    <w:p>
      <w:pPr>
        <w:spacing w:before="0"/>
        <w:ind w:left="3346" w:right="340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宋体" w:hAnsi="宋体" w:cs="宋体" w:eastAsia="宋体" w:hint="default"/>
          <w:b/>
          <w:bCs/>
          <w:sz w:val="32"/>
          <w:szCs w:val="32"/>
        </w:rPr>
        <w:t>年度财务报表附注</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pStyle w:val="Heading3"/>
        <w:spacing w:line="240" w:lineRule="auto" w:before="296"/>
        <w:ind w:left="572" w:right="106"/>
        <w:jc w:val="left"/>
        <w:rPr>
          <w:b w:val="0"/>
          <w:bCs w:val="0"/>
        </w:rPr>
      </w:pPr>
      <w:r>
        <w:rPr/>
        <w:t>一、公司基本情况</w:t>
      </w:r>
      <w:r>
        <w:rPr>
          <w:b w:val="0"/>
          <w:bCs w:val="0"/>
        </w:rPr>
      </w:r>
    </w:p>
    <w:p>
      <w:pPr>
        <w:pStyle w:val="BodyText"/>
        <w:spacing w:line="321" w:lineRule="auto" w:before="157"/>
        <w:ind w:left="572" w:right="106" w:firstLine="2"/>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宋体" w:hAnsi="宋体" w:cs="宋体" w:eastAsia="宋体" w:hint="default"/>
          <w:b/>
          <w:bCs/>
        </w:rPr>
        <w:t>公司概况</w:t>
      </w:r>
      <w:r>
        <w:rPr>
          <w:rFonts w:ascii="宋体" w:hAnsi="宋体" w:cs="宋体" w:eastAsia="宋体" w:hint="default"/>
          <w:b/>
          <w:bCs/>
          <w:w w:val="100"/>
        </w:rPr>
        <w:t> </w:t>
      </w:r>
      <w:r>
        <w:rPr/>
        <w:t>深圳市方直科技股份有限公司</w:t>
      </w:r>
      <w:r>
        <w:rPr>
          <w:rFonts w:ascii="宋体" w:hAnsi="宋体" w:cs="宋体" w:eastAsia="宋体" w:hint="default"/>
        </w:rPr>
        <w:t>(</w:t>
      </w:r>
      <w:r>
        <w:rPr/>
        <w:t>以下简称</w:t>
      </w:r>
      <w:r>
        <w:rPr>
          <w:rFonts w:ascii="宋体" w:hAnsi="宋体" w:cs="宋体" w:eastAsia="宋体" w:hint="default"/>
        </w:rPr>
        <w:t>“</w:t>
      </w:r>
      <w:r>
        <w:rPr/>
        <w:t>本公司</w:t>
      </w:r>
      <w:r>
        <w:rPr>
          <w:rFonts w:ascii="宋体" w:hAnsi="宋体" w:cs="宋体" w:eastAsia="宋体" w:hint="default"/>
        </w:rPr>
        <w:t>”</w:t>
      </w:r>
      <w:r>
        <w:rPr/>
        <w:t>或</w:t>
      </w:r>
      <w:r>
        <w:rPr>
          <w:rFonts w:ascii="宋体" w:hAnsi="宋体" w:cs="宋体" w:eastAsia="宋体" w:hint="default"/>
        </w:rPr>
        <w:t>“</w:t>
      </w:r>
      <w:r>
        <w:rPr/>
        <w:t>公司</w:t>
      </w:r>
      <w:r>
        <w:rPr>
          <w:rFonts w:ascii="宋体" w:hAnsi="宋体" w:cs="宋体" w:eastAsia="宋体" w:hint="default"/>
        </w:rPr>
        <w:t>”)</w:t>
      </w:r>
      <w:r>
        <w:rPr/>
        <w:t>是以黄元忠等</w:t>
      </w:r>
      <w:r>
        <w:rPr>
          <w:rFonts w:ascii="宋体" w:hAnsi="宋体" w:cs="宋体" w:eastAsia="宋体" w:hint="default"/>
        </w:rPr>
        <w:t>7</w:t>
      </w:r>
      <w:r>
        <w:rPr/>
        <w:t>位自然人和深圳市戈</w:t>
      </w:r>
    </w:p>
    <w:p>
      <w:pPr>
        <w:pStyle w:val="BodyText"/>
        <w:spacing w:line="408" w:lineRule="auto" w:before="122"/>
        <w:ind w:right="106"/>
        <w:jc w:val="left"/>
      </w:pPr>
      <w:r>
        <w:rPr>
          <w:spacing w:val="-2"/>
        </w:rPr>
        <w:t>尔登投资有限公司为发起人，由深圳市方直科技有限公司以整体变更方式设立的股份有限公司，领有深圳</w:t>
      </w:r>
      <w:r>
        <w:rPr>
          <w:spacing w:val="-43"/>
        </w:rPr>
        <w:t> </w:t>
      </w:r>
      <w:r>
        <w:rPr>
          <w:spacing w:val="-43"/>
        </w:rPr>
      </w:r>
      <w:r>
        <w:rPr/>
        <w:t>市工商行政管理局核发的注册号为</w:t>
      </w:r>
      <w:r>
        <w:rPr>
          <w:rFonts w:ascii="宋体" w:hAnsi="宋体" w:cs="宋体" w:eastAsia="宋体" w:hint="default"/>
        </w:rPr>
        <w:t>440301103180183</w:t>
      </w:r>
      <w:r>
        <w:rPr/>
        <w:t>号《企业法人营业执照》。</w:t>
      </w:r>
    </w:p>
    <w:p>
      <w:pPr>
        <w:pStyle w:val="BodyText"/>
        <w:spacing w:line="408" w:lineRule="auto"/>
        <w:ind w:right="211" w:firstLine="420"/>
        <w:jc w:val="both"/>
      </w:pPr>
      <w:r>
        <w:rPr/>
        <w:t>本公司前身为深圳市方直电子科技有限公司，系于</w:t>
      </w:r>
      <w:r>
        <w:rPr>
          <w:rFonts w:ascii="宋体" w:hAnsi="宋体" w:cs="宋体" w:eastAsia="宋体" w:hint="default"/>
        </w:rPr>
        <w:t>1992</w:t>
      </w:r>
      <w:r>
        <w:rPr/>
        <w:t>年</w:t>
      </w:r>
      <w:r>
        <w:rPr>
          <w:rFonts w:ascii="宋体" w:hAnsi="宋体" w:cs="宋体" w:eastAsia="宋体" w:hint="default"/>
        </w:rPr>
        <w:t>12</w:t>
      </w:r>
      <w:r>
        <w:rPr/>
        <w:t>月</w:t>
      </w:r>
      <w:r>
        <w:rPr>
          <w:rFonts w:ascii="宋体" w:hAnsi="宋体" w:cs="宋体" w:eastAsia="宋体" w:hint="default"/>
        </w:rPr>
        <w:t>2</w:t>
      </w:r>
      <w:r>
        <w:rPr/>
        <w:t>日经深圳市人民政府办公厅以深府办</w:t>
      </w:r>
      <w:r>
        <w:rPr>
          <w:w w:val="100"/>
        </w:rPr>
        <w:t> </w:t>
      </w:r>
      <w:r>
        <w:rPr/>
        <w:t>复（</w:t>
      </w:r>
      <w:r>
        <w:rPr>
          <w:rFonts w:ascii="宋体" w:hAnsi="宋体" w:cs="宋体" w:eastAsia="宋体" w:hint="default"/>
        </w:rPr>
        <w:t>1992</w:t>
      </w:r>
      <w:r>
        <w:rPr/>
        <w:t>）</w:t>
      </w:r>
      <w:r>
        <w:rPr>
          <w:rFonts w:ascii="宋体" w:hAnsi="宋体" w:cs="宋体" w:eastAsia="宋体" w:hint="default"/>
        </w:rPr>
        <w:t>1747</w:t>
      </w:r>
      <w:r>
        <w:rPr/>
        <w:t>号《关于成立深圳方直电子科技有限公司的批复》同意，成立于</w:t>
      </w:r>
      <w:r>
        <w:rPr>
          <w:rFonts w:ascii="宋体" w:hAnsi="宋体" w:cs="宋体" w:eastAsia="宋体" w:hint="default"/>
        </w:rPr>
        <w:t>1993</w:t>
      </w:r>
      <w:r>
        <w:rPr/>
        <w:t>年</w:t>
      </w:r>
      <w:r>
        <w:rPr>
          <w:rFonts w:ascii="宋体" w:hAnsi="宋体" w:cs="宋体" w:eastAsia="宋体" w:hint="default"/>
        </w:rPr>
        <w:t>2</w:t>
      </w:r>
      <w:r>
        <w:rPr/>
        <w:t>月</w:t>
      </w:r>
      <w:r>
        <w:rPr>
          <w:rFonts w:ascii="宋体" w:hAnsi="宋体" w:cs="宋体" w:eastAsia="宋体" w:hint="default"/>
        </w:rPr>
        <w:t>19</w:t>
      </w:r>
      <w:r>
        <w:rPr/>
        <w:t>日，注册资</w:t>
      </w:r>
      <w:r>
        <w:rPr>
          <w:spacing w:val="-28"/>
        </w:rPr>
        <w:t> </w:t>
      </w:r>
      <w:r>
        <w:rPr>
          <w:spacing w:val="-28"/>
        </w:rPr>
      </w:r>
      <w:r>
        <w:rPr/>
        <w:t>本人民币</w:t>
      </w:r>
      <w:r>
        <w:rPr>
          <w:rFonts w:ascii="宋体" w:hAnsi="宋体" w:cs="宋体" w:eastAsia="宋体" w:hint="default"/>
        </w:rPr>
        <w:t>30.00</w:t>
      </w:r>
      <w:r>
        <w:rPr/>
        <w:t>万元，由黄元忠、张竑天和陈克让各出资人民币</w:t>
      </w:r>
      <w:r>
        <w:rPr>
          <w:rFonts w:ascii="宋体" w:hAnsi="宋体" w:cs="宋体" w:eastAsia="宋体" w:hint="default"/>
        </w:rPr>
        <w:t>10.00</w:t>
      </w:r>
      <w:r>
        <w:rPr/>
        <w:t>万元设立。</w:t>
      </w:r>
    </w:p>
    <w:p>
      <w:pPr>
        <w:pStyle w:val="BodyText"/>
        <w:spacing w:line="408" w:lineRule="auto"/>
        <w:ind w:right="207" w:firstLine="420"/>
        <w:jc w:val="both"/>
      </w:pPr>
      <w:r>
        <w:rPr>
          <w:rFonts w:ascii="宋体" w:hAnsi="宋体" w:cs="宋体" w:eastAsia="宋体" w:hint="default"/>
        </w:rPr>
        <w:t>1997</w:t>
      </w:r>
      <w:r>
        <w:rPr/>
        <w:t>年</w:t>
      </w:r>
      <w:r>
        <w:rPr>
          <w:rFonts w:ascii="宋体" w:hAnsi="宋体" w:cs="宋体" w:eastAsia="宋体" w:hint="default"/>
        </w:rPr>
        <w:t>5</w:t>
      </w:r>
      <w:r>
        <w:rPr/>
        <w:t>月</w:t>
      </w:r>
      <w:r>
        <w:rPr>
          <w:rFonts w:ascii="宋体" w:hAnsi="宋体" w:cs="宋体" w:eastAsia="宋体" w:hint="default"/>
        </w:rPr>
        <w:t>15</w:t>
      </w:r>
      <w:r>
        <w:rPr/>
        <w:t>日，本公司股东会通过决议，同意张竑天将所持公司股权转让给黄晓峰；同意广州保税</w:t>
      </w:r>
      <w:r>
        <w:rPr>
          <w:w w:val="100"/>
        </w:rPr>
        <w:t> </w:t>
      </w:r>
      <w:r>
        <w:rPr>
          <w:spacing w:val="-2"/>
        </w:rPr>
        <w:t>区开特科技发展有限公司、广州保税区立诚经济发展有限公司及本公司原股东对公司进行增资，增资后注</w:t>
      </w:r>
      <w:r>
        <w:rPr>
          <w:spacing w:val="-43"/>
        </w:rPr>
        <w:t> </w:t>
      </w:r>
      <w:r>
        <w:rPr>
          <w:spacing w:val="-43"/>
        </w:rPr>
      </w:r>
      <w:r>
        <w:rPr/>
        <w:t>册资本变更为人民币</w:t>
      </w:r>
      <w:r>
        <w:rPr>
          <w:rFonts w:ascii="宋体" w:hAnsi="宋体" w:cs="宋体" w:eastAsia="宋体" w:hint="default"/>
        </w:rPr>
        <w:t>395.00</w:t>
      </w:r>
      <w:r>
        <w:rPr/>
        <w:t>万元。本公司于</w:t>
      </w:r>
      <w:r>
        <w:rPr>
          <w:rFonts w:ascii="宋体" w:hAnsi="宋体" w:cs="宋体" w:eastAsia="宋体" w:hint="default"/>
        </w:rPr>
        <w:t>1997</w:t>
      </w:r>
      <w:r>
        <w:rPr/>
        <w:t>年</w:t>
      </w:r>
      <w:r>
        <w:rPr>
          <w:rFonts w:ascii="宋体" w:hAnsi="宋体" w:cs="宋体" w:eastAsia="宋体" w:hint="default"/>
        </w:rPr>
        <w:t>7</w:t>
      </w:r>
      <w:r>
        <w:rPr/>
        <w:t>月</w:t>
      </w:r>
      <w:r>
        <w:rPr>
          <w:rFonts w:ascii="宋体" w:hAnsi="宋体" w:cs="宋体" w:eastAsia="宋体" w:hint="default"/>
        </w:rPr>
        <w:t>7</w:t>
      </w:r>
      <w:r>
        <w:rPr/>
        <w:t>日完成工商变更登记。</w:t>
      </w:r>
    </w:p>
    <w:p>
      <w:pPr>
        <w:pStyle w:val="BodyText"/>
        <w:spacing w:line="408" w:lineRule="auto"/>
        <w:ind w:right="212" w:firstLine="420"/>
        <w:jc w:val="both"/>
      </w:pPr>
      <w:r>
        <w:rPr>
          <w:rFonts w:ascii="宋体" w:hAnsi="宋体" w:cs="宋体" w:eastAsia="宋体" w:hint="default"/>
        </w:rPr>
        <w:t>1999</w:t>
      </w:r>
      <w:r>
        <w:rPr/>
        <w:t>年</w:t>
      </w:r>
      <w:r>
        <w:rPr>
          <w:rFonts w:ascii="宋体" w:hAnsi="宋体" w:cs="宋体" w:eastAsia="宋体" w:hint="default"/>
        </w:rPr>
        <w:t>8</w:t>
      </w:r>
      <w:r>
        <w:rPr/>
        <w:t>月</w:t>
      </w:r>
      <w:r>
        <w:rPr>
          <w:rFonts w:ascii="宋体" w:hAnsi="宋体" w:cs="宋体" w:eastAsia="宋体" w:hint="default"/>
        </w:rPr>
        <w:t>11</w:t>
      </w:r>
      <w:r>
        <w:rPr/>
        <w:t>日，本公司股东会通过决议，同意深圳市菲莫斯实业发展有限公司对公司进行增资，增</w:t>
      </w:r>
      <w:r>
        <w:rPr>
          <w:w w:val="100"/>
        </w:rPr>
        <w:t> </w:t>
      </w:r>
      <w:r>
        <w:rPr/>
        <w:t>资后注册资本变更为人民币</w:t>
      </w:r>
      <w:r>
        <w:rPr>
          <w:rFonts w:ascii="宋体" w:hAnsi="宋体" w:cs="宋体" w:eastAsia="宋体" w:hint="default"/>
        </w:rPr>
        <w:t>806.12</w:t>
      </w:r>
      <w:r>
        <w:rPr/>
        <w:t>万元。本公司于</w:t>
      </w:r>
      <w:r>
        <w:rPr>
          <w:rFonts w:ascii="宋体" w:hAnsi="宋体" w:cs="宋体" w:eastAsia="宋体" w:hint="default"/>
        </w:rPr>
        <w:t>1999</w:t>
      </w:r>
      <w:r>
        <w:rPr/>
        <w:t>年</w:t>
      </w:r>
      <w:r>
        <w:rPr>
          <w:rFonts w:ascii="宋体" w:hAnsi="宋体" w:cs="宋体" w:eastAsia="宋体" w:hint="default"/>
        </w:rPr>
        <w:t>10</w:t>
      </w:r>
      <w:r>
        <w:rPr/>
        <w:t>月</w:t>
      </w:r>
      <w:r>
        <w:rPr>
          <w:rFonts w:ascii="宋体" w:hAnsi="宋体" w:cs="宋体" w:eastAsia="宋体" w:hint="default"/>
        </w:rPr>
        <w:t>11</w:t>
      </w:r>
      <w:r>
        <w:rPr/>
        <w:t>日完成工商变更登记。</w:t>
      </w:r>
    </w:p>
    <w:p>
      <w:pPr>
        <w:pStyle w:val="BodyText"/>
        <w:spacing w:line="408" w:lineRule="auto"/>
        <w:ind w:right="211" w:firstLine="420"/>
        <w:jc w:val="both"/>
      </w:pPr>
      <w:r>
        <w:rPr>
          <w:rFonts w:ascii="宋体" w:hAnsi="宋体" w:cs="宋体" w:eastAsia="宋体" w:hint="default"/>
        </w:rPr>
        <w:t>2000</w:t>
      </w:r>
      <w:r>
        <w:rPr/>
        <w:t>年</w:t>
      </w:r>
      <w:r>
        <w:rPr>
          <w:rFonts w:ascii="宋体" w:hAnsi="宋体" w:cs="宋体" w:eastAsia="宋体" w:hint="default"/>
        </w:rPr>
        <w:t>7</w:t>
      </w:r>
      <w:r>
        <w:rPr/>
        <w:t>月</w:t>
      </w:r>
      <w:r>
        <w:rPr>
          <w:rFonts w:ascii="宋体" w:hAnsi="宋体" w:cs="宋体" w:eastAsia="宋体" w:hint="default"/>
        </w:rPr>
        <w:t>,</w:t>
      </w:r>
      <w:r>
        <w:rPr>
          <w:rFonts w:ascii="宋体" w:hAnsi="宋体" w:cs="宋体" w:eastAsia="宋体" w:hint="default"/>
          <w:spacing w:val="68"/>
        </w:rPr>
        <w:t> </w:t>
      </w:r>
      <w:r>
        <w:rPr/>
        <w:t>经深圳市福田区公证处以</w:t>
      </w:r>
      <w:r>
        <w:rPr>
          <w:rFonts w:ascii="宋体" w:hAnsi="宋体" w:cs="宋体" w:eastAsia="宋体" w:hint="default"/>
        </w:rPr>
        <w:t>“</w:t>
      </w:r>
      <w:r>
        <w:rPr/>
        <w:t>（</w:t>
      </w:r>
      <w:r>
        <w:rPr>
          <w:rFonts w:ascii="宋体" w:hAnsi="宋体" w:cs="宋体" w:eastAsia="宋体" w:hint="default"/>
        </w:rPr>
        <w:t>2000</w:t>
      </w:r>
      <w:r>
        <w:rPr/>
        <w:t>）深福证字第</w:t>
      </w:r>
      <w:r>
        <w:rPr>
          <w:rFonts w:ascii="宋体" w:hAnsi="宋体" w:cs="宋体" w:eastAsia="宋体" w:hint="default"/>
        </w:rPr>
        <w:t>2795</w:t>
      </w:r>
      <w:r>
        <w:rPr/>
        <w:t>号</w:t>
      </w:r>
      <w:r>
        <w:rPr>
          <w:rFonts w:ascii="宋体" w:hAnsi="宋体" w:cs="宋体" w:eastAsia="宋体" w:hint="default"/>
        </w:rPr>
        <w:t>”</w:t>
      </w:r>
      <w:r>
        <w:rPr/>
        <w:t>公证书公证，深圳市菲莫斯实</w:t>
      </w:r>
      <w:r>
        <w:rPr>
          <w:w w:val="100"/>
        </w:rPr>
        <w:t> </w:t>
      </w:r>
      <w:r>
        <w:rPr>
          <w:spacing w:val="-2"/>
        </w:rPr>
        <w:t>业发展有限公司将其所持公司</w:t>
      </w:r>
      <w:r>
        <w:rPr>
          <w:rFonts w:ascii="宋体" w:hAnsi="宋体" w:cs="宋体" w:eastAsia="宋体" w:hint="default"/>
          <w:spacing w:val="-2"/>
        </w:rPr>
        <w:t>51%</w:t>
      </w:r>
      <w:r>
        <w:rPr>
          <w:spacing w:val="-2"/>
        </w:rPr>
        <w:t>的股权转让给深圳市菲莫斯科技开发有限公司。本公司于</w:t>
      </w:r>
      <w:r>
        <w:rPr>
          <w:rFonts w:ascii="宋体" w:hAnsi="宋体" w:cs="宋体" w:eastAsia="宋体" w:hint="default"/>
          <w:spacing w:val="-2"/>
        </w:rPr>
        <w:t>2000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24</w:t>
      </w:r>
      <w:r>
        <w:rPr>
          <w:spacing w:val="-2"/>
        </w:rPr>
        <w:t>日</w:t>
      </w:r>
      <w:r>
        <w:rPr>
          <w:spacing w:val="-39"/>
        </w:rPr>
        <w:t> </w:t>
      </w:r>
      <w:r>
        <w:rPr/>
        <w:t>完成工商变更登记。</w:t>
      </w:r>
    </w:p>
    <w:p>
      <w:pPr>
        <w:pStyle w:val="BodyText"/>
        <w:spacing w:line="408" w:lineRule="auto"/>
        <w:ind w:right="106" w:firstLine="420"/>
        <w:jc w:val="left"/>
      </w:pPr>
      <w:r>
        <w:rPr>
          <w:rFonts w:ascii="宋体" w:hAnsi="宋体" w:cs="宋体" w:eastAsia="宋体" w:hint="default"/>
        </w:rPr>
        <w:t>2005</w:t>
      </w:r>
      <w:r>
        <w:rPr/>
        <w:t>年</w:t>
      </w:r>
      <w:r>
        <w:rPr>
          <w:rFonts w:ascii="宋体" w:hAnsi="宋体" w:cs="宋体" w:eastAsia="宋体" w:hint="default"/>
        </w:rPr>
        <w:t>7</w:t>
      </w:r>
      <w:r>
        <w:rPr/>
        <w:t>月，经深圳国际高新技术产权交易所以</w:t>
      </w:r>
      <w:r>
        <w:rPr>
          <w:rFonts w:ascii="宋体" w:hAnsi="宋体" w:cs="宋体" w:eastAsia="宋体" w:hint="default"/>
        </w:rPr>
        <w:t>“</w:t>
      </w:r>
      <w:r>
        <w:rPr/>
        <w:t>深高交所见（</w:t>
      </w:r>
      <w:r>
        <w:rPr>
          <w:rFonts w:ascii="宋体" w:hAnsi="宋体" w:cs="宋体" w:eastAsia="宋体" w:hint="default"/>
        </w:rPr>
        <w:t>2005</w:t>
      </w:r>
      <w:r>
        <w:rPr/>
        <w:t>）字第</w:t>
      </w:r>
      <w:r>
        <w:rPr>
          <w:rFonts w:ascii="宋体" w:hAnsi="宋体" w:cs="宋体" w:eastAsia="宋体" w:hint="default"/>
        </w:rPr>
        <w:t>2244</w:t>
      </w:r>
      <w:r>
        <w:rPr/>
        <w:t>号</w:t>
      </w:r>
      <w:r>
        <w:rPr>
          <w:rFonts w:ascii="宋体" w:hAnsi="宋体" w:cs="宋体" w:eastAsia="宋体" w:hint="default"/>
        </w:rPr>
        <w:t>”</w:t>
      </w:r>
      <w:r>
        <w:rPr/>
        <w:t>《股权转让见证</w:t>
      </w:r>
      <w:r>
        <w:rPr>
          <w:w w:val="100"/>
        </w:rPr>
        <w:t> </w:t>
      </w:r>
      <w:r>
        <w:rPr/>
        <w:t>书》见证，深圳市金汛新世纪投资发展有限公司（原名深圳市菲莫斯科技开发有限公司）将所持公司</w:t>
      </w:r>
      <w:r>
        <w:rPr>
          <w:rFonts w:ascii="宋体" w:hAnsi="宋体" w:cs="宋体" w:eastAsia="宋体" w:hint="default"/>
        </w:rPr>
        <w:t>51%</w:t>
      </w:r>
      <w:r>
        <w:rPr>
          <w:rFonts w:ascii="宋体" w:hAnsi="宋体" w:cs="宋体" w:eastAsia="宋体" w:hint="default"/>
          <w:spacing w:val="-33"/>
        </w:rPr>
        <w:t> </w:t>
      </w:r>
      <w:r>
        <w:rPr>
          <w:spacing w:val="-4"/>
        </w:rPr>
        <w:t>的股权转让给黄晓峰。转让后黄晓峰持股</w:t>
      </w:r>
      <w:r>
        <w:rPr>
          <w:rFonts w:ascii="宋体" w:hAnsi="宋体" w:cs="宋体" w:eastAsia="宋体" w:hint="default"/>
          <w:spacing w:val="-4"/>
        </w:rPr>
        <w:t>59.06%</w:t>
      </w:r>
      <w:r>
        <w:rPr>
          <w:spacing w:val="-4"/>
        </w:rPr>
        <w:t>。本公司于</w:t>
      </w:r>
      <w:r>
        <w:rPr>
          <w:rFonts w:ascii="宋体" w:hAnsi="宋体" w:cs="宋体" w:eastAsia="宋体" w:hint="default"/>
          <w:spacing w:val="-4"/>
        </w:rPr>
        <w:t>2005</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26</w:t>
      </w:r>
      <w:r>
        <w:rPr>
          <w:spacing w:val="-4"/>
        </w:rPr>
        <w:t>日完成工商变更登记。</w:t>
      </w:r>
      <w:r>
        <w:rPr>
          <w:rFonts w:ascii="宋体" w:hAnsi="宋体" w:cs="宋体" w:eastAsia="宋体" w:hint="default"/>
          <w:spacing w:val="-4"/>
        </w:rPr>
        <w:t>2005</w:t>
      </w:r>
      <w:r>
        <w:rPr>
          <w:spacing w:val="-4"/>
        </w:rPr>
        <w:t>年</w:t>
      </w:r>
      <w:r>
        <w:rPr>
          <w:rFonts w:ascii="宋体" w:hAnsi="宋体" w:cs="宋体" w:eastAsia="宋体" w:hint="default"/>
          <w:spacing w:val="-4"/>
        </w:rPr>
        <w:t>8</w:t>
      </w:r>
      <w:r>
        <w:rPr>
          <w:spacing w:val="-4"/>
        </w:rPr>
        <w:t>月，</w:t>
      </w:r>
      <w:r>
        <w:rPr>
          <w:spacing w:val="-20"/>
        </w:rPr>
        <w:t> </w:t>
      </w:r>
      <w:r>
        <w:rPr/>
        <w:t>公司名称变更为</w:t>
      </w:r>
      <w:r>
        <w:rPr>
          <w:rFonts w:ascii="宋体" w:hAnsi="宋体" w:cs="宋体" w:eastAsia="宋体" w:hint="default"/>
        </w:rPr>
        <w:t>“</w:t>
      </w:r>
      <w:r>
        <w:rPr/>
        <w:t>深圳市方直科技有限公司</w:t>
      </w:r>
      <w:r>
        <w:rPr>
          <w:rFonts w:ascii="宋体" w:hAnsi="宋体" w:cs="宋体" w:eastAsia="宋体" w:hint="default"/>
        </w:rPr>
        <w:t>”</w:t>
      </w:r>
      <w:r>
        <w:rPr/>
        <w:t>。</w:t>
      </w:r>
    </w:p>
    <w:p>
      <w:pPr>
        <w:pStyle w:val="BodyText"/>
        <w:spacing w:line="408" w:lineRule="auto"/>
        <w:ind w:right="211" w:firstLine="420"/>
        <w:jc w:val="both"/>
      </w:pPr>
      <w:r>
        <w:rPr>
          <w:rFonts w:ascii="宋体" w:hAnsi="宋体" w:cs="宋体" w:eastAsia="宋体" w:hint="default"/>
        </w:rPr>
        <w:t>2006</w:t>
      </w:r>
      <w:r>
        <w:rPr/>
        <w:t>年</w:t>
      </w:r>
      <w:r>
        <w:rPr>
          <w:rFonts w:ascii="宋体" w:hAnsi="宋体" w:cs="宋体" w:eastAsia="宋体" w:hint="default"/>
        </w:rPr>
        <w:t>1</w:t>
      </w:r>
      <w:r>
        <w:rPr/>
        <w:t>月，经深圳国际高新技术产权交易所以</w:t>
      </w:r>
      <w:r>
        <w:rPr>
          <w:rFonts w:ascii="宋体" w:hAnsi="宋体" w:cs="宋体" w:eastAsia="宋体" w:hint="default"/>
        </w:rPr>
        <w:t>“</w:t>
      </w:r>
      <w:r>
        <w:rPr/>
        <w:t>深高交所见（</w:t>
      </w:r>
      <w:r>
        <w:rPr>
          <w:rFonts w:ascii="宋体" w:hAnsi="宋体" w:cs="宋体" w:eastAsia="宋体" w:hint="default"/>
        </w:rPr>
        <w:t>2006</w:t>
      </w:r>
      <w:r>
        <w:rPr/>
        <w:t>）字第</w:t>
      </w:r>
      <w:r>
        <w:rPr>
          <w:rFonts w:ascii="宋体" w:hAnsi="宋体" w:cs="宋体" w:eastAsia="宋体" w:hint="default"/>
        </w:rPr>
        <w:t>153</w:t>
      </w:r>
      <w:r>
        <w:rPr/>
        <w:t>号及</w:t>
      </w:r>
      <w:r>
        <w:rPr>
          <w:rFonts w:ascii="宋体" w:hAnsi="宋体" w:cs="宋体" w:eastAsia="宋体" w:hint="default"/>
        </w:rPr>
        <w:t>154</w:t>
      </w:r>
      <w:r>
        <w:rPr/>
        <w:t>号</w:t>
      </w:r>
      <w:r>
        <w:rPr>
          <w:rFonts w:ascii="宋体" w:hAnsi="宋体" w:cs="宋体" w:eastAsia="宋体" w:hint="default"/>
        </w:rPr>
        <w:t>”</w:t>
      </w:r>
      <w:r>
        <w:rPr/>
        <w:t>《股权转</w:t>
      </w:r>
      <w:r>
        <w:rPr>
          <w:w w:val="100"/>
        </w:rPr>
        <w:t> </w:t>
      </w:r>
      <w:r>
        <w:rPr/>
        <w:t>让见证书》见证，广州保税区开特科技发展有限公司及广州市立诚贸易有限公司</w:t>
      </w:r>
      <w:r>
        <w:rPr>
          <w:rFonts w:ascii="宋体" w:hAnsi="宋体" w:cs="宋体" w:eastAsia="宋体" w:hint="default"/>
        </w:rPr>
        <w:t>(</w:t>
      </w:r>
      <w:r>
        <w:rPr/>
        <w:t>原名广州保税区立诚经</w:t>
      </w:r>
      <w:r>
        <w:rPr>
          <w:spacing w:val="-25"/>
        </w:rPr>
        <w:t> </w:t>
      </w:r>
      <w:r>
        <w:rPr>
          <w:spacing w:val="-25"/>
        </w:rPr>
      </w:r>
      <w:r>
        <w:rPr/>
        <w:t>济发展有限公司</w:t>
      </w:r>
      <w:r>
        <w:rPr>
          <w:rFonts w:ascii="宋体" w:hAnsi="宋体" w:cs="宋体" w:eastAsia="宋体" w:hint="default"/>
        </w:rPr>
        <w:t>)</w:t>
      </w:r>
      <w:r>
        <w:rPr/>
        <w:t>分别将所持公司</w:t>
      </w:r>
      <w:r>
        <w:rPr>
          <w:rFonts w:ascii="宋体" w:hAnsi="宋体" w:cs="宋体" w:eastAsia="宋体" w:hint="default"/>
        </w:rPr>
        <w:t>12.41%</w:t>
      </w:r>
      <w:r>
        <w:rPr/>
        <w:t>的股权转让给黄晓峰。转让后黄晓峰持股</w:t>
      </w:r>
      <w:r>
        <w:rPr>
          <w:rFonts w:ascii="宋体" w:hAnsi="宋体" w:cs="宋体" w:eastAsia="宋体" w:hint="default"/>
        </w:rPr>
        <w:t>83.88%</w:t>
      </w:r>
      <w:r>
        <w:rPr/>
        <w:t>。本公司于</w:t>
      </w:r>
      <w:r>
        <w:rPr>
          <w:rFonts w:ascii="宋体" w:hAnsi="宋体" w:cs="宋体" w:eastAsia="宋体" w:hint="default"/>
        </w:rPr>
        <w:t>2006</w:t>
      </w:r>
      <w:r>
        <w:rPr>
          <w:rFonts w:ascii="宋体" w:hAnsi="宋体" w:cs="宋体" w:eastAsia="宋体" w:hint="default"/>
          <w:spacing w:val="-32"/>
        </w:rPr>
        <w:t> </w:t>
      </w:r>
      <w:r>
        <w:rPr>
          <w:rFonts w:ascii="宋体" w:hAnsi="宋体" w:cs="宋体" w:eastAsia="宋体" w:hint="default"/>
          <w:spacing w:val="-32"/>
        </w:rPr>
      </w:r>
      <w:r>
        <w:rPr/>
        <w:t>年</w:t>
      </w:r>
      <w:r>
        <w:rPr>
          <w:rFonts w:ascii="宋体" w:hAnsi="宋体" w:cs="宋体" w:eastAsia="宋体" w:hint="default"/>
        </w:rPr>
        <w:t>1</w:t>
      </w:r>
      <w:r>
        <w:rPr/>
        <w:t>月</w:t>
      </w:r>
      <w:r>
        <w:rPr>
          <w:rFonts w:ascii="宋体" w:hAnsi="宋体" w:cs="宋体" w:eastAsia="宋体" w:hint="default"/>
        </w:rPr>
        <w:t>19</w:t>
      </w:r>
      <w:r>
        <w:rPr/>
        <w:t>日完成工商变更登记。</w:t>
      </w:r>
    </w:p>
    <w:p>
      <w:pPr>
        <w:pStyle w:val="BodyText"/>
        <w:spacing w:line="408" w:lineRule="auto"/>
        <w:ind w:right="106" w:firstLine="420"/>
        <w:jc w:val="left"/>
      </w:pPr>
      <w:r>
        <w:rPr>
          <w:rFonts w:ascii="宋体" w:hAnsi="宋体" w:cs="宋体" w:eastAsia="宋体" w:hint="default"/>
          <w:spacing w:val="-5"/>
        </w:rPr>
        <w:t>2006</w:t>
      </w:r>
      <w:r>
        <w:rPr>
          <w:spacing w:val="-5"/>
        </w:rPr>
        <w:t>年</w:t>
      </w:r>
      <w:r>
        <w:rPr>
          <w:rFonts w:ascii="宋体" w:hAnsi="宋体" w:cs="宋体" w:eastAsia="宋体" w:hint="default"/>
          <w:spacing w:val="-5"/>
        </w:rPr>
        <w:t>2</w:t>
      </w:r>
      <w:r>
        <w:rPr>
          <w:spacing w:val="-5"/>
        </w:rPr>
        <w:t>月，经深圳国际高新技术产权交易所以</w:t>
      </w:r>
      <w:r>
        <w:rPr>
          <w:rFonts w:ascii="宋体" w:hAnsi="宋体" w:cs="宋体" w:eastAsia="宋体" w:hint="default"/>
          <w:spacing w:val="-5"/>
        </w:rPr>
        <w:t>“</w:t>
      </w:r>
      <w:r>
        <w:rPr>
          <w:spacing w:val="-5"/>
        </w:rPr>
        <w:t>深高交所见（</w:t>
      </w:r>
      <w:r>
        <w:rPr>
          <w:rFonts w:ascii="宋体" w:hAnsi="宋体" w:cs="宋体" w:eastAsia="宋体" w:hint="default"/>
          <w:spacing w:val="-5"/>
        </w:rPr>
        <w:t>2006</w:t>
      </w:r>
      <w:r>
        <w:rPr>
          <w:spacing w:val="-5"/>
        </w:rPr>
        <w:t>）字第</w:t>
      </w:r>
      <w:r>
        <w:rPr>
          <w:spacing w:val="-34"/>
        </w:rPr>
        <w:t> </w:t>
      </w:r>
      <w:r>
        <w:rPr>
          <w:rFonts w:ascii="宋体" w:hAnsi="宋体" w:cs="宋体" w:eastAsia="宋体" w:hint="default"/>
          <w:spacing w:val="-4"/>
        </w:rPr>
        <w:t>468</w:t>
      </w:r>
      <w:r>
        <w:rPr>
          <w:spacing w:val="-4"/>
        </w:rPr>
        <w:t>号</w:t>
      </w:r>
      <w:r>
        <w:rPr>
          <w:rFonts w:ascii="宋体" w:hAnsi="宋体" w:cs="宋体" w:eastAsia="宋体" w:hint="default"/>
          <w:spacing w:val="-4"/>
        </w:rPr>
        <w:t>”</w:t>
      </w:r>
      <w:r>
        <w:rPr>
          <w:spacing w:val="-4"/>
        </w:rPr>
        <w:t>《股权转让见证书》</w:t>
      </w:r>
      <w:r>
        <w:rPr>
          <w:w w:val="100"/>
        </w:rPr>
        <w:t> </w:t>
      </w:r>
      <w:r>
        <w:rPr>
          <w:spacing w:val="-2"/>
        </w:rPr>
        <w:t>见证，黄晓峰将所持公司</w:t>
      </w:r>
      <w:r>
        <w:rPr>
          <w:rFonts w:ascii="宋体" w:hAnsi="宋体" w:cs="宋体" w:eastAsia="宋体" w:hint="default"/>
          <w:spacing w:val="-2"/>
        </w:rPr>
        <w:t>25.94%</w:t>
      </w:r>
      <w:r>
        <w:rPr>
          <w:spacing w:val="-2"/>
        </w:rPr>
        <w:t>的股权转让给黄元忠，将所持公司</w:t>
      </w:r>
      <w:r>
        <w:rPr>
          <w:rFonts w:ascii="宋体" w:hAnsi="宋体" w:cs="宋体" w:eastAsia="宋体" w:hint="default"/>
          <w:spacing w:val="-2"/>
        </w:rPr>
        <w:t>24.94%</w:t>
      </w:r>
      <w:r>
        <w:rPr>
          <w:spacing w:val="-2"/>
        </w:rPr>
        <w:t>的股权转让给陈克让，转让后黄</w:t>
      </w:r>
      <w:r>
        <w:rPr>
          <w:spacing w:val="-39"/>
        </w:rPr>
        <w:t> </w:t>
      </w:r>
      <w:r>
        <w:rPr>
          <w:spacing w:val="-39"/>
        </w:rPr>
      </w:r>
      <w:r>
        <w:rPr/>
        <w:t>晓峰持股</w:t>
      </w:r>
      <w:r>
        <w:rPr>
          <w:rFonts w:ascii="宋体" w:hAnsi="宋体" w:cs="宋体" w:eastAsia="宋体" w:hint="default"/>
        </w:rPr>
        <w:t>33%</w:t>
      </w:r>
      <w:r>
        <w:rPr/>
        <w:t>，黄元忠持股</w:t>
      </w:r>
      <w:r>
        <w:rPr>
          <w:rFonts w:ascii="宋体" w:hAnsi="宋体" w:cs="宋体" w:eastAsia="宋体" w:hint="default"/>
        </w:rPr>
        <w:t>34%</w:t>
      </w:r>
      <w:r>
        <w:rPr/>
        <w:t>，陈克让持股</w:t>
      </w:r>
      <w:r>
        <w:rPr>
          <w:rFonts w:ascii="宋体" w:hAnsi="宋体" w:cs="宋体" w:eastAsia="宋体" w:hint="default"/>
        </w:rPr>
        <w:t>33%</w:t>
      </w:r>
      <w:r>
        <w:rPr/>
        <w:t>。本公司于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21</w:t>
      </w:r>
      <w:r>
        <w:rPr/>
        <w:t>日完成工商变更登记。</w:t>
      </w:r>
    </w:p>
    <w:p>
      <w:pPr>
        <w:spacing w:after="0" w:line="408" w:lineRule="auto"/>
        <w:jc w:val="left"/>
        <w:sectPr>
          <w:headerReference w:type="default" r:id="rId45"/>
          <w:footerReference w:type="default" r:id="rId46"/>
          <w:pgSz w:w="11910" w:h="16840"/>
          <w:pgMar w:header="990" w:footer="1066" w:top="1220" w:bottom="1260" w:left="980" w:right="920"/>
          <w:pgNumType w:start="85"/>
        </w:sectPr>
      </w:pPr>
    </w:p>
    <w:p>
      <w:pPr>
        <w:spacing w:line="240" w:lineRule="auto" w:before="4"/>
        <w:rPr>
          <w:rFonts w:ascii="宋体" w:hAnsi="宋体" w:cs="宋体" w:eastAsia="宋体" w:hint="default"/>
          <w:sz w:val="16"/>
          <w:szCs w:val="16"/>
        </w:rPr>
      </w:pPr>
    </w:p>
    <w:p>
      <w:pPr>
        <w:pStyle w:val="BodyText"/>
        <w:spacing w:line="408" w:lineRule="auto" w:before="36"/>
        <w:ind w:right="106" w:firstLine="420"/>
        <w:jc w:val="left"/>
      </w:pP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29</w:t>
      </w:r>
      <w:r>
        <w:rPr/>
        <w:t>日，本公司股东会通过决议，同意黄元忠和黄晓峰分别将其</w:t>
      </w:r>
      <w:r>
        <w:rPr>
          <w:rFonts w:ascii="宋体" w:hAnsi="宋体" w:cs="宋体" w:eastAsia="宋体" w:hint="default"/>
        </w:rPr>
        <w:t>1.7%</w:t>
      </w:r>
      <w:r>
        <w:rPr/>
        <w:t>和</w:t>
      </w:r>
      <w:r>
        <w:rPr>
          <w:rFonts w:ascii="宋体" w:hAnsi="宋体" w:cs="宋体" w:eastAsia="宋体" w:hint="default"/>
        </w:rPr>
        <w:t>1.2%</w:t>
      </w:r>
      <w:r>
        <w:rPr/>
        <w:t>的股权转让给张</w:t>
      </w:r>
      <w:r>
        <w:rPr>
          <w:w w:val="100"/>
        </w:rPr>
        <w:t> </w:t>
      </w:r>
      <w:r>
        <w:rPr>
          <w:spacing w:val="-2"/>
        </w:rPr>
        <w:t>文凯；黄晓峰和陈克让分别将其</w:t>
      </w:r>
      <w:r>
        <w:rPr>
          <w:rFonts w:ascii="宋体" w:hAnsi="宋体" w:cs="宋体" w:eastAsia="宋体" w:hint="default"/>
          <w:spacing w:val="-2"/>
        </w:rPr>
        <w:t>2.972%</w:t>
      </w:r>
      <w:r>
        <w:rPr>
          <w:spacing w:val="-2"/>
        </w:rPr>
        <w:t>和</w:t>
      </w:r>
      <w:r>
        <w:rPr>
          <w:rFonts w:ascii="宋体" w:hAnsi="宋体" w:cs="宋体" w:eastAsia="宋体" w:hint="default"/>
          <w:spacing w:val="-2"/>
        </w:rPr>
        <w:t>0.7%</w:t>
      </w:r>
      <w:r>
        <w:rPr>
          <w:spacing w:val="-2"/>
        </w:rPr>
        <w:t>的股权转让给孙晓玲；黄晓峰将其</w:t>
      </w:r>
      <w:r>
        <w:rPr>
          <w:rFonts w:ascii="宋体" w:hAnsi="宋体" w:cs="宋体" w:eastAsia="宋体" w:hint="default"/>
          <w:spacing w:val="-2"/>
        </w:rPr>
        <w:t>0.259%</w:t>
      </w:r>
      <w:r>
        <w:rPr>
          <w:spacing w:val="-2"/>
        </w:rPr>
        <w:t>的股权转让给吴文</w:t>
      </w:r>
      <w:r>
        <w:rPr>
          <w:spacing w:val="-27"/>
        </w:rPr>
        <w:t> </w:t>
      </w:r>
      <w:r>
        <w:rPr>
          <w:spacing w:val="-27"/>
        </w:rPr>
      </w:r>
      <w:r>
        <w:rPr>
          <w:spacing w:val="-2"/>
        </w:rPr>
        <w:t>峰；陈克让将其</w:t>
      </w:r>
      <w:r>
        <w:rPr>
          <w:rFonts w:ascii="宋体" w:hAnsi="宋体" w:cs="宋体" w:eastAsia="宋体" w:hint="default"/>
          <w:spacing w:val="-2"/>
        </w:rPr>
        <w:t>3.472%</w:t>
      </w:r>
      <w:r>
        <w:rPr>
          <w:spacing w:val="-2"/>
        </w:rPr>
        <w:t>的股权转让给杨颖；并同意深圳市戈尔登投资有限公司以货币资金人民币</w:t>
      </w:r>
      <w:r>
        <w:rPr>
          <w:rFonts w:ascii="宋体" w:hAnsi="宋体" w:cs="宋体" w:eastAsia="宋体" w:hint="default"/>
          <w:spacing w:val="-2"/>
        </w:rPr>
        <w:t>232.00</w:t>
      </w:r>
      <w:r>
        <w:rPr>
          <w:spacing w:val="-2"/>
        </w:rPr>
        <w:t>万</w:t>
      </w:r>
      <w:r>
        <w:rPr>
          <w:spacing w:val="-36"/>
        </w:rPr>
        <w:t> </w:t>
      </w:r>
      <w:r>
        <w:rPr/>
        <w:t>元对本公司进行增资。其中，</w:t>
      </w:r>
      <w:r>
        <w:rPr>
          <w:rFonts w:ascii="宋体" w:hAnsi="宋体" w:cs="宋体" w:eastAsia="宋体" w:hint="default"/>
        </w:rPr>
        <w:t>55.53</w:t>
      </w:r>
      <w:r>
        <w:rPr/>
        <w:t>万元为新增注册资本，其余部分</w:t>
      </w:r>
      <w:r>
        <w:rPr>
          <w:rFonts w:ascii="宋体" w:hAnsi="宋体" w:cs="宋体" w:eastAsia="宋体" w:hint="default"/>
        </w:rPr>
        <w:t>176.47</w:t>
      </w:r>
      <w:r>
        <w:rPr/>
        <w:t>万元为资本公积。深圳国际高</w:t>
      </w:r>
      <w:r>
        <w:rPr>
          <w:spacing w:val="-27"/>
        </w:rPr>
        <w:t> </w:t>
      </w:r>
      <w:r>
        <w:rPr>
          <w:spacing w:val="-27"/>
        </w:rPr>
      </w:r>
      <w:r>
        <w:rPr/>
        <w:t>新技术产权交易所分别于</w:t>
      </w: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30</w:t>
      </w:r>
      <w:r>
        <w:rPr/>
        <w:t>日、</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18</w:t>
      </w:r>
      <w:r>
        <w:rPr/>
        <w:t>日出具深高交所见（</w:t>
      </w:r>
      <w:r>
        <w:rPr>
          <w:rFonts w:ascii="宋体" w:hAnsi="宋体" w:cs="宋体" w:eastAsia="宋体" w:hint="default"/>
        </w:rPr>
        <w:t>2009</w:t>
      </w:r>
      <w:r>
        <w:rPr/>
        <w:t>）字第</w:t>
      </w:r>
      <w:r>
        <w:rPr>
          <w:rFonts w:ascii="宋体" w:hAnsi="宋体" w:cs="宋体" w:eastAsia="宋体" w:hint="default"/>
        </w:rPr>
        <w:t>03381</w:t>
      </w:r>
      <w:r>
        <w:rPr/>
        <w:t>号和深高交</w:t>
      </w:r>
      <w:r>
        <w:rPr>
          <w:spacing w:val="-27"/>
        </w:rPr>
        <w:t> </w:t>
      </w:r>
      <w:r>
        <w:rPr>
          <w:spacing w:val="-27"/>
        </w:rPr>
      </w:r>
      <w:r>
        <w:rPr>
          <w:spacing w:val="-2"/>
        </w:rPr>
        <w:t>所见（</w:t>
      </w:r>
      <w:r>
        <w:rPr>
          <w:rFonts w:ascii="宋体" w:hAnsi="宋体" w:cs="宋体" w:eastAsia="宋体" w:hint="default"/>
          <w:spacing w:val="-2"/>
        </w:rPr>
        <w:t>2009</w:t>
      </w:r>
      <w:r>
        <w:rPr>
          <w:spacing w:val="-2"/>
        </w:rPr>
        <w:t>）字第</w:t>
      </w:r>
      <w:r>
        <w:rPr>
          <w:rFonts w:ascii="宋体" w:hAnsi="宋体" w:cs="宋体" w:eastAsia="宋体" w:hint="default"/>
          <w:spacing w:val="-2"/>
        </w:rPr>
        <w:t>03912</w:t>
      </w:r>
      <w:r>
        <w:rPr>
          <w:spacing w:val="-2"/>
        </w:rPr>
        <w:t>号《股权转让见证书》，对上述股权转让事宜予以见证。本公司于</w:t>
      </w:r>
      <w:r>
        <w:rPr>
          <w:rFonts w:ascii="宋体" w:hAnsi="宋体" w:cs="宋体" w:eastAsia="宋体" w:hint="default"/>
          <w:spacing w:val="-2"/>
        </w:rPr>
        <w:t>2009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w:t>
      </w:r>
      <w:r>
        <w:rPr>
          <w:spacing w:val="-30"/>
        </w:rPr>
        <w:t> </w:t>
      </w:r>
      <w:r>
        <w:rPr>
          <w:spacing w:val="-4"/>
        </w:rPr>
        <w:t>完成工商变更登记</w:t>
      </w:r>
      <w:r>
        <w:rPr>
          <w:rFonts w:ascii="宋体" w:hAnsi="宋体" w:cs="宋体" w:eastAsia="宋体" w:hint="default"/>
          <w:spacing w:val="-4"/>
        </w:rPr>
        <w:t>,</w:t>
      </w:r>
      <w:r>
        <w:rPr>
          <w:spacing w:val="-4"/>
        </w:rPr>
        <w:t>变更后黄元忠持股</w:t>
      </w:r>
      <w:r>
        <w:rPr>
          <w:rFonts w:ascii="宋体" w:hAnsi="宋体" w:cs="宋体" w:eastAsia="宋体" w:hint="default"/>
          <w:spacing w:val="-4"/>
        </w:rPr>
        <w:t>30.20%</w:t>
      </w:r>
      <w:r>
        <w:rPr>
          <w:spacing w:val="-4"/>
        </w:rPr>
        <w:t>，黄晓峰持股</w:t>
      </w:r>
      <w:r>
        <w:rPr>
          <w:rFonts w:ascii="宋体" w:hAnsi="宋体" w:cs="宋体" w:eastAsia="宋体" w:hint="default"/>
          <w:spacing w:val="-4"/>
        </w:rPr>
        <w:t>26.75%</w:t>
      </w:r>
      <w:r>
        <w:rPr>
          <w:spacing w:val="-4"/>
        </w:rPr>
        <w:t>，陈克让持股</w:t>
      </w:r>
      <w:r>
        <w:rPr>
          <w:rFonts w:ascii="宋体" w:hAnsi="宋体" w:cs="宋体" w:eastAsia="宋体" w:hint="default"/>
          <w:spacing w:val="-4"/>
        </w:rPr>
        <w:t>26.75%</w:t>
      </w:r>
      <w:r>
        <w:rPr>
          <w:spacing w:val="-4"/>
        </w:rPr>
        <w:t>，孙晓玲持股</w:t>
      </w:r>
      <w:r>
        <w:rPr>
          <w:rFonts w:ascii="宋体" w:hAnsi="宋体" w:cs="宋体" w:eastAsia="宋体" w:hint="default"/>
          <w:spacing w:val="-4"/>
        </w:rPr>
        <w:t>3.44%</w:t>
      </w:r>
      <w:r>
        <w:rPr>
          <w:spacing w:val="-4"/>
        </w:rPr>
        <w:t>，</w:t>
      </w:r>
      <w:r>
        <w:rPr>
          <w:spacing w:val="-7"/>
        </w:rPr>
        <w:t> </w:t>
      </w:r>
      <w:r>
        <w:rPr/>
        <w:t>张文凯持股</w:t>
      </w:r>
      <w:r>
        <w:rPr>
          <w:rFonts w:ascii="宋体" w:hAnsi="宋体" w:cs="宋体" w:eastAsia="宋体" w:hint="default"/>
        </w:rPr>
        <w:t>2.72%</w:t>
      </w:r>
      <w:r>
        <w:rPr/>
        <w:t>，杨颖持股</w:t>
      </w:r>
      <w:r>
        <w:rPr>
          <w:rFonts w:ascii="宋体" w:hAnsi="宋体" w:cs="宋体" w:eastAsia="宋体" w:hint="default"/>
        </w:rPr>
        <w:t>3.21%</w:t>
      </w:r>
      <w:r>
        <w:rPr/>
        <w:t>，吴文峰持股</w:t>
      </w:r>
      <w:r>
        <w:rPr>
          <w:rFonts w:ascii="宋体" w:hAnsi="宋体" w:cs="宋体" w:eastAsia="宋体" w:hint="default"/>
        </w:rPr>
        <w:t>0.49%</w:t>
      </w:r>
      <w:r>
        <w:rPr/>
        <w:t>，深圳市戈尔登投资有限公司持股</w:t>
      </w:r>
      <w:r>
        <w:rPr>
          <w:rFonts w:ascii="宋体" w:hAnsi="宋体" w:cs="宋体" w:eastAsia="宋体" w:hint="default"/>
        </w:rPr>
        <w:t>6.44%</w:t>
      </w:r>
      <w:r>
        <w:rPr/>
        <w:t>。</w:t>
      </w:r>
    </w:p>
    <w:p>
      <w:pPr>
        <w:pStyle w:val="BodyText"/>
        <w:spacing w:line="408" w:lineRule="auto"/>
        <w:ind w:right="209" w:firstLine="420"/>
        <w:jc w:val="both"/>
      </w:pP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15</w:t>
      </w:r>
      <w:r>
        <w:rPr>
          <w:spacing w:val="-2"/>
        </w:rPr>
        <w:t>日，黄元忠等</w:t>
      </w:r>
      <w:r>
        <w:rPr>
          <w:rFonts w:ascii="宋体" w:hAnsi="宋体" w:cs="宋体" w:eastAsia="宋体" w:hint="default"/>
          <w:spacing w:val="-2"/>
        </w:rPr>
        <w:t>7</w:t>
      </w:r>
      <w:r>
        <w:rPr>
          <w:spacing w:val="-2"/>
        </w:rPr>
        <w:t>位自然人和深圳市戈尔登投资有限公司签署发起人协议，本公司由有限责</w:t>
      </w:r>
      <w:r>
        <w:rPr>
          <w:w w:val="100"/>
        </w:rPr>
        <w:t> </w:t>
      </w:r>
      <w:r>
        <w:rPr/>
        <w:t>任公司整体变更为股份有限公司。本公司根据截止</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31</w:t>
      </w:r>
      <w:r>
        <w:rPr/>
        <w:t>日经审计的净资产折股，注册资本变更为</w:t>
      </w:r>
      <w:r>
        <w:rPr>
          <w:spacing w:val="-29"/>
        </w:rPr>
        <w:t> </w:t>
      </w:r>
      <w:r>
        <w:rPr>
          <w:spacing w:val="-29"/>
        </w:rPr>
      </w:r>
      <w:r>
        <w:rPr>
          <w:rFonts w:ascii="宋体" w:hAnsi="宋体" w:cs="宋体" w:eastAsia="宋体" w:hint="default"/>
        </w:rPr>
        <w:t>3,300.00</w:t>
      </w:r>
      <w:r>
        <w:rPr/>
        <w:t>万元。其中：自然人持股比例及股份数为</w:t>
      </w:r>
      <w:r>
        <w:rPr>
          <w:rFonts w:ascii="宋体" w:hAnsi="宋体" w:cs="宋体" w:eastAsia="宋体" w:hint="default"/>
        </w:rPr>
        <w:t>93.56%</w:t>
      </w:r>
      <w:r>
        <w:rPr/>
        <w:t>和</w:t>
      </w:r>
      <w:r>
        <w:rPr>
          <w:rFonts w:ascii="宋体" w:hAnsi="宋体" w:cs="宋体" w:eastAsia="宋体" w:hint="default"/>
        </w:rPr>
        <w:t>30,873,278</w:t>
      </w:r>
      <w:r>
        <w:rPr/>
        <w:t>股。本公司于</w:t>
      </w: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24</w:t>
      </w:r>
      <w:r>
        <w:rPr/>
        <w:t>日完成</w:t>
      </w:r>
      <w:r>
        <w:rPr>
          <w:spacing w:val="-32"/>
        </w:rPr>
        <w:t> </w:t>
      </w:r>
      <w:r>
        <w:rPr>
          <w:spacing w:val="-32"/>
        </w:rPr>
      </w:r>
      <w:r>
        <w:rPr/>
        <w:t>工商变更登记。</w:t>
      </w:r>
    </w:p>
    <w:p>
      <w:pPr>
        <w:pStyle w:val="BodyText"/>
        <w:spacing w:line="408" w:lineRule="auto"/>
        <w:ind w:right="106" w:firstLine="420"/>
        <w:jc w:val="left"/>
      </w:pP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26</w:t>
      </w:r>
      <w:r>
        <w:rPr/>
        <w:t>日，本公司</w:t>
      </w:r>
      <w:r>
        <w:rPr>
          <w:rFonts w:ascii="宋体" w:hAnsi="宋体" w:cs="宋体" w:eastAsia="宋体" w:hint="default"/>
        </w:rPr>
        <w:t>2010</w:t>
      </w:r>
      <w:r>
        <w:rPr/>
        <w:t>年第二次临时股东大会决议通过，同意黄晓峰将其</w:t>
      </w:r>
      <w:r>
        <w:rPr>
          <w:rFonts w:ascii="宋体" w:hAnsi="宋体" w:cs="宋体" w:eastAsia="宋体" w:hint="default"/>
        </w:rPr>
        <w:t>5%</w:t>
      </w:r>
      <w:r>
        <w:rPr/>
        <w:t>的股权转让给平安</w:t>
      </w:r>
      <w:r>
        <w:rPr>
          <w:w w:val="100"/>
        </w:rPr>
        <w:t> </w:t>
      </w:r>
      <w:r>
        <w:rPr>
          <w:spacing w:val="-2"/>
        </w:rPr>
        <w:t>财智投资管理有限公司；陈克让将其</w:t>
      </w:r>
      <w:r>
        <w:rPr>
          <w:rFonts w:ascii="宋体" w:hAnsi="宋体" w:cs="宋体" w:eastAsia="宋体" w:hint="default"/>
          <w:spacing w:val="-2"/>
        </w:rPr>
        <w:t>5%</w:t>
      </w:r>
      <w:r>
        <w:rPr>
          <w:spacing w:val="-2"/>
        </w:rPr>
        <w:t>的股权转让给深圳市融元创业投资有限责任公司。本公司于</w:t>
      </w:r>
      <w:r>
        <w:rPr>
          <w:rFonts w:ascii="宋体" w:hAnsi="宋体" w:cs="宋体" w:eastAsia="宋体" w:hint="default"/>
          <w:spacing w:val="-2"/>
        </w:rPr>
        <w:t>2010</w:t>
      </w:r>
      <w:r>
        <w:rPr>
          <w:spacing w:val="-2"/>
        </w:rPr>
        <w:t>年</w:t>
      </w:r>
      <w:r>
        <w:rPr>
          <w:spacing w:val="-40"/>
        </w:rPr>
        <w:t> </w:t>
      </w:r>
      <w:r>
        <w:rPr>
          <w:rFonts w:ascii="宋体" w:hAnsi="宋体" w:cs="宋体" w:eastAsia="宋体" w:hint="default"/>
          <w:spacing w:val="-2"/>
        </w:rPr>
        <w:t>8</w:t>
      </w:r>
      <w:r>
        <w:rPr>
          <w:spacing w:val="-2"/>
        </w:rPr>
        <w:t>月</w:t>
      </w:r>
      <w:r>
        <w:rPr>
          <w:rFonts w:ascii="宋体" w:hAnsi="宋体" w:cs="宋体" w:eastAsia="宋体" w:hint="default"/>
          <w:spacing w:val="-2"/>
        </w:rPr>
        <w:t>30</w:t>
      </w:r>
      <w:r>
        <w:rPr>
          <w:spacing w:val="-2"/>
        </w:rPr>
        <w:t>日完成工商变更登记</w:t>
      </w:r>
      <w:r>
        <w:rPr>
          <w:rFonts w:ascii="宋体" w:hAnsi="宋体" w:cs="宋体" w:eastAsia="宋体" w:hint="default"/>
          <w:spacing w:val="-2"/>
        </w:rPr>
        <w:t>,</w:t>
      </w:r>
      <w:r>
        <w:rPr>
          <w:spacing w:val="-2"/>
        </w:rPr>
        <w:t>变更后黄元忠持股</w:t>
      </w:r>
      <w:r>
        <w:rPr>
          <w:rFonts w:ascii="宋体" w:hAnsi="宋体" w:cs="宋体" w:eastAsia="宋体" w:hint="default"/>
          <w:spacing w:val="-2"/>
        </w:rPr>
        <w:t>30.20%</w:t>
      </w:r>
      <w:r>
        <w:rPr>
          <w:spacing w:val="-2"/>
        </w:rPr>
        <w:t>、黄晓峰持股</w:t>
      </w:r>
      <w:r>
        <w:rPr>
          <w:rFonts w:ascii="宋体" w:hAnsi="宋体" w:cs="宋体" w:eastAsia="宋体" w:hint="default"/>
          <w:spacing w:val="-2"/>
        </w:rPr>
        <w:t>21.75%</w:t>
      </w:r>
      <w:r>
        <w:rPr>
          <w:spacing w:val="-2"/>
        </w:rPr>
        <w:t>、陈克让持股</w:t>
      </w:r>
      <w:r>
        <w:rPr>
          <w:rFonts w:ascii="宋体" w:hAnsi="宋体" w:cs="宋体" w:eastAsia="宋体" w:hint="default"/>
          <w:spacing w:val="-2"/>
        </w:rPr>
        <w:t>21.75%</w:t>
      </w:r>
      <w:r>
        <w:rPr>
          <w:spacing w:val="-2"/>
        </w:rPr>
        <w:t>、孙晓玲持</w:t>
      </w:r>
      <w:r>
        <w:rPr>
          <w:spacing w:val="-32"/>
        </w:rPr>
        <w:t> </w:t>
      </w:r>
      <w:r>
        <w:rPr>
          <w:spacing w:val="-32"/>
        </w:rPr>
      </w:r>
      <w:r>
        <w:rPr>
          <w:spacing w:val="-2"/>
        </w:rPr>
        <w:t>股</w:t>
      </w:r>
      <w:r>
        <w:rPr>
          <w:rFonts w:ascii="宋体" w:hAnsi="宋体" w:cs="宋体" w:eastAsia="宋体" w:hint="default"/>
          <w:spacing w:val="-2"/>
        </w:rPr>
        <w:t>3.44%</w:t>
      </w:r>
      <w:r>
        <w:rPr>
          <w:spacing w:val="-2"/>
        </w:rPr>
        <w:t>、张文凯持股</w:t>
      </w:r>
      <w:r>
        <w:rPr>
          <w:rFonts w:ascii="宋体" w:hAnsi="宋体" w:cs="宋体" w:eastAsia="宋体" w:hint="default"/>
          <w:spacing w:val="-2"/>
        </w:rPr>
        <w:t>2.72%</w:t>
      </w:r>
      <w:r>
        <w:rPr>
          <w:spacing w:val="-2"/>
        </w:rPr>
        <w:t>、杨颖持股</w:t>
      </w:r>
      <w:r>
        <w:rPr>
          <w:rFonts w:ascii="宋体" w:hAnsi="宋体" w:cs="宋体" w:eastAsia="宋体" w:hint="default"/>
          <w:spacing w:val="-2"/>
        </w:rPr>
        <w:t>3.21%</w:t>
      </w:r>
      <w:r>
        <w:rPr>
          <w:spacing w:val="-2"/>
        </w:rPr>
        <w:t>、吴文峰持股</w:t>
      </w:r>
      <w:r>
        <w:rPr>
          <w:rFonts w:ascii="宋体" w:hAnsi="宋体" w:cs="宋体" w:eastAsia="宋体" w:hint="default"/>
          <w:spacing w:val="-2"/>
        </w:rPr>
        <w:t>0.49%</w:t>
      </w:r>
      <w:r>
        <w:rPr>
          <w:spacing w:val="-2"/>
        </w:rPr>
        <w:t>、深圳市戈尔登投资有限公司持股</w:t>
      </w:r>
      <w:r>
        <w:rPr>
          <w:rFonts w:ascii="宋体" w:hAnsi="宋体" w:cs="宋体" w:eastAsia="宋体" w:hint="default"/>
          <w:spacing w:val="-2"/>
        </w:rPr>
        <w:t>6.44%</w:t>
      </w:r>
      <w:r>
        <w:rPr>
          <w:spacing w:val="-2"/>
        </w:rPr>
        <w:t>、</w:t>
      </w:r>
      <w:r>
        <w:rPr>
          <w:spacing w:val="-24"/>
        </w:rPr>
        <w:t> </w:t>
      </w:r>
      <w:r>
        <w:rPr/>
        <w:t>平安财智投资管理有限公司持股</w:t>
      </w:r>
      <w:r>
        <w:rPr>
          <w:rFonts w:ascii="宋体" w:hAnsi="宋体" w:cs="宋体" w:eastAsia="宋体" w:hint="default"/>
        </w:rPr>
        <w:t>5.00%</w:t>
      </w:r>
      <w:r>
        <w:rPr/>
        <w:t>、深圳市融元创业投资有限责任公司持股</w:t>
      </w:r>
      <w:r>
        <w:rPr>
          <w:rFonts w:ascii="宋体" w:hAnsi="宋体" w:cs="宋体" w:eastAsia="宋体" w:hint="default"/>
        </w:rPr>
        <w:t>5.00%</w:t>
      </w:r>
      <w:r>
        <w:rPr/>
        <w:t>。</w:t>
      </w:r>
    </w:p>
    <w:p>
      <w:pPr>
        <w:pStyle w:val="BodyText"/>
        <w:spacing w:line="408" w:lineRule="auto"/>
        <w:ind w:left="153" w:right="106" w:firstLine="419"/>
        <w:jc w:val="left"/>
      </w:pPr>
      <w:r>
        <w:rPr/>
        <w:t>经中国证券监督管理委员会证监发行字</w:t>
      </w:r>
      <w:r>
        <w:rPr>
          <w:rFonts w:ascii="宋体" w:hAnsi="宋体" w:cs="宋体" w:eastAsia="宋体" w:hint="default"/>
        </w:rPr>
        <w:t>[2011]901</w:t>
      </w:r>
      <w:r>
        <w:rPr/>
        <w:t>号文核准，并经深圳证券交易所同意，</w:t>
      </w:r>
      <w:r>
        <w:rPr>
          <w:spacing w:val="-23"/>
        </w:rPr>
        <w:t> </w:t>
      </w:r>
      <w:r>
        <w:rPr/>
        <w:t>本公司由主</w:t>
      </w:r>
      <w:r>
        <w:rPr>
          <w:w w:val="100"/>
        </w:rPr>
        <w:t> </w:t>
      </w:r>
      <w:r>
        <w:rPr/>
        <w:t>承销商平安证券有限责任公司于</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20</w:t>
      </w:r>
      <w:r>
        <w:rPr/>
        <w:t>日向社会公众公开发行普通股</w:t>
      </w:r>
      <w:r>
        <w:rPr>
          <w:rFonts w:ascii="宋体" w:hAnsi="宋体" w:cs="宋体" w:eastAsia="宋体" w:hint="default"/>
        </w:rPr>
        <w:t>(A </w:t>
      </w:r>
      <w:r>
        <w:rPr>
          <w:spacing w:val="-3"/>
        </w:rPr>
        <w:t>股</w:t>
      </w:r>
      <w:r>
        <w:rPr>
          <w:rFonts w:ascii="宋体" w:hAnsi="宋体" w:cs="宋体" w:eastAsia="宋体" w:hint="default"/>
          <w:spacing w:val="-3"/>
        </w:rPr>
        <w:t>)</w:t>
      </w:r>
      <w:r>
        <w:rPr>
          <w:spacing w:val="-3"/>
        </w:rPr>
        <w:t>股票</w:t>
      </w:r>
      <w:r>
        <w:rPr>
          <w:rFonts w:ascii="宋体" w:hAnsi="宋体" w:cs="宋体" w:eastAsia="宋体" w:hint="default"/>
          <w:spacing w:val="-3"/>
        </w:rPr>
        <w:t>1,100</w:t>
      </w:r>
      <w:r>
        <w:rPr>
          <w:spacing w:val="-3"/>
        </w:rPr>
        <w:t>万股，每股面</w:t>
      </w:r>
      <w:r>
        <w:rPr>
          <w:spacing w:val="-101"/>
        </w:rPr>
        <w:t> </w:t>
      </w:r>
      <w:r>
        <w:rPr>
          <w:spacing w:val="-101"/>
        </w:rPr>
      </w:r>
      <w:r>
        <w:rPr/>
        <w:t>值</w:t>
      </w:r>
      <w:r>
        <w:rPr>
          <w:spacing w:val="-76"/>
        </w:rPr>
        <w:t> </w:t>
      </w:r>
      <w:r>
        <w:rPr>
          <w:rFonts w:ascii="宋体" w:hAnsi="宋体" w:cs="宋体" w:eastAsia="宋体" w:hint="default"/>
        </w:rPr>
        <w:t>1.00</w:t>
      </w:r>
      <w:r>
        <w:rPr>
          <w:rFonts w:ascii="宋体" w:hAnsi="宋体" w:cs="宋体" w:eastAsia="宋体" w:hint="default"/>
          <w:spacing w:val="-80"/>
        </w:rPr>
        <w:t> </w:t>
      </w:r>
      <w:r>
        <w:rPr>
          <w:spacing w:val="10"/>
        </w:rPr>
        <w:t>元，</w:t>
      </w:r>
      <w:r>
        <w:rPr>
          <w:spacing w:val="-76"/>
        </w:rPr>
        <w:t> </w:t>
      </w:r>
      <w:r>
        <w:rPr>
          <w:spacing w:val="18"/>
        </w:rPr>
        <w:t>每股发行价人民币</w:t>
      </w:r>
      <w:r>
        <w:rPr>
          <w:spacing w:val="-80"/>
        </w:rPr>
        <w:t> </w:t>
      </w:r>
      <w:r>
        <w:rPr>
          <w:rFonts w:ascii="宋体" w:hAnsi="宋体" w:cs="宋体" w:eastAsia="宋体" w:hint="default"/>
        </w:rPr>
        <w:t>19.60</w:t>
      </w:r>
      <w:r>
        <w:rPr>
          <w:rFonts w:ascii="宋体" w:hAnsi="宋体" w:cs="宋体" w:eastAsia="宋体" w:hint="default"/>
          <w:spacing w:val="-80"/>
        </w:rPr>
        <w:t> </w:t>
      </w:r>
      <w:r>
        <w:rPr>
          <w:spacing w:val="19"/>
        </w:rPr>
        <w:t>元。此次公开发行共募集资金</w:t>
      </w:r>
      <w:r>
        <w:rPr>
          <w:spacing w:val="-76"/>
        </w:rPr>
        <w:t> </w:t>
      </w:r>
      <w:r>
        <w:rPr>
          <w:rFonts w:ascii="宋体" w:hAnsi="宋体" w:cs="宋体" w:eastAsia="宋体" w:hint="default"/>
        </w:rPr>
        <w:t>21,560.00</w:t>
      </w:r>
      <w:r>
        <w:rPr>
          <w:rFonts w:ascii="宋体" w:hAnsi="宋体" w:cs="宋体" w:eastAsia="宋体" w:hint="default"/>
          <w:spacing w:val="-80"/>
        </w:rPr>
        <w:t> </w:t>
      </w:r>
      <w:r>
        <w:rPr>
          <w:spacing w:val="13"/>
        </w:rPr>
        <w:t>万元，</w:t>
      </w:r>
      <w:r>
        <w:rPr>
          <w:spacing w:val="-76"/>
        </w:rPr>
        <w:t> </w:t>
      </w:r>
      <w:r>
        <w:rPr>
          <w:spacing w:val="17"/>
        </w:rPr>
        <w:t>扣除发行费用</w:t>
      </w:r>
      <w:r>
        <w:rPr>
          <w:spacing w:val="-76"/>
        </w:rPr>
        <w:t> </w:t>
      </w:r>
      <w:r>
        <w:rPr>
          <w:rFonts w:ascii="宋体" w:hAnsi="宋体" w:cs="宋体" w:eastAsia="宋体" w:hint="default"/>
          <w:spacing w:val="-2"/>
        </w:rPr>
        <w:t>29,967,169.30</w:t>
      </w:r>
      <w:r>
        <w:rPr>
          <w:spacing w:val="-2"/>
        </w:rPr>
        <w:t>元，募集资金净额</w:t>
      </w:r>
      <w:r>
        <w:rPr>
          <w:rFonts w:ascii="宋体" w:hAnsi="宋体" w:cs="宋体" w:eastAsia="宋体" w:hint="default"/>
          <w:spacing w:val="-2"/>
        </w:rPr>
        <w:t>185,632,830.70</w:t>
      </w:r>
      <w:r>
        <w:rPr>
          <w:spacing w:val="-2"/>
        </w:rPr>
        <w:t>元，经此次发行，注册资本变更为人民币</w:t>
      </w:r>
      <w:r>
        <w:rPr>
          <w:rFonts w:ascii="宋体" w:hAnsi="宋体" w:cs="宋体" w:eastAsia="宋体" w:hint="default"/>
          <w:spacing w:val="-2"/>
        </w:rPr>
        <w:t>4,400.00</w:t>
      </w:r>
      <w:r>
        <w:rPr>
          <w:spacing w:val="-2"/>
        </w:rPr>
        <w:t>万元，</w:t>
      </w:r>
      <w:r>
        <w:rPr>
          <w:spacing w:val="-19"/>
        </w:rPr>
        <w:t> </w:t>
      </w:r>
      <w:r>
        <w:rPr/>
        <w:t>此次增资业经立信大华会计师事务所</w:t>
      </w:r>
      <w:r>
        <w:rPr>
          <w:rFonts w:ascii="宋体" w:hAnsi="宋体" w:cs="宋体" w:eastAsia="宋体" w:hint="default"/>
        </w:rPr>
        <w:t>“</w:t>
      </w:r>
      <w:r>
        <w:rPr/>
        <w:t>立信大华验字</w:t>
      </w:r>
      <w:r>
        <w:rPr>
          <w:rFonts w:ascii="宋体" w:hAnsi="宋体" w:cs="宋体" w:eastAsia="宋体" w:hint="default"/>
        </w:rPr>
        <w:t>[2011]178</w:t>
      </w:r>
      <w:r>
        <w:rPr/>
        <w:t>号</w:t>
      </w:r>
      <w:r>
        <w:rPr>
          <w:rFonts w:ascii="宋体" w:hAnsi="宋体" w:cs="宋体" w:eastAsia="宋体" w:hint="default"/>
        </w:rPr>
        <w:t>”</w:t>
      </w:r>
      <w:r>
        <w:rPr/>
        <w:t>验资报告验证。</w:t>
      </w:r>
    </w:p>
    <w:p>
      <w:pPr>
        <w:pStyle w:val="BodyText"/>
        <w:spacing w:line="408" w:lineRule="auto"/>
        <w:ind w:left="153" w:right="106" w:firstLine="420"/>
        <w:jc w:val="left"/>
      </w:pPr>
      <w:r>
        <w:rPr/>
        <w:t>经</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20</w:t>
      </w:r>
      <w:r>
        <w:rPr/>
        <w:t>日</w:t>
      </w:r>
      <w:r>
        <w:rPr>
          <w:rFonts w:ascii="宋体" w:hAnsi="宋体" w:cs="宋体" w:eastAsia="宋体" w:hint="default"/>
        </w:rPr>
        <w:t>2012</w:t>
      </w:r>
      <w:r>
        <w:rPr/>
        <w:t>年第一届董事会第二十次会议诀议、</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30</w:t>
      </w:r>
      <w:r>
        <w:rPr/>
        <w:t>日股东大会审议通过《关于</w:t>
      </w:r>
      <w:r>
        <w:rPr>
          <w:spacing w:val="2"/>
          <w:w w:val="100"/>
        </w:rPr>
        <w:t> </w:t>
      </w:r>
      <w:r>
        <w:rPr>
          <w:rFonts w:ascii="宋体" w:hAnsi="宋体" w:cs="宋体" w:eastAsia="宋体" w:hint="default"/>
        </w:rPr>
        <w:t>2011</w:t>
      </w:r>
      <w:r>
        <w:rPr/>
        <w:t>年度利润分配及资本公积转增股本预案的议案》，以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4,400</w:t>
      </w:r>
      <w:r>
        <w:rPr/>
        <w:t>万股为基数，</w:t>
      </w:r>
      <w:r>
        <w:rPr>
          <w:spacing w:val="-28"/>
        </w:rPr>
        <w:t> </w:t>
      </w:r>
      <w:r>
        <w:rPr>
          <w:spacing w:val="-28"/>
        </w:rPr>
      </w:r>
      <w:r>
        <w:rPr>
          <w:spacing w:val="-6"/>
        </w:rPr>
        <w:t>以资本公积转增股本，向全体股东每</w:t>
      </w:r>
      <w:r>
        <w:rPr>
          <w:rFonts w:ascii="宋体" w:hAnsi="宋体" w:cs="宋体" w:eastAsia="宋体" w:hint="default"/>
          <w:spacing w:val="-6"/>
        </w:rPr>
        <w:t>10</w:t>
      </w:r>
      <w:r>
        <w:rPr>
          <w:spacing w:val="-6"/>
        </w:rPr>
        <w:t>股转增</w:t>
      </w:r>
      <w:r>
        <w:rPr>
          <w:rFonts w:ascii="宋体" w:hAnsi="宋体" w:cs="宋体" w:eastAsia="宋体" w:hint="default"/>
          <w:spacing w:val="-6"/>
        </w:rPr>
        <w:t>10</w:t>
      </w:r>
      <w:r>
        <w:rPr>
          <w:spacing w:val="-6"/>
        </w:rPr>
        <w:t>股，共计转增</w:t>
      </w:r>
      <w:r>
        <w:rPr>
          <w:rFonts w:ascii="宋体" w:hAnsi="宋体" w:cs="宋体" w:eastAsia="宋体" w:hint="default"/>
          <w:spacing w:val="-6"/>
        </w:rPr>
        <w:t>4,400</w:t>
      </w:r>
      <w:r>
        <w:rPr>
          <w:spacing w:val="-6"/>
        </w:rPr>
        <w:t>万股，转增后公司总股本将增加至</w:t>
      </w:r>
      <w:r>
        <w:rPr>
          <w:rFonts w:ascii="宋体" w:hAnsi="宋体" w:cs="宋体" w:eastAsia="宋体" w:hint="default"/>
          <w:spacing w:val="-6"/>
        </w:rPr>
        <w:t>8,800</w:t>
      </w:r>
      <w:r>
        <w:rPr>
          <w:rFonts w:ascii="宋体" w:hAnsi="宋体" w:cs="宋体" w:eastAsia="宋体" w:hint="default"/>
          <w:spacing w:val="-28"/>
        </w:rPr>
        <w:t> </w:t>
      </w:r>
      <w:r>
        <w:rPr>
          <w:rFonts w:ascii="宋体" w:hAnsi="宋体" w:cs="宋体" w:eastAsia="宋体" w:hint="default"/>
          <w:spacing w:val="-28"/>
        </w:rPr>
      </w:r>
      <w:r>
        <w:rPr>
          <w:spacing w:val="-4"/>
        </w:rPr>
        <w:t>万股，注册资本变更为人民币</w:t>
      </w:r>
      <w:r>
        <w:rPr>
          <w:rFonts w:ascii="宋体" w:hAnsi="宋体" w:cs="宋体" w:eastAsia="宋体" w:hint="default"/>
          <w:spacing w:val="-4"/>
        </w:rPr>
        <w:t>8,800.00</w:t>
      </w:r>
      <w:r>
        <w:rPr>
          <w:spacing w:val="-4"/>
        </w:rPr>
        <w:t>万元，此次增资业经深圳嘉达信会计师事务所</w:t>
      </w:r>
      <w:r>
        <w:rPr>
          <w:rFonts w:ascii="宋体" w:hAnsi="宋体" w:cs="宋体" w:eastAsia="宋体" w:hint="default"/>
          <w:spacing w:val="-4"/>
        </w:rPr>
        <w:t>“</w:t>
      </w:r>
      <w:r>
        <w:rPr>
          <w:spacing w:val="-4"/>
        </w:rPr>
        <w:t>深嘉达信验字</w:t>
      </w:r>
      <w:r>
        <w:rPr>
          <w:rFonts w:ascii="宋体" w:hAnsi="宋体" w:cs="宋体" w:eastAsia="宋体" w:hint="default"/>
          <w:spacing w:val="-4"/>
        </w:rPr>
        <w:t>[2012]</w:t>
      </w:r>
      <w:r>
        <w:rPr>
          <w:rFonts w:ascii="宋体" w:hAnsi="宋体" w:cs="宋体" w:eastAsia="宋体" w:hint="default"/>
          <w:spacing w:val="-34"/>
        </w:rPr>
        <w:t> </w:t>
      </w:r>
      <w:r>
        <w:rPr>
          <w:rFonts w:ascii="宋体" w:hAnsi="宋体" w:cs="宋体" w:eastAsia="宋体" w:hint="default"/>
          <w:spacing w:val="-34"/>
        </w:rPr>
      </w:r>
      <w:r>
        <w:rPr/>
        <w:t>第</w:t>
      </w:r>
      <w:r>
        <w:rPr>
          <w:rFonts w:ascii="宋体" w:hAnsi="宋体" w:cs="宋体" w:eastAsia="宋体" w:hint="default"/>
        </w:rPr>
        <w:t>079</w:t>
      </w:r>
      <w:r>
        <w:rPr/>
        <w:t>号</w:t>
      </w:r>
      <w:r>
        <w:rPr>
          <w:rFonts w:ascii="宋体" w:hAnsi="宋体" w:cs="宋体" w:eastAsia="宋体" w:hint="default"/>
        </w:rPr>
        <w:t>”</w:t>
      </w:r>
      <w:r>
        <w:rPr/>
        <w:t>验资报告验证。</w:t>
      </w:r>
    </w:p>
    <w:p>
      <w:pPr>
        <w:pStyle w:val="BodyText"/>
        <w:spacing w:line="408" w:lineRule="auto"/>
        <w:ind w:left="153" w:right="106" w:firstLine="419"/>
        <w:jc w:val="both"/>
      </w:pPr>
      <w:r>
        <w:rPr>
          <w:spacing w:val="-4"/>
        </w:rPr>
        <w:t>经</w:t>
      </w:r>
      <w:r>
        <w:rPr>
          <w:rFonts w:ascii="宋体" w:hAnsi="宋体" w:cs="宋体" w:eastAsia="宋体" w:hint="default"/>
          <w:spacing w:val="-4"/>
        </w:rPr>
        <w:t>2014</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11</w:t>
      </w:r>
      <w:r>
        <w:rPr>
          <w:spacing w:val="-4"/>
        </w:rPr>
        <w:t>日</w:t>
      </w:r>
      <w:r>
        <w:rPr>
          <w:rFonts w:ascii="宋体" w:hAnsi="宋体" w:cs="宋体" w:eastAsia="宋体" w:hint="default"/>
          <w:spacing w:val="-4"/>
        </w:rPr>
        <w:t>2014</w:t>
      </w:r>
      <w:r>
        <w:rPr>
          <w:spacing w:val="-4"/>
        </w:rPr>
        <w:t>年第二届董事会第十一次会议诀议、</w:t>
      </w:r>
      <w:r>
        <w:rPr>
          <w:rFonts w:ascii="宋体" w:hAnsi="宋体" w:cs="宋体" w:eastAsia="宋体" w:hint="default"/>
          <w:spacing w:val="-4"/>
        </w:rPr>
        <w:t>2014</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6</w:t>
      </w:r>
      <w:r>
        <w:rPr>
          <w:spacing w:val="-4"/>
        </w:rPr>
        <w:t>日股东大会审议通过《关于</w:t>
      </w:r>
      <w:r>
        <w:rPr>
          <w:rFonts w:ascii="宋体" w:hAnsi="宋体" w:cs="宋体" w:eastAsia="宋体" w:hint="default"/>
          <w:spacing w:val="-4"/>
        </w:rPr>
        <w:t>2013</w:t>
      </w:r>
      <w:r>
        <w:rPr>
          <w:rFonts w:ascii="宋体" w:hAnsi="宋体" w:cs="宋体" w:eastAsia="宋体" w:hint="default"/>
          <w:w w:val="100"/>
        </w:rPr>
        <w:t> </w:t>
      </w:r>
      <w:r>
        <w:rPr/>
        <w:t>年度利润分配及资本公积转增股本预案的议案》，以</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8,800</w:t>
      </w:r>
      <w:r>
        <w:rPr/>
        <w:t>万股为基数，以资</w:t>
      </w:r>
      <w:r>
        <w:rPr>
          <w:spacing w:val="-28"/>
        </w:rPr>
        <w:t> </w:t>
      </w:r>
      <w:r>
        <w:rPr>
          <w:spacing w:val="-28"/>
        </w:rPr>
      </w:r>
      <w:r>
        <w:rPr>
          <w:spacing w:val="-4"/>
        </w:rPr>
        <w:t>本公积转增股本，向全体股东每</w:t>
      </w:r>
      <w:r>
        <w:rPr>
          <w:rFonts w:ascii="宋体" w:hAnsi="宋体" w:cs="宋体" w:eastAsia="宋体" w:hint="default"/>
          <w:spacing w:val="-4"/>
        </w:rPr>
        <w:t>10</w:t>
      </w:r>
      <w:r>
        <w:rPr>
          <w:spacing w:val="-4"/>
        </w:rPr>
        <w:t>股转增</w:t>
      </w:r>
      <w:r>
        <w:rPr>
          <w:rFonts w:ascii="宋体" w:hAnsi="宋体" w:cs="宋体" w:eastAsia="宋体" w:hint="default"/>
          <w:spacing w:val="-4"/>
        </w:rPr>
        <w:t>8</w:t>
      </w:r>
      <w:r>
        <w:rPr>
          <w:spacing w:val="-4"/>
        </w:rPr>
        <w:t>股，共计转增</w:t>
      </w:r>
      <w:r>
        <w:rPr>
          <w:rFonts w:ascii="宋体" w:hAnsi="宋体" w:cs="宋体" w:eastAsia="宋体" w:hint="default"/>
          <w:spacing w:val="-4"/>
        </w:rPr>
        <w:t>7,040</w:t>
      </w:r>
      <w:r>
        <w:rPr>
          <w:spacing w:val="-4"/>
        </w:rPr>
        <w:t>万股，转增后公司总股本增加至</w:t>
      </w:r>
      <w:r>
        <w:rPr>
          <w:rFonts w:ascii="宋体" w:hAnsi="宋体" w:cs="宋体" w:eastAsia="宋体" w:hint="default"/>
          <w:spacing w:val="-4"/>
        </w:rPr>
        <w:t>15,840</w:t>
      </w:r>
      <w:r>
        <w:rPr>
          <w:spacing w:val="-4"/>
        </w:rPr>
        <w:t>万股，</w:t>
      </w:r>
      <w:r>
        <w:rPr/>
      </w:r>
    </w:p>
    <w:p>
      <w:pPr>
        <w:spacing w:after="0" w:line="408" w:lineRule="auto"/>
        <w:jc w:val="both"/>
        <w:sectPr>
          <w:pgSz w:w="11910" w:h="16840"/>
          <w:pgMar w:header="990" w:footer="1066" w:top="1220" w:bottom="1260" w:left="980" w:right="920"/>
        </w:sectPr>
      </w:pPr>
    </w:p>
    <w:p>
      <w:pPr>
        <w:spacing w:line="240" w:lineRule="auto" w:before="4"/>
        <w:rPr>
          <w:rFonts w:ascii="宋体" w:hAnsi="宋体" w:cs="宋体" w:eastAsia="宋体" w:hint="default"/>
          <w:sz w:val="16"/>
          <w:szCs w:val="16"/>
        </w:rPr>
      </w:pPr>
    </w:p>
    <w:p>
      <w:pPr>
        <w:pStyle w:val="BodyText"/>
        <w:spacing w:line="240" w:lineRule="auto" w:before="36"/>
        <w:ind w:right="106"/>
        <w:jc w:val="left"/>
      </w:pPr>
      <w:r>
        <w:rPr/>
        <w:t>注册资本变更为</w:t>
      </w:r>
      <w:r>
        <w:rPr>
          <w:rFonts w:ascii="宋体" w:hAnsi="宋体" w:cs="宋体" w:eastAsia="宋体" w:hint="default"/>
        </w:rPr>
        <w:t>15,840</w:t>
      </w:r>
      <w:r>
        <w:rPr/>
        <w:t>万元，此次增资业经深圳平海会计师事务所（普通合伙）</w:t>
      </w:r>
      <w:r>
        <w:rPr>
          <w:rFonts w:ascii="宋体" w:hAnsi="宋体" w:cs="宋体" w:eastAsia="宋体" w:hint="default"/>
        </w:rPr>
        <w:t>“</w:t>
      </w:r>
      <w:r>
        <w:rPr/>
        <w:t>深平海验报字</w:t>
      </w:r>
      <w:r>
        <w:rPr>
          <w:rFonts w:ascii="宋体" w:hAnsi="宋体" w:cs="宋体" w:eastAsia="宋体" w:hint="default"/>
        </w:rPr>
        <w:t>[2014]</w:t>
      </w:r>
      <w:r>
        <w:rPr/>
        <w:t>第</w:t>
      </w:r>
    </w:p>
    <w:p>
      <w:pPr>
        <w:spacing w:line="240" w:lineRule="auto" w:before="10"/>
        <w:rPr>
          <w:rFonts w:ascii="宋体" w:hAnsi="宋体" w:cs="宋体" w:eastAsia="宋体" w:hint="default"/>
          <w:sz w:val="14"/>
          <w:szCs w:val="14"/>
        </w:rPr>
      </w:pPr>
    </w:p>
    <w:p>
      <w:pPr>
        <w:pStyle w:val="BodyText"/>
        <w:spacing w:line="408" w:lineRule="auto" w:before="0"/>
        <w:ind w:left="572" w:right="1757" w:hanging="421"/>
        <w:jc w:val="left"/>
      </w:pPr>
      <w:r>
        <w:rPr>
          <w:rFonts w:ascii="宋体" w:hAnsi="宋体" w:cs="宋体" w:eastAsia="宋体" w:hint="default"/>
        </w:rPr>
        <w:t>15</w:t>
      </w:r>
      <w:r>
        <w:rPr/>
        <w:t>号</w:t>
      </w:r>
      <w:r>
        <w:rPr>
          <w:rFonts w:ascii="宋体" w:hAnsi="宋体" w:cs="宋体" w:eastAsia="宋体" w:hint="default"/>
        </w:rPr>
        <w:t>”</w:t>
      </w:r>
      <w:r>
        <w:rPr/>
        <w:t>验资报告验证。</w:t>
      </w:r>
      <w:r>
        <w:rPr>
          <w:w w:val="100"/>
        </w:rPr>
        <w:t> </w:t>
      </w:r>
      <w:r>
        <w:rPr>
          <w:spacing w:val="-2"/>
        </w:rPr>
        <w:t>法定代表人：黄元忠。注册地址：深圳市南山区科技中二路深圳软件园</w:t>
      </w:r>
      <w:r>
        <w:rPr>
          <w:rFonts w:ascii="宋体" w:hAnsi="宋体" w:cs="宋体" w:eastAsia="宋体" w:hint="default"/>
          <w:spacing w:val="-2"/>
        </w:rPr>
        <w:t>12#302</w:t>
      </w:r>
      <w:r>
        <w:rPr>
          <w:spacing w:val="-2"/>
        </w:rPr>
        <w:t>。</w:t>
      </w:r>
      <w:r>
        <w:rPr>
          <w:w w:val="100"/>
        </w:rPr>
        <w:t> </w:t>
      </w:r>
      <w:r>
        <w:rPr/>
        <w:t>本公司下属分公司有北京分公司、长沙分公司。</w:t>
      </w:r>
    </w:p>
    <w:p>
      <w:pPr>
        <w:pStyle w:val="BodyText"/>
        <w:spacing w:line="408" w:lineRule="auto"/>
        <w:ind w:left="572" w:right="106" w:firstLine="2"/>
        <w:jc w:val="left"/>
      </w:pPr>
      <w:r>
        <w:rPr>
          <w:rFonts w:ascii="宋体" w:hAnsi="宋体" w:cs="宋体" w:eastAsia="宋体" w:hint="default"/>
          <w:b/>
          <w:bCs/>
        </w:rPr>
        <w:t>（二）经营范围</w:t>
      </w:r>
      <w:r>
        <w:rPr>
          <w:rFonts w:ascii="宋体" w:hAnsi="宋体" w:cs="宋体" w:eastAsia="宋体" w:hint="default"/>
          <w:b/>
          <w:bCs/>
          <w:w w:val="100"/>
        </w:rPr>
        <w:t> </w:t>
      </w:r>
      <w:r>
        <w:rPr>
          <w:spacing w:val="-2"/>
        </w:rPr>
        <w:t>本公司主要的经营业务包括：计算机软、硬件、网络及教育软件和教学资源的开发、销售、咨询及其</w:t>
      </w:r>
    </w:p>
    <w:p>
      <w:pPr>
        <w:pStyle w:val="BodyText"/>
        <w:spacing w:line="408" w:lineRule="auto"/>
        <w:ind w:right="207"/>
        <w:jc w:val="both"/>
      </w:pPr>
      <w:r>
        <w:rPr>
          <w:spacing w:val="-3"/>
        </w:rPr>
        <w:t>技术服务；电子产品的开发、销售（不含二、三类医疗器械等需许可项目）；经营进出口业务（法律、行</w:t>
      </w:r>
      <w:r>
        <w:rPr>
          <w:spacing w:val="-12"/>
        </w:rPr>
        <w:t> </w:t>
      </w:r>
      <w:r>
        <w:rPr>
          <w:spacing w:val="-12"/>
        </w:rPr>
      </w:r>
      <w:r>
        <w:rPr>
          <w:spacing w:val="-2"/>
        </w:rPr>
        <w:t>政法规、国务院决定禁止的项目除外，限制的项目须取得许可后方可经营）；投资兴办实业（具体项目另</w:t>
      </w:r>
      <w:r>
        <w:rPr>
          <w:spacing w:val="-43"/>
        </w:rPr>
        <w:t> </w:t>
      </w:r>
      <w:r>
        <w:rPr>
          <w:spacing w:val="-43"/>
        </w:rPr>
      </w:r>
      <w:r>
        <w:rPr>
          <w:spacing w:val="-2"/>
        </w:rPr>
        <w:t>行申报）；出版物零售；第二类增值电信业务中的信息服务业务（仅限互联网信息服务）（凭</w:t>
      </w:r>
      <w:r>
        <w:rPr>
          <w:rFonts w:ascii="宋体" w:hAnsi="宋体" w:cs="宋体" w:eastAsia="宋体" w:hint="default"/>
          <w:spacing w:val="-2"/>
        </w:rPr>
        <w:t>“</w:t>
      </w:r>
      <w:r>
        <w:rPr>
          <w:spacing w:val="-2"/>
        </w:rPr>
        <w:t>中华人民</w:t>
      </w:r>
      <w:r>
        <w:rPr>
          <w:spacing w:val="-43"/>
        </w:rPr>
        <w:t> </w:t>
      </w:r>
      <w:r>
        <w:rPr>
          <w:spacing w:val="-43"/>
        </w:rPr>
      </w:r>
      <w:r>
        <w:rPr/>
        <w:t>共和国增值电信业务经营许可证粤</w:t>
      </w:r>
      <w:r>
        <w:rPr>
          <w:rFonts w:ascii="宋体" w:hAnsi="宋体" w:cs="宋体" w:eastAsia="宋体" w:hint="default"/>
        </w:rPr>
        <w:t>B2-20110094</w:t>
      </w:r>
      <w:r>
        <w:rPr/>
        <w:t>经营）。</w:t>
      </w:r>
    </w:p>
    <w:p>
      <w:pPr>
        <w:spacing w:line="408" w:lineRule="auto" w:before="166"/>
        <w:ind w:left="572" w:right="3861" w:firstLine="2"/>
        <w:jc w:val="left"/>
        <w:rPr>
          <w:rFonts w:ascii="宋体" w:hAnsi="宋体" w:cs="宋体" w:eastAsia="宋体" w:hint="default"/>
          <w:sz w:val="21"/>
          <w:szCs w:val="21"/>
        </w:rPr>
      </w:pPr>
      <w:r>
        <w:rPr>
          <w:rFonts w:ascii="宋体" w:hAnsi="宋体" w:cs="宋体" w:eastAsia="宋体" w:hint="default"/>
          <w:b/>
          <w:bCs/>
          <w:sz w:val="21"/>
          <w:szCs w:val="21"/>
        </w:rPr>
        <w:t>（三）财务报表的批准报出</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本财务报表业经本公司董事会于</w:t>
      </w:r>
      <w:r>
        <w:rPr>
          <w:rFonts w:ascii="宋体" w:hAnsi="宋体" w:cs="宋体" w:eastAsia="宋体" w:hint="default"/>
          <w:spacing w:val="-2"/>
          <w:sz w:val="21"/>
          <w:szCs w:val="21"/>
        </w:rPr>
        <w:t>2016</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日批准报出。</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b/>
          <w:bCs/>
          <w:sz w:val="21"/>
          <w:szCs w:val="21"/>
        </w:rPr>
        <w:t>二、合并财务报表范围</w:t>
      </w:r>
      <w:r>
        <w:rPr>
          <w:rFonts w:ascii="宋体" w:hAnsi="宋体" w:cs="宋体" w:eastAsia="宋体" w:hint="default"/>
          <w:b/>
          <w:bCs/>
          <w:w w:val="100"/>
          <w:sz w:val="21"/>
          <w:szCs w:val="21"/>
        </w:rPr>
        <w:t> </w:t>
      </w:r>
      <w:r>
        <w:rPr>
          <w:rFonts w:ascii="宋体" w:hAnsi="宋体" w:cs="宋体" w:eastAsia="宋体" w:hint="default"/>
          <w:spacing w:val="-2"/>
          <w:sz w:val="21"/>
          <w:szCs w:val="21"/>
        </w:rPr>
        <w:t>本期纳入合并财务报表范围的子公司共一户，主要包括：</w:t>
      </w:r>
    </w:p>
    <w:tbl>
      <w:tblPr>
        <w:tblW w:w="0" w:type="auto"/>
        <w:jc w:val="left"/>
        <w:tblInd w:w="145" w:type="dxa"/>
        <w:tblLayout w:type="fixed"/>
        <w:tblCellMar>
          <w:top w:w="0" w:type="dxa"/>
          <w:left w:w="0" w:type="dxa"/>
          <w:bottom w:w="0" w:type="dxa"/>
          <w:right w:w="0" w:type="dxa"/>
        </w:tblCellMar>
        <w:tblLook w:val="01E0"/>
      </w:tblPr>
      <w:tblGrid>
        <w:gridCol w:w="2657"/>
        <w:gridCol w:w="1764"/>
        <w:gridCol w:w="1342"/>
        <w:gridCol w:w="1519"/>
        <w:gridCol w:w="1517"/>
      </w:tblGrid>
      <w:tr>
        <w:trPr>
          <w:trHeight w:val="353" w:hRule="exact"/>
        </w:trPr>
        <w:tc>
          <w:tcPr>
            <w:tcW w:w="2657"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87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64"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422"/>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482"/>
              <w:jc w:val="right"/>
              <w:rPr>
                <w:rFonts w:ascii="宋体" w:hAnsi="宋体" w:cs="宋体" w:eastAsia="宋体" w:hint="default"/>
                <w:sz w:val="18"/>
                <w:szCs w:val="18"/>
              </w:rPr>
            </w:pPr>
            <w:r>
              <w:rPr>
                <w:rFonts w:ascii="宋体" w:hAnsi="宋体" w:cs="宋体" w:eastAsia="宋体" w:hint="default"/>
                <w:sz w:val="18"/>
                <w:szCs w:val="18"/>
              </w:rPr>
              <w:t>级次</w:t>
            </w:r>
          </w:p>
        </w:tc>
        <w:tc>
          <w:tcPr>
            <w:tcW w:w="1519" w:type="dxa"/>
            <w:tcBorders>
              <w:top w:val="single" w:sz="6" w:space="0" w:color="000000"/>
              <w:left w:val="single" w:sz="6" w:space="0" w:color="000000"/>
              <w:bottom w:val="single" w:sz="12" w:space="0" w:color="000000"/>
              <w:right w:val="single" w:sz="6" w:space="0" w:color="000000"/>
            </w:tcBorders>
          </w:tcPr>
          <w:p>
            <w:pPr>
              <w:pStyle w:val="TableParagraph"/>
              <w:spacing w:line="249" w:lineRule="exact"/>
              <w:ind w:left="136"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9" w:lineRule="exact"/>
              <w:ind w:left="45" w:right="0"/>
              <w:jc w:val="left"/>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5" w:hRule="exact"/>
        </w:trPr>
        <w:tc>
          <w:tcPr>
            <w:tcW w:w="2657" w:type="dxa"/>
            <w:tcBorders>
              <w:top w:val="single" w:sz="12" w:space="0" w:color="000000"/>
              <w:left w:val="single" w:sz="6" w:space="0" w:color="000000"/>
              <w:bottom w:val="single" w:sz="12" w:space="0" w:color="000000"/>
              <w:right w:val="single" w:sz="6"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28" w:lineRule="exact"/>
              <w:ind w:right="42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28" w:lineRule="exact"/>
              <w:ind w:right="482"/>
              <w:jc w:val="right"/>
              <w:rPr>
                <w:rFonts w:ascii="宋体" w:hAnsi="宋体" w:cs="宋体" w:eastAsia="宋体" w:hint="default"/>
                <w:sz w:val="18"/>
                <w:szCs w:val="18"/>
              </w:rPr>
            </w:pPr>
            <w:r>
              <w:rPr>
                <w:rFonts w:ascii="宋体" w:hAnsi="宋体" w:cs="宋体" w:eastAsia="宋体" w:hint="default"/>
                <w:sz w:val="18"/>
                <w:szCs w:val="18"/>
              </w:rPr>
              <w:t>一级</w:t>
            </w:r>
          </w:p>
        </w:tc>
        <w:tc>
          <w:tcPr>
            <w:tcW w:w="15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005"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9"/>
          <w:szCs w:val="9"/>
        </w:rPr>
      </w:pPr>
    </w:p>
    <w:p>
      <w:pPr>
        <w:pStyle w:val="BodyText"/>
        <w:spacing w:line="240" w:lineRule="auto" w:before="36"/>
        <w:ind w:left="572" w:right="106"/>
        <w:jc w:val="left"/>
      </w:pPr>
      <w:r>
        <w:rPr/>
        <w:t>本期纳入合并财务报表范围的主体较上期相比，未发生变化。</w:t>
      </w:r>
    </w:p>
    <w:p>
      <w:pPr>
        <w:spacing w:line="240" w:lineRule="auto" w:before="12"/>
        <w:rPr>
          <w:rFonts w:ascii="宋体" w:hAnsi="宋体" w:cs="宋体" w:eastAsia="宋体" w:hint="default"/>
          <w:sz w:val="23"/>
          <w:szCs w:val="23"/>
        </w:rPr>
      </w:pPr>
    </w:p>
    <w:p>
      <w:pPr>
        <w:pStyle w:val="BodyText"/>
        <w:spacing w:line="408" w:lineRule="auto" w:before="0"/>
        <w:ind w:right="106" w:firstLine="419"/>
        <w:jc w:val="left"/>
      </w:pPr>
      <w:r>
        <w:rPr/>
        <w:t>本公司原持有深圳市连邦信息技术有限公司（原名为</w:t>
      </w:r>
      <w:r>
        <w:rPr>
          <w:rFonts w:ascii="宋体" w:hAnsi="宋体" w:cs="宋体" w:eastAsia="宋体" w:hint="default"/>
        </w:rPr>
        <w:t>“</w:t>
      </w:r>
      <w:r>
        <w:rPr/>
        <w:t>深圳市连邦软件有限公司</w:t>
      </w:r>
      <w:r>
        <w:rPr>
          <w:rFonts w:ascii="宋体" w:hAnsi="宋体" w:cs="宋体" w:eastAsia="宋体" w:hint="default"/>
        </w:rPr>
        <w:t>”</w:t>
      </w:r>
      <w:r>
        <w:rPr/>
        <w:t>）</w:t>
      </w:r>
      <w:r>
        <w:rPr>
          <w:rFonts w:ascii="宋体" w:hAnsi="宋体" w:cs="宋体" w:eastAsia="宋体" w:hint="default"/>
        </w:rPr>
        <w:t>37.50%</w:t>
      </w:r>
      <w:r>
        <w:rPr/>
        <w:t>的股权，</w:t>
      </w:r>
      <w:r>
        <w:rPr>
          <w:spacing w:val="-3"/>
          <w:w w:val="100"/>
        </w:rPr>
        <w:t> </w:t>
      </w:r>
      <w:r>
        <w:rPr>
          <w:rFonts w:ascii="宋体" w:hAnsi="宋体" w:cs="宋体" w:eastAsia="宋体" w:hint="default"/>
          <w:spacing w:val="-4"/>
        </w:rPr>
        <w:t>2006</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27</w:t>
      </w:r>
      <w:r>
        <w:rPr>
          <w:spacing w:val="-4"/>
        </w:rPr>
        <w:t>日，经深圳国际高新技术产权交易所以</w:t>
      </w:r>
      <w:r>
        <w:rPr>
          <w:rFonts w:ascii="宋体" w:hAnsi="宋体" w:cs="宋体" w:eastAsia="宋体" w:hint="default"/>
          <w:spacing w:val="-4"/>
        </w:rPr>
        <w:t>“</w:t>
      </w:r>
      <w:r>
        <w:rPr>
          <w:spacing w:val="-4"/>
        </w:rPr>
        <w:t>深高交所见（</w:t>
      </w:r>
      <w:r>
        <w:rPr>
          <w:rFonts w:ascii="宋体" w:hAnsi="宋体" w:cs="宋体" w:eastAsia="宋体" w:hint="default"/>
          <w:spacing w:val="-4"/>
        </w:rPr>
        <w:t>2006</w:t>
      </w:r>
      <w:r>
        <w:rPr>
          <w:spacing w:val="-4"/>
        </w:rPr>
        <w:t>）字第</w:t>
      </w:r>
      <w:r>
        <w:rPr>
          <w:rFonts w:ascii="宋体" w:hAnsi="宋体" w:cs="宋体" w:eastAsia="宋体" w:hint="default"/>
          <w:spacing w:val="-4"/>
        </w:rPr>
        <w:t>688</w:t>
      </w:r>
      <w:r>
        <w:rPr>
          <w:spacing w:val="-4"/>
        </w:rPr>
        <w:t>号</w:t>
      </w:r>
      <w:r>
        <w:rPr>
          <w:rFonts w:ascii="宋体" w:hAnsi="宋体" w:cs="宋体" w:eastAsia="宋体" w:hint="default"/>
          <w:spacing w:val="-4"/>
        </w:rPr>
        <w:t>”</w:t>
      </w:r>
      <w:r>
        <w:rPr>
          <w:spacing w:val="-4"/>
        </w:rPr>
        <w:t>《股权转让见证书》</w:t>
      </w:r>
      <w:r>
        <w:rPr>
          <w:spacing w:val="-37"/>
        </w:rPr>
        <w:t> </w:t>
      </w:r>
      <w:r>
        <w:rPr>
          <w:spacing w:val="-37"/>
        </w:rPr>
      </w:r>
      <w:r>
        <w:rPr/>
        <w:t>见证，刘浪（又名刘乙丁）将所持深圳市连邦信息技术有限公司</w:t>
      </w:r>
      <w:r>
        <w:rPr>
          <w:rFonts w:ascii="宋体" w:hAnsi="宋体" w:cs="宋体" w:eastAsia="宋体" w:hint="default"/>
        </w:rPr>
        <w:t>37.50%</w:t>
      </w:r>
      <w:r>
        <w:rPr/>
        <w:t>的股权以人民币</w:t>
      </w:r>
      <w:r>
        <w:rPr>
          <w:rFonts w:ascii="宋体" w:hAnsi="宋体" w:cs="宋体" w:eastAsia="宋体" w:hint="default"/>
        </w:rPr>
        <w:t>15.00</w:t>
      </w:r>
      <w:r>
        <w:rPr/>
        <w:t>万元的价格</w:t>
      </w:r>
      <w:r>
        <w:rPr>
          <w:spacing w:val="-3"/>
          <w:w w:val="100"/>
        </w:rPr>
        <w:t> </w:t>
      </w:r>
      <w:r>
        <w:rPr/>
        <w:t>转让给本公司，并于</w:t>
      </w:r>
      <w:r>
        <w:rPr>
          <w:rFonts w:ascii="宋体" w:hAnsi="宋体" w:cs="宋体" w:eastAsia="宋体" w:hint="default"/>
        </w:rPr>
        <w:t>2006</w:t>
      </w:r>
      <w:r>
        <w:rPr/>
        <w:t>年</w:t>
      </w:r>
      <w:r>
        <w:rPr>
          <w:rFonts w:ascii="宋体" w:hAnsi="宋体" w:cs="宋体" w:eastAsia="宋体" w:hint="default"/>
        </w:rPr>
        <w:t>3</w:t>
      </w:r>
      <w:r>
        <w:rPr/>
        <w:t>月</w:t>
      </w:r>
      <w:r>
        <w:rPr>
          <w:rFonts w:ascii="宋体" w:hAnsi="宋体" w:cs="宋体" w:eastAsia="宋体" w:hint="default"/>
        </w:rPr>
        <w:t>29</w:t>
      </w:r>
      <w:r>
        <w:rPr/>
        <w:t>日完成股权转让的工商变更登记手续，变更后本公司持有深圳市连邦信</w:t>
      </w:r>
      <w:r>
        <w:rPr>
          <w:w w:val="100"/>
        </w:rPr>
        <w:t> </w:t>
      </w:r>
      <w:r>
        <w:rPr/>
        <w:t>息技术有限公司</w:t>
      </w:r>
      <w:r>
        <w:rPr>
          <w:rFonts w:ascii="宋体" w:hAnsi="宋体" w:cs="宋体" w:eastAsia="宋体" w:hint="default"/>
        </w:rPr>
        <w:t>75%</w:t>
      </w:r>
      <w:r>
        <w:rPr/>
        <w:t>的股权。</w:t>
      </w:r>
    </w:p>
    <w:p>
      <w:pPr>
        <w:pStyle w:val="BodyText"/>
        <w:spacing w:line="408" w:lineRule="auto"/>
        <w:ind w:left="153" w:right="106" w:firstLine="419"/>
        <w:jc w:val="left"/>
      </w:pPr>
      <w:r>
        <w:rPr>
          <w:rFonts w:ascii="宋体" w:hAnsi="宋体" w:cs="宋体" w:eastAsia="宋体" w:hint="default"/>
        </w:rPr>
        <w:t>2007</w:t>
      </w:r>
      <w:r>
        <w:rPr/>
        <w:t>年</w:t>
      </w:r>
      <w:r>
        <w:rPr>
          <w:rFonts w:ascii="宋体" w:hAnsi="宋体" w:cs="宋体" w:eastAsia="宋体" w:hint="default"/>
        </w:rPr>
        <w:t>5</w:t>
      </w:r>
      <w:r>
        <w:rPr/>
        <w:t>月</w:t>
      </w:r>
      <w:r>
        <w:rPr>
          <w:rFonts w:ascii="宋体" w:hAnsi="宋体" w:cs="宋体" w:eastAsia="宋体" w:hint="default"/>
        </w:rPr>
        <w:t>30</w:t>
      </w:r>
      <w:r>
        <w:rPr/>
        <w:t>日，经深圳国际高新技术产权交易所以</w:t>
      </w:r>
      <w:r>
        <w:rPr>
          <w:rFonts w:ascii="宋体" w:hAnsi="宋体" w:cs="宋体" w:eastAsia="宋体" w:hint="default"/>
        </w:rPr>
        <w:t>“</w:t>
      </w:r>
      <w:r>
        <w:rPr/>
        <w:t>深高交所见（</w:t>
      </w:r>
      <w:r>
        <w:rPr>
          <w:rFonts w:ascii="宋体" w:hAnsi="宋体" w:cs="宋体" w:eastAsia="宋体" w:hint="default"/>
        </w:rPr>
        <w:t>2007</w:t>
      </w:r>
      <w:r>
        <w:rPr/>
        <w:t>）字第</w:t>
      </w:r>
      <w:r>
        <w:rPr>
          <w:rFonts w:ascii="宋体" w:hAnsi="宋体" w:cs="宋体" w:eastAsia="宋体" w:hint="default"/>
        </w:rPr>
        <w:t>3225</w:t>
      </w:r>
      <w:r>
        <w:rPr/>
        <w:t>号</w:t>
      </w:r>
      <w:r>
        <w:rPr>
          <w:rFonts w:ascii="宋体" w:hAnsi="宋体" w:cs="宋体" w:eastAsia="宋体" w:hint="default"/>
        </w:rPr>
        <w:t>”</w:t>
      </w:r>
      <w:r>
        <w:rPr/>
        <w:t>《股权转让</w:t>
      </w:r>
      <w:r>
        <w:rPr>
          <w:spacing w:val="-3"/>
          <w:w w:val="100"/>
        </w:rPr>
        <w:t> </w:t>
      </w:r>
      <w:r>
        <w:rPr>
          <w:spacing w:val="-2"/>
        </w:rPr>
        <w:t>见证书》见证，缪洪将其持有深圳市连邦信息技术有限公司</w:t>
      </w:r>
      <w:r>
        <w:rPr>
          <w:rFonts w:ascii="宋体" w:hAnsi="宋体" w:cs="宋体" w:eastAsia="宋体" w:hint="default"/>
          <w:spacing w:val="-2"/>
        </w:rPr>
        <w:t>25%</w:t>
      </w:r>
      <w:r>
        <w:rPr>
          <w:spacing w:val="-2"/>
        </w:rPr>
        <w:t>的股权以人民币</w:t>
      </w:r>
      <w:r>
        <w:rPr>
          <w:rFonts w:ascii="宋体" w:hAnsi="宋体" w:cs="宋体" w:eastAsia="宋体" w:hint="default"/>
          <w:spacing w:val="-2"/>
        </w:rPr>
        <w:t>10.00</w:t>
      </w:r>
      <w:r>
        <w:rPr>
          <w:spacing w:val="-2"/>
        </w:rPr>
        <w:t>万元的价格转让给本</w:t>
      </w:r>
      <w:r>
        <w:rPr>
          <w:spacing w:val="-47"/>
        </w:rPr>
        <w:t> </w:t>
      </w:r>
      <w:r>
        <w:rPr>
          <w:spacing w:val="-47"/>
        </w:rPr>
      </w:r>
      <w:r>
        <w:rPr>
          <w:spacing w:val="-2"/>
        </w:rPr>
        <w:t>公司，并于</w:t>
      </w:r>
      <w:r>
        <w:rPr>
          <w:rFonts w:ascii="宋体" w:hAnsi="宋体" w:cs="宋体" w:eastAsia="宋体" w:hint="default"/>
          <w:spacing w:val="-2"/>
        </w:rPr>
        <w:t>2007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6</w:t>
      </w:r>
      <w:r>
        <w:rPr>
          <w:spacing w:val="-2"/>
        </w:rPr>
        <w:t>日完成股权转让的工商变更登记手续。变更后深圳市连邦信息技术有限公司成为本</w:t>
      </w:r>
      <w:r>
        <w:rPr>
          <w:spacing w:val="-36"/>
        </w:rPr>
        <w:t> </w:t>
      </w:r>
      <w:r>
        <w:rPr>
          <w:spacing w:val="-36"/>
        </w:rPr>
      </w:r>
      <w:r>
        <w:rPr/>
        <w:t>公司的全资子公司。</w:t>
      </w:r>
    </w:p>
    <w:p>
      <w:pPr>
        <w:pStyle w:val="BodyText"/>
        <w:spacing w:line="408" w:lineRule="auto"/>
        <w:ind w:left="154" w:right="106" w:firstLine="419"/>
        <w:jc w:val="left"/>
      </w:pPr>
      <w:r>
        <w:rPr>
          <w:rFonts w:ascii="宋体" w:hAnsi="宋体" w:cs="宋体" w:eastAsia="宋体" w:hint="default"/>
          <w:spacing w:val="-2"/>
        </w:rPr>
        <w:t>2007</w:t>
      </w:r>
      <w:r>
        <w:rPr>
          <w:spacing w:val="-2"/>
        </w:rPr>
        <w:t>年</w:t>
      </w:r>
      <w:r>
        <w:rPr>
          <w:rFonts w:ascii="宋体" w:hAnsi="宋体" w:cs="宋体" w:eastAsia="宋体" w:hint="default"/>
          <w:spacing w:val="-2"/>
        </w:rPr>
        <w:t>6</w:t>
      </w:r>
      <w:r>
        <w:rPr>
          <w:spacing w:val="-2"/>
        </w:rPr>
        <w:t>月，本公司对深圳市连邦信息技术有限公司增资人民币</w:t>
      </w:r>
      <w:r>
        <w:rPr>
          <w:rFonts w:ascii="宋体" w:hAnsi="宋体" w:cs="宋体" w:eastAsia="宋体" w:hint="default"/>
          <w:spacing w:val="-2"/>
        </w:rPr>
        <w:t>160.00</w:t>
      </w:r>
      <w:r>
        <w:rPr>
          <w:spacing w:val="-2"/>
        </w:rPr>
        <w:t>万元，增资后深圳市连邦信息</w:t>
      </w:r>
      <w:r>
        <w:rPr>
          <w:w w:val="100"/>
        </w:rPr>
        <w:t> </w:t>
      </w:r>
      <w:r>
        <w:rPr/>
        <w:t>技术有限公司注册资本变更为人民币</w:t>
      </w:r>
      <w:r>
        <w:rPr>
          <w:rFonts w:ascii="宋体" w:hAnsi="宋体" w:cs="宋体" w:eastAsia="宋体" w:hint="default"/>
        </w:rPr>
        <w:t>200.00</w:t>
      </w:r>
      <w:r>
        <w:rPr/>
        <w:t>万元。</w:t>
      </w:r>
    </w:p>
    <w:p>
      <w:pPr>
        <w:spacing w:line="240" w:lineRule="auto" w:before="6"/>
        <w:rPr>
          <w:rFonts w:ascii="宋体" w:hAnsi="宋体" w:cs="宋体" w:eastAsia="宋体" w:hint="default"/>
          <w:sz w:val="21"/>
          <w:szCs w:val="21"/>
        </w:rPr>
      </w:pPr>
    </w:p>
    <w:p>
      <w:pPr>
        <w:pStyle w:val="Heading3"/>
        <w:spacing w:line="240" w:lineRule="auto"/>
        <w:ind w:left="572" w:right="106"/>
        <w:jc w:val="left"/>
        <w:rPr>
          <w:b w:val="0"/>
          <w:bCs w:val="0"/>
        </w:rPr>
      </w:pPr>
      <w:r>
        <w:rPr/>
        <w:t>三、财务报表的编制基础</w:t>
      </w:r>
      <w:r>
        <w:rPr>
          <w:b w:val="0"/>
          <w:bCs w:val="0"/>
        </w:rPr>
      </w:r>
    </w:p>
    <w:p>
      <w:pPr>
        <w:spacing w:after="0" w:line="240" w:lineRule="auto"/>
        <w:jc w:val="left"/>
        <w:sectPr>
          <w:pgSz w:w="11910" w:h="16840"/>
          <w:pgMar w:header="990" w:footer="1066" w:top="1220" w:bottom="1260" w:left="980" w:right="920"/>
        </w:sectPr>
      </w:pPr>
    </w:p>
    <w:p>
      <w:pPr>
        <w:spacing w:line="240" w:lineRule="auto" w:before="5"/>
        <w:rPr>
          <w:rFonts w:ascii="宋体" w:hAnsi="宋体" w:cs="宋体" w:eastAsia="宋体" w:hint="default"/>
          <w:b/>
          <w:bCs/>
          <w:sz w:val="10"/>
          <w:szCs w:val="10"/>
        </w:rPr>
      </w:pPr>
    </w:p>
    <w:p>
      <w:pPr>
        <w:spacing w:line="338" w:lineRule="auto" w:before="3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（一）财务报表的编制基础</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本公司根据实际发生的交易和事项，按照财政部颁布的《企业会计准则</w:t>
      </w:r>
      <w:r>
        <w:rPr>
          <w:rFonts w:ascii="宋体" w:hAnsi="宋体" w:cs="宋体" w:eastAsia="宋体" w:hint="default"/>
          <w:spacing w:val="-3"/>
          <w:sz w:val="21"/>
          <w:szCs w:val="21"/>
        </w:rPr>
        <w:t>——</w:t>
      </w:r>
      <w:r>
        <w:rPr>
          <w:rFonts w:ascii="宋体" w:hAnsi="宋体" w:cs="宋体" w:eastAsia="宋体" w:hint="default"/>
          <w:spacing w:val="-3"/>
          <w:sz w:val="21"/>
          <w:szCs w:val="21"/>
        </w:rPr>
        <w:t>基本准则》和具体企业会</w:t>
      </w:r>
      <w:r>
        <w:rPr>
          <w:rFonts w:ascii="宋体" w:hAnsi="宋体" w:cs="宋体" w:eastAsia="宋体" w:hint="default"/>
          <w:sz w:val="21"/>
          <w:szCs w:val="21"/>
        </w:rPr>
      </w:r>
    </w:p>
    <w:p>
      <w:pPr>
        <w:pStyle w:val="BodyText"/>
        <w:spacing w:line="408" w:lineRule="auto" w:before="107"/>
        <w:ind w:right="152"/>
        <w:jc w:val="both"/>
      </w:pPr>
      <w:r>
        <w:rPr>
          <w:spacing w:val="-3"/>
        </w:rPr>
        <w:t>计准则、企业会计准则应用指南、企业会计准则解释及其他相关规定</w:t>
      </w:r>
      <w:r>
        <w:rPr>
          <w:rFonts w:ascii="宋体" w:hAnsi="宋体" w:cs="宋体" w:eastAsia="宋体" w:hint="default"/>
          <w:spacing w:val="-3"/>
        </w:rPr>
        <w:t>(</w:t>
      </w:r>
      <w:r>
        <w:rPr>
          <w:spacing w:val="-3"/>
        </w:rPr>
        <w:t>以下合称</w:t>
      </w:r>
      <w:r>
        <w:rPr>
          <w:rFonts w:ascii="宋体" w:hAnsi="宋体" w:cs="宋体" w:eastAsia="宋体" w:hint="default"/>
          <w:spacing w:val="-3"/>
        </w:rPr>
        <w:t>“</w:t>
      </w:r>
      <w:r>
        <w:rPr>
          <w:spacing w:val="-3"/>
        </w:rPr>
        <w:t>企业会计准则</w:t>
      </w:r>
      <w:r>
        <w:rPr>
          <w:rFonts w:ascii="宋体" w:hAnsi="宋体" w:cs="宋体" w:eastAsia="宋体" w:hint="default"/>
          <w:spacing w:val="-3"/>
        </w:rPr>
        <w:t>”)</w:t>
      </w:r>
      <w:r>
        <w:rPr>
          <w:spacing w:val="-3"/>
        </w:rPr>
        <w:t>进行确</w:t>
      </w:r>
      <w:r>
        <w:rPr>
          <w:spacing w:val="-7"/>
        </w:rPr>
        <w:t> 认和计量，在此基础上，结合中国证券监督管理委员会《公开发行证券的公司信息披露编报规则第</w:t>
      </w:r>
      <w:r>
        <w:rPr>
          <w:rFonts w:ascii="宋体" w:hAnsi="宋体" w:cs="宋体" w:eastAsia="宋体" w:hint="default"/>
          <w:spacing w:val="-7"/>
        </w:rPr>
        <w:t>15</w:t>
      </w:r>
      <w:r>
        <w:rPr>
          <w:spacing w:val="-7"/>
        </w:rPr>
        <w:t>号</w:t>
      </w:r>
      <w:r>
        <w:rPr>
          <w:rFonts w:ascii="宋体" w:hAnsi="宋体" w:cs="宋体" w:eastAsia="宋体" w:hint="default"/>
          <w:spacing w:val="-7"/>
        </w:rPr>
        <w:t>——</w:t>
      </w:r>
      <w:r>
        <w:rPr>
          <w:rFonts w:ascii="宋体" w:hAnsi="宋体" w:cs="宋体" w:eastAsia="宋体" w:hint="default"/>
          <w:spacing w:val="-21"/>
        </w:rPr>
        <w:t> </w:t>
      </w:r>
      <w:r>
        <w:rPr/>
        <w:t>财务报告的一般规定》</w:t>
      </w:r>
      <w:r>
        <w:rPr>
          <w:rFonts w:ascii="宋体" w:hAnsi="宋体" w:cs="宋体" w:eastAsia="宋体" w:hint="default"/>
        </w:rPr>
        <w:t>(2014</w:t>
      </w:r>
      <w:r>
        <w:rPr/>
        <w:t>年修订</w:t>
      </w:r>
      <w:r>
        <w:rPr>
          <w:rFonts w:ascii="宋体" w:hAnsi="宋体" w:cs="宋体" w:eastAsia="宋体" w:hint="default"/>
        </w:rPr>
        <w:t>)</w:t>
      </w:r>
      <w:r>
        <w:rPr/>
        <w:t>的规定，编制财务报表。</w:t>
      </w:r>
    </w:p>
    <w:p>
      <w:pPr>
        <w:pStyle w:val="BodyText"/>
        <w:spacing w:line="408" w:lineRule="auto" w:before="166"/>
        <w:ind w:left="572" w:right="0" w:firstLine="2"/>
        <w:jc w:val="left"/>
      </w:pPr>
      <w:r>
        <w:rPr>
          <w:rFonts w:ascii="宋体" w:hAnsi="宋体" w:cs="宋体" w:eastAsia="宋体" w:hint="default"/>
          <w:b/>
          <w:bCs/>
        </w:rPr>
        <w:t>（二）持续经营</w:t>
      </w:r>
      <w:r>
        <w:rPr>
          <w:rFonts w:ascii="宋体" w:hAnsi="宋体" w:cs="宋体" w:eastAsia="宋体" w:hint="default"/>
          <w:b/>
          <w:bCs/>
          <w:w w:val="100"/>
        </w:rPr>
        <w:t> </w:t>
      </w:r>
      <w:r>
        <w:rPr>
          <w:spacing w:val="-2"/>
        </w:rPr>
        <w:t>本公司对报告期末起</w:t>
      </w:r>
      <w:r>
        <w:rPr>
          <w:rFonts w:ascii="宋体" w:hAnsi="宋体" w:cs="宋体" w:eastAsia="宋体" w:hint="default"/>
          <w:spacing w:val="-2"/>
        </w:rPr>
        <w:t>12</w:t>
      </w:r>
      <w:r>
        <w:rPr>
          <w:spacing w:val="-2"/>
        </w:rPr>
        <w:t>个月的持续经营能力进行了评价，未发现对持续经营能力产生重大怀疑的事项</w:t>
      </w:r>
      <w:r>
        <w:rPr/>
      </w:r>
    </w:p>
    <w:p>
      <w:pPr>
        <w:pStyle w:val="BodyText"/>
        <w:spacing w:line="240" w:lineRule="auto"/>
        <w:ind w:right="0"/>
        <w:jc w:val="both"/>
      </w:pPr>
      <w:r>
        <w:rPr/>
        <w:t>或情况。因此，本财务报表系在持续经营假设的基础上编制。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7"/>
        <w:ind w:left="575" w:right="0"/>
        <w:jc w:val="left"/>
        <w:rPr>
          <w:b w:val="0"/>
          <w:bCs w:val="0"/>
        </w:rPr>
      </w:pPr>
      <w:r>
        <w:rPr/>
        <w:t>四、重要会计政策、会计估计</w:t>
      </w:r>
      <w:r>
        <w:rPr>
          <w:b w:val="0"/>
          <w:bCs w:val="0"/>
        </w:rPr>
      </w:r>
    </w:p>
    <w:p>
      <w:pPr>
        <w:spacing w:line="240" w:lineRule="auto" w:before="12"/>
        <w:rPr>
          <w:rFonts w:ascii="宋体" w:hAnsi="宋体" w:cs="宋体" w:eastAsia="宋体" w:hint="default"/>
          <w:b/>
          <w:bCs/>
          <w:sz w:val="23"/>
          <w:szCs w:val="23"/>
        </w:rPr>
      </w:pPr>
    </w:p>
    <w:p>
      <w:pPr>
        <w:spacing w:line="408" w:lineRule="auto" w:before="0"/>
        <w:ind w:left="572" w:right="0" w:firstLine="60"/>
        <w:jc w:val="left"/>
        <w:rPr>
          <w:rFonts w:ascii="宋体" w:hAnsi="宋体" w:cs="宋体" w:eastAsia="宋体" w:hint="default"/>
          <w:sz w:val="21"/>
          <w:szCs w:val="21"/>
        </w:rPr>
      </w:pPr>
      <w:r>
        <w:rPr>
          <w:rFonts w:ascii="宋体" w:hAnsi="宋体" w:cs="宋体" w:eastAsia="宋体" w:hint="default"/>
          <w:b/>
          <w:bCs/>
          <w:sz w:val="21"/>
          <w:szCs w:val="21"/>
        </w:rPr>
        <w:t>（一）遵循企业会计准则的声明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本公司所编制的财务报表符合企业会计准则的要求，真实、完整地反映了报告期公司的财务状况、经</w:t>
      </w:r>
    </w:p>
    <w:p>
      <w:pPr>
        <w:pStyle w:val="BodyText"/>
        <w:spacing w:line="240" w:lineRule="auto"/>
        <w:ind w:right="0"/>
        <w:jc w:val="both"/>
      </w:pPr>
      <w:r>
        <w:rPr/>
        <w:t>营成果、现金流量等有关信息。</w:t>
      </w:r>
    </w:p>
    <w:p>
      <w:pPr>
        <w:spacing w:line="240" w:lineRule="auto" w:before="12"/>
        <w:rPr>
          <w:rFonts w:ascii="宋体" w:hAnsi="宋体" w:cs="宋体" w:eastAsia="宋体" w:hint="default"/>
          <w:sz w:val="23"/>
          <w:szCs w:val="23"/>
        </w:rPr>
      </w:pPr>
    </w:p>
    <w:p>
      <w:pPr>
        <w:spacing w:line="408" w:lineRule="auto" w:before="0"/>
        <w:ind w:left="572" w:right="4014" w:firstLine="60"/>
        <w:jc w:val="left"/>
        <w:rPr>
          <w:rFonts w:ascii="宋体" w:hAnsi="宋体" w:cs="宋体" w:eastAsia="宋体" w:hint="default"/>
          <w:sz w:val="21"/>
          <w:szCs w:val="21"/>
        </w:rPr>
      </w:pPr>
      <w:r>
        <w:rPr>
          <w:rFonts w:ascii="宋体" w:hAnsi="宋体" w:cs="宋体" w:eastAsia="宋体" w:hint="default"/>
          <w:b/>
          <w:bCs/>
          <w:sz w:val="21"/>
          <w:szCs w:val="21"/>
        </w:rPr>
        <w:t>（二）会计期间</w:t>
      </w:r>
      <w:r>
        <w:rPr>
          <w:rFonts w:ascii="宋体" w:hAnsi="宋体" w:cs="宋体" w:eastAsia="宋体" w:hint="default"/>
          <w:b/>
          <w:bCs/>
          <w:w w:val="100"/>
          <w:sz w:val="21"/>
          <w:szCs w:val="21"/>
        </w:rPr>
        <w:t> </w:t>
      </w:r>
      <w:r>
        <w:rPr>
          <w:rFonts w:ascii="宋体" w:hAnsi="宋体" w:cs="宋体" w:eastAsia="宋体" w:hint="default"/>
          <w:spacing w:val="-2"/>
          <w:sz w:val="21"/>
          <w:szCs w:val="21"/>
        </w:rPr>
        <w:t>自公历</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日至</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日止为一个会计年度。</w:t>
      </w:r>
    </w:p>
    <w:p>
      <w:pPr>
        <w:pStyle w:val="BodyText"/>
        <w:spacing w:line="408" w:lineRule="auto" w:before="166"/>
        <w:ind w:left="572" w:right="1134" w:firstLine="60"/>
        <w:jc w:val="left"/>
      </w:pPr>
      <w:r>
        <w:rPr>
          <w:rFonts w:ascii="宋体" w:hAnsi="宋体" w:cs="宋体" w:eastAsia="宋体" w:hint="default"/>
          <w:b/>
          <w:bCs/>
        </w:rPr>
        <w:t>（三）营业周期</w:t>
      </w:r>
      <w:r>
        <w:rPr>
          <w:rFonts w:ascii="宋体" w:hAnsi="宋体" w:cs="宋体" w:eastAsia="宋体" w:hint="default"/>
          <w:b/>
          <w:bCs/>
          <w:w w:val="100"/>
        </w:rPr>
        <w:t> </w:t>
      </w:r>
      <w:r>
        <w:rPr>
          <w:spacing w:val="-2"/>
        </w:rPr>
        <w:t>本公司营业周期为</w:t>
      </w:r>
      <w:r>
        <w:rPr>
          <w:rFonts w:ascii="宋体" w:hAnsi="宋体" w:cs="宋体" w:eastAsia="宋体" w:hint="default"/>
          <w:spacing w:val="-2"/>
        </w:rPr>
        <w:t>12</w:t>
      </w:r>
      <w:r>
        <w:rPr>
          <w:spacing w:val="-2"/>
        </w:rPr>
        <w:t>个月，并以营业周期作为资产和负债的流动性划分标准。</w:t>
      </w:r>
    </w:p>
    <w:p>
      <w:pPr>
        <w:spacing w:line="408" w:lineRule="auto" w:before="166"/>
        <w:ind w:left="572" w:right="6174" w:firstLine="60"/>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本公司以人民币为记账本位币。</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left="632" w:right="0"/>
        <w:jc w:val="left"/>
        <w:rPr>
          <w:b w:val="0"/>
          <w:bCs w:val="0"/>
        </w:rPr>
      </w:pPr>
      <w:r>
        <w:rPr/>
        <w:t>（五）同一控制下和非同一控制下企业合并的会计处理方法</w:t>
      </w:r>
      <w:r>
        <w:rPr>
          <w:b w:val="0"/>
          <w:bCs w:val="0"/>
        </w:rPr>
      </w:r>
    </w:p>
    <w:p>
      <w:pPr>
        <w:spacing w:line="240" w:lineRule="auto" w:before="10"/>
        <w:rPr>
          <w:rFonts w:ascii="宋体" w:hAnsi="宋体" w:cs="宋体" w:eastAsia="宋体" w:hint="default"/>
          <w:b/>
          <w:bCs/>
          <w:sz w:val="14"/>
          <w:szCs w:val="14"/>
        </w:rPr>
      </w:pPr>
    </w:p>
    <w:p>
      <w:pPr>
        <w:pStyle w:val="Heading3"/>
        <w:spacing w:line="408" w:lineRule="auto"/>
        <w:ind w:right="0" w:firstLine="422"/>
        <w:jc w:val="left"/>
        <w:rPr>
          <w:b w:val="0"/>
          <w:bCs w:val="0"/>
        </w:rPr>
      </w:pPr>
      <w:r>
        <w:rPr>
          <w:rFonts w:ascii="宋体" w:hAnsi="宋体" w:cs="宋体" w:eastAsia="宋体" w:hint="default"/>
          <w:spacing w:val="-2"/>
        </w:rPr>
        <w:t>1.</w:t>
      </w:r>
      <w:r>
        <w:rPr>
          <w:spacing w:val="-2"/>
        </w:rPr>
        <w:t>分步实现企业合并过程中的各项交易的条款、条件以及经济影响符合以下一种或多种情况，将多次</w:t>
      </w:r>
      <w:r>
        <w:rPr>
          <w:w w:val="100"/>
        </w:rPr>
        <w:t> </w:t>
      </w:r>
      <w:r>
        <w:rPr/>
        <w:t>交易事项作为一揽子交易进行会计处理：</w:t>
      </w:r>
      <w:r>
        <w:rPr>
          <w:b w:val="0"/>
          <w:bCs w:val="0"/>
        </w:rPr>
      </w:r>
    </w:p>
    <w:p>
      <w:pPr>
        <w:pStyle w:val="BodyText"/>
        <w:spacing w:line="240" w:lineRule="auto"/>
        <w:ind w:right="0"/>
        <w:jc w:val="both"/>
      </w:pPr>
      <w:r>
        <w:rPr/>
        <w:t>（</w:t>
      </w:r>
      <w:r>
        <w:rPr>
          <w:rFonts w:ascii="宋体" w:hAnsi="宋体" w:cs="宋体" w:eastAsia="宋体" w:hint="default"/>
        </w:rPr>
        <w:t>1</w:t>
      </w:r>
      <w:r>
        <w:rPr/>
        <w:t>）这些交易是同时或者在考虑了彼此影响的情况下订立的；</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w:t>
      </w:r>
      <w:r>
        <w:rPr>
          <w:rFonts w:ascii="宋体" w:hAnsi="宋体" w:cs="宋体" w:eastAsia="宋体" w:hint="default"/>
        </w:rPr>
        <w:t>2</w:t>
      </w:r>
      <w:r>
        <w:rPr/>
        <w:t>）这些交易整体才能达成一项完整的商业结果；</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w:t>
      </w:r>
      <w:r>
        <w:rPr>
          <w:rFonts w:ascii="宋体" w:hAnsi="宋体" w:cs="宋体" w:eastAsia="宋体" w:hint="default"/>
        </w:rPr>
        <w:t>3</w:t>
      </w:r>
      <w:r>
        <w:rPr/>
        <w:t>）一项交易的发生取决于其他至少一项交易的发生；</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w:t>
      </w:r>
      <w:r>
        <w:rPr>
          <w:rFonts w:ascii="宋体" w:hAnsi="宋体" w:cs="宋体" w:eastAsia="宋体" w:hint="default"/>
        </w:rPr>
        <w:t>4</w:t>
      </w:r>
      <w:r>
        <w:rPr/>
        <w:t>）一项交易单独看是不经济的，但是和其他交易一并考虑时是经济的。</w:t>
      </w:r>
    </w:p>
    <w:p>
      <w:pPr>
        <w:spacing w:line="240" w:lineRule="auto" w:before="10"/>
        <w:rPr>
          <w:rFonts w:ascii="宋体" w:hAnsi="宋体" w:cs="宋体" w:eastAsia="宋体" w:hint="default"/>
          <w:sz w:val="14"/>
          <w:szCs w:val="14"/>
        </w:rPr>
      </w:pPr>
    </w:p>
    <w:p>
      <w:pPr>
        <w:pStyle w:val="Heading3"/>
        <w:spacing w:line="240" w:lineRule="auto"/>
        <w:ind w:left="575" w:right="0"/>
        <w:jc w:val="left"/>
        <w:rPr>
          <w:b w:val="0"/>
          <w:bCs w:val="0"/>
        </w:rPr>
      </w:pPr>
      <w:r>
        <w:rPr>
          <w:rFonts w:ascii="宋体" w:hAnsi="宋体" w:cs="宋体" w:eastAsia="宋体" w:hint="default"/>
        </w:rPr>
        <w:t>2.</w:t>
      </w:r>
      <w:r>
        <w:rPr/>
        <w:t>同一控制下的企业合并</w:t>
      </w:r>
      <w:r>
        <w:rPr>
          <w:b w:val="0"/>
          <w:bCs w:val="0"/>
        </w:rPr>
      </w:r>
    </w:p>
    <w:p>
      <w:pPr>
        <w:spacing w:after="0" w:line="240" w:lineRule="auto"/>
        <w:jc w:val="left"/>
        <w:sectPr>
          <w:pgSz w:w="11910" w:h="16840"/>
          <w:pgMar w:header="990" w:footer="1066" w:top="1220" w:bottom="1260" w:left="980" w:right="980"/>
        </w:sectPr>
      </w:pPr>
    </w:p>
    <w:p>
      <w:pPr>
        <w:spacing w:line="240" w:lineRule="auto" w:before="4"/>
        <w:rPr>
          <w:rFonts w:ascii="宋体" w:hAnsi="宋体" w:cs="宋体" w:eastAsia="宋体" w:hint="default"/>
          <w:b/>
          <w:bCs/>
          <w:sz w:val="16"/>
          <w:szCs w:val="16"/>
        </w:rPr>
      </w:pPr>
    </w:p>
    <w:p>
      <w:pPr>
        <w:pStyle w:val="BodyText"/>
        <w:spacing w:line="408" w:lineRule="auto" w:before="36"/>
        <w:ind w:right="147" w:firstLine="420"/>
        <w:jc w:val="both"/>
      </w:pPr>
      <w:r>
        <w:rPr>
          <w:spacing w:val="-2"/>
        </w:rPr>
        <w:t>本公司在企业合并中取得的资产和负债，按照合并日在被合并方资产、负债（包括最终控制方收购被</w:t>
      </w:r>
      <w:r>
        <w:rPr>
          <w:w w:val="100"/>
        </w:rPr>
        <w:t> </w:t>
      </w:r>
      <w:r>
        <w:rPr>
          <w:spacing w:val="-2"/>
        </w:rPr>
        <w:t>合并方而形成的商誉）在最终控制方合并财务报表中的账面价值计量。在合并中取得的净资产账面价值与</w:t>
      </w:r>
      <w:r>
        <w:rPr>
          <w:spacing w:val="-43"/>
        </w:rPr>
        <w:t> </w:t>
      </w:r>
      <w:r>
        <w:rPr>
          <w:spacing w:val="-43"/>
        </w:rPr>
      </w:r>
      <w:r>
        <w:rPr>
          <w:spacing w:val="-2"/>
        </w:rPr>
        <w:t>支付的合并对价账面价值（或发行股份面值总额）的差额，调整资本公积中的股本溢价，资本公积中的股</w:t>
      </w:r>
      <w:r>
        <w:rPr>
          <w:spacing w:val="-47"/>
        </w:rPr>
        <w:t> </w:t>
      </w:r>
      <w:r>
        <w:rPr>
          <w:spacing w:val="-47"/>
        </w:rPr>
      </w:r>
      <w:r>
        <w:rPr/>
        <w:t>本溢价不足冲减的，调整留存收益。</w:t>
      </w:r>
    </w:p>
    <w:p>
      <w:pPr>
        <w:pStyle w:val="BodyText"/>
        <w:spacing w:line="408" w:lineRule="auto"/>
        <w:ind w:right="147" w:firstLine="420"/>
        <w:jc w:val="both"/>
      </w:pPr>
      <w:r>
        <w:rPr>
          <w:spacing w:val="-2"/>
        </w:rPr>
        <w:t>如果存在或有对价并需要确认预计负债或资产，该预计负债或资产金额与后续或有对价结算金额的差</w:t>
      </w:r>
      <w:r>
        <w:rPr>
          <w:w w:val="100"/>
        </w:rPr>
        <w:t> </w:t>
      </w:r>
      <w:r>
        <w:rPr/>
        <w:t>额，调整资本公积（资本溢价或股本溢价），资本公积不足的，调整留存收益。</w:t>
      </w:r>
    </w:p>
    <w:p>
      <w:pPr>
        <w:pStyle w:val="BodyText"/>
        <w:spacing w:line="408" w:lineRule="auto"/>
        <w:ind w:right="125" w:firstLine="420"/>
        <w:jc w:val="both"/>
      </w:pPr>
      <w:r>
        <w:rPr>
          <w:spacing w:val="-2"/>
        </w:rPr>
        <w:t>对于通过多次交易最终实现企业合并的，属于一揽子交易的，将各项交易作为一项取得控制权的交易</w:t>
      </w:r>
      <w:r>
        <w:rPr>
          <w:w w:val="100"/>
        </w:rPr>
        <w:t> </w:t>
      </w:r>
      <w:r>
        <w:rPr>
          <w:spacing w:val="-3"/>
        </w:rPr>
        <w:t>进行会计处理；不属于一揽子交易的，在取得控制权日，长期股权投资初始投资成本，与达到合并前的长</w:t>
      </w:r>
      <w:r>
        <w:rPr>
          <w:spacing w:val="-13"/>
        </w:rPr>
        <w:t> </w:t>
      </w:r>
      <w:r>
        <w:rPr>
          <w:spacing w:val="-13"/>
        </w:rPr>
      </w:r>
      <w:r>
        <w:rPr>
          <w:spacing w:val="-2"/>
        </w:rPr>
        <w:t>期股权投资账面价值加上合并日进一步取得股份新支付对价的账面价值之和的差额，调整资本公积；资本</w:t>
      </w:r>
      <w:r>
        <w:rPr>
          <w:spacing w:val="-43"/>
        </w:rPr>
        <w:t> </w:t>
      </w:r>
      <w:r>
        <w:rPr>
          <w:spacing w:val="-43"/>
        </w:rPr>
      </w:r>
      <w:r>
        <w:rPr>
          <w:spacing w:val="-2"/>
        </w:rPr>
        <w:t>公积不足冲减的，调整留存收益。对于合并日之前持有的股权投资，因采用权益法核算或金融工具确认和</w:t>
      </w:r>
      <w:r>
        <w:rPr>
          <w:spacing w:val="-48"/>
        </w:rPr>
        <w:t> </w:t>
      </w:r>
      <w:r>
        <w:rPr>
          <w:spacing w:val="-48"/>
        </w:rPr>
      </w:r>
      <w:r>
        <w:rPr>
          <w:spacing w:val="-2"/>
        </w:rPr>
        <w:t>计量准则核算而确认的其他综合收益，暂不进行会计处理，直至处置该项投资时采用与被投资单位直接处</w:t>
      </w:r>
      <w:r>
        <w:rPr>
          <w:spacing w:val="-44"/>
        </w:rPr>
        <w:t> </w:t>
      </w:r>
      <w:r>
        <w:rPr>
          <w:spacing w:val="-44"/>
        </w:rPr>
      </w:r>
      <w:r>
        <w:rPr>
          <w:spacing w:val="-2"/>
        </w:rPr>
        <w:t>置相关资产或负债相同的基础进行会计处理；因采用权益法核算而确认的被投资单位净资产中除净损益、</w:t>
      </w:r>
      <w:r>
        <w:rPr>
          <w:spacing w:val="-21"/>
        </w:rPr>
        <w:t> </w:t>
      </w:r>
      <w:r>
        <w:rPr>
          <w:spacing w:val="-21"/>
        </w:rPr>
      </w:r>
      <w:r>
        <w:rPr>
          <w:spacing w:val="-2"/>
        </w:rPr>
        <w:t>其他综合收益和利润分配以外的所有者权益其他变动，暂不进行会计处理，直至处置该项投资时转入当期</w:t>
      </w:r>
      <w:r>
        <w:rPr>
          <w:spacing w:val="-43"/>
        </w:rPr>
        <w:t> </w:t>
      </w:r>
      <w:r>
        <w:rPr>
          <w:spacing w:val="-43"/>
        </w:rPr>
      </w:r>
      <w:r>
        <w:rPr/>
        <w:t>损益。</w:t>
      </w:r>
    </w:p>
    <w:p>
      <w:pPr>
        <w:spacing w:line="408" w:lineRule="auto" w:before="4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本公司在购买日对作为企业合并对价付出的资产、发生或承担的负债按照公允价值计量，公允价值与</w:t>
      </w:r>
    </w:p>
    <w:p>
      <w:pPr>
        <w:pStyle w:val="BodyText"/>
        <w:spacing w:line="408" w:lineRule="auto"/>
        <w:ind w:left="572" w:right="0" w:hanging="420"/>
        <w:jc w:val="left"/>
      </w:pPr>
      <w:r>
        <w:rPr/>
        <w:t>其账面价值的差额，计入当期损益。</w:t>
      </w:r>
      <w:r>
        <w:rPr>
          <w:w w:val="100"/>
        </w:rPr>
        <w:t> </w:t>
      </w:r>
      <w:r>
        <w:rPr>
          <w:spacing w:val="-2"/>
        </w:rPr>
        <w:t>本公司对合并成本大于合并中取得的被购买方可辨认净资产公允价值份额的差额，确认为商誉；合并</w:t>
      </w:r>
    </w:p>
    <w:p>
      <w:pPr>
        <w:pStyle w:val="BodyText"/>
        <w:spacing w:line="240" w:lineRule="auto"/>
        <w:ind w:right="0"/>
        <w:jc w:val="left"/>
      </w:pPr>
      <w:r>
        <w:rPr/>
        <w:t>成本小于合并中取得的被购买方可辨认净资产公允价值份额的差额，经复核后，计入当期损益。</w:t>
      </w:r>
    </w:p>
    <w:p>
      <w:pPr>
        <w:spacing w:line="240" w:lineRule="auto" w:before="12"/>
        <w:rPr>
          <w:rFonts w:ascii="宋体" w:hAnsi="宋体" w:cs="宋体" w:eastAsia="宋体" w:hint="default"/>
          <w:sz w:val="23"/>
          <w:szCs w:val="23"/>
        </w:rPr>
      </w:pPr>
    </w:p>
    <w:p>
      <w:pPr>
        <w:pStyle w:val="BodyText"/>
        <w:spacing w:line="408" w:lineRule="auto" w:before="0"/>
        <w:ind w:right="147" w:firstLine="420"/>
        <w:jc w:val="both"/>
      </w:pPr>
      <w:r>
        <w:rPr>
          <w:spacing w:val="-2"/>
        </w:rPr>
        <w:t>通过多次交换交易分步实现的非同一控制下企业合并，属于一揽子交易的，将各项交易作为一项取得</w:t>
      </w:r>
      <w:r>
        <w:rPr>
          <w:w w:val="100"/>
        </w:rPr>
        <w:t> </w:t>
      </w:r>
      <w:r>
        <w:rPr>
          <w:spacing w:val="-2"/>
        </w:rPr>
        <w:t>控制权的交易进行会计处理；不属于一揽子交易的，合并日之前持有的股权投资采用权益法核算的，以购</w:t>
      </w:r>
      <w:r>
        <w:rPr>
          <w:spacing w:val="-43"/>
        </w:rPr>
        <w:t> </w:t>
      </w:r>
      <w:r>
        <w:rPr>
          <w:spacing w:val="-43"/>
        </w:rPr>
      </w:r>
      <w:r>
        <w:rPr>
          <w:spacing w:val="2"/>
        </w:rPr>
        <w:t>买日之前所持被购买方的股权投资的账面价值与购买日新增投资成本之和，作为该项投资的初始投资成</w:t>
      </w:r>
      <w:r>
        <w:rPr>
          <w:spacing w:val="-28"/>
        </w:rPr>
        <w:t> </w:t>
      </w:r>
      <w:r>
        <w:rPr>
          <w:spacing w:val="-28"/>
        </w:rPr>
      </w:r>
      <w:r>
        <w:rPr>
          <w:spacing w:val="-2"/>
        </w:rPr>
        <w:t>本；购买日之前持有的股权投资因采用权益法核算而确认的其他综合收益，在处置该项投资时采用与被投</w:t>
      </w:r>
      <w:r>
        <w:rPr>
          <w:spacing w:val="-43"/>
        </w:rPr>
        <w:t> </w:t>
      </w:r>
      <w:r>
        <w:rPr>
          <w:spacing w:val="-43"/>
        </w:rPr>
      </w:r>
      <w:r>
        <w:rPr>
          <w:spacing w:val="-2"/>
        </w:rPr>
        <w:t>资单位直接处置相关资产或负债相同的基础进行会计处理。合并日之前持有的股权投资采用金融工具确认</w:t>
      </w:r>
      <w:r>
        <w:rPr>
          <w:spacing w:val="-43"/>
        </w:rPr>
        <w:t> </w:t>
      </w:r>
      <w:r>
        <w:rPr>
          <w:spacing w:val="-43"/>
        </w:rPr>
      </w:r>
      <w:r>
        <w:rPr>
          <w:spacing w:val="-2"/>
        </w:rPr>
        <w:t>和计量准则核算的，以该股权投资在合并日的公允价值加上新增投资成本之和，作为合并日的初始投资成</w:t>
      </w:r>
      <w:r>
        <w:rPr>
          <w:spacing w:val="-43"/>
        </w:rPr>
        <w:t> </w:t>
      </w:r>
      <w:r>
        <w:rPr>
          <w:spacing w:val="-43"/>
        </w:rPr>
      </w:r>
      <w:r>
        <w:rPr>
          <w:spacing w:val="-2"/>
        </w:rPr>
        <w:t>本。原持有股权的公允价值与账面价值之间的差额以及原计入其他综合收益的累计公允价值变动应全部转</w:t>
      </w:r>
      <w:r>
        <w:rPr>
          <w:spacing w:val="-43"/>
        </w:rPr>
        <w:t> </w:t>
      </w:r>
      <w:r>
        <w:rPr>
          <w:spacing w:val="-43"/>
        </w:rPr>
      </w:r>
      <w:r>
        <w:rPr/>
        <w:t>入合并日当期的投资收益。</w:t>
      </w:r>
    </w:p>
    <w:p>
      <w:pPr>
        <w:spacing w:line="513" w:lineRule="auto" w:before="16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．为合并发生的相关费用</w:t>
      </w:r>
      <w:r>
        <w:rPr>
          <w:rFonts w:ascii="宋体" w:hAnsi="宋体" w:cs="宋体" w:eastAsia="宋体" w:hint="default"/>
          <w:b/>
          <w:bCs/>
          <w:w w:val="100"/>
          <w:sz w:val="21"/>
          <w:szCs w:val="21"/>
        </w:rPr>
        <w:t> </w:t>
      </w:r>
      <w:r>
        <w:rPr>
          <w:rFonts w:ascii="宋体" w:hAnsi="宋体" w:cs="宋体" w:eastAsia="宋体" w:hint="default"/>
          <w:spacing w:val="-2"/>
          <w:sz w:val="21"/>
          <w:szCs w:val="21"/>
        </w:rPr>
        <w:t>为企业合并发生的审计、法律服务、评估咨询等中介费用以及其他直接相关费用，于发生时计入当期</w:t>
      </w:r>
    </w:p>
    <w:p>
      <w:pPr>
        <w:spacing w:after="0" w:line="513" w:lineRule="auto"/>
        <w:jc w:val="left"/>
        <w:rPr>
          <w:rFonts w:ascii="宋体" w:hAnsi="宋体" w:cs="宋体" w:eastAsia="宋体" w:hint="default"/>
          <w:sz w:val="21"/>
          <w:szCs w:val="21"/>
        </w:rPr>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240" w:lineRule="auto" w:before="36"/>
        <w:ind w:right="0"/>
        <w:jc w:val="both"/>
      </w:pPr>
      <w:r>
        <w:rPr/>
        <w:t>损益；为企业合并而发行权益性证券的交易费用，可直接归属于权益性交易的从权益中扣减。</w:t>
      </w:r>
    </w:p>
    <w:p>
      <w:pPr>
        <w:spacing w:line="240" w:lineRule="auto" w:before="12"/>
        <w:rPr>
          <w:rFonts w:ascii="宋体" w:hAnsi="宋体" w:cs="宋体" w:eastAsia="宋体" w:hint="default"/>
          <w:sz w:val="23"/>
          <w:szCs w:val="23"/>
        </w:rPr>
      </w:pPr>
    </w:p>
    <w:p>
      <w:pPr>
        <w:pStyle w:val="Heading3"/>
        <w:spacing w:line="240" w:lineRule="auto"/>
        <w:ind w:left="632" w:right="0"/>
        <w:jc w:val="left"/>
        <w:rPr>
          <w:b w:val="0"/>
          <w:bCs w:val="0"/>
        </w:rPr>
      </w:pPr>
      <w:r>
        <w:rPr/>
        <w:t>（六）合并财务报表的编制方法</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2" w:right="0" w:firstLine="2"/>
        <w:jc w:val="left"/>
      </w:pPr>
      <w:r>
        <w:rPr>
          <w:rFonts w:ascii="宋体" w:hAnsi="宋体" w:cs="宋体" w:eastAsia="宋体" w:hint="default"/>
          <w:b/>
          <w:bCs/>
        </w:rPr>
        <w:t>1</w:t>
      </w:r>
      <w:r>
        <w:rPr>
          <w:rFonts w:ascii="宋体" w:hAnsi="宋体" w:cs="宋体" w:eastAsia="宋体" w:hint="default"/>
          <w:b/>
          <w:bCs/>
        </w:rPr>
        <w:t>．合并范围</w:t>
      </w:r>
      <w:r>
        <w:rPr>
          <w:rFonts w:ascii="宋体" w:hAnsi="宋体" w:cs="宋体" w:eastAsia="宋体" w:hint="default"/>
          <w:b/>
          <w:bCs/>
          <w:w w:val="100"/>
        </w:rPr>
        <w:t> </w:t>
      </w:r>
      <w:r>
        <w:rPr>
          <w:spacing w:val="-2"/>
        </w:rPr>
        <w:t>本公司合并财务报表的合并范围以控制为基础确定，所有子公司（包括母公司所控制的单独主体）均</w:t>
      </w:r>
    </w:p>
    <w:p>
      <w:pPr>
        <w:pStyle w:val="BodyText"/>
        <w:spacing w:line="240" w:lineRule="auto"/>
        <w:ind w:right="0"/>
        <w:jc w:val="both"/>
      </w:pPr>
      <w:r>
        <w:rPr/>
        <w:t>纳入合并财务报表。</w:t>
      </w:r>
    </w:p>
    <w:p>
      <w:pPr>
        <w:spacing w:line="240" w:lineRule="auto" w:before="10"/>
        <w:rPr>
          <w:rFonts w:ascii="宋体" w:hAnsi="宋体" w:cs="宋体" w:eastAsia="宋体" w:hint="default"/>
          <w:sz w:val="14"/>
          <w:szCs w:val="14"/>
        </w:rPr>
      </w:pPr>
    </w:p>
    <w:p>
      <w:pPr>
        <w:pStyle w:val="BodyText"/>
        <w:spacing w:line="408" w:lineRule="auto" w:before="0"/>
        <w:ind w:left="572" w:right="0" w:firstLine="2"/>
        <w:jc w:val="left"/>
      </w:pPr>
      <w:r>
        <w:rPr>
          <w:rFonts w:ascii="宋体" w:hAnsi="宋体" w:cs="宋体" w:eastAsia="宋体" w:hint="default"/>
          <w:b/>
          <w:bCs/>
        </w:rPr>
        <w:t>2</w:t>
      </w:r>
      <w:r>
        <w:rPr>
          <w:rFonts w:ascii="宋体" w:hAnsi="宋体" w:cs="宋体" w:eastAsia="宋体" w:hint="default"/>
          <w:b/>
          <w:bCs/>
        </w:rPr>
        <w:t>．合并程序</w:t>
      </w:r>
      <w:r>
        <w:rPr>
          <w:rFonts w:ascii="宋体" w:hAnsi="宋体" w:cs="宋体" w:eastAsia="宋体" w:hint="default"/>
          <w:b/>
          <w:bCs/>
          <w:w w:val="100"/>
        </w:rPr>
        <w:t> </w:t>
      </w:r>
      <w:r>
        <w:rPr>
          <w:spacing w:val="-2"/>
        </w:rPr>
        <w:t>本公司以自身和各子公司的财务报表为基础，根据其他有关资料，编制合并财务报表。本公司编制合</w:t>
      </w:r>
    </w:p>
    <w:p>
      <w:pPr>
        <w:pStyle w:val="BodyText"/>
        <w:spacing w:line="408" w:lineRule="auto"/>
        <w:ind w:right="149"/>
        <w:jc w:val="both"/>
      </w:pP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BodyText"/>
        <w:spacing w:line="408" w:lineRule="auto"/>
        <w:ind w:right="147" w:firstLine="420"/>
        <w:jc w:val="both"/>
      </w:pPr>
      <w:r>
        <w:rPr>
          <w:spacing w:val="-2"/>
        </w:rPr>
        <w:t>所有纳入合并财务报表合并范围的子公司所采用的会计政策、会计期间与本公司一致，如子公司采用</w:t>
      </w:r>
      <w:r>
        <w:rPr>
          <w:w w:val="100"/>
        </w:rPr>
        <w:t> </w:t>
      </w:r>
      <w:r>
        <w:rPr>
          <w:spacing w:val="-3"/>
        </w:rPr>
        <w:t>的会计政策、会计期间与本公司不一致的，在编制合并财务报表时，按本公司的会计政策、会计期间进行</w:t>
      </w:r>
      <w:r>
        <w:rPr>
          <w:spacing w:val="-12"/>
        </w:rPr>
        <w:t> </w:t>
      </w:r>
      <w:r>
        <w:rPr>
          <w:spacing w:val="-12"/>
        </w:rPr>
      </w:r>
      <w:r>
        <w:rPr/>
        <w:t>必要的调整。</w:t>
      </w:r>
    </w:p>
    <w:p>
      <w:pPr>
        <w:pStyle w:val="BodyText"/>
        <w:spacing w:line="408" w:lineRule="auto"/>
        <w:ind w:right="146" w:firstLine="420"/>
        <w:jc w:val="both"/>
      </w:pPr>
      <w:r>
        <w:rPr>
          <w:spacing w:val="-2"/>
        </w:rPr>
        <w:t>合并财务报表时抵销本公司与各子公司、各子公司相互之间发生的内部交易对合并资产负债表、合并</w:t>
      </w:r>
      <w:r>
        <w:rPr>
          <w:w w:val="100"/>
        </w:rPr>
        <w:t> </w:t>
      </w:r>
      <w:r>
        <w:rPr>
          <w:spacing w:val="-2"/>
        </w:rPr>
        <w:t>利润表、合并现金流量表、合并股东权益变动表的影响。如果站在企业集团合并财务报表角度与以本公司</w:t>
      </w:r>
      <w:r>
        <w:rPr>
          <w:spacing w:val="-44"/>
        </w:rPr>
        <w:t> </w:t>
      </w:r>
      <w:r>
        <w:rPr>
          <w:spacing w:val="-44"/>
        </w:rPr>
      </w:r>
      <w:r>
        <w:rPr/>
        <w:t>或子公司为会计主体对同一交易的认定不同时，从企业集团的角度对该交易予以调整。</w:t>
      </w:r>
    </w:p>
    <w:p>
      <w:pPr>
        <w:pStyle w:val="BodyText"/>
        <w:spacing w:line="408" w:lineRule="auto"/>
        <w:ind w:right="146" w:firstLine="420"/>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pStyle w:val="BodyText"/>
        <w:spacing w:line="408" w:lineRule="auto"/>
        <w:ind w:right="151" w:firstLine="420"/>
        <w:jc w:val="both"/>
      </w:pPr>
      <w:r>
        <w:rPr>
          <w:spacing w:val="-3"/>
        </w:rPr>
        <w:t>对于同一控制下企业合并取得的子公司，以其资产、负债（包括最终控制方收购该子公司而形成的商</w:t>
      </w:r>
      <w:r>
        <w:rPr>
          <w:spacing w:val="-3"/>
          <w:w w:val="100"/>
        </w:rPr>
        <w:t> </w:t>
      </w:r>
      <w:r>
        <w:rPr/>
        <w:t>誉）在最终控制方财务报表中的账面价值为基础对其财务报表进行调整。</w:t>
      </w:r>
    </w:p>
    <w:p>
      <w:pPr>
        <w:pStyle w:val="BodyText"/>
        <w:spacing w:line="408" w:lineRule="auto"/>
        <w:ind w:right="147" w:firstLine="420"/>
        <w:jc w:val="both"/>
      </w:pPr>
      <w:r>
        <w:rPr>
          <w:spacing w:val="-2"/>
        </w:rPr>
        <w:t>对于非同一控制下企业合并取得的子公司，以购买日可辨认净资产公允价值为基础对其财务报表进行</w:t>
      </w:r>
      <w:r>
        <w:rPr>
          <w:w w:val="100"/>
        </w:rPr>
        <w:t> </w:t>
      </w:r>
      <w:r>
        <w:rPr/>
        <w:t>调整。</w:t>
      </w:r>
    </w:p>
    <w:p>
      <w:pPr>
        <w:pStyle w:val="BodyText"/>
        <w:spacing w:line="408" w:lineRule="auto"/>
        <w:ind w:left="572" w:right="0"/>
        <w:jc w:val="left"/>
      </w:pPr>
      <w:r>
        <w:rPr/>
        <w:t>（</w:t>
      </w:r>
      <w:r>
        <w:rPr>
          <w:rFonts w:ascii="宋体" w:hAnsi="宋体" w:cs="宋体" w:eastAsia="宋体" w:hint="default"/>
        </w:rPr>
        <w:t>1</w:t>
      </w:r>
      <w:r>
        <w:rPr/>
        <w:t>）增加子公司或业务</w:t>
      </w:r>
      <w:r>
        <w:rPr>
          <w:spacing w:val="-3"/>
          <w:w w:val="100"/>
        </w:rPr>
        <w:t> </w:t>
      </w:r>
      <w:r>
        <w:rPr>
          <w:spacing w:val="-2"/>
        </w:rPr>
        <w:t>在报告期内，若因同一控制下企业合并增加子公司或业务的，则调整合并资产负债表的期初数；将子</w:t>
      </w:r>
    </w:p>
    <w:p>
      <w:pPr>
        <w:pStyle w:val="BodyText"/>
        <w:spacing w:line="408" w:lineRule="auto"/>
        <w:ind w:right="147"/>
        <w:jc w:val="both"/>
      </w:pPr>
      <w:r>
        <w:rPr>
          <w:spacing w:val="-2"/>
        </w:rPr>
        <w:t>公司或业务合并当期期初至报告期末的收入、费用、利润纳入合并利润表；将子公司或业务合并当期期初</w:t>
      </w:r>
      <w:r>
        <w:rPr>
          <w:spacing w:val="-44"/>
        </w:rPr>
        <w:t> </w:t>
      </w:r>
      <w:r>
        <w:rPr>
          <w:spacing w:val="-44"/>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BodyText"/>
        <w:spacing w:line="408" w:lineRule="auto"/>
        <w:ind w:right="14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p>
    <w:p>
      <w:pPr>
        <w:spacing w:after="0" w:line="408" w:lineRule="auto"/>
        <w:jc w:val="both"/>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right="146"/>
        <w:jc w:val="both"/>
      </w:pP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408" w:lineRule="auto"/>
        <w:ind w:right="147"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BodyText"/>
        <w:spacing w:line="408" w:lineRule="auto"/>
        <w:ind w:right="147" w:firstLine="42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BodyText"/>
        <w:spacing w:line="240" w:lineRule="auto"/>
        <w:ind w:left="572" w:right="0"/>
        <w:jc w:val="left"/>
      </w:pPr>
      <w:r>
        <w:rPr/>
        <w:t>（</w:t>
      </w:r>
      <w:r>
        <w:rPr>
          <w:rFonts w:ascii="宋体" w:hAnsi="宋体" w:cs="宋体" w:eastAsia="宋体" w:hint="default"/>
        </w:rPr>
        <w:t>2</w:t>
      </w:r>
      <w:r>
        <w:rPr/>
        <w:t>）处置子公司或业务</w:t>
      </w:r>
    </w:p>
    <w:p>
      <w:pPr>
        <w:spacing w:line="240" w:lineRule="auto" w:before="10"/>
        <w:rPr>
          <w:rFonts w:ascii="宋体" w:hAnsi="宋体" w:cs="宋体" w:eastAsia="宋体" w:hint="default"/>
          <w:sz w:val="14"/>
          <w:szCs w:val="14"/>
        </w:rPr>
      </w:pPr>
    </w:p>
    <w:p>
      <w:pPr>
        <w:pStyle w:val="BodyText"/>
        <w:spacing w:line="408" w:lineRule="auto" w:before="0"/>
        <w:ind w:left="572" w:right="0"/>
        <w:jc w:val="left"/>
      </w:pPr>
      <w:r>
        <w:rPr>
          <w:rFonts w:ascii="宋体" w:hAnsi="宋体" w:cs="宋体" w:eastAsia="宋体" w:hint="default"/>
        </w:rPr>
        <w:t>1</w:t>
      </w:r>
      <w:r>
        <w:rPr/>
        <w:t>）一般处理方法</w:t>
      </w:r>
      <w:r>
        <w:rPr>
          <w:w w:val="100"/>
        </w:rPr>
        <w:t> </w:t>
      </w:r>
      <w:r>
        <w:rPr>
          <w:spacing w:val="-3"/>
        </w:rPr>
        <w:t>在报告期内，本公司处置子公司或业务，则该子公司或业务期初至处置日的收入、费用、利润纳入合</w:t>
      </w:r>
      <w:r>
        <w:rPr/>
      </w:r>
    </w:p>
    <w:p>
      <w:pPr>
        <w:pStyle w:val="BodyText"/>
        <w:spacing w:line="408" w:lineRule="auto"/>
        <w:ind w:left="572" w:right="0" w:hanging="421"/>
        <w:jc w:val="left"/>
      </w:pPr>
      <w:r>
        <w:rPr/>
        <w:t>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w:t>
      </w:r>
    </w:p>
    <w:p>
      <w:pPr>
        <w:pStyle w:val="BodyText"/>
        <w:spacing w:line="408" w:lineRule="auto"/>
        <w:ind w:right="147"/>
        <w:jc w:val="both"/>
      </w:pP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BodyText"/>
        <w:spacing w:line="408" w:lineRule="auto"/>
        <w:ind w:left="572" w:right="0"/>
        <w:jc w:val="left"/>
      </w:pPr>
      <w:r>
        <w:rPr>
          <w:rFonts w:ascii="宋体" w:hAnsi="宋体" w:cs="宋体" w:eastAsia="宋体" w:hint="default"/>
        </w:rPr>
        <w:t>2</w:t>
      </w:r>
      <w:r>
        <w:rPr/>
        <w:t>）分步处置子公司</w:t>
      </w:r>
      <w:r>
        <w:rPr>
          <w:w w:val="100"/>
        </w:rPr>
        <w:t> </w:t>
      </w:r>
      <w:r>
        <w:rPr>
          <w:spacing w:val="-2"/>
        </w:rPr>
        <w:t>通过多次交易分步处置对子公司股权投资直至丧失控制权的，处置对子公司股权投资的各项交易的条</w:t>
      </w:r>
    </w:p>
    <w:p>
      <w:pPr>
        <w:pStyle w:val="BodyText"/>
        <w:spacing w:line="408" w:lineRule="auto"/>
        <w:ind w:right="148"/>
        <w:jc w:val="both"/>
      </w:pPr>
      <w:r>
        <w:rPr>
          <w:spacing w:val="-2"/>
        </w:rPr>
        <w:t>款、条件以及经济影响符合以下一种或多种情况，通常表明应将多次交易事项作为一揽子交易进行会计处</w:t>
      </w:r>
      <w:r>
        <w:rPr>
          <w:spacing w:val="-44"/>
        </w:rPr>
        <w:t> </w:t>
      </w:r>
      <w:r>
        <w:rPr>
          <w:spacing w:val="-44"/>
        </w:rPr>
      </w:r>
      <w:r>
        <w:rPr/>
        <w:t>理：</w:t>
      </w:r>
    </w:p>
    <w:p>
      <w:pPr>
        <w:pStyle w:val="BodyText"/>
        <w:spacing w:line="240" w:lineRule="auto"/>
        <w:ind w:left="572" w:right="0"/>
        <w:jc w:val="left"/>
      </w:pPr>
      <w:r>
        <w:rPr>
          <w:rFonts w:ascii="宋体" w:hAnsi="宋体" w:cs="宋体" w:eastAsia="宋体" w:hint="default"/>
        </w:rPr>
        <w:t>A.</w:t>
      </w:r>
      <w:r>
        <w:rPr>
          <w:rFonts w:ascii="宋体" w:hAnsi="宋体" w:cs="宋体" w:eastAsia="宋体" w:hint="default"/>
          <w:spacing w:val="44"/>
        </w:rPr>
        <w:t> </w:t>
      </w:r>
      <w:r>
        <w:rPr/>
        <w:t>这些交易是同时或者在考虑了彼此影响的情况下订立的；</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rFonts w:ascii="宋体" w:hAnsi="宋体" w:cs="宋体" w:eastAsia="宋体" w:hint="default"/>
        </w:rPr>
        <w:t>B.</w:t>
      </w:r>
      <w:r>
        <w:rPr>
          <w:rFonts w:ascii="宋体" w:hAnsi="宋体" w:cs="宋体" w:eastAsia="宋体" w:hint="default"/>
          <w:spacing w:val="44"/>
        </w:rPr>
        <w:t> </w:t>
      </w:r>
      <w:r>
        <w:rPr/>
        <w:t>这些交易整体才能达成一项完整的商业结果；</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rFonts w:ascii="宋体" w:hAnsi="宋体" w:cs="宋体" w:eastAsia="宋体" w:hint="default"/>
        </w:rPr>
        <w:t>C.</w:t>
      </w:r>
      <w:r>
        <w:rPr>
          <w:rFonts w:ascii="宋体" w:hAnsi="宋体" w:cs="宋体" w:eastAsia="宋体" w:hint="default"/>
          <w:spacing w:val="43"/>
        </w:rPr>
        <w:t> </w:t>
      </w:r>
      <w:r>
        <w:rPr/>
        <w:t>一项交易的发生取决于其他至少一项交易的发生；</w:t>
      </w:r>
    </w:p>
    <w:p>
      <w:pPr>
        <w:spacing w:line="240" w:lineRule="auto" w:before="10"/>
        <w:rPr>
          <w:rFonts w:ascii="宋体" w:hAnsi="宋体" w:cs="宋体" w:eastAsia="宋体" w:hint="default"/>
          <w:sz w:val="14"/>
          <w:szCs w:val="14"/>
        </w:rPr>
      </w:pPr>
    </w:p>
    <w:p>
      <w:pPr>
        <w:pStyle w:val="BodyText"/>
        <w:spacing w:line="408" w:lineRule="auto" w:before="0"/>
        <w:ind w:left="573" w:right="0" w:hanging="1"/>
        <w:jc w:val="left"/>
      </w:pPr>
      <w:r>
        <w:rPr>
          <w:rFonts w:ascii="宋体" w:hAnsi="宋体" w:cs="宋体" w:eastAsia="宋体" w:hint="default"/>
        </w:rPr>
        <w:t>D.</w:t>
      </w:r>
      <w:r>
        <w:rPr>
          <w:rFonts w:ascii="宋体" w:hAnsi="宋体" w:cs="宋体" w:eastAsia="宋体" w:hint="default"/>
          <w:spacing w:val="42"/>
        </w:rPr>
        <w:t> </w:t>
      </w:r>
      <w:r>
        <w:rPr/>
        <w:t>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w:t>
      </w:r>
    </w:p>
    <w:p>
      <w:pPr>
        <w:pStyle w:val="BodyText"/>
        <w:spacing w:line="240" w:lineRule="auto"/>
        <w:ind w:left="153" w:right="0"/>
        <w:jc w:val="both"/>
      </w:pPr>
      <w:r>
        <w:rPr/>
        <w:t>置子公司并丧失控制权的交易进行会计处理；但是，在丧失控制权之前每一次处置价款与处置投资对应的</w:t>
      </w:r>
    </w:p>
    <w:p>
      <w:pPr>
        <w:spacing w:after="0" w:line="240" w:lineRule="auto"/>
        <w:jc w:val="both"/>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right="146"/>
        <w:jc w:val="both"/>
      </w:pP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BodyText"/>
        <w:spacing w:line="408" w:lineRule="auto"/>
        <w:ind w:right="14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BodyText"/>
        <w:spacing w:line="408" w:lineRule="auto"/>
        <w:ind w:left="572" w:right="0"/>
        <w:jc w:val="left"/>
      </w:pPr>
      <w:r>
        <w:rPr/>
        <w:t>（</w:t>
      </w:r>
      <w:r>
        <w:rPr>
          <w:rFonts w:ascii="宋体" w:hAnsi="宋体" w:cs="宋体" w:eastAsia="宋体" w:hint="default"/>
        </w:rPr>
        <w:t>3</w:t>
      </w:r>
      <w:r>
        <w:rPr/>
        <w:t>）购买子公司少数股权</w:t>
      </w:r>
      <w:r>
        <w:rPr>
          <w:w w:val="100"/>
        </w:rPr>
        <w:t> </w:t>
      </w:r>
      <w:r>
        <w:rPr>
          <w:spacing w:val="-2"/>
        </w:rPr>
        <w:t>本公司因购买少数股权新取得的长期股权投资与按照新增持股比例计算应享有子公司自购买日（或合</w:t>
      </w:r>
    </w:p>
    <w:p>
      <w:pPr>
        <w:pStyle w:val="BodyText"/>
        <w:spacing w:line="408" w:lineRule="auto"/>
        <w:ind w:right="149"/>
        <w:jc w:val="both"/>
      </w:pPr>
      <w:r>
        <w:rPr>
          <w:spacing w:val="-3"/>
        </w:rPr>
        <w:t>并日）开始持续计算的净资产份额之间的差额，调整合并资产负债表中的资本公积中的股本溢价，资本公</w:t>
      </w:r>
      <w:r>
        <w:rPr>
          <w:spacing w:val="-6"/>
        </w:rPr>
        <w:t> </w:t>
      </w:r>
      <w:r>
        <w:rPr>
          <w:spacing w:val="-6"/>
        </w:rPr>
      </w:r>
      <w:r>
        <w:rPr/>
        <w:t>积中的股本溢价不足冲减的，调整留存收益。</w:t>
      </w:r>
    </w:p>
    <w:p>
      <w:pPr>
        <w:pStyle w:val="BodyText"/>
        <w:spacing w:line="408" w:lineRule="auto"/>
        <w:ind w:left="572" w:right="0"/>
        <w:jc w:val="left"/>
      </w:pPr>
      <w:r>
        <w:rPr/>
        <w:t>（</w:t>
      </w:r>
      <w:r>
        <w:rPr>
          <w:rFonts w:ascii="宋体" w:hAnsi="宋体" w:cs="宋体" w:eastAsia="宋体"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408" w:lineRule="auto"/>
        <w:ind w:right="146"/>
        <w:jc w:val="both"/>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408" w:lineRule="auto" w:before="166"/>
        <w:ind w:left="572" w:right="0" w:firstLine="60"/>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BodyText"/>
        <w:spacing w:line="408" w:lineRule="auto"/>
        <w:ind w:right="147"/>
        <w:jc w:val="both"/>
      </w:pPr>
      <w:r>
        <w:rPr>
          <w:spacing w:val="-2"/>
        </w:rPr>
        <w:t>短（一般从购买日起，三个月内到期）、流动性强、易于转换为已知金额的现金、价值变动风险很小四个</w:t>
      </w:r>
      <w:r>
        <w:rPr>
          <w:spacing w:val="-42"/>
        </w:rPr>
        <w:t> </w:t>
      </w:r>
      <w:r>
        <w:rPr>
          <w:spacing w:val="-42"/>
        </w:rPr>
      </w:r>
      <w:r>
        <w:rPr/>
        <w:t>条件的投资，确定为现金等价物。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left="632" w:right="0"/>
        <w:jc w:val="left"/>
        <w:rPr>
          <w:b w:val="0"/>
          <w:bCs w:val="0"/>
        </w:rPr>
      </w:pPr>
      <w:r>
        <w:rPr/>
        <w:t>（八）外币业务和外币财务报表的折算核算方法</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2" w:right="0" w:firstLine="2"/>
        <w:jc w:val="left"/>
      </w:pPr>
      <w:r>
        <w:rPr>
          <w:rFonts w:ascii="宋体" w:hAnsi="宋体" w:cs="宋体" w:eastAsia="宋体" w:hint="default"/>
          <w:b/>
          <w:bCs/>
        </w:rPr>
        <w:t>1</w:t>
      </w:r>
      <w:r>
        <w:rPr>
          <w:rFonts w:ascii="宋体" w:hAnsi="宋体" w:cs="宋体" w:eastAsia="宋体" w:hint="default"/>
          <w:b/>
          <w:bCs/>
        </w:rPr>
        <w:t>、外币业务</w:t>
      </w:r>
      <w:r>
        <w:rPr>
          <w:rFonts w:ascii="宋体" w:hAnsi="宋体" w:cs="宋体" w:eastAsia="宋体" w:hint="default"/>
          <w:b/>
          <w:bCs/>
          <w:w w:val="100"/>
        </w:rPr>
        <w:t> </w:t>
      </w:r>
      <w:r>
        <w:rPr/>
        <w:t>外币业务交易在初始确认时，采用交易发生日的即期汇率作为折算汇率折合成人民币记账。</w:t>
      </w:r>
      <w:r>
        <w:rPr>
          <w:w w:val="100"/>
        </w:rPr>
        <w:t> </w:t>
      </w:r>
      <w:r>
        <w:rPr>
          <w:spacing w:val="-2"/>
        </w:rPr>
        <w:t>资产负债表日，外币货币性项目按资产负债表日即期汇率折算，由此产生的汇兑差额，除属于与购建</w:t>
      </w:r>
    </w:p>
    <w:p>
      <w:pPr>
        <w:pStyle w:val="BodyText"/>
        <w:spacing w:line="408" w:lineRule="auto"/>
        <w:ind w:right="146"/>
        <w:jc w:val="both"/>
      </w:pPr>
      <w:r>
        <w:rPr>
          <w:spacing w:val="-2"/>
        </w:rPr>
        <w:t>符合资本化条件的资产相关的外币专门借款产生的汇兑差额按照借款费用资本化的原则处理外，均计入当</w:t>
      </w:r>
      <w:r>
        <w:rPr>
          <w:spacing w:val="-43"/>
        </w:rPr>
        <w:t> </w:t>
      </w:r>
      <w:r>
        <w:rPr>
          <w:spacing w:val="-43"/>
        </w:rPr>
      </w:r>
      <w:r>
        <w:rPr>
          <w:spacing w:val="-2"/>
        </w:rPr>
        <w:t>期损益。以历史成本计量的外币非货币性项目，仍采用交易发生日的即期汇率折算，不改变其记账本位币</w:t>
      </w:r>
      <w:r>
        <w:rPr>
          <w:spacing w:val="-43"/>
        </w:rPr>
        <w:t> </w:t>
      </w:r>
      <w:r>
        <w:rPr>
          <w:spacing w:val="-43"/>
        </w:rPr>
      </w:r>
      <w:r>
        <w:rPr/>
        <w:t>金额。</w:t>
      </w:r>
    </w:p>
    <w:p>
      <w:pPr>
        <w:pStyle w:val="BodyText"/>
        <w:spacing w:line="408" w:lineRule="auto"/>
        <w:ind w:right="147" w:firstLine="420"/>
        <w:jc w:val="both"/>
      </w:pPr>
      <w:r>
        <w:rPr>
          <w:spacing w:val="-2"/>
        </w:rPr>
        <w:t>以公允价值计量的外币非货币性项目，采用公允价值确定日的即期汇率折算，由此产生的汇兑差额作</w:t>
      </w:r>
      <w:r>
        <w:rPr>
          <w:w w:val="100"/>
        </w:rPr>
        <w:t> </w:t>
      </w:r>
      <w:r>
        <w:rPr>
          <w:spacing w:val="-2"/>
        </w:rPr>
        <w:t>为公允价值变动损益计入当期损益。如属于可供出售外币非货币性项目的，形成的汇兑差额计入其他综合</w:t>
      </w:r>
      <w:r>
        <w:rPr>
          <w:spacing w:val="-42"/>
        </w:rPr>
        <w:t> </w:t>
      </w:r>
      <w:r>
        <w:rPr>
          <w:spacing w:val="-42"/>
        </w:rPr>
      </w:r>
      <w:r>
        <w:rPr/>
        <w:t>收益。</w:t>
      </w:r>
    </w:p>
    <w:p>
      <w:pPr>
        <w:pStyle w:val="Heading3"/>
        <w:spacing w:line="240" w:lineRule="auto" w:before="46"/>
        <w:ind w:left="575" w:right="0"/>
        <w:jc w:val="left"/>
        <w:rPr>
          <w:b w:val="0"/>
          <w:bCs w:val="0"/>
        </w:rPr>
      </w:pPr>
      <w:r>
        <w:rPr>
          <w:rFonts w:ascii="宋体" w:hAnsi="宋体" w:cs="宋体" w:eastAsia="宋体" w:hint="default"/>
        </w:rPr>
        <w:t>2</w:t>
      </w:r>
      <w:r>
        <w:rPr/>
        <w:t>、外币财务报表折算</w:t>
      </w:r>
      <w:r>
        <w:rPr>
          <w:b w:val="0"/>
          <w:bCs w:val="0"/>
        </w:rPr>
      </w:r>
    </w:p>
    <w:p>
      <w:pPr>
        <w:spacing w:after="0" w:line="240" w:lineRule="auto"/>
        <w:jc w:val="left"/>
        <w:sectPr>
          <w:pgSz w:w="11910" w:h="16840"/>
          <w:pgMar w:header="990" w:footer="1066" w:top="1220" w:bottom="1260" w:left="980" w:right="980"/>
        </w:sectPr>
      </w:pPr>
    </w:p>
    <w:p>
      <w:pPr>
        <w:spacing w:line="240" w:lineRule="auto" w:before="4"/>
        <w:rPr>
          <w:rFonts w:ascii="宋体" w:hAnsi="宋体" w:cs="宋体" w:eastAsia="宋体" w:hint="default"/>
          <w:b/>
          <w:bCs/>
          <w:sz w:val="16"/>
          <w:szCs w:val="16"/>
        </w:rPr>
      </w:pPr>
    </w:p>
    <w:p>
      <w:pPr>
        <w:pStyle w:val="BodyText"/>
        <w:spacing w:line="408" w:lineRule="auto" w:before="36"/>
        <w:ind w:right="148" w:firstLine="419"/>
        <w:jc w:val="both"/>
      </w:pPr>
      <w:r>
        <w:rPr>
          <w:spacing w:val="-2"/>
        </w:rPr>
        <w:t>资产负债表中的资产和负债项目，采用资产负债表日的即期汇率折算；所有者权益项目除</w:t>
      </w:r>
      <w:r>
        <w:rPr>
          <w:rFonts w:ascii="宋体" w:hAnsi="宋体" w:cs="宋体" w:eastAsia="宋体" w:hint="default"/>
          <w:spacing w:val="-2"/>
        </w:rPr>
        <w:t>“</w:t>
      </w:r>
      <w:r>
        <w:rPr>
          <w:spacing w:val="-2"/>
        </w:rPr>
        <w:t>未分配利</w:t>
      </w:r>
      <w:r>
        <w:rPr>
          <w:w w:val="100"/>
        </w:rPr>
        <w:t> </w:t>
      </w:r>
      <w:r>
        <w:rPr>
          <w:spacing w:val="-3"/>
        </w:rPr>
        <w:t>润</w:t>
      </w:r>
      <w:r>
        <w:rPr>
          <w:rFonts w:ascii="宋体" w:hAnsi="宋体" w:cs="宋体" w:eastAsia="宋体" w:hint="default"/>
          <w:spacing w:val="-3"/>
        </w:rPr>
        <w:t>”</w:t>
      </w:r>
      <w:r>
        <w:rPr>
          <w:spacing w:val="-3"/>
        </w:rPr>
        <w:t>项目外，其他项目采用发生时的即期汇率折算。利润表中的收入和费用项目，采用交易发生日的即期</w:t>
      </w:r>
      <w:r>
        <w:rPr>
          <w:spacing w:val="-5"/>
        </w:rPr>
        <w:t> </w:t>
      </w:r>
      <w:r>
        <w:rPr>
          <w:spacing w:val="-5"/>
        </w:rPr>
      </w:r>
      <w:r>
        <w:rPr/>
        <w:t>汇率折算。按照上述折算产生的外币财务报表折算差额计入其他综合收益。</w:t>
      </w:r>
    </w:p>
    <w:p>
      <w:pPr>
        <w:pStyle w:val="BodyText"/>
        <w:spacing w:line="408" w:lineRule="auto"/>
        <w:ind w:right="146" w:firstLine="420"/>
        <w:jc w:val="both"/>
      </w:pPr>
      <w:r>
        <w:rPr>
          <w:spacing w:val="-2"/>
        </w:rPr>
        <w:t>处置境外经营时，将资产负债表中其他综合收益项目中列示的、与该境外经营相关的外币财务报表折</w:t>
      </w:r>
      <w:r>
        <w:rPr>
          <w:w w:val="100"/>
        </w:rPr>
        <w:t> </w:t>
      </w:r>
      <w:r>
        <w:rPr>
          <w:spacing w:val="-2"/>
        </w:rPr>
        <w:t>算差额，自其他综合收益项目转入处置当期损益；在处置部分股权投资或其他原因导致持有境外经营权益</w:t>
      </w:r>
      <w:r>
        <w:rPr>
          <w:spacing w:val="-43"/>
        </w:rPr>
        <w:t> </w:t>
      </w:r>
      <w:r>
        <w:rPr>
          <w:spacing w:val="-43"/>
        </w:rPr>
      </w:r>
      <w:r>
        <w:rPr>
          <w:spacing w:val="-2"/>
        </w:rPr>
        <w:t>比例降低但不丧失对境外经营控制权时，与该境外经营处置部分相关的外币报表折算差额将归属于少数股</w:t>
      </w:r>
      <w:r>
        <w:rPr>
          <w:spacing w:val="-43"/>
        </w:rPr>
        <w:t> </w:t>
      </w:r>
      <w:r>
        <w:rPr>
          <w:spacing w:val="-43"/>
        </w:rPr>
      </w:r>
      <w:r>
        <w:rPr>
          <w:spacing w:val="-2"/>
        </w:rPr>
        <w:t>东权益，不转入当期损益。在处置境外经营为联营企业或合营企业的部分股权时，与该境外经营相关的外</w:t>
      </w:r>
      <w:r>
        <w:rPr>
          <w:spacing w:val="-44"/>
        </w:rPr>
        <w:t> </w:t>
      </w:r>
      <w:r>
        <w:rPr>
          <w:spacing w:val="-44"/>
        </w:rPr>
      </w:r>
      <w:r>
        <w:rPr/>
        <w:t>币报表折算差额，按处置该境外经营的比例转入处置当期损益。</w:t>
      </w:r>
    </w:p>
    <w:p>
      <w:pPr>
        <w:spacing w:line="408" w:lineRule="auto" w:before="166"/>
        <w:ind w:left="572" w:right="4014" w:firstLine="60"/>
        <w:jc w:val="left"/>
        <w:rPr>
          <w:rFonts w:ascii="宋体" w:hAnsi="宋体" w:cs="宋体" w:eastAsia="宋体" w:hint="default"/>
          <w:sz w:val="21"/>
          <w:szCs w:val="21"/>
        </w:rPr>
      </w:pPr>
      <w:r>
        <w:rPr>
          <w:rFonts w:ascii="宋体" w:hAnsi="宋体" w:cs="宋体" w:eastAsia="宋体" w:hint="default"/>
          <w:b/>
          <w:bCs/>
          <w:sz w:val="21"/>
          <w:szCs w:val="21"/>
        </w:rPr>
        <w:t>（九）金融工具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BodyText"/>
        <w:spacing w:line="408" w:lineRule="auto"/>
        <w:ind w:right="146" w:firstLine="420"/>
        <w:jc w:val="both"/>
      </w:pPr>
      <w:r>
        <w:rPr>
          <w:spacing w:val="-2"/>
        </w:rPr>
        <w:t>管理层根据所发行金融工具的合同条款及其所反映的经济实质而非仅以法律形式，结合取得持有金融</w:t>
      </w:r>
      <w:r>
        <w:rPr>
          <w:w w:val="100"/>
        </w:rPr>
        <w:t> </w:t>
      </w:r>
      <w:r>
        <w:rPr>
          <w:spacing w:val="-2"/>
        </w:rPr>
        <w:t>资产和承担金融负债的目的，将金融资产和金融负债分为不同类别：以公允价值计量且其变动计入当期损</w:t>
      </w:r>
      <w:r>
        <w:rPr>
          <w:spacing w:val="-50"/>
        </w:rPr>
        <w:t> </w:t>
      </w:r>
      <w:r>
        <w:rPr>
          <w:spacing w:val="-50"/>
        </w:rPr>
      </w:r>
      <w:r>
        <w:rPr/>
        <w:t>益的金融资产（或金融负债）；持有至到期投资；应收款项；可供出售金融资产；其他金融负债等。</w:t>
      </w:r>
    </w:p>
    <w:p>
      <w:pPr>
        <w:pStyle w:val="Heading3"/>
        <w:spacing w:line="240" w:lineRule="auto" w:before="46"/>
        <w:ind w:left="575" w:right="0"/>
        <w:jc w:val="left"/>
        <w:rPr>
          <w:b w:val="0"/>
          <w:bCs w:val="0"/>
        </w:rPr>
      </w:pPr>
      <w:r>
        <w:rPr>
          <w:rFonts w:ascii="宋体" w:hAnsi="宋体" w:cs="宋体" w:eastAsia="宋体" w:hint="default"/>
        </w:rPr>
        <w:t>2</w:t>
      </w:r>
      <w:r>
        <w:rPr/>
        <w:t>、金融工具的确认依据和计量方法</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2" w:right="0"/>
        <w:jc w:val="left"/>
      </w:pPr>
      <w:r>
        <w:rPr/>
        <w:t>（</w:t>
      </w:r>
      <w:r>
        <w:rPr>
          <w:rFonts w:ascii="宋体" w:hAnsi="宋体" w:cs="宋体" w:eastAsia="宋体" w:hint="default"/>
        </w:rPr>
        <w:t>1</w:t>
      </w:r>
      <w:r>
        <w:rPr/>
        <w:t>）以公允价值计量且其变动计入当期损益的金融资产（金融负债）</w:t>
      </w:r>
      <w:r>
        <w:rPr>
          <w:w w:val="100"/>
        </w:rPr>
        <w:t> </w:t>
      </w:r>
      <w:r>
        <w:rPr>
          <w:spacing w:val="-2"/>
        </w:rPr>
        <w:t>以公允价值计量且其变动计入当期损益的金融资产或金融负债，包括交易性金融资产或金融负债和直</w:t>
      </w:r>
    </w:p>
    <w:p>
      <w:pPr>
        <w:pStyle w:val="BodyText"/>
        <w:spacing w:line="408" w:lineRule="auto"/>
        <w:ind w:left="572" w:right="0" w:hanging="421"/>
        <w:jc w:val="left"/>
      </w:pPr>
      <w:r>
        <w:rPr/>
        <w:t>接指定为以公允价值计量且其变动计入当期损益的金融资产或金融负债。</w:t>
      </w:r>
      <w:r>
        <w:rPr>
          <w:w w:val="100"/>
        </w:rPr>
        <w:t> </w:t>
      </w:r>
      <w:r>
        <w:rPr>
          <w:spacing w:val="-2"/>
        </w:rPr>
        <w:t>交易性金融资产或金融负债是指满足下列条件之一的金融资产或金融负债：</w:t>
      </w:r>
      <w:r>
        <w:rPr>
          <w:w w:val="100"/>
        </w:rPr>
        <w:t> </w:t>
      </w:r>
      <w:r>
        <w:rPr>
          <w:rFonts w:ascii="宋体" w:hAnsi="宋体" w:cs="宋体" w:eastAsia="宋体" w:hint="default"/>
        </w:rPr>
        <w:t>1</w:t>
      </w:r>
      <w:r>
        <w:rPr/>
        <w:t>）取得该金融资产或金融负债的目的是为了在短期内出售、回购或赎回；</w:t>
      </w:r>
    </w:p>
    <w:p>
      <w:pPr>
        <w:pStyle w:val="BodyText"/>
        <w:spacing w:line="408" w:lineRule="auto"/>
        <w:ind w:right="231" w:firstLine="420"/>
        <w:jc w:val="both"/>
      </w:pPr>
      <w:r>
        <w:rPr>
          <w:rFonts w:ascii="宋体" w:hAnsi="宋体" w:cs="宋体" w:eastAsia="宋体" w:hint="default"/>
          <w:spacing w:val="-2"/>
        </w:rPr>
        <w:t>2</w:t>
      </w:r>
      <w:r>
        <w:rPr>
          <w:spacing w:val="-2"/>
        </w:rPr>
        <w:t>）属于进行集中管理的可辨认金融工具组合的一部分，且有客观证据表明本公司近期采用短期获利</w:t>
      </w:r>
      <w:r>
        <w:rPr>
          <w:w w:val="100"/>
        </w:rPr>
        <w:t> </w:t>
      </w:r>
      <w:r>
        <w:rPr/>
        <w:t>方式对该组合进行管理；</w:t>
      </w:r>
    </w:p>
    <w:p>
      <w:pPr>
        <w:pStyle w:val="BodyText"/>
        <w:spacing w:line="408" w:lineRule="auto"/>
        <w:ind w:right="0" w:firstLine="420"/>
        <w:jc w:val="left"/>
      </w:pPr>
      <w:r>
        <w:rPr>
          <w:rFonts w:ascii="宋体" w:hAnsi="宋体" w:cs="宋体" w:eastAsia="宋体" w:hint="default"/>
          <w:spacing w:val="-2"/>
        </w:rPr>
        <w:t>3</w:t>
      </w:r>
      <w:r>
        <w:rPr>
          <w:spacing w:val="-2"/>
        </w:rPr>
        <w:t>）属于衍生金融工具，但是被指定为有效套期工具的衍生工具、属于财务担保合同的衍生工具、与</w:t>
      </w:r>
      <w:r>
        <w:rPr>
          <w:w w:val="100"/>
        </w:rPr>
        <w:t> </w:t>
      </w:r>
      <w:r>
        <w:rPr/>
        <w:t>在活跃市场中没有报价且其公允价值不能可靠计量的权益工具投资挂钩并须通过交付该权益工具结算的</w:t>
      </w:r>
      <w:r>
        <w:rPr>
          <w:w w:val="100"/>
        </w:rPr>
        <w:t> </w:t>
      </w:r>
      <w:r>
        <w:rPr/>
        <w:t>衍生工具除外。</w:t>
      </w:r>
    </w:p>
    <w:p>
      <w:pPr>
        <w:pStyle w:val="BodyText"/>
        <w:spacing w:line="408" w:lineRule="auto"/>
        <w:ind w:right="147" w:firstLine="420"/>
        <w:jc w:val="both"/>
      </w:pPr>
      <w:r>
        <w:rPr>
          <w:spacing w:val="-2"/>
        </w:rPr>
        <w:t>只有符合以下条件之一，金融资产或金融负债才可在初始计量时指定为以公允价值计量且其变动计入</w:t>
      </w:r>
      <w:r>
        <w:rPr>
          <w:w w:val="100"/>
        </w:rPr>
        <w:t> </w:t>
      </w:r>
      <w:r>
        <w:rPr/>
        <w:t>损益的金融资产或金融负债：</w:t>
      </w:r>
    </w:p>
    <w:p>
      <w:pPr>
        <w:pStyle w:val="BodyText"/>
        <w:spacing w:line="408" w:lineRule="auto"/>
        <w:ind w:right="231" w:firstLine="420"/>
        <w:jc w:val="both"/>
      </w:pPr>
      <w:r>
        <w:rPr>
          <w:rFonts w:ascii="宋体" w:hAnsi="宋体" w:cs="宋体" w:eastAsia="宋体" w:hint="default"/>
          <w:spacing w:val="-2"/>
        </w:rPr>
        <w:t>1</w:t>
      </w:r>
      <w:r>
        <w:rPr>
          <w:spacing w:val="-2"/>
        </w:rPr>
        <w:t>）该项指定可以消除或明显减少由于金融资产或金融负债的计量基础不同所导致的相关利得或损失</w:t>
      </w:r>
      <w:r>
        <w:rPr>
          <w:w w:val="100"/>
        </w:rPr>
        <w:t> </w:t>
      </w:r>
      <w:r>
        <w:rPr/>
        <w:t>在确认或计量方面不一致的情况；</w:t>
      </w:r>
    </w:p>
    <w:p>
      <w:pPr>
        <w:spacing w:after="0" w:line="408" w:lineRule="auto"/>
        <w:jc w:val="both"/>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right="230" w:firstLine="420"/>
        <w:jc w:val="both"/>
      </w:pPr>
      <w:r>
        <w:rPr>
          <w:rFonts w:ascii="宋体" w:hAnsi="宋体" w:cs="宋体" w:eastAsia="宋体" w:hint="default"/>
          <w:spacing w:val="-2"/>
        </w:rPr>
        <w:t>2</w:t>
      </w:r>
      <w:r>
        <w:rPr>
          <w:spacing w:val="-2"/>
        </w:rPr>
        <w:t>）风险管理或投资策略的正式书面文件已载明，该金融资产组合、该金融负债组合、或该金融资产</w:t>
      </w:r>
      <w:r>
        <w:rPr>
          <w:w w:val="100"/>
        </w:rPr>
        <w:t> </w:t>
      </w:r>
      <w:r>
        <w:rPr/>
        <w:t>和金融负债组合，以公允价值为基础进行管理、评价并向关键管理人员报告；</w:t>
      </w:r>
    </w:p>
    <w:p>
      <w:pPr>
        <w:pStyle w:val="BodyText"/>
        <w:spacing w:line="408" w:lineRule="auto"/>
        <w:ind w:right="230" w:firstLine="420"/>
        <w:jc w:val="both"/>
      </w:pPr>
      <w:r>
        <w:rPr>
          <w:rFonts w:ascii="宋体" w:hAnsi="宋体" w:cs="宋体" w:eastAsia="宋体" w:hint="default"/>
          <w:spacing w:val="-2"/>
        </w:rPr>
        <w:t>3</w:t>
      </w:r>
      <w:r>
        <w:rPr>
          <w:spacing w:val="-2"/>
        </w:rPr>
        <w:t>）包含一项或多项嵌入衍生工具的混合工具，除非嵌入衍生工具对混合工具的现金流量没有重大改</w:t>
      </w:r>
      <w:r>
        <w:rPr>
          <w:w w:val="100"/>
        </w:rPr>
        <w:t> </w:t>
      </w:r>
      <w:r>
        <w:rPr/>
        <w:t>变，或所嵌入的衍生工具明显不应当从相关混合工具中分拆；</w:t>
      </w:r>
    </w:p>
    <w:p>
      <w:pPr>
        <w:pStyle w:val="BodyText"/>
        <w:spacing w:line="408" w:lineRule="auto"/>
        <w:ind w:right="230" w:firstLine="420"/>
        <w:jc w:val="both"/>
      </w:pPr>
      <w:r>
        <w:rPr>
          <w:rFonts w:ascii="宋体" w:hAnsi="宋体" w:cs="宋体" w:eastAsia="宋体" w:hint="default"/>
          <w:spacing w:val="-2"/>
        </w:rPr>
        <w:t>4</w:t>
      </w:r>
      <w:r>
        <w:rPr>
          <w:spacing w:val="-2"/>
        </w:rPr>
        <w:t>）包含需要分拆但无法在取得时或后续的资产负债表日对其进行单独计量的嵌入衍生工具的混合工</w:t>
      </w:r>
      <w:r>
        <w:rPr>
          <w:w w:val="100"/>
        </w:rPr>
        <w:t> </w:t>
      </w:r>
      <w:r>
        <w:rPr/>
        <w:t>具。</w:t>
      </w:r>
    </w:p>
    <w:p>
      <w:pPr>
        <w:pStyle w:val="BodyText"/>
        <w:spacing w:line="408" w:lineRule="auto"/>
        <w:ind w:right="125" w:firstLine="420"/>
        <w:jc w:val="both"/>
      </w:pPr>
      <w:r>
        <w:rPr>
          <w:spacing w:val="-2"/>
        </w:rPr>
        <w:t>本公司对以公允价值计量且其变动计入当期损益的金融资产或金融负债，在取得时以公允价值（扣除</w:t>
      </w:r>
      <w:r>
        <w:rPr>
          <w:w w:val="100"/>
        </w:rPr>
        <w:t> </w:t>
      </w:r>
      <w:r>
        <w:rPr>
          <w:spacing w:val="-2"/>
        </w:rPr>
        <w:t>已宣告但尚未发放的现金股利或已到付息期但尚未领取的债券利息）作为初始确认金额，相关的交易费用</w:t>
      </w:r>
      <w:r>
        <w:rPr>
          <w:spacing w:val="-44"/>
        </w:rPr>
        <w:t> </w:t>
      </w:r>
      <w:r>
        <w:rPr>
          <w:spacing w:val="-44"/>
        </w:rPr>
      </w:r>
      <w:r>
        <w:rPr>
          <w:spacing w:val="-2"/>
        </w:rPr>
        <w:t>计入当期损益。持有期间将取得的利息或现金股利确认为投资收益，期末将公允价值变动计入当期损益。</w:t>
      </w:r>
      <w:r>
        <w:rPr>
          <w:spacing w:val="-21"/>
        </w:rPr>
        <w:t> </w:t>
      </w:r>
      <w:r>
        <w:rPr>
          <w:spacing w:val="-21"/>
        </w:rPr>
      </w:r>
      <w:r>
        <w:rPr/>
        <w:t>处置时，其公允价值与初始入账金额之间的差额确认为投资收益，同时调整公允价值变动损益。</w:t>
      </w:r>
    </w:p>
    <w:p>
      <w:pPr>
        <w:pStyle w:val="BodyText"/>
        <w:spacing w:line="408" w:lineRule="auto"/>
        <w:ind w:left="572" w:right="0"/>
        <w:jc w:val="left"/>
      </w:pPr>
      <w:r>
        <w:rPr/>
        <w:t>（</w:t>
      </w:r>
      <w:r>
        <w:rPr>
          <w:rFonts w:ascii="宋体" w:hAnsi="宋体" w:cs="宋体" w:eastAsia="宋体" w:hint="default"/>
        </w:rPr>
        <w:t>2</w:t>
      </w:r>
      <w:r>
        <w:rPr/>
        <w:t>）持有至到期投资</w:t>
      </w:r>
      <w:r>
        <w:rPr>
          <w:w w:val="100"/>
        </w:rPr>
        <w:t> </w:t>
      </w:r>
      <w:r>
        <w:rPr>
          <w:spacing w:val="-2"/>
        </w:rPr>
        <w:t>持有至到期投资是指到期日固定、回收金额固定或可确定，且本公司有明确意图和能力持有至到期的</w:t>
      </w:r>
    </w:p>
    <w:p>
      <w:pPr>
        <w:pStyle w:val="BodyText"/>
        <w:spacing w:line="408" w:lineRule="auto"/>
        <w:ind w:left="572" w:right="0" w:hanging="421"/>
        <w:jc w:val="left"/>
      </w:pPr>
      <w:r>
        <w:rPr/>
        <w:t>非衍生性金融资产。</w:t>
      </w:r>
      <w:r>
        <w:rPr>
          <w:w w:val="100"/>
        </w:rPr>
        <w:t> </w:t>
      </w:r>
      <w:r>
        <w:rPr>
          <w:spacing w:val="-2"/>
        </w:rPr>
        <w:t>本公司对持有至到期投资，在取得时按公允价值（扣除已到付息期但尚未领取的债券利息）和相关交</w:t>
      </w:r>
    </w:p>
    <w:p>
      <w:pPr>
        <w:pStyle w:val="BodyText"/>
        <w:spacing w:line="408" w:lineRule="auto"/>
        <w:ind w:right="147"/>
        <w:jc w:val="both"/>
      </w:pPr>
      <w:r>
        <w:rPr>
          <w:spacing w:val="-2"/>
        </w:rPr>
        <w:t>易费用之和作为初始确认金额。持有期间按照摊余成本和实际利率计算确认利息收入，计入投资收益。实</w:t>
      </w:r>
      <w:r>
        <w:rPr>
          <w:spacing w:val="-47"/>
        </w:rPr>
        <w:t> </w:t>
      </w:r>
      <w:r>
        <w:rPr>
          <w:spacing w:val="-47"/>
        </w:rPr>
      </w:r>
      <w:r>
        <w:rPr>
          <w:spacing w:val="-3"/>
        </w:rPr>
        <w:t>际利率在取得时确定，在该预期存续期间或适用的更短期间内保持不变。处置时，将所取得价款与该投资</w:t>
      </w:r>
      <w:r>
        <w:rPr>
          <w:spacing w:val="-6"/>
        </w:rPr>
        <w:t> </w:t>
      </w:r>
      <w:r>
        <w:rPr>
          <w:spacing w:val="-6"/>
        </w:rPr>
      </w:r>
      <w:r>
        <w:rPr/>
        <w:t>账面价值之间的差额计入投资收益。</w:t>
      </w:r>
    </w:p>
    <w:p>
      <w:pPr>
        <w:pStyle w:val="BodyText"/>
        <w:spacing w:line="408" w:lineRule="auto"/>
        <w:ind w:right="147" w:firstLine="420"/>
        <w:jc w:val="both"/>
      </w:pPr>
      <w:r>
        <w:rPr>
          <w:spacing w:val="-2"/>
        </w:rPr>
        <w:t>如果持有至到期投资处置或重分类为其他类金融资产的金额，相对于本公司全部持有至到期投资在出</w:t>
      </w:r>
      <w:r>
        <w:rPr>
          <w:w w:val="100"/>
        </w:rPr>
        <w:t> </w:t>
      </w:r>
      <w:r>
        <w:rPr>
          <w:spacing w:val="-2"/>
        </w:rPr>
        <w:t>售或重分类前的总额较大，在处置或重分类后应立即将其剩余的持有至到期投资重分类为可供出售金融资</w:t>
      </w:r>
      <w:r>
        <w:rPr>
          <w:spacing w:val="-43"/>
        </w:rPr>
        <w:t> </w:t>
      </w:r>
      <w:r>
        <w:rPr>
          <w:spacing w:val="-43"/>
        </w:rPr>
      </w:r>
      <w:r>
        <w:rPr>
          <w:spacing w:val="-2"/>
        </w:rPr>
        <w:t>产；重分类日，该投资的账面价值与其公允价值之间的差额计入其他综合收益，在该可供出售金融资产发</w:t>
      </w:r>
      <w:r>
        <w:rPr>
          <w:spacing w:val="-43"/>
        </w:rPr>
        <w:t> </w:t>
      </w:r>
      <w:r>
        <w:rPr>
          <w:spacing w:val="-43"/>
        </w:rPr>
      </w:r>
      <w:r>
        <w:rPr/>
        <w:t>生减值或终止确认时转出，计入当期损益。但是，遇到下列情况可以除外：</w:t>
      </w:r>
    </w:p>
    <w:p>
      <w:pPr>
        <w:pStyle w:val="BodyText"/>
        <w:spacing w:line="408" w:lineRule="auto"/>
        <w:ind w:right="232" w:firstLine="419"/>
        <w:jc w:val="both"/>
      </w:pPr>
      <w:r>
        <w:rPr>
          <w:rFonts w:ascii="宋体" w:hAnsi="宋体" w:cs="宋体" w:eastAsia="宋体" w:hint="default"/>
          <w:spacing w:val="-2"/>
        </w:rPr>
        <w:t>1</w:t>
      </w:r>
      <w:r>
        <w:rPr>
          <w:spacing w:val="-2"/>
        </w:rPr>
        <w:t>）出售日或重分类日距离该项投资到期日或赎回日较近</w:t>
      </w:r>
      <w:r>
        <w:rPr>
          <w:rFonts w:ascii="宋体" w:hAnsi="宋体" w:cs="宋体" w:eastAsia="宋体" w:hint="default"/>
          <w:spacing w:val="-2"/>
        </w:rPr>
        <w:t>(</w:t>
      </w:r>
      <w:r>
        <w:rPr>
          <w:spacing w:val="-2"/>
        </w:rPr>
        <w:t>如到期前三个月内</w:t>
      </w:r>
      <w:r>
        <w:rPr>
          <w:rFonts w:ascii="宋体" w:hAnsi="宋体" w:cs="宋体" w:eastAsia="宋体" w:hint="default"/>
          <w:spacing w:val="-2"/>
        </w:rPr>
        <w:t>)</w:t>
      </w:r>
      <w:r>
        <w:rPr>
          <w:spacing w:val="-2"/>
        </w:rPr>
        <w:t>，且市场利率变化对该</w:t>
      </w:r>
      <w:r>
        <w:rPr>
          <w:w w:val="100"/>
        </w:rPr>
        <w:t> </w:t>
      </w:r>
      <w:r>
        <w:rPr/>
        <w:t>项投资的公允价值没有显著影响。</w:t>
      </w:r>
    </w:p>
    <w:p>
      <w:pPr>
        <w:pStyle w:val="BodyText"/>
        <w:spacing w:line="240" w:lineRule="auto"/>
        <w:ind w:left="572" w:right="0"/>
        <w:jc w:val="left"/>
      </w:pPr>
      <w:r>
        <w:rPr>
          <w:rFonts w:ascii="宋体" w:hAnsi="宋体" w:cs="宋体" w:eastAsia="宋体" w:hint="default"/>
        </w:rPr>
        <w:t>2</w:t>
      </w:r>
      <w:r>
        <w:rPr/>
        <w:t>）根据合同约定的偿付方式，企业已收回几乎所有初始本金。</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rFonts w:ascii="宋体" w:hAnsi="宋体" w:cs="宋体" w:eastAsia="宋体" w:hint="default"/>
        </w:rPr>
        <w:t>3</w:t>
      </w:r>
      <w:r>
        <w:rPr/>
        <w:t>）出售或重分类是由于企业无法控制、预期不会重复发生且难以合理预计的独立事件所引起。</w:t>
      </w:r>
    </w:p>
    <w:p>
      <w:pPr>
        <w:spacing w:line="240" w:lineRule="auto" w:before="10"/>
        <w:rPr>
          <w:rFonts w:ascii="宋体" w:hAnsi="宋体" w:cs="宋体" w:eastAsia="宋体" w:hint="default"/>
          <w:sz w:val="14"/>
          <w:szCs w:val="14"/>
        </w:rPr>
      </w:pPr>
    </w:p>
    <w:p>
      <w:pPr>
        <w:pStyle w:val="BodyText"/>
        <w:spacing w:line="408" w:lineRule="auto" w:before="0"/>
        <w:ind w:left="572" w:right="0"/>
        <w:jc w:val="left"/>
      </w:pPr>
      <w:r>
        <w:rPr/>
        <w:t>（</w:t>
      </w:r>
      <w:r>
        <w:rPr>
          <w:rFonts w:ascii="宋体" w:hAnsi="宋体" w:cs="宋体" w:eastAsia="宋体" w:hint="default"/>
        </w:rPr>
        <w:t>3</w:t>
      </w:r>
      <w:r>
        <w:rPr/>
        <w:t>）应收款项</w:t>
      </w:r>
      <w:r>
        <w:rPr>
          <w:spacing w:val="-3"/>
          <w:w w:val="100"/>
        </w:rPr>
        <w:t> </w:t>
      </w:r>
      <w:r>
        <w:rPr>
          <w:spacing w:val="-2"/>
        </w:rPr>
        <w:t>本公司对外销售商品或提供劳务形成的应收债权，以及公司持有的其他企业的不包括在活跃市场上有</w:t>
      </w:r>
    </w:p>
    <w:p>
      <w:pPr>
        <w:pStyle w:val="BodyText"/>
        <w:spacing w:line="408" w:lineRule="auto"/>
        <w:ind w:right="147"/>
        <w:jc w:val="both"/>
      </w:pPr>
      <w:r>
        <w:rPr>
          <w:spacing w:val="-2"/>
        </w:rPr>
        <w:t>报价的债务工具的债权，包括应收账款、应收票据、预付款项、其他应收款等，以向购货方应收的合同或</w:t>
      </w:r>
      <w:r>
        <w:rPr>
          <w:spacing w:val="-43"/>
        </w:rPr>
        <w:t> </w:t>
      </w:r>
      <w:r>
        <w:rPr>
          <w:spacing w:val="-43"/>
        </w:rPr>
      </w:r>
      <w:r>
        <w:rPr/>
        <w:t>协议价款作为初始确认金额；具有融资性质的，按其现值进行初始确认。</w:t>
      </w:r>
    </w:p>
    <w:p>
      <w:pPr>
        <w:pStyle w:val="BodyText"/>
        <w:spacing w:line="240" w:lineRule="auto"/>
        <w:ind w:left="572" w:right="0"/>
        <w:jc w:val="left"/>
      </w:pPr>
      <w:r>
        <w:rPr/>
        <w:t>收回或处置时，将取得的价款与该应收款项账面价值之间的差额计入当期损益。</w:t>
      </w:r>
    </w:p>
    <w:p>
      <w:pPr>
        <w:spacing w:after="0" w:line="240"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left="572" w:right="0"/>
        <w:jc w:val="left"/>
      </w:pPr>
      <w:r>
        <w:rPr/>
        <w:t>（</w:t>
      </w:r>
      <w:r>
        <w:rPr>
          <w:rFonts w:ascii="宋体" w:hAnsi="宋体" w:cs="宋体" w:eastAsia="宋体" w:hint="default"/>
        </w:rPr>
        <w:t>4</w:t>
      </w:r>
      <w:r>
        <w:rPr/>
        <w:t>）可供出售金融资产</w:t>
      </w:r>
      <w:r>
        <w:rPr>
          <w:spacing w:val="-3"/>
          <w:w w:val="100"/>
        </w:rPr>
        <w:t> </w:t>
      </w:r>
      <w:r>
        <w:rPr>
          <w:spacing w:val="-2"/>
        </w:rPr>
        <w:t>可供出售金融资产，是指初始确认时即指定为可供出售的非衍生金融资产，以及除其他金融资产类别</w:t>
      </w:r>
    </w:p>
    <w:p>
      <w:pPr>
        <w:pStyle w:val="BodyText"/>
        <w:spacing w:line="408" w:lineRule="auto"/>
        <w:ind w:left="572" w:right="0" w:hanging="421"/>
        <w:jc w:val="left"/>
      </w:pPr>
      <w:r>
        <w:rPr/>
        <w:t>以外的金融资产。</w:t>
      </w:r>
      <w:r>
        <w:rPr>
          <w:w w:val="100"/>
        </w:rPr>
        <w:t> </w:t>
      </w:r>
      <w:r>
        <w:rPr>
          <w:spacing w:val="-2"/>
        </w:rPr>
        <w:t>本公司对可供出售金融资产，在取得时按公允价值（扣除已宣告但尚未发放的现金股利或已到付息期</w:t>
      </w:r>
    </w:p>
    <w:p>
      <w:pPr>
        <w:pStyle w:val="BodyText"/>
        <w:spacing w:line="408" w:lineRule="auto"/>
        <w:ind w:right="147"/>
        <w:jc w:val="both"/>
      </w:pPr>
      <w:r>
        <w:rPr>
          <w:spacing w:val="-2"/>
        </w:rPr>
        <w:t>但尚未领取的债券利息）和相关交易费用之和作为初始确认金额。持有期间将取得的利息或现金股利确认</w:t>
      </w:r>
      <w:r>
        <w:rPr>
          <w:spacing w:val="-42"/>
        </w:rPr>
        <w:t> </w:t>
      </w:r>
      <w:r>
        <w:rPr>
          <w:spacing w:val="-42"/>
        </w:rPr>
      </w:r>
      <w:r>
        <w:rPr>
          <w:spacing w:val="-2"/>
        </w:rPr>
        <w:t>为投资收益。可供出售金融资产的公允价值变动形成的利得或损失，除减值损失和外币货币性金融资产形</w:t>
      </w:r>
      <w:r>
        <w:rPr>
          <w:spacing w:val="-44"/>
        </w:rPr>
        <w:t> </w:t>
      </w:r>
      <w:r>
        <w:rPr>
          <w:spacing w:val="-44"/>
        </w:rPr>
      </w:r>
      <w:r>
        <w:rPr>
          <w:spacing w:val="-2"/>
        </w:rPr>
        <w:t>成的汇兑差额外，直接计入其他综合收益。处置可供出售金融资产时，将取得的价款与该金融资产账面价</w:t>
      </w:r>
      <w:r>
        <w:rPr>
          <w:spacing w:val="-44"/>
        </w:rPr>
        <w:t> </w:t>
      </w:r>
      <w:r>
        <w:rPr>
          <w:spacing w:val="-44"/>
        </w:rPr>
      </w:r>
      <w:r>
        <w:rPr>
          <w:spacing w:val="-2"/>
        </w:rPr>
        <w:t>值之间的差额，计入投资损益；同时，将原直接计入其他综合收益的公允价值变动累计额对应处置部分的</w:t>
      </w:r>
      <w:r>
        <w:rPr>
          <w:spacing w:val="-44"/>
        </w:rPr>
        <w:t> </w:t>
      </w:r>
      <w:r>
        <w:rPr>
          <w:spacing w:val="-44"/>
        </w:rPr>
      </w:r>
      <w:r>
        <w:rPr/>
        <w:t>金额转出，计入投资损益。</w:t>
      </w:r>
    </w:p>
    <w:p>
      <w:pPr>
        <w:pStyle w:val="BodyText"/>
        <w:spacing w:line="408" w:lineRule="auto"/>
        <w:ind w:right="0" w:firstLine="420"/>
        <w:jc w:val="left"/>
      </w:pPr>
      <w:r>
        <w:rPr>
          <w:spacing w:val="-2"/>
        </w:rPr>
        <w:t>本公司对在活跃市场中没有报价且其公允价值不能可靠计量的权益工具投资，以及与该权益工具挂钩</w:t>
      </w:r>
      <w:r>
        <w:rPr>
          <w:w w:val="100"/>
        </w:rPr>
        <w:t> </w:t>
      </w:r>
      <w:r>
        <w:rPr/>
        <w:t>并须通过交付该权益工具结算的衍生金融资产，按照成本计量。</w:t>
      </w:r>
    </w:p>
    <w:p>
      <w:pPr>
        <w:pStyle w:val="BodyText"/>
        <w:spacing w:line="408" w:lineRule="auto"/>
        <w:ind w:left="572" w:right="0"/>
        <w:jc w:val="left"/>
      </w:pPr>
      <w:r>
        <w:rPr/>
        <w:t>（</w:t>
      </w:r>
      <w:r>
        <w:rPr>
          <w:rFonts w:ascii="宋体" w:hAnsi="宋体" w:cs="宋体" w:eastAsia="宋体" w:hint="default"/>
        </w:rPr>
        <w:t>5</w:t>
      </w:r>
      <w:r>
        <w:rPr/>
        <w:t>）其他金融负债</w:t>
      </w:r>
      <w:r>
        <w:rPr>
          <w:spacing w:val="-3"/>
          <w:w w:val="100"/>
        </w:rPr>
        <w:t> </w:t>
      </w:r>
      <w:r>
        <w:rPr/>
        <w:t>按其公允价值和相关交易费用之和作为初始确认金额。采用摊余成本进行后续计量。</w:t>
      </w:r>
      <w:r>
        <w:rPr>
          <w:w w:val="100"/>
        </w:rPr>
        <w:t> </w:t>
      </w:r>
      <w:r>
        <w:rPr>
          <w:rFonts w:ascii="宋体" w:hAnsi="宋体" w:cs="宋体" w:eastAsia="宋体"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100"/>
        </w:rPr>
        <w:t> </w:t>
      </w:r>
      <w:r>
        <w:rPr>
          <w:spacing w:val="-2"/>
        </w:rPr>
        <w:t>本公司发生金融资产转移时，如已将金融资产所有权上几乎所有的风险和报酬转移给转入方，则终止</w:t>
      </w:r>
    </w:p>
    <w:p>
      <w:pPr>
        <w:pStyle w:val="BodyText"/>
        <w:spacing w:line="408" w:lineRule="auto"/>
        <w:ind w:left="572" w:right="0" w:hanging="421"/>
        <w:jc w:val="left"/>
      </w:pPr>
      <w:r>
        <w:rPr/>
        <w:t>确认该金融资产；如保留了金融资产所有权上几乎所有的风险和报酬的，则不终止确认该金融资产。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BodyText"/>
        <w:spacing w:line="408" w:lineRule="auto"/>
        <w:ind w:right="147"/>
        <w:jc w:val="both"/>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ind w:left="572" w:right="0"/>
        <w:jc w:val="left"/>
      </w:pPr>
      <w:r>
        <w:rPr/>
        <w:t>（</w:t>
      </w:r>
      <w:r>
        <w:rPr>
          <w:rFonts w:ascii="宋体" w:hAnsi="宋体" w:cs="宋体" w:eastAsia="宋体" w:hint="default"/>
        </w:rPr>
        <w:t>1</w:t>
      </w:r>
      <w:r>
        <w:rPr/>
        <w:t>）所转移金融资产的账面价值；</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2"/>
        </w:rPr>
        <w:t>（</w:t>
      </w:r>
      <w:r>
        <w:rPr>
          <w:rFonts w:ascii="宋体" w:hAnsi="宋体" w:cs="宋体" w:eastAsia="宋体" w:hint="default"/>
          <w:spacing w:val="-2"/>
        </w:rPr>
        <w:t>2</w:t>
      </w:r>
      <w:r>
        <w:rPr>
          <w:spacing w:val="-2"/>
        </w:rPr>
        <w:t>）因转移而收到的对价，与原直接计入所有者权益的公允价值变动累计额（涉及转移的金融资产</w:t>
      </w:r>
      <w:r>
        <w:rPr>
          <w:w w:val="100"/>
        </w:rPr>
        <w:t> </w:t>
      </w:r>
      <w:r>
        <w:rPr/>
        <w:t>为可供出售金融资产的情形）之和。</w:t>
      </w:r>
    </w:p>
    <w:p>
      <w:pPr>
        <w:pStyle w:val="BodyText"/>
        <w:spacing w:line="408" w:lineRule="auto"/>
        <w:ind w:right="0" w:firstLine="420"/>
        <w:jc w:val="left"/>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ind w:left="572" w:right="0"/>
        <w:jc w:val="left"/>
      </w:pPr>
      <w:r>
        <w:rPr/>
        <w:t>（</w:t>
      </w:r>
      <w:r>
        <w:rPr>
          <w:rFonts w:ascii="宋体" w:hAnsi="宋体" w:cs="宋体" w:eastAsia="宋体" w:hint="default"/>
        </w:rPr>
        <w:t>1</w:t>
      </w:r>
      <w:r>
        <w:rPr/>
        <w:t>）终止确认部分的账面价值；</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2"/>
        </w:rPr>
        <w:t>（</w:t>
      </w:r>
      <w:r>
        <w:rPr>
          <w:rFonts w:ascii="宋体" w:hAnsi="宋体" w:cs="宋体" w:eastAsia="宋体" w:hint="default"/>
          <w:spacing w:val="-2"/>
        </w:rPr>
        <w:t>2</w:t>
      </w:r>
      <w:r>
        <w:rPr>
          <w:spacing w:val="-2"/>
        </w:rPr>
        <w:t>）终止确认部分的对价，与原直接计入所有者权益的公允价值变动累计额中对应终止确认部分的</w:t>
      </w:r>
      <w:r>
        <w:rPr>
          <w:w w:val="100"/>
        </w:rPr>
        <w:t> </w:t>
      </w:r>
      <w:r>
        <w:rPr/>
        <w:t>金额（涉及转移的金融资产为可供出售金融资产的情形）之和。</w:t>
      </w:r>
    </w:p>
    <w:p>
      <w:pPr>
        <w:pStyle w:val="BodyText"/>
        <w:spacing w:line="408" w:lineRule="auto"/>
        <w:ind w:left="572" w:right="0" w:hanging="1"/>
        <w:jc w:val="left"/>
      </w:pPr>
      <w:r>
        <w:rPr/>
        <w:t>金融资产转移不满足终止确认条件的，继续确认该金融资产，所收到的对价确认为一项金融负债。</w:t>
      </w:r>
      <w:r>
        <w:rPr>
          <w:w w:val="100"/>
        </w:rPr>
        <w:t> </w:t>
      </w:r>
      <w:r>
        <w:rPr>
          <w:rFonts w:ascii="宋体" w:hAnsi="宋体" w:cs="宋体" w:eastAsia="宋体" w:hint="default"/>
          <w:b/>
          <w:bCs/>
        </w:rPr>
        <w:t>4</w:t>
      </w:r>
      <w:r>
        <w:rPr>
          <w:rFonts w:ascii="宋体" w:hAnsi="宋体" w:cs="宋体" w:eastAsia="宋体" w:hint="default"/>
          <w:b/>
          <w:bCs/>
        </w:rPr>
        <w:t>、金融负债终止确认条件</w:t>
      </w:r>
      <w:r>
        <w:rPr>
          <w:rFonts w:ascii="宋体" w:hAnsi="宋体" w:cs="宋体" w:eastAsia="宋体" w:hint="default"/>
          <w:b/>
          <w:bCs/>
          <w:w w:val="100"/>
        </w:rPr>
        <w:t> </w:t>
      </w:r>
      <w:r>
        <w:rPr>
          <w:spacing w:val="-2"/>
        </w:rPr>
        <w:t>金融负债的现时义务全部或部分已经解除的，则终止确认该金融负债或其一部分；本公司若与债权人</w:t>
      </w:r>
    </w:p>
    <w:p>
      <w:pPr>
        <w:spacing w:after="0" w:line="408" w:lineRule="auto"/>
        <w:jc w:val="left"/>
        <w:sectPr>
          <w:footerReference w:type="default" r:id="rId47"/>
          <w:pgSz w:w="11910" w:h="16840"/>
          <w:pgMar w:footer="1066" w:header="990" w:top="1220" w:bottom="1260" w:left="980" w:right="980"/>
          <w:pgNumType w:start="95"/>
        </w:sectPr>
      </w:pPr>
    </w:p>
    <w:p>
      <w:pPr>
        <w:spacing w:line="240" w:lineRule="auto" w:before="4"/>
        <w:rPr>
          <w:rFonts w:ascii="宋体" w:hAnsi="宋体" w:cs="宋体" w:eastAsia="宋体" w:hint="default"/>
          <w:sz w:val="16"/>
          <w:szCs w:val="16"/>
        </w:rPr>
      </w:pPr>
    </w:p>
    <w:p>
      <w:pPr>
        <w:pStyle w:val="BodyText"/>
        <w:spacing w:line="408" w:lineRule="auto" w:before="36"/>
        <w:ind w:right="146"/>
        <w:jc w:val="both"/>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408" w:lineRule="auto"/>
        <w:ind w:right="0" w:firstLine="420"/>
        <w:jc w:val="left"/>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408" w:lineRule="auto"/>
        <w:ind w:right="0" w:firstLine="420"/>
        <w:jc w:val="left"/>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408" w:lineRule="auto"/>
        <w:ind w:right="146" w:firstLine="419"/>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line="408" w:lineRule="auto" w:before="4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本公司采用公允价值计量的金融资产和金融负债存在活跃市场的金融资产或金融负债，以活跃市场的</w:t>
      </w:r>
    </w:p>
    <w:p>
      <w:pPr>
        <w:pStyle w:val="BodyText"/>
        <w:spacing w:line="408" w:lineRule="auto"/>
        <w:ind w:right="147"/>
        <w:jc w:val="both"/>
      </w:pPr>
      <w:r>
        <w:rPr>
          <w:spacing w:val="-2"/>
        </w:rPr>
        <w:t>报价确定其公允价值；初始取得或衍生的金融资产或承担的金融负债，以市场交易价格作为确定其公允价</w:t>
      </w:r>
      <w:r>
        <w:rPr>
          <w:spacing w:val="-43"/>
        </w:rPr>
        <w:t> </w:t>
      </w:r>
      <w:r>
        <w:rPr>
          <w:spacing w:val="-43"/>
        </w:rPr>
      </w:r>
      <w:r>
        <w:rPr>
          <w:spacing w:val="-3"/>
        </w:rPr>
        <w:t>值的基础；不存在活跃市场的金融资产或金融负债，采用估值技术确定其公允价值。在估值时，本公司采</w:t>
      </w:r>
      <w:r>
        <w:rPr>
          <w:spacing w:val="-10"/>
        </w:rPr>
        <w:t> </w:t>
      </w:r>
      <w:r>
        <w:rPr>
          <w:spacing w:val="-10"/>
        </w:rPr>
      </w:r>
      <w:r>
        <w:rPr>
          <w:spacing w:val="-2"/>
        </w:rPr>
        <w:t>用在当前情况下适用并且有足够可利用数据和其他信息支持的估值技术，选择与市场参与者在相关资产或</w:t>
      </w:r>
      <w:r>
        <w:rPr>
          <w:spacing w:val="-43"/>
        </w:rPr>
        <w:t> </w:t>
      </w:r>
      <w:r>
        <w:rPr>
          <w:spacing w:val="-43"/>
        </w:rPr>
      </w:r>
      <w:r>
        <w:rPr>
          <w:spacing w:val="-2"/>
        </w:rPr>
        <w:t>负债的交易中所考虑的资产或负债特征相一致的输入值，并尽可能优先使用相关可观察输入值。在相关可</w:t>
      </w:r>
      <w:r>
        <w:rPr>
          <w:spacing w:val="-42"/>
        </w:rPr>
        <w:t> </w:t>
      </w:r>
      <w:r>
        <w:rPr>
          <w:spacing w:val="-42"/>
        </w:rPr>
      </w:r>
      <w:r>
        <w:rPr/>
        <w:t>观察输入值无法取得或取得不切实可行的情况下，使用不可观察输入值。</w:t>
      </w:r>
    </w:p>
    <w:p>
      <w:pPr>
        <w:spacing w:line="408" w:lineRule="auto" w:before="4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资产负债表日对以公允价值计量且其变动计入当期损益的金融资产以外的金融资产的账面价值进行</w:t>
      </w:r>
    </w:p>
    <w:p>
      <w:pPr>
        <w:pStyle w:val="BodyText"/>
        <w:spacing w:line="408" w:lineRule="auto"/>
        <w:ind w:left="572" w:right="0" w:hanging="420"/>
        <w:jc w:val="left"/>
      </w:pPr>
      <w:r>
        <w:rPr>
          <w:spacing w:val="-2"/>
        </w:rPr>
        <w:t>检查，如有客观证据表明该金融资产发生减值的，计提减值准备。</w:t>
      </w:r>
      <w:r>
        <w:rPr>
          <w:spacing w:val="-49"/>
        </w:rPr>
        <w:t> </w:t>
      </w:r>
      <w:r>
        <w:rPr>
          <w:spacing w:val="-49"/>
        </w:rPr>
      </w:r>
      <w:r>
        <w:rPr/>
        <w:t>金融资产发生减值的客观证据，包括但不限于：</w:t>
      </w:r>
    </w:p>
    <w:p>
      <w:pPr>
        <w:pStyle w:val="BodyText"/>
        <w:spacing w:line="240" w:lineRule="auto"/>
        <w:ind w:left="572" w:right="0"/>
        <w:jc w:val="left"/>
      </w:pPr>
      <w:r>
        <w:rPr/>
        <w:t>（</w:t>
      </w:r>
      <w:r>
        <w:rPr>
          <w:rFonts w:ascii="宋体" w:hAnsi="宋体" w:cs="宋体" w:eastAsia="宋体" w:hint="default"/>
        </w:rPr>
        <w:t>1</w:t>
      </w:r>
      <w:r>
        <w:rPr/>
        <w:t>）发行方或债务人发生严重财务困难；</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2</w:t>
      </w:r>
      <w:r>
        <w:rPr/>
        <w:t>）债务人违反了合同条款，如偿付利息或本金发生违约或逾期等；</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3</w:t>
      </w:r>
      <w:r>
        <w:rPr/>
        <w:t>）债权人出于经济或法律等方面因素的考虑，对发生财务困难的债务人作出让步；</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4</w:t>
      </w:r>
      <w:r>
        <w:rPr/>
        <w:t>）债务人很可能倒闭或进行其他财务重组；</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5</w:t>
      </w:r>
      <w:r>
        <w:rPr/>
        <w:t>）因发行方发生重大财务困难，该金融资产无法在活跃市场继续交易；</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w:t>
      </w:r>
      <w:r>
        <w:rPr>
          <w:rFonts w:ascii="宋体" w:hAnsi="宋体" w:cs="宋体" w:eastAsia="宋体" w:hint="default"/>
        </w:rPr>
        <w:t>6</w:t>
      </w:r>
      <w:r>
        <w:rPr/>
        <w:t>）无法辨认一组金融资产中的某项资产的现金流量是否已经减少，但根据公开的数据对其进行总</w:t>
      </w:r>
      <w:r>
        <w:rPr>
          <w:w w:val="100"/>
        </w:rPr>
        <w:t> </w:t>
      </w:r>
      <w:r>
        <w:rPr>
          <w:spacing w:val="-2"/>
        </w:rPr>
        <w:t>体评价后发现，该组金融资产自初始确认以来的预计未来现金流量确已减少且可计量，如该组金融资产的</w:t>
      </w:r>
      <w:r>
        <w:rPr>
          <w:spacing w:val="-42"/>
        </w:rPr>
        <w:t> </w:t>
      </w:r>
      <w:r>
        <w:rPr>
          <w:spacing w:val="-42"/>
        </w:rPr>
      </w:r>
      <w:r>
        <w:rPr>
          <w:spacing w:val="-2"/>
        </w:rPr>
        <w:t>债务人支付能力逐步恶化，或债务人所在国家或地区失业率提高、担保物在其所在地区的价格明显下降、</w:t>
      </w:r>
      <w:r>
        <w:rPr>
          <w:spacing w:val="-21"/>
        </w:rPr>
        <w:t> </w:t>
      </w:r>
      <w:r>
        <w:rPr>
          <w:spacing w:val="-21"/>
        </w:rPr>
      </w:r>
      <w:r>
        <w:rPr/>
        <w:t>所处行业不景气等；</w:t>
      </w:r>
    </w:p>
    <w:p>
      <w:pPr>
        <w:pStyle w:val="BodyText"/>
        <w:spacing w:line="240" w:lineRule="auto"/>
        <w:ind w:left="572" w:right="0"/>
        <w:jc w:val="left"/>
      </w:pPr>
      <w:r>
        <w:rPr/>
        <w:t>（</w:t>
      </w:r>
      <w:r>
        <w:rPr>
          <w:rFonts w:ascii="宋体" w:hAnsi="宋体" w:cs="宋体" w:eastAsia="宋体" w:hint="default"/>
        </w:rPr>
        <w:t>7</w:t>
      </w:r>
      <w:r>
        <w:rPr/>
        <w:t>）权益工具发行方经营所处的技术、市场、经济或法律环境等发生重大不利变化，使权益工具投</w:t>
      </w:r>
    </w:p>
    <w:p>
      <w:pPr>
        <w:spacing w:after="0" w:line="240" w:lineRule="auto"/>
        <w:jc w:val="left"/>
        <w:sectPr>
          <w:footerReference w:type="default" r:id="rId48"/>
          <w:pgSz w:w="11910" w:h="16840"/>
          <w:pgMar w:footer="1066" w:header="990" w:top="1220" w:bottom="1260" w:left="980" w:right="980"/>
          <w:pgNumType w:start="96"/>
        </w:sectPr>
      </w:pPr>
    </w:p>
    <w:p>
      <w:pPr>
        <w:spacing w:line="240" w:lineRule="auto" w:before="4"/>
        <w:rPr>
          <w:rFonts w:ascii="宋体" w:hAnsi="宋体" w:cs="宋体" w:eastAsia="宋体" w:hint="default"/>
          <w:sz w:val="16"/>
          <w:szCs w:val="16"/>
        </w:rPr>
      </w:pPr>
    </w:p>
    <w:p>
      <w:pPr>
        <w:pStyle w:val="BodyText"/>
        <w:spacing w:line="240" w:lineRule="auto" w:before="36"/>
        <w:ind w:right="0"/>
        <w:jc w:val="left"/>
      </w:pPr>
      <w:r>
        <w:rPr/>
        <w:t>资人可能无法收回投资成本；</w:t>
      </w:r>
    </w:p>
    <w:p>
      <w:pPr>
        <w:spacing w:line="240" w:lineRule="auto" w:before="10"/>
        <w:rPr>
          <w:rFonts w:ascii="宋体" w:hAnsi="宋体" w:cs="宋体" w:eastAsia="宋体" w:hint="default"/>
          <w:sz w:val="14"/>
          <w:szCs w:val="14"/>
        </w:rPr>
      </w:pPr>
    </w:p>
    <w:p>
      <w:pPr>
        <w:pStyle w:val="BodyText"/>
        <w:spacing w:line="408" w:lineRule="auto" w:before="0"/>
        <w:ind w:left="572" w:right="1674"/>
        <w:jc w:val="left"/>
      </w:pPr>
      <w:r>
        <w:rPr>
          <w:spacing w:val="-2"/>
        </w:rPr>
        <w:t>（</w:t>
      </w:r>
      <w:r>
        <w:rPr>
          <w:rFonts w:ascii="宋体" w:hAnsi="宋体" w:cs="宋体" w:eastAsia="宋体" w:hint="default"/>
          <w:spacing w:val="-2"/>
        </w:rPr>
        <w:t>8</w:t>
      </w:r>
      <w:r>
        <w:rPr>
          <w:spacing w:val="-2"/>
        </w:rPr>
        <w:t>）权益工具投资的公允价值发生严重或非暂时性下跌。</w:t>
      </w:r>
      <w:r>
        <w:rPr>
          <w:spacing w:val="-56"/>
        </w:rPr>
        <w:t> </w:t>
      </w:r>
      <w:r>
        <w:rPr>
          <w:spacing w:val="-56"/>
        </w:rPr>
      </w:r>
      <w:r>
        <w:rPr/>
        <w:t>金融资产的具体减值方法如下：</w:t>
      </w:r>
    </w:p>
    <w:p>
      <w:pPr>
        <w:pStyle w:val="BodyText"/>
        <w:spacing w:line="408" w:lineRule="auto"/>
        <w:ind w:left="572" w:right="0"/>
        <w:jc w:val="left"/>
      </w:pPr>
      <w:r>
        <w:rPr/>
        <w:t>（</w:t>
      </w:r>
      <w:r>
        <w:rPr>
          <w:rFonts w:ascii="宋体" w:hAnsi="宋体" w:cs="宋体" w:eastAsia="宋体" w:hint="default"/>
        </w:rPr>
        <w:t>1</w:t>
      </w:r>
      <w:r>
        <w:rPr/>
        <w:t>）可供出售金融资产的减值准备</w:t>
      </w:r>
      <w:r>
        <w:rPr>
          <w:w w:val="100"/>
        </w:rPr>
        <w:t> </w:t>
      </w:r>
      <w:r>
        <w:rPr>
          <w:spacing w:val="-2"/>
        </w:rPr>
        <w:t>本公司于资产负债表日对各项可供出售权益工具投资单独进行检查，若该权益工具投资于资产负债表</w:t>
      </w:r>
    </w:p>
    <w:p>
      <w:pPr>
        <w:pStyle w:val="BodyText"/>
        <w:spacing w:line="408" w:lineRule="auto"/>
        <w:ind w:left="153" w:right="0" w:hanging="1"/>
        <w:jc w:val="left"/>
      </w:pPr>
      <w:r>
        <w:rPr>
          <w:spacing w:val="-2"/>
        </w:rPr>
        <w:t>日的公允价值低于其初始投资成本超过</w:t>
      </w:r>
      <w:r>
        <w:rPr>
          <w:rFonts w:ascii="宋体" w:hAnsi="宋体" w:cs="宋体" w:eastAsia="宋体" w:hint="default"/>
          <w:spacing w:val="-2"/>
        </w:rPr>
        <w:t>50%</w:t>
      </w:r>
      <w:r>
        <w:rPr>
          <w:spacing w:val="-2"/>
        </w:rPr>
        <w:t>（含</w:t>
      </w:r>
      <w:r>
        <w:rPr>
          <w:rFonts w:ascii="宋体" w:hAnsi="宋体" w:cs="宋体" w:eastAsia="宋体" w:hint="default"/>
          <w:spacing w:val="-2"/>
        </w:rPr>
        <w:t>50%</w:t>
      </w:r>
      <w:r>
        <w:rPr>
          <w:spacing w:val="-2"/>
        </w:rPr>
        <w:t>）或低于其初始投资成本持续时间超过一年（含一年）</w:t>
      </w:r>
      <w:r>
        <w:rPr>
          <w:spacing w:val="-16"/>
        </w:rPr>
        <w:t> </w:t>
      </w:r>
      <w:r>
        <w:rPr>
          <w:spacing w:val="-16"/>
        </w:rPr>
      </w:r>
      <w:r>
        <w:rPr/>
        <w:t>的，则表明其发生减值；若该权益工具投资于资产负债表日的公允价值低于其初始投资成本超过</w:t>
      </w:r>
      <w:r>
        <w:rPr>
          <w:rFonts w:ascii="宋体" w:hAnsi="宋体" w:cs="宋体" w:eastAsia="宋体" w:hint="default"/>
        </w:rPr>
        <w:t>20%</w:t>
      </w:r>
      <w:r>
        <w:rPr/>
        <w:t>（含</w:t>
      </w:r>
      <w:r>
        <w:rPr>
          <w:spacing w:val="-3"/>
          <w:w w:val="100"/>
        </w:rPr>
        <w:t> </w:t>
      </w:r>
      <w:r>
        <w:rPr>
          <w:rFonts w:ascii="宋体" w:hAnsi="宋体" w:cs="宋体" w:eastAsia="宋体" w:hint="default"/>
          <w:spacing w:val="-2"/>
        </w:rPr>
        <w:t>20%</w:t>
      </w:r>
      <w:r>
        <w:rPr>
          <w:spacing w:val="-2"/>
        </w:rPr>
        <w:t>）但尚未达到</w:t>
      </w:r>
      <w:r>
        <w:rPr>
          <w:rFonts w:ascii="宋体" w:hAnsi="宋体" w:cs="宋体" w:eastAsia="宋体" w:hint="default"/>
          <w:spacing w:val="-2"/>
        </w:rPr>
        <w:t>50%</w:t>
      </w:r>
      <w:r>
        <w:rPr>
          <w:spacing w:val="-2"/>
        </w:rPr>
        <w:t>的，本公司会综合考虑其他相关因素诸如价格波动率等，判断该权益工具投资是否发</w:t>
      </w:r>
      <w:r>
        <w:rPr>
          <w:spacing w:val="-38"/>
        </w:rPr>
        <w:t> </w:t>
      </w:r>
      <w:r>
        <w:rPr>
          <w:spacing w:val="-38"/>
        </w:rPr>
      </w:r>
      <w:r>
        <w:rPr/>
        <w:t>生减值。</w:t>
      </w:r>
    </w:p>
    <w:p>
      <w:pPr>
        <w:pStyle w:val="BodyText"/>
        <w:spacing w:line="408" w:lineRule="auto"/>
        <w:ind w:left="153" w:right="146" w:firstLine="420"/>
        <w:jc w:val="both"/>
      </w:pPr>
      <w:r>
        <w:rPr>
          <w:spacing w:val="-2"/>
        </w:rPr>
        <w:t>上段所述</w:t>
      </w:r>
      <w:r>
        <w:rPr>
          <w:rFonts w:ascii="宋体" w:hAnsi="宋体" w:cs="宋体" w:eastAsia="宋体" w:hint="default"/>
          <w:spacing w:val="-2"/>
        </w:rPr>
        <w:t>“</w:t>
      </w:r>
      <w:r>
        <w:rPr>
          <w:spacing w:val="-2"/>
        </w:rPr>
        <w:t>成本</w:t>
      </w:r>
      <w:r>
        <w:rPr>
          <w:rFonts w:ascii="宋体" w:hAnsi="宋体" w:cs="宋体" w:eastAsia="宋体" w:hint="default"/>
          <w:spacing w:val="-2"/>
        </w:rPr>
        <w:t>”</w:t>
      </w:r>
      <w:r>
        <w:rPr>
          <w:spacing w:val="-2"/>
        </w:rPr>
        <w:t>按照可供出售权益工具投资的初始取得成本扣除已收回本金和已摊销金额、原已计</w:t>
      </w:r>
      <w:r>
        <w:rPr>
          <w:w w:val="100"/>
        </w:rPr>
        <w:t> </w:t>
      </w:r>
      <w:r>
        <w:rPr/>
        <w:t>入损益的减值损失确定。</w:t>
      </w:r>
    </w:p>
    <w:p>
      <w:pPr>
        <w:pStyle w:val="BodyText"/>
        <w:spacing w:line="408" w:lineRule="auto"/>
        <w:ind w:right="146" w:firstLine="420"/>
        <w:jc w:val="both"/>
      </w:pPr>
      <w:r>
        <w:rPr>
          <w:spacing w:val="-2"/>
        </w:rPr>
        <w:t>可供出售金融资产发生减值时，即使该金融资产没有终止确认，本公司将原直接计入其他综合收益的</w:t>
      </w:r>
      <w:r>
        <w:rPr>
          <w:w w:val="100"/>
        </w:rPr>
        <w:t> </w:t>
      </w:r>
      <w:r>
        <w:rPr>
          <w:spacing w:val="-2"/>
        </w:rPr>
        <w:t>因公允价值下降形成的累计损失从其他综合收益转出，计入当期损益。该转出的累计损失，等于可供出售</w:t>
      </w:r>
      <w:r>
        <w:rPr>
          <w:spacing w:val="-44"/>
        </w:rPr>
        <w:t> </w:t>
      </w:r>
      <w:r>
        <w:rPr>
          <w:spacing w:val="-44"/>
        </w:rPr>
      </w:r>
      <w:r>
        <w:rPr>
          <w:spacing w:val="-2"/>
        </w:rPr>
        <w:t>金融资产的初始取得成本扣除已收回本金和已摊余金额、当前公允价值和原已计入损益的减值损失后的余</w:t>
      </w:r>
      <w:r>
        <w:rPr>
          <w:spacing w:val="-43"/>
        </w:rPr>
        <w:t> </w:t>
      </w:r>
      <w:r>
        <w:rPr>
          <w:spacing w:val="-43"/>
        </w:rPr>
      </w:r>
      <w:r>
        <w:rPr/>
        <w:t>额。</w:t>
      </w:r>
    </w:p>
    <w:p>
      <w:pPr>
        <w:pStyle w:val="BodyText"/>
        <w:spacing w:line="408" w:lineRule="auto"/>
        <w:ind w:right="146" w:firstLine="420"/>
        <w:jc w:val="both"/>
      </w:pPr>
      <w:r>
        <w:rPr>
          <w:spacing w:val="-2"/>
        </w:rPr>
        <w:t>对于已确认减值损失的可供出售债务工具，在随后的会计期间公允价值已上升且客观上与确认原减值</w:t>
      </w:r>
      <w:r>
        <w:rPr>
          <w:w w:val="100"/>
        </w:rPr>
        <w:t> </w:t>
      </w:r>
      <w:r>
        <w:rPr>
          <w:spacing w:val="-2"/>
        </w:rPr>
        <w:t>损失后发生的事项有关的，原确认的减值损失予以转回计入当期损益；对于可供出售权益工具投资发生的</w:t>
      </w:r>
      <w:r>
        <w:rPr>
          <w:spacing w:val="-43"/>
        </w:rPr>
        <w:t> </w:t>
      </w:r>
      <w:r>
        <w:rPr>
          <w:spacing w:val="-43"/>
        </w:rPr>
      </w:r>
      <w:r>
        <w:rPr>
          <w:spacing w:val="-2"/>
        </w:rPr>
        <w:t>减值损失，在该权益工具价值回升时通过权益转回；但在活跃市场中没有报价且其公允价值不能可靠计量</w:t>
      </w:r>
      <w:r>
        <w:rPr>
          <w:spacing w:val="-43"/>
        </w:rPr>
        <w:t> </w:t>
      </w:r>
      <w:r>
        <w:rPr>
          <w:spacing w:val="-43"/>
        </w:rPr>
      </w:r>
      <w:r>
        <w:rPr>
          <w:spacing w:val="-2"/>
        </w:rPr>
        <w:t>的权益工具投资，或与该权益工具挂钩并须通过交付该权益工具结算的衍生金融资产发生的减值损失，不</w:t>
      </w:r>
      <w:r>
        <w:rPr>
          <w:spacing w:val="-44"/>
        </w:rPr>
        <w:t> </w:t>
      </w:r>
      <w:r>
        <w:rPr>
          <w:spacing w:val="-44"/>
        </w:rPr>
      </w:r>
      <w:r>
        <w:rPr/>
        <w:t>得转回。</w:t>
      </w:r>
    </w:p>
    <w:p>
      <w:pPr>
        <w:pStyle w:val="BodyText"/>
        <w:spacing w:line="408" w:lineRule="auto"/>
        <w:ind w:left="572" w:right="0"/>
        <w:jc w:val="left"/>
      </w:pPr>
      <w:r>
        <w:rPr/>
        <w:t>（</w:t>
      </w:r>
      <w:r>
        <w:rPr>
          <w:rFonts w:ascii="宋体" w:hAnsi="宋体" w:cs="宋体" w:eastAsia="宋体" w:hint="default"/>
        </w:rPr>
        <w:t>2</w:t>
      </w:r>
      <w:r>
        <w:rPr/>
        <w:t>）持有至到期投资的减值准备</w:t>
      </w:r>
      <w:r>
        <w:rPr>
          <w:spacing w:val="-3"/>
          <w:w w:val="100"/>
        </w:rPr>
        <w:t> </w:t>
      </w:r>
      <w:r>
        <w:rPr>
          <w:spacing w:val="-2"/>
        </w:rPr>
        <w:t>对于持有至到期投资，有客观证据表明其发生了减值的，根据其账面价值与预计未来现金流量现值之</w:t>
      </w:r>
    </w:p>
    <w:p>
      <w:pPr>
        <w:pStyle w:val="BodyText"/>
        <w:spacing w:line="408" w:lineRule="auto"/>
        <w:ind w:right="0"/>
        <w:jc w:val="left"/>
      </w:pPr>
      <w:r>
        <w:rPr>
          <w:spacing w:val="-2"/>
        </w:rPr>
        <w:t>间差额计算确认减值损失；计提后如有证据表明其价值已恢复，原确认的减值损失可予以转回，记入当期</w:t>
      </w:r>
      <w:r>
        <w:rPr>
          <w:spacing w:val="-43"/>
        </w:rPr>
        <w:t> </w:t>
      </w:r>
      <w:r>
        <w:rPr>
          <w:spacing w:val="-43"/>
        </w:rPr>
      </w:r>
      <w:r>
        <w:rPr/>
        <w:t>损益，但该转回的账面价值不超过假定不计提减值准备情况下该金融资产在转回日的摊余成本。</w:t>
      </w:r>
    </w:p>
    <w:p>
      <w:pPr>
        <w:spacing w:line="408" w:lineRule="auto" w:before="45"/>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金融资产和金融负债在资产负债表内分别列示，没有相互抵销。但是，同时满足下列条件的，以相互</w:t>
      </w:r>
    </w:p>
    <w:p>
      <w:pPr>
        <w:pStyle w:val="BodyText"/>
        <w:spacing w:line="240" w:lineRule="auto"/>
        <w:ind w:right="0"/>
        <w:jc w:val="left"/>
      </w:pPr>
      <w:r>
        <w:rPr/>
        <w:t>抵销后的净额在资产负债表内列示：</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1</w:t>
      </w:r>
      <w:r>
        <w:rPr/>
        <w:t>）本公司具有抵销已确认金额的法定权利，且该种法定权利是当前可执行的；</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2</w:t>
      </w:r>
      <w:r>
        <w:rPr/>
        <w:t>）本公司计划以净额结算，或同时变现该金融资产和清偿该金融负债。</w:t>
      </w:r>
    </w:p>
    <w:p>
      <w:pPr>
        <w:spacing w:after="0" w:line="240"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spacing w:line="408" w:lineRule="auto" w:before="36"/>
        <w:ind w:left="572" w:right="3654" w:firstLine="60"/>
        <w:jc w:val="left"/>
        <w:rPr>
          <w:rFonts w:ascii="宋体" w:hAnsi="宋体" w:cs="宋体" w:eastAsia="宋体" w:hint="default"/>
          <w:sz w:val="21"/>
          <w:szCs w:val="21"/>
        </w:rPr>
      </w:pPr>
      <w:r>
        <w:rPr>
          <w:rFonts w:ascii="宋体" w:hAnsi="宋体" w:cs="宋体" w:eastAsia="宋体" w:hint="default"/>
          <w:b/>
          <w:bCs/>
          <w:sz w:val="21"/>
          <w:szCs w:val="21"/>
        </w:rPr>
        <w:t>（十）应收款项</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、单项金额重大并单项计提坏账准备的应收款项</w:t>
      </w:r>
      <w:r>
        <w:rPr>
          <w:rFonts w:ascii="宋体" w:hAnsi="宋体" w:cs="宋体" w:eastAsia="宋体" w:hint="default"/>
          <w:b/>
          <w:bCs/>
          <w:w w:val="100"/>
          <w:sz w:val="21"/>
          <w:szCs w:val="21"/>
        </w:rPr>
        <w:t> </w:t>
      </w:r>
      <w:r>
        <w:rPr>
          <w:rFonts w:ascii="宋体" w:hAnsi="宋体" w:cs="宋体" w:eastAsia="宋体" w:hint="default"/>
          <w:spacing w:val="-2"/>
          <w:sz w:val="21"/>
          <w:szCs w:val="21"/>
        </w:rPr>
        <w:t>单项金额重大并单项计提坏账准备的应收款项的确认标准：</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应收账款：单项金额在</w:t>
      </w:r>
      <w:r>
        <w:rPr>
          <w:rFonts w:ascii="宋体" w:hAnsi="宋体" w:cs="宋体" w:eastAsia="宋体" w:hint="default"/>
          <w:sz w:val="21"/>
          <w:szCs w:val="21"/>
        </w:rPr>
        <w:t>50</w:t>
      </w:r>
      <w:r>
        <w:rPr>
          <w:rFonts w:ascii="宋体" w:hAnsi="宋体" w:cs="宋体" w:eastAsia="宋体" w:hint="default"/>
          <w:sz w:val="21"/>
          <w:szCs w:val="21"/>
        </w:rPr>
        <w:t>万元以上（含</w:t>
      </w:r>
      <w:r>
        <w:rPr>
          <w:rFonts w:ascii="宋体" w:hAnsi="宋体" w:cs="宋体" w:eastAsia="宋体" w:hint="default"/>
          <w:sz w:val="21"/>
          <w:szCs w:val="21"/>
        </w:rPr>
        <w:t>50</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其他应收款：单项金额在</w:t>
      </w:r>
      <w:r>
        <w:rPr>
          <w:rFonts w:ascii="宋体" w:hAnsi="宋体" w:cs="宋体" w:eastAsia="宋体" w:hint="default"/>
          <w:sz w:val="21"/>
          <w:szCs w:val="21"/>
        </w:rPr>
        <w:t>50</w:t>
      </w:r>
      <w:r>
        <w:rPr>
          <w:rFonts w:ascii="宋体" w:hAnsi="宋体" w:cs="宋体" w:eastAsia="宋体" w:hint="default"/>
          <w:sz w:val="21"/>
          <w:szCs w:val="21"/>
        </w:rPr>
        <w:t>万元以上（含</w:t>
      </w:r>
      <w:r>
        <w:rPr>
          <w:rFonts w:ascii="宋体" w:hAnsi="宋体" w:cs="宋体" w:eastAsia="宋体" w:hint="default"/>
          <w:sz w:val="21"/>
          <w:szCs w:val="21"/>
        </w:rPr>
        <w:t>50</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单项金额重大的应收款项坏账准备的计提方法：</w:t>
      </w:r>
    </w:p>
    <w:p>
      <w:pPr>
        <w:pStyle w:val="BodyText"/>
        <w:spacing w:line="408" w:lineRule="auto"/>
        <w:ind w:right="0" w:firstLine="420"/>
        <w:jc w:val="left"/>
      </w:pPr>
      <w:r>
        <w:rPr>
          <w:spacing w:val="-2"/>
        </w:rPr>
        <w:t>单独进行减值测试，按预计未来现金流量现值低于其账面价值的差额计提坏账准备，计入当期损益。</w:t>
      </w:r>
      <w:r>
        <w:rPr>
          <w:w w:val="100"/>
        </w:rPr>
        <w:t> </w:t>
      </w:r>
      <w:r>
        <w:rPr/>
        <w:t>单独测试未发生减值的应收款项，将其归入相应组合计提坏账准备。</w:t>
      </w:r>
    </w:p>
    <w:p>
      <w:pPr>
        <w:pStyle w:val="Heading3"/>
        <w:spacing w:line="240" w:lineRule="auto" w:before="46"/>
        <w:ind w:left="575" w:right="0"/>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2" w:right="0"/>
        <w:jc w:val="left"/>
      </w:pPr>
      <w:r>
        <w:rPr>
          <w:spacing w:val="-2"/>
        </w:rPr>
        <w:t>（</w:t>
      </w:r>
      <w:r>
        <w:rPr>
          <w:rFonts w:ascii="宋体" w:hAnsi="宋体" w:cs="宋体" w:eastAsia="宋体" w:hint="default"/>
          <w:spacing w:val="-2"/>
        </w:rPr>
        <w:t>1</w:t>
      </w:r>
      <w:r>
        <w:rPr>
          <w:spacing w:val="-2"/>
        </w:rPr>
        <w:t>）信用风险特征组合的确定依据及坏账准备的计提方法：</w:t>
      </w:r>
      <w:r>
        <w:rPr>
          <w:spacing w:val="-58"/>
        </w:rPr>
        <w:t> </w:t>
      </w:r>
      <w:r>
        <w:rPr>
          <w:spacing w:val="-58"/>
        </w:rPr>
      </w:r>
      <w:r>
        <w:rPr/>
        <w:t>确认组合的依据：以账龄特征划分为若干应收款项组合。</w:t>
      </w:r>
      <w:r>
        <w:rPr>
          <w:w w:val="100"/>
        </w:rPr>
        <w:t> </w:t>
      </w:r>
      <w:r>
        <w:rPr/>
        <w:t>按组合计提坏账准备的计提方法：账龄分析法。</w:t>
      </w:r>
    </w:p>
    <w:p>
      <w:pPr>
        <w:pStyle w:val="BodyText"/>
        <w:spacing w:line="240" w:lineRule="auto"/>
        <w:ind w:left="572" w:right="0"/>
        <w:jc w:val="left"/>
      </w:pPr>
      <w:r>
        <w:rPr/>
        <w:t>（</w:t>
      </w:r>
      <w:r>
        <w:rPr>
          <w:rFonts w:ascii="宋体" w:hAnsi="宋体" w:cs="宋体" w:eastAsia="宋体" w:hint="default"/>
        </w:rPr>
        <w:t>2</w:t>
      </w:r>
      <w:r>
        <w:rPr/>
        <w:t>）组合中，采用账龄分析法计提坏账准备的：</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4111"/>
        <w:gridCol w:w="4106"/>
      </w:tblGrid>
      <w:tr>
        <w:trPr>
          <w:trHeight w:val="353" w:hRule="exact"/>
        </w:trPr>
        <w:tc>
          <w:tcPr>
            <w:tcW w:w="41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应收款项账龄</w:t>
            </w:r>
          </w:p>
        </w:tc>
        <w:tc>
          <w:tcPr>
            <w:tcW w:w="41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提取比例</w:t>
            </w:r>
          </w:p>
        </w:tc>
      </w:tr>
      <w:tr>
        <w:trPr>
          <w:trHeight w:val="353"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1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w:t>
            </w:r>
          </w:p>
        </w:tc>
      </w:tr>
      <w:tr>
        <w:trPr>
          <w:trHeight w:val="353"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1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10%</w:t>
            </w:r>
          </w:p>
        </w:tc>
      </w:tr>
      <w:tr>
        <w:trPr>
          <w:trHeight w:val="350"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1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30%</w:t>
            </w:r>
          </w:p>
        </w:tc>
      </w:tr>
      <w:tr>
        <w:trPr>
          <w:trHeight w:val="355"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1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4"/>
        <w:rPr>
          <w:rFonts w:ascii="宋体" w:hAnsi="宋体" w:cs="宋体" w:eastAsia="宋体" w:hint="default"/>
          <w:sz w:val="11"/>
          <w:szCs w:val="11"/>
        </w:rPr>
      </w:pPr>
    </w:p>
    <w:p>
      <w:pPr>
        <w:spacing w:line="408" w:lineRule="auto" w:before="3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、单项金额虽不重大但单项计提坏账准备的应收款项</w:t>
      </w:r>
      <w:r>
        <w:rPr>
          <w:rFonts w:ascii="宋体" w:hAnsi="宋体" w:cs="宋体" w:eastAsia="宋体" w:hint="default"/>
          <w:b/>
          <w:bCs/>
          <w:w w:val="100"/>
          <w:sz w:val="21"/>
          <w:szCs w:val="21"/>
        </w:rPr>
        <w:t> </w:t>
      </w:r>
      <w:r>
        <w:rPr>
          <w:rFonts w:ascii="宋体" w:hAnsi="宋体" w:cs="宋体" w:eastAsia="宋体" w:hint="default"/>
          <w:spacing w:val="-3"/>
          <w:sz w:val="21"/>
          <w:szCs w:val="21"/>
        </w:rPr>
        <w:t>单项计提坏账准备的理由：有客观证据表明可能发生了减值，如债务人出现撤销、破产或死亡，以其</w:t>
      </w:r>
      <w:r>
        <w:rPr>
          <w:rFonts w:ascii="宋体" w:hAnsi="宋体" w:cs="宋体" w:eastAsia="宋体" w:hint="default"/>
          <w:sz w:val="21"/>
          <w:szCs w:val="21"/>
        </w:rPr>
      </w:r>
    </w:p>
    <w:p>
      <w:pPr>
        <w:pStyle w:val="BodyText"/>
        <w:spacing w:line="408" w:lineRule="auto"/>
        <w:ind w:left="572" w:right="0" w:hanging="421"/>
        <w:jc w:val="left"/>
      </w:pPr>
      <w:r>
        <w:rPr/>
        <w:t>破产财产或遗产清偿后，仍不能收回、现金流量严重不足等情况的。</w:t>
      </w:r>
      <w:r>
        <w:rPr>
          <w:w w:val="100"/>
        </w:rPr>
        <w:t> </w:t>
      </w:r>
      <w:r>
        <w:rPr>
          <w:spacing w:val="-2"/>
        </w:rPr>
        <w:t>坏账准备的计提方法：对有客观证据表明可能发生了减值的应收款项，将其从相关组合中分离出来，</w:t>
      </w:r>
    </w:p>
    <w:p>
      <w:pPr>
        <w:pStyle w:val="BodyText"/>
        <w:spacing w:line="240" w:lineRule="auto"/>
        <w:ind w:right="0"/>
        <w:jc w:val="left"/>
      </w:pPr>
      <w:r>
        <w:rPr/>
        <w:t>单独进行减值测试，确认减值损失。</w:t>
      </w:r>
    </w:p>
    <w:p>
      <w:pPr>
        <w:spacing w:line="240" w:lineRule="auto" w:before="12"/>
        <w:rPr>
          <w:rFonts w:ascii="宋体" w:hAnsi="宋体" w:cs="宋体" w:eastAsia="宋体" w:hint="default"/>
          <w:sz w:val="23"/>
          <w:szCs w:val="23"/>
        </w:rPr>
      </w:pPr>
    </w:p>
    <w:p>
      <w:pPr>
        <w:pStyle w:val="Heading3"/>
        <w:spacing w:line="240" w:lineRule="auto"/>
        <w:ind w:left="632" w:right="0"/>
        <w:jc w:val="left"/>
        <w:rPr>
          <w:b w:val="0"/>
          <w:bCs w:val="0"/>
        </w:rPr>
      </w:pPr>
      <w:r>
        <w:rPr/>
        <w:t>（十一）存货</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2" w:right="0" w:hanging="42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存货的分类</w:t>
      </w:r>
      <w:r>
        <w:rPr>
          <w:rFonts w:ascii="宋体" w:hAnsi="宋体" w:cs="宋体" w:eastAsia="宋体" w:hint="default"/>
          <w:b/>
          <w:bCs/>
          <w:w w:val="100"/>
        </w:rPr>
        <w:t> </w:t>
      </w:r>
      <w:r>
        <w:rPr>
          <w:spacing w:val="2"/>
        </w:rPr>
        <w:t>存货是指本公司在日常活动中持有以备出售的商品、已发送至客户但不符合收入确认条件的发出商</w:t>
      </w:r>
    </w:p>
    <w:p>
      <w:pPr>
        <w:pStyle w:val="BodyText"/>
        <w:spacing w:line="240" w:lineRule="auto"/>
        <w:ind w:right="0"/>
        <w:jc w:val="left"/>
      </w:pPr>
      <w:r>
        <w:rPr/>
        <w:t>品、在生产过程或提供劳务过程中耗用的材料和物料等。主要包括原材料、库存商品等。</w:t>
      </w:r>
    </w:p>
    <w:p>
      <w:pPr>
        <w:spacing w:line="240" w:lineRule="auto" w:before="10"/>
        <w:rPr>
          <w:rFonts w:ascii="宋体" w:hAnsi="宋体" w:cs="宋体" w:eastAsia="宋体" w:hint="default"/>
          <w:sz w:val="14"/>
          <w:szCs w:val="14"/>
        </w:rPr>
      </w:pPr>
    </w:p>
    <w:p>
      <w:pPr>
        <w:pStyle w:val="BodyText"/>
        <w:spacing w:line="408" w:lineRule="auto" w:before="0"/>
        <w:ind w:left="572" w:right="0" w:firstLine="2"/>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存货的计价方法</w:t>
      </w:r>
      <w:r>
        <w:rPr>
          <w:rFonts w:ascii="宋体" w:hAnsi="宋体" w:cs="宋体" w:eastAsia="宋体" w:hint="default"/>
          <w:b/>
          <w:bCs/>
          <w:w w:val="100"/>
        </w:rPr>
        <w:t> </w:t>
      </w:r>
      <w:r>
        <w:rPr>
          <w:spacing w:val="-3"/>
        </w:rPr>
        <w:t>存货在取得时，按成本进行初始计量，包括采购成本、加工成本和其他成本。存货发出时按移动加权</w:t>
      </w:r>
    </w:p>
    <w:p>
      <w:pPr>
        <w:pStyle w:val="BodyText"/>
        <w:spacing w:line="240" w:lineRule="auto"/>
        <w:ind w:right="0"/>
        <w:jc w:val="left"/>
      </w:pPr>
      <w:r>
        <w:rPr/>
        <w:t>平均法计价。</w:t>
      </w:r>
    </w:p>
    <w:p>
      <w:pPr>
        <w:spacing w:after="0" w:line="240"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spacing w:line="408" w:lineRule="auto" w:before="3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期末对存货进行全面清查后，按存货的成本与可变现净值孰低提取或调整存货跌价准备。库存商品和</w:t>
      </w:r>
    </w:p>
    <w:p>
      <w:pPr>
        <w:pStyle w:val="BodyText"/>
        <w:spacing w:line="408" w:lineRule="auto"/>
        <w:ind w:right="147"/>
        <w:jc w:val="both"/>
      </w:pPr>
      <w:r>
        <w:rPr>
          <w:spacing w:val="-2"/>
        </w:rPr>
        <w:t>用于出售的材料等直接用于出售的商品存货，在正常生产经营过程中，以该存货的估计售价减去估计的销</w:t>
      </w:r>
      <w:r>
        <w:rPr>
          <w:spacing w:val="-42"/>
        </w:rPr>
        <w:t> </w:t>
      </w:r>
      <w:r>
        <w:rPr>
          <w:spacing w:val="-42"/>
        </w:rPr>
      </w:r>
      <w:r>
        <w:rPr>
          <w:spacing w:val="-2"/>
        </w:rPr>
        <w:t>售费用和相关税费后的金额，确定其可变现净值；需要经过加工的材料存货，在正常生产经营过程中，以</w:t>
      </w:r>
      <w:r>
        <w:rPr>
          <w:spacing w:val="-44"/>
        </w:rPr>
        <w:t> </w:t>
      </w:r>
      <w:r>
        <w:rPr>
          <w:spacing w:val="-44"/>
        </w:rPr>
      </w:r>
      <w:r>
        <w:rPr>
          <w:spacing w:val="-2"/>
        </w:rPr>
        <w:t>所生产的产成品的估计售价减去至完工时估计将要发生的成本、估计的销售费用和相关税费后的金额，确</w:t>
      </w:r>
      <w:r>
        <w:rPr>
          <w:spacing w:val="-44"/>
        </w:rPr>
        <w:t> </w:t>
      </w:r>
      <w:r>
        <w:rPr>
          <w:spacing w:val="-44"/>
        </w:rPr>
      </w:r>
      <w:r>
        <w:rPr>
          <w:spacing w:val="-2"/>
        </w:rPr>
        <w:t>定其可变现净值；为执行销售合同或者劳务合同而持有的存货，其可变现净值以合同价格为基础计算，若</w:t>
      </w:r>
      <w:r>
        <w:rPr>
          <w:spacing w:val="-43"/>
        </w:rPr>
        <w:t> </w:t>
      </w:r>
      <w:r>
        <w:rPr>
          <w:spacing w:val="-43"/>
        </w:rPr>
      </w:r>
      <w:r>
        <w:rPr/>
        <w:t>持有存货的数量多于销售合同订购数量的，超出部分的存货的可变现净值以一般销售价格为基础计算。</w:t>
      </w:r>
    </w:p>
    <w:p>
      <w:pPr>
        <w:pStyle w:val="BodyText"/>
        <w:spacing w:line="408" w:lineRule="auto"/>
        <w:ind w:right="147" w:firstLine="420"/>
        <w:jc w:val="both"/>
      </w:pPr>
      <w:r>
        <w:rPr>
          <w:spacing w:val="-3"/>
        </w:rPr>
        <w:t>期末按照单个存货项目计提存货跌价准备；但对于数量繁多、单价较低的存货，按照存货类别计提存</w:t>
      </w:r>
      <w:r>
        <w:rPr>
          <w:spacing w:val="-3"/>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408" w:lineRule="auto"/>
        <w:ind w:right="0" w:firstLine="420"/>
        <w:jc w:val="left"/>
      </w:pPr>
      <w:r>
        <w:rPr>
          <w:spacing w:val="-2"/>
        </w:rPr>
        <w:t>以前减记存货价值的影响因素已经消失的，减记的金额予以恢复，并在原已计提的存货跌价准备金额</w:t>
      </w:r>
      <w:r>
        <w:rPr>
          <w:w w:val="100"/>
        </w:rPr>
        <w:t> </w:t>
      </w:r>
      <w:r>
        <w:rPr/>
        <w:t>内转回，转回的金额计入当期损益。</w:t>
      </w:r>
    </w:p>
    <w:p>
      <w:pPr>
        <w:spacing w:line="408" w:lineRule="auto" w:before="46"/>
        <w:ind w:left="572" w:right="6174"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存货采用永续盘存制。</w:t>
      </w:r>
    </w:p>
    <w:p>
      <w:pPr>
        <w:pStyle w:val="Heading3"/>
        <w:spacing w:line="240" w:lineRule="auto" w:before="166"/>
        <w:ind w:left="632" w:right="0"/>
        <w:jc w:val="left"/>
        <w:rPr>
          <w:b w:val="0"/>
          <w:bCs w:val="0"/>
        </w:rPr>
      </w:pPr>
      <w:r>
        <w:rPr/>
        <w:t>（十二）长期股权投资</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575" w:right="0"/>
        <w:jc w:val="left"/>
        <w:rPr>
          <w:b w:val="0"/>
          <w:bCs w:val="0"/>
        </w:rPr>
      </w:pPr>
      <w:r>
        <w:rPr>
          <w:rFonts w:ascii="宋体" w:hAnsi="宋体" w:cs="宋体" w:eastAsia="宋体" w:hint="default"/>
        </w:rPr>
        <w:t>1</w:t>
      </w:r>
      <w:r>
        <w:rPr/>
        <w:t>、投资成本的确定</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0" w:firstLine="420"/>
        <w:jc w:val="left"/>
      </w:pPr>
      <w:r>
        <w:rPr>
          <w:spacing w:val="-2"/>
        </w:rPr>
        <w:t>（</w:t>
      </w:r>
      <w:r>
        <w:rPr>
          <w:rFonts w:ascii="宋体" w:hAnsi="宋体" w:cs="宋体" w:eastAsia="宋体" w:hint="default"/>
          <w:spacing w:val="-2"/>
        </w:rPr>
        <w:t>1</w:t>
      </w:r>
      <w:r>
        <w:rPr>
          <w:spacing w:val="-2"/>
        </w:rPr>
        <w:t>）企业合并形成的长期股权投资，具体会计政策详见本附注四、（五）同一控制下和非同一控制</w:t>
      </w:r>
      <w:r>
        <w:rPr>
          <w:w w:val="100"/>
        </w:rPr>
        <w:t> </w:t>
      </w:r>
      <w:r>
        <w:rPr/>
        <w:t>下企业合并的会计处理方法</w:t>
      </w:r>
    </w:p>
    <w:p>
      <w:pPr>
        <w:pStyle w:val="BodyText"/>
        <w:spacing w:line="408" w:lineRule="auto"/>
        <w:ind w:left="572" w:right="0"/>
        <w:jc w:val="left"/>
      </w:pPr>
      <w:r>
        <w:rPr/>
        <w:t>（</w:t>
      </w:r>
      <w:r>
        <w:rPr>
          <w:rFonts w:ascii="宋体" w:hAnsi="宋体" w:cs="宋体" w:eastAsia="宋体" w:hint="default"/>
        </w:rPr>
        <w:t>2</w:t>
      </w:r>
      <w:r>
        <w:rPr/>
        <w:t>）其他方式取得的长期股权投资</w:t>
      </w:r>
      <w:r>
        <w:rPr>
          <w:w w:val="100"/>
        </w:rPr>
        <w:t> </w:t>
      </w:r>
      <w:r>
        <w:rPr>
          <w:spacing w:val="-2"/>
        </w:rPr>
        <w:t>以支付现金方式取得的长期股权投资，按照实际支付的购买价款作为初始投资成本。初始投资成本包</w:t>
      </w:r>
    </w:p>
    <w:p>
      <w:pPr>
        <w:pStyle w:val="BodyText"/>
        <w:spacing w:line="408" w:lineRule="auto"/>
        <w:ind w:left="572" w:right="0" w:hanging="420"/>
        <w:jc w:val="left"/>
      </w:pPr>
      <w:r>
        <w:rPr/>
        <w:t>括与取得长期股权投资直接相关的费用、税金及其他必要支出。</w:t>
      </w:r>
      <w:r>
        <w:rPr>
          <w:w w:val="100"/>
        </w:rPr>
        <w:t> </w:t>
      </w:r>
      <w:r>
        <w:rPr>
          <w:spacing w:val="-2"/>
        </w:rPr>
        <w:t>以发行权益性证券取得的长期股权投资，按照发行权益性证券的公允价值作为初始投资成本；发行或</w:t>
      </w:r>
    </w:p>
    <w:p>
      <w:pPr>
        <w:pStyle w:val="BodyText"/>
        <w:spacing w:line="408" w:lineRule="auto"/>
        <w:ind w:left="572" w:right="0" w:hanging="420"/>
        <w:jc w:val="left"/>
      </w:pPr>
      <w:r>
        <w:rPr/>
        <w:t>取得自身权益工具时发生的交易费用，可直接归属于权益性交易的从权益中扣减。</w:t>
      </w:r>
      <w:r>
        <w:rPr>
          <w:w w:val="100"/>
        </w:rPr>
        <w:t> </w:t>
      </w:r>
      <w:r>
        <w:rPr>
          <w:spacing w:val="-2"/>
        </w:rPr>
        <w:t>在非货币性资产交换具备商业实质和换入资产或换出资产的公允价值能够可靠计量的前提下，非货币</w:t>
      </w:r>
    </w:p>
    <w:p>
      <w:pPr>
        <w:pStyle w:val="BodyText"/>
        <w:spacing w:line="408" w:lineRule="auto"/>
        <w:ind w:right="147"/>
        <w:jc w:val="both"/>
      </w:pPr>
      <w:r>
        <w:rPr>
          <w:spacing w:val="-2"/>
        </w:rPr>
        <w:t>性资产交换换入的长期股权投资以换出资产的公允价值为基础确定其初始投资成本，除非有确凿证据表明</w:t>
      </w:r>
      <w:r>
        <w:rPr>
          <w:spacing w:val="-43"/>
        </w:rPr>
        <w:t> </w:t>
      </w:r>
      <w:r>
        <w:rPr>
          <w:spacing w:val="-43"/>
        </w:rPr>
      </w:r>
      <w:r>
        <w:rPr>
          <w:spacing w:val="-2"/>
        </w:rPr>
        <w:t>换入资产的公允价值更加可靠；不满足上述前提的非货币性资产交换，以换出资产的账面价值和应支付的</w:t>
      </w:r>
      <w:r>
        <w:rPr>
          <w:spacing w:val="-42"/>
        </w:rPr>
        <w:t> </w:t>
      </w:r>
      <w:r>
        <w:rPr>
          <w:spacing w:val="-42"/>
        </w:rPr>
      </w:r>
      <w:r>
        <w:rPr/>
        <w:t>相关税费作为换入长期股权投资的初始投资成本。</w:t>
      </w:r>
    </w:p>
    <w:p>
      <w:pPr>
        <w:pStyle w:val="BodyText"/>
        <w:spacing w:line="240" w:lineRule="auto"/>
        <w:ind w:left="572"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Heading3"/>
        <w:spacing w:line="240" w:lineRule="auto"/>
        <w:ind w:left="575" w:right="0"/>
        <w:jc w:val="left"/>
        <w:rPr>
          <w:b w:val="0"/>
          <w:bCs w:val="0"/>
        </w:rPr>
      </w:pPr>
      <w:r>
        <w:rPr>
          <w:rFonts w:ascii="宋体" w:hAnsi="宋体" w:cs="宋体" w:eastAsia="宋体" w:hint="default"/>
        </w:rPr>
        <w:t>2</w:t>
      </w:r>
      <w:r>
        <w:rPr/>
        <w:t>、后续计量及损益确认</w:t>
      </w:r>
      <w:r>
        <w:rPr>
          <w:b w:val="0"/>
          <w:bCs w:val="0"/>
        </w:rPr>
      </w:r>
    </w:p>
    <w:p>
      <w:pPr>
        <w:spacing w:after="0" w:line="240" w:lineRule="auto"/>
        <w:jc w:val="left"/>
        <w:sectPr>
          <w:pgSz w:w="11910" w:h="16840"/>
          <w:pgMar w:header="990" w:footer="1066" w:top="1220" w:bottom="1260" w:left="980" w:right="980"/>
        </w:sectPr>
      </w:pPr>
    </w:p>
    <w:p>
      <w:pPr>
        <w:spacing w:line="240" w:lineRule="auto" w:before="4"/>
        <w:rPr>
          <w:rFonts w:ascii="宋体" w:hAnsi="宋体" w:cs="宋体" w:eastAsia="宋体" w:hint="default"/>
          <w:b/>
          <w:bCs/>
          <w:sz w:val="16"/>
          <w:szCs w:val="16"/>
        </w:rPr>
      </w:pPr>
    </w:p>
    <w:p>
      <w:pPr>
        <w:pStyle w:val="BodyText"/>
        <w:spacing w:line="408" w:lineRule="auto" w:before="36"/>
        <w:ind w:left="572" w:right="0"/>
        <w:jc w:val="left"/>
      </w:pPr>
      <w:r>
        <w:rPr/>
        <w:t>（</w:t>
      </w:r>
      <w:r>
        <w:rPr>
          <w:rFonts w:ascii="宋体" w:hAnsi="宋体" w:cs="宋体" w:eastAsia="宋体" w:hint="default"/>
        </w:rPr>
        <w:t>1</w:t>
      </w:r>
      <w:r>
        <w:rPr/>
        <w:t>）成本法</w:t>
      </w:r>
      <w:r>
        <w:rPr>
          <w:w w:val="100"/>
        </w:rPr>
        <w:t> </w:t>
      </w:r>
      <w:r>
        <w:rPr>
          <w:spacing w:val="-2"/>
        </w:rPr>
        <w:t>本公司能够对被投资单位实施控制的长期股权投资采用成本法核算，并按照初始投资成本计价，追加</w:t>
      </w:r>
    </w:p>
    <w:p>
      <w:pPr>
        <w:pStyle w:val="BodyText"/>
        <w:spacing w:line="408" w:lineRule="auto"/>
        <w:ind w:left="572" w:right="0" w:hanging="421"/>
        <w:jc w:val="left"/>
      </w:pPr>
      <w:r>
        <w:rPr/>
        <w:t>或收回投资调整长期股权投资的成本。</w:t>
      </w:r>
      <w:r>
        <w:rPr>
          <w:w w:val="100"/>
        </w:rPr>
        <w:t> </w:t>
      </w:r>
      <w:r>
        <w:rPr>
          <w:spacing w:val="-2"/>
        </w:rPr>
        <w:t>除取得投资时实际支付的价款或对价中包含的已宣告但尚未发放的现金股利或利润外，本公司按照享</w:t>
      </w:r>
    </w:p>
    <w:p>
      <w:pPr>
        <w:pStyle w:val="BodyText"/>
        <w:spacing w:line="240" w:lineRule="auto"/>
        <w:ind w:right="0"/>
        <w:jc w:val="left"/>
      </w:pPr>
      <w:r>
        <w:rPr/>
        <w:t>有被投资单位宣告分派的现金股利或利润确认为当期投资收益。</w:t>
      </w:r>
    </w:p>
    <w:p>
      <w:pPr>
        <w:spacing w:line="240" w:lineRule="auto" w:before="10"/>
        <w:rPr>
          <w:rFonts w:ascii="宋体" w:hAnsi="宋体" w:cs="宋体" w:eastAsia="宋体" w:hint="default"/>
          <w:sz w:val="14"/>
          <w:szCs w:val="14"/>
        </w:rPr>
      </w:pPr>
    </w:p>
    <w:p>
      <w:pPr>
        <w:pStyle w:val="BodyText"/>
        <w:spacing w:line="408" w:lineRule="auto" w:before="0"/>
        <w:ind w:left="572" w:right="0"/>
        <w:jc w:val="left"/>
      </w:pPr>
      <w:r>
        <w:rPr/>
        <w:t>（</w:t>
      </w:r>
      <w:r>
        <w:rPr>
          <w:rFonts w:ascii="宋体" w:hAnsi="宋体" w:cs="宋体" w:eastAsia="宋体" w:hint="default"/>
        </w:rPr>
        <w:t>2</w:t>
      </w:r>
      <w:r>
        <w:rPr/>
        <w:t>）权益法</w:t>
      </w:r>
      <w:r>
        <w:rPr>
          <w:w w:val="100"/>
        </w:rPr>
        <w:t> </w:t>
      </w:r>
      <w:r>
        <w:rPr>
          <w:spacing w:val="-2"/>
        </w:rPr>
        <w:t>本公司对联营企业和合营企业的长期股权投资采用权益法核算；对于其中一部分通过风险投资机构、</w:t>
      </w:r>
    </w:p>
    <w:p>
      <w:pPr>
        <w:pStyle w:val="BodyText"/>
        <w:spacing w:line="408" w:lineRule="auto"/>
        <w:ind w:right="0"/>
        <w:jc w:val="left"/>
      </w:pPr>
      <w:r>
        <w:rPr>
          <w:spacing w:val="-2"/>
        </w:rPr>
        <w:t>共同基金、信托公司或包括投连险基金在内的类似主体间接持有的联营企业的权益性投资，采用公允价值</w:t>
      </w:r>
      <w:r>
        <w:rPr>
          <w:spacing w:val="-42"/>
        </w:rPr>
        <w:t> </w:t>
      </w:r>
      <w:r>
        <w:rPr>
          <w:spacing w:val="-42"/>
        </w:rPr>
      </w:r>
      <w:r>
        <w:rPr/>
        <w:t>计量且其变动计入损益。</w:t>
      </w:r>
    </w:p>
    <w:p>
      <w:pPr>
        <w:pStyle w:val="BodyText"/>
        <w:spacing w:line="408" w:lineRule="auto"/>
        <w:ind w:right="147" w:firstLine="420"/>
        <w:jc w:val="both"/>
      </w:pPr>
      <w:r>
        <w:rPr>
          <w:spacing w:val="-2"/>
        </w:rPr>
        <w:t>长期股权投资的初始投资成本大于投资时应享有被投资单位可辨认净资产公允价值份额的差额，不调</w:t>
      </w:r>
      <w:r>
        <w:rPr>
          <w:w w:val="100"/>
        </w:rPr>
        <w:t> </w:t>
      </w:r>
      <w:r>
        <w:rPr>
          <w:spacing w:val="-2"/>
        </w:rPr>
        <w:t>整长期股权投资的初始投资成本；初始投资成本小于投资时应享有被投资单位可辨认净资产公允价值份额</w:t>
      </w:r>
      <w:r>
        <w:rPr>
          <w:spacing w:val="-43"/>
        </w:rPr>
        <w:t> </w:t>
      </w:r>
      <w:r>
        <w:rPr>
          <w:spacing w:val="-43"/>
        </w:rPr>
      </w:r>
      <w:r>
        <w:rPr/>
        <w:t>的差额，计入当期损益。</w:t>
      </w:r>
    </w:p>
    <w:p>
      <w:pPr>
        <w:pStyle w:val="BodyText"/>
        <w:spacing w:line="408" w:lineRule="auto"/>
        <w:ind w:right="0" w:firstLine="420"/>
        <w:jc w:val="left"/>
      </w:pPr>
      <w:r>
        <w:rPr/>
        <w:t>本公司取得长期股权投资后，按照应享有或应分担的被投资单位实现的净损益和其他综合收益的份</w:t>
      </w:r>
      <w:r>
        <w:rPr>
          <w:spacing w:val="-3"/>
          <w:w w:val="100"/>
        </w:rPr>
        <w:t> </w:t>
      </w:r>
      <w:r>
        <w:rPr>
          <w:spacing w:val="-2"/>
        </w:rPr>
        <w:t>额，分别确认投资收益和其他综合收益，同时调整长期股权投资的账面价值；并按照被投资单位宣告分派</w:t>
      </w:r>
      <w:r>
        <w:rPr>
          <w:spacing w:val="-44"/>
        </w:rPr>
        <w:t> </w:t>
      </w:r>
      <w:r>
        <w:rPr>
          <w:spacing w:val="-44"/>
        </w:rPr>
      </w:r>
      <w:r>
        <w:rPr>
          <w:spacing w:val="-2"/>
        </w:rPr>
        <w:t>的利润或现金股利计算应享有的部分，相应减少长期股权投资的账面价值；对于被投资单位除净损益、其</w:t>
      </w:r>
      <w:r>
        <w:rPr>
          <w:spacing w:val="-42"/>
        </w:rPr>
        <w:t> </w:t>
      </w:r>
      <w:r>
        <w:rPr>
          <w:spacing w:val="-42"/>
        </w:rPr>
      </w:r>
      <w:r>
        <w:rPr/>
        <w:t>他综合收益和利润分配以外所有者权益的其他变动，调整长期股权投资的账面价值并计入所有者权益。</w:t>
      </w:r>
    </w:p>
    <w:p>
      <w:pPr>
        <w:pStyle w:val="BodyText"/>
        <w:spacing w:line="408" w:lineRule="auto"/>
        <w:ind w:right="147" w:firstLine="420"/>
        <w:jc w:val="both"/>
      </w:pPr>
      <w:r>
        <w:rPr>
          <w:spacing w:val="-2"/>
        </w:rPr>
        <w:t>本公司在确认应享有被投资单位净损益的份额时，以取得投资时被投资单位各项可辨认资产等的公允</w:t>
      </w:r>
      <w:r>
        <w:rPr>
          <w:w w:val="100"/>
        </w:rPr>
        <w:t> </w:t>
      </w:r>
      <w:r>
        <w:rPr>
          <w:spacing w:val="-2"/>
        </w:rPr>
        <w:t>价值为基础，对被投资单位的净利润进行调整后确认。本公司与联营企业、合营企业之间发生的未实现内</w:t>
      </w:r>
      <w:r>
        <w:rPr>
          <w:spacing w:val="-42"/>
        </w:rPr>
        <w:t> </w:t>
      </w:r>
      <w:r>
        <w:rPr>
          <w:spacing w:val="-42"/>
        </w:rPr>
      </w:r>
      <w:r>
        <w:rPr/>
        <w:t>部交易损益按照应享有的比例计算归属于本公司的部分予以抵销，在此基础上确认投资损益。</w:t>
      </w:r>
    </w:p>
    <w:p>
      <w:pPr>
        <w:pStyle w:val="BodyText"/>
        <w:spacing w:line="408" w:lineRule="auto"/>
        <w:ind w:right="147" w:firstLine="420"/>
        <w:jc w:val="both"/>
      </w:pPr>
      <w:r>
        <w:rPr>
          <w:spacing w:val="-2"/>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3"/>
        </w:rPr>
        <w:t>益账面价值为限继续确认投资损失，冲减长期应收项目等的账面价值。最后，经过上述处理，按照投资合</w:t>
      </w:r>
      <w:r>
        <w:rPr>
          <w:spacing w:val="-10"/>
        </w:rPr>
        <w:t> </w:t>
      </w:r>
      <w:r>
        <w:rPr>
          <w:spacing w:val="-10"/>
        </w:rPr>
      </w:r>
      <w:r>
        <w:rPr/>
        <w:t>同或协议约定企业仍承担额外义务的，按预计承担的义务确认预计负债，计入当期投资损失。</w:t>
      </w:r>
    </w:p>
    <w:p>
      <w:pPr>
        <w:pStyle w:val="BodyText"/>
        <w:spacing w:line="408" w:lineRule="auto"/>
        <w:ind w:right="147" w:firstLine="420"/>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45"/>
        </w:rPr>
        <w:t> </w:t>
      </w:r>
      <w:r>
        <w:rPr>
          <w:spacing w:val="-45"/>
        </w:rPr>
      </w:r>
      <w:r>
        <w:rPr/>
        <w:t>面价值后，恢复确认投资收益。</w:t>
      </w:r>
    </w:p>
    <w:p>
      <w:pPr>
        <w:pStyle w:val="Heading3"/>
        <w:spacing w:line="240" w:lineRule="auto" w:before="45"/>
        <w:ind w:left="575" w:right="0"/>
        <w:jc w:val="left"/>
        <w:rPr>
          <w:b w:val="0"/>
          <w:bCs w:val="0"/>
        </w:rPr>
      </w:pPr>
      <w:r>
        <w:rPr>
          <w:rFonts w:ascii="宋体" w:hAnsi="宋体" w:cs="宋体" w:eastAsia="宋体" w:hint="default"/>
        </w:rPr>
        <w:t>3</w:t>
      </w:r>
      <w:r>
        <w:rPr/>
        <w:t>、长期股权投资核算方法的转换</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2" w:right="0"/>
        <w:jc w:val="left"/>
      </w:pPr>
      <w:r>
        <w:rPr/>
        <w:t>（</w:t>
      </w:r>
      <w:r>
        <w:rPr>
          <w:rFonts w:ascii="宋体" w:hAnsi="宋体" w:cs="宋体" w:eastAsia="宋体" w:hint="default"/>
        </w:rPr>
        <w:t>1</w:t>
      </w:r>
      <w:r>
        <w:rPr/>
        <w:t>）公允价值计量转权益法核算</w:t>
      </w:r>
      <w:r>
        <w:rPr>
          <w:spacing w:val="-3"/>
          <w:w w:val="100"/>
        </w:rPr>
        <w:t> </w:t>
      </w:r>
      <w:r>
        <w:rPr>
          <w:spacing w:val="-2"/>
        </w:rPr>
        <w:t>本公司原持有的对被投资单位不具有控制、共同控制或重大影响的按金融工具确认和计量准则进行会</w:t>
      </w:r>
    </w:p>
    <w:p>
      <w:pPr>
        <w:pStyle w:val="BodyText"/>
        <w:spacing w:line="240" w:lineRule="auto"/>
        <w:ind w:right="0"/>
        <w:jc w:val="left"/>
      </w:pPr>
      <w:r>
        <w:rPr/>
        <w:t>计处理的权益性投资，因追加投资等原因能够对被投资单位施加重大影响或实施共同控制但不构成控制</w:t>
      </w:r>
    </w:p>
    <w:p>
      <w:pPr>
        <w:spacing w:after="0" w:line="240" w:lineRule="auto"/>
        <w:jc w:val="left"/>
        <w:sectPr>
          <w:footerReference w:type="default" r:id="rId49"/>
          <w:pgSz w:w="11910" w:h="16840"/>
          <w:pgMar w:footer="1066" w:header="990"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right="207"/>
        <w:jc w:val="both"/>
      </w:pPr>
      <w:r>
        <w:rPr>
          <w:spacing w:val="-2"/>
        </w:rPr>
        <w:t>的，按照《企业会计准则第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金融工具确认和计量》确定的原持有的股权投资的公允价值加上新增</w:t>
      </w:r>
      <w:r>
        <w:rPr>
          <w:spacing w:val="-40"/>
        </w:rPr>
        <w:t> </w:t>
      </w:r>
      <w:r>
        <w:rPr>
          <w:spacing w:val="-40"/>
        </w:rPr>
      </w:r>
      <w:r>
        <w:rPr/>
        <w:t>投资成本之和，作为改按权益法核算的初始投资成本。</w:t>
      </w:r>
    </w:p>
    <w:p>
      <w:pPr>
        <w:pStyle w:val="BodyText"/>
        <w:spacing w:line="408" w:lineRule="auto"/>
        <w:ind w:left="153" w:right="106" w:firstLine="419"/>
        <w:jc w:val="left"/>
      </w:pPr>
      <w:r>
        <w:rPr>
          <w:spacing w:val="-2"/>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BodyText"/>
        <w:spacing w:line="408" w:lineRule="auto"/>
        <w:ind w:right="106" w:firstLine="420"/>
        <w:jc w:val="left"/>
      </w:pPr>
      <w:r>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44"/>
        </w:rPr>
        <w:t> </w:t>
      </w:r>
      <w:r>
        <w:rPr>
          <w:spacing w:val="-44"/>
        </w:rPr>
      </w:r>
      <w:r>
        <w:rPr/>
        <w:t>入。</w:t>
      </w:r>
    </w:p>
    <w:p>
      <w:pPr>
        <w:pStyle w:val="BodyText"/>
        <w:spacing w:line="408" w:lineRule="auto"/>
        <w:ind w:left="572" w:right="106"/>
        <w:jc w:val="left"/>
      </w:pPr>
      <w:r>
        <w:rPr/>
        <w:t>（</w:t>
      </w:r>
      <w:r>
        <w:rPr>
          <w:rFonts w:ascii="宋体" w:hAnsi="宋体" w:cs="宋体" w:eastAsia="宋体" w:hint="default"/>
        </w:rPr>
        <w:t>2</w:t>
      </w:r>
      <w:r>
        <w:rPr/>
        <w:t>）公允价值计量或权益法核算转成本法核算</w:t>
      </w:r>
      <w:r>
        <w:rPr>
          <w:spacing w:val="-3"/>
          <w:w w:val="100"/>
        </w:rPr>
        <w:t> </w:t>
      </w:r>
      <w:r>
        <w:rPr>
          <w:spacing w:val="-2"/>
        </w:rPr>
        <w:t>本公司原持有的对被投资单位不具有控制、共同控制或重大影响的按金融工具确认和计量准则进行会</w:t>
      </w:r>
    </w:p>
    <w:p>
      <w:pPr>
        <w:pStyle w:val="BodyText"/>
        <w:spacing w:line="408" w:lineRule="auto"/>
        <w:ind w:right="206"/>
        <w:jc w:val="both"/>
      </w:pPr>
      <w:r>
        <w:rPr>
          <w:spacing w:val="-2"/>
        </w:rPr>
        <w:t>计处理的权益性投资，或原持有对联营企业、合营企业的长期股权投资，因追加投资等原因能够对非同一</w:t>
      </w:r>
      <w:r>
        <w:rPr>
          <w:spacing w:val="-45"/>
        </w:rPr>
        <w:t> </w:t>
      </w:r>
      <w:r>
        <w:rPr>
          <w:spacing w:val="-45"/>
        </w:rPr>
      </w:r>
      <w:r>
        <w:rPr>
          <w:spacing w:val="-2"/>
        </w:rPr>
        <w:t>控制下的被投资单位实施控制的，在编制个别财务报表时，按照原持有的股权投资账面价值加上新增投资</w:t>
      </w:r>
      <w:r>
        <w:rPr>
          <w:spacing w:val="-44"/>
        </w:rPr>
        <w:t> </w:t>
      </w:r>
      <w:r>
        <w:rPr>
          <w:spacing w:val="-44"/>
        </w:rPr>
      </w:r>
      <w:r>
        <w:rPr/>
        <w:t>成本之和，作为改按成本法核算的初始投资成本。</w:t>
      </w:r>
    </w:p>
    <w:p>
      <w:pPr>
        <w:pStyle w:val="BodyText"/>
        <w:spacing w:line="408" w:lineRule="auto"/>
        <w:ind w:right="106" w:firstLine="420"/>
        <w:jc w:val="left"/>
      </w:pPr>
      <w:r>
        <w:rPr>
          <w:spacing w:val="-2"/>
        </w:rPr>
        <w:t>购买日之前持有的股权投资因采用权益法核算而确认的其他综合收益，在处置该项投资时采用与被投</w:t>
      </w:r>
      <w:r>
        <w:rPr>
          <w:w w:val="100"/>
        </w:rPr>
        <w:t> </w:t>
      </w:r>
      <w:r>
        <w:rPr/>
        <w:t>资单位直接处置相关资产或负债相同的基础进行会计处理。</w:t>
      </w:r>
    </w:p>
    <w:p>
      <w:pPr>
        <w:pStyle w:val="BodyText"/>
        <w:spacing w:line="408" w:lineRule="auto"/>
        <w:ind w:right="106" w:firstLine="419"/>
        <w:jc w:val="left"/>
      </w:pPr>
      <w:r>
        <w:rPr>
          <w:spacing w:val="-2"/>
        </w:rPr>
        <w:t>购买日之前持有的股权投资按照《企业会计准则第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金融工具确认和计量》的有关规定进行会</w:t>
      </w:r>
      <w:r>
        <w:rPr>
          <w:w w:val="100"/>
        </w:rPr>
        <w:t> </w:t>
      </w:r>
      <w:r>
        <w:rPr/>
        <w:t>计处理的，原计入其他综合收益的累计公允价值变动在改按成本法核算时转入当期损益。</w:t>
      </w:r>
    </w:p>
    <w:p>
      <w:pPr>
        <w:pStyle w:val="BodyText"/>
        <w:spacing w:line="408" w:lineRule="auto"/>
        <w:ind w:left="572" w:right="106"/>
        <w:jc w:val="left"/>
      </w:pPr>
      <w:r>
        <w:rPr/>
        <w:t>（</w:t>
      </w:r>
      <w:r>
        <w:rPr>
          <w:rFonts w:ascii="宋体" w:hAnsi="宋体" w:cs="宋体" w:eastAsia="宋体" w:hint="default"/>
        </w:rPr>
        <w:t>3</w:t>
      </w:r>
      <w:r>
        <w:rPr/>
        <w:t>）权益法核算转公允价值计量</w:t>
      </w:r>
      <w:r>
        <w:rPr>
          <w:spacing w:val="-3"/>
          <w:w w:val="100"/>
        </w:rPr>
        <w:t> </w:t>
      </w:r>
      <w:r>
        <w:rPr>
          <w:spacing w:val="-2"/>
        </w:rPr>
        <w:t>本公司因处置部分股权投资等原因丧失了对被投资单位的共同控制或重大影响的，处置后的剩余股权</w:t>
      </w:r>
    </w:p>
    <w:p>
      <w:pPr>
        <w:pStyle w:val="BodyText"/>
        <w:spacing w:line="408" w:lineRule="auto"/>
        <w:ind w:right="207"/>
        <w:jc w:val="both"/>
      </w:pPr>
      <w:r>
        <w:rPr>
          <w:spacing w:val="-2"/>
        </w:rPr>
        <w:t>改按《企业会计准则第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金融工具确认和计量》核算，其在丧失共同控制或重大影响之日的公允价</w:t>
      </w:r>
      <w:r>
        <w:rPr>
          <w:spacing w:val="-41"/>
        </w:rPr>
        <w:t> </w:t>
      </w:r>
      <w:r>
        <w:rPr>
          <w:spacing w:val="-41"/>
        </w:rPr>
      </w:r>
      <w:r>
        <w:rPr/>
        <w:t>值与账面价值之间的差额计入当期损益。</w:t>
      </w:r>
    </w:p>
    <w:p>
      <w:pPr>
        <w:pStyle w:val="BodyText"/>
        <w:spacing w:line="408" w:lineRule="auto"/>
        <w:ind w:right="106" w:firstLine="420"/>
        <w:jc w:val="left"/>
      </w:pPr>
      <w:r>
        <w:rPr>
          <w:spacing w:val="-2"/>
        </w:rPr>
        <w:t>原股权投资因采用权益法核算而确认的其他综合收益，在终止采用权益法核算时采用与被投资单位直</w:t>
      </w:r>
      <w:r>
        <w:rPr>
          <w:w w:val="100"/>
        </w:rPr>
        <w:t> </w:t>
      </w:r>
      <w:r>
        <w:rPr/>
        <w:t>接处置相关资产或负债相同的基础进行会计处理。</w:t>
      </w:r>
    </w:p>
    <w:p>
      <w:pPr>
        <w:pStyle w:val="BodyText"/>
        <w:spacing w:line="408" w:lineRule="auto"/>
        <w:ind w:left="572" w:right="106"/>
        <w:jc w:val="left"/>
      </w:pPr>
      <w:r>
        <w:rPr/>
        <w:t>（</w:t>
      </w:r>
      <w:r>
        <w:rPr>
          <w:rFonts w:ascii="宋体" w:hAnsi="宋体" w:cs="宋体" w:eastAsia="宋体" w:hint="default"/>
        </w:rPr>
        <w:t>4</w:t>
      </w:r>
      <w:r>
        <w:rPr/>
        <w:t>）成本法转权益法</w:t>
      </w:r>
      <w:r>
        <w:rPr>
          <w:w w:val="100"/>
        </w:rPr>
        <w:t> </w:t>
      </w:r>
      <w:r>
        <w:rPr>
          <w:spacing w:val="-2"/>
        </w:rPr>
        <w:t>本公司因处置部分权益性投资等原因丧失了对被投资单位的控制的，在编制个别财务报表时，处置后</w:t>
      </w:r>
    </w:p>
    <w:p>
      <w:pPr>
        <w:pStyle w:val="BodyText"/>
        <w:spacing w:line="408" w:lineRule="auto"/>
        <w:ind w:right="208"/>
        <w:jc w:val="both"/>
      </w:pPr>
      <w:r>
        <w:rPr>
          <w:spacing w:val="-2"/>
        </w:rPr>
        <w:t>的剩余股权能够对被投资单位实施共同控制或施加重大影响的，改按权益法核算，并对该剩余股权视同自</w:t>
      </w:r>
      <w:r>
        <w:rPr>
          <w:spacing w:val="-44"/>
        </w:rPr>
        <w:t> </w:t>
      </w:r>
      <w:r>
        <w:rPr>
          <w:spacing w:val="-44"/>
        </w:rPr>
      </w:r>
      <w:r>
        <w:rPr/>
        <w:t>取得时即采用权益法核算进行调整。</w:t>
      </w:r>
    </w:p>
    <w:p>
      <w:pPr>
        <w:pStyle w:val="BodyText"/>
        <w:spacing w:line="408" w:lineRule="auto"/>
        <w:ind w:left="572" w:right="106"/>
        <w:jc w:val="left"/>
      </w:pPr>
      <w:r>
        <w:rPr/>
        <w:t>（</w:t>
      </w:r>
      <w:r>
        <w:rPr>
          <w:rFonts w:ascii="宋体" w:hAnsi="宋体" w:cs="宋体" w:eastAsia="宋体" w:hint="default"/>
        </w:rPr>
        <w:t>5</w:t>
      </w:r>
      <w:r>
        <w:rPr/>
        <w:t>）成本法转公允价值计量</w:t>
      </w:r>
      <w:r>
        <w:rPr>
          <w:spacing w:val="-3"/>
          <w:w w:val="100"/>
        </w:rPr>
        <w:t> </w:t>
      </w:r>
      <w:r>
        <w:rPr>
          <w:spacing w:val="-2"/>
        </w:rPr>
        <w:t>本公司因处置部分权益性投资等原因丧失了对被投资单位的控制的，在编制个别财务报表时，处置后</w:t>
      </w:r>
    </w:p>
    <w:p>
      <w:pPr>
        <w:pStyle w:val="BodyText"/>
        <w:spacing w:line="408" w:lineRule="auto"/>
        <w:ind w:right="106" w:hanging="1"/>
        <w:jc w:val="left"/>
      </w:pPr>
      <w:r>
        <w:rPr>
          <w:spacing w:val="-2"/>
        </w:rPr>
        <w:t>的剩余股权不能对被投资单位实施共同控制或施加重大影响的，改按《企业会计准则第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w:t>
      </w:r>
      <w:r>
        <w:rPr>
          <w:spacing w:val="-43"/>
        </w:rPr>
        <w:t> </w:t>
      </w:r>
      <w:r>
        <w:rPr>
          <w:spacing w:val="-43"/>
        </w:rPr>
      </w:r>
      <w:r>
        <w:rPr>
          <w:spacing w:val="-5"/>
        </w:rPr>
        <w:t>确认和计量》的有关规定进行会计处理，其在丧失控制之日的公允价值与账面价值间的差额计入当期损益。</w:t>
      </w:r>
    </w:p>
    <w:p>
      <w:pPr>
        <w:spacing w:after="0" w:line="408" w:lineRule="auto"/>
        <w:jc w:val="left"/>
        <w:sectPr>
          <w:footerReference w:type="default" r:id="rId50"/>
          <w:pgSz w:w="11910" w:h="16840"/>
          <w:pgMar w:footer="1066" w:header="990" w:top="1220" w:bottom="1260" w:left="980" w:right="920"/>
          <w:pgNumType w:start="101"/>
        </w:sectPr>
      </w:pPr>
    </w:p>
    <w:p>
      <w:pPr>
        <w:spacing w:line="240" w:lineRule="auto" w:before="4"/>
        <w:rPr>
          <w:rFonts w:ascii="宋体" w:hAnsi="宋体" w:cs="宋体" w:eastAsia="宋体" w:hint="default"/>
          <w:sz w:val="16"/>
          <w:szCs w:val="16"/>
        </w:rPr>
      </w:pPr>
    </w:p>
    <w:p>
      <w:pPr>
        <w:spacing w:line="408" w:lineRule="auto" w:before="3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100"/>
          <w:sz w:val="21"/>
          <w:szCs w:val="21"/>
        </w:rPr>
        <w:t> </w:t>
      </w:r>
      <w:r>
        <w:rPr>
          <w:rFonts w:ascii="宋体" w:hAnsi="宋体" w:cs="宋体" w:eastAsia="宋体" w:hint="default"/>
          <w:spacing w:val="-2"/>
          <w:sz w:val="21"/>
          <w:szCs w:val="21"/>
        </w:rPr>
        <w:t>处置长期股权投资，其账面价值与实际取得价款之间的差额，应当计入当期损益。采用权益法核算的</w:t>
      </w:r>
    </w:p>
    <w:p>
      <w:pPr>
        <w:pStyle w:val="BodyText"/>
        <w:spacing w:line="408" w:lineRule="auto"/>
        <w:ind w:right="0"/>
        <w:jc w:val="left"/>
      </w:pPr>
      <w:r>
        <w:rPr>
          <w:spacing w:val="-3"/>
        </w:rPr>
        <w:t>长期股权投资，在处置该项投资时，采用与被投资单位直接处置相关资产或负债相同的基础，按相应比例</w:t>
      </w:r>
      <w:r>
        <w:rPr>
          <w:spacing w:val="-5"/>
        </w:rPr>
        <w:t> </w:t>
      </w:r>
      <w:r>
        <w:rPr>
          <w:spacing w:val="-5"/>
        </w:rPr>
      </w:r>
      <w:r>
        <w:rPr/>
        <w:t>对原计入其他综合收益的部分进行会计处理。</w:t>
      </w:r>
    </w:p>
    <w:p>
      <w:pPr>
        <w:pStyle w:val="BodyText"/>
        <w:spacing w:line="408" w:lineRule="auto"/>
        <w:ind w:right="0" w:firstLine="420"/>
        <w:jc w:val="left"/>
      </w:pPr>
      <w:r>
        <w:rPr>
          <w:spacing w:val="-2"/>
        </w:rPr>
        <w:t>处置对子公司股权投资的各项交易的条款、条件以及经济影响符合以下一种或多种情况，将多次交易</w:t>
      </w:r>
      <w:r>
        <w:rPr>
          <w:w w:val="100"/>
        </w:rPr>
        <w:t> </w:t>
      </w:r>
      <w:r>
        <w:rPr/>
        <w:t>事项作为一揽子交易进行会计处理：</w:t>
      </w:r>
    </w:p>
    <w:p>
      <w:pPr>
        <w:pStyle w:val="BodyText"/>
        <w:spacing w:line="240" w:lineRule="auto"/>
        <w:ind w:left="572" w:right="0"/>
        <w:jc w:val="left"/>
      </w:pPr>
      <w:r>
        <w:rPr/>
        <w:t>（</w:t>
      </w:r>
      <w:r>
        <w:rPr>
          <w:rFonts w:ascii="宋体" w:hAnsi="宋体" w:cs="宋体" w:eastAsia="宋体" w:hint="default"/>
        </w:rPr>
        <w:t>1</w:t>
      </w:r>
      <w:r>
        <w:rPr/>
        <w:t>）这些交易是同时或者在考虑了彼此影响的情况下订立的；</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2</w:t>
      </w:r>
      <w:r>
        <w:rPr/>
        <w:t>）这些交易整体才能达成一项完整的商业结果；</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3</w:t>
      </w:r>
      <w:r>
        <w:rPr/>
        <w:t>）一项交易的发生取决于其他至少一项交易的发生；</w:t>
      </w:r>
    </w:p>
    <w:p>
      <w:pPr>
        <w:spacing w:line="240" w:lineRule="auto" w:before="10"/>
        <w:rPr>
          <w:rFonts w:ascii="宋体" w:hAnsi="宋体" w:cs="宋体" w:eastAsia="宋体" w:hint="default"/>
          <w:sz w:val="14"/>
          <w:szCs w:val="14"/>
        </w:rPr>
      </w:pPr>
    </w:p>
    <w:p>
      <w:pPr>
        <w:pStyle w:val="BodyText"/>
        <w:spacing w:line="408" w:lineRule="auto" w:before="0"/>
        <w:ind w:left="572" w:right="0"/>
        <w:jc w:val="left"/>
      </w:pPr>
      <w:r>
        <w:rPr/>
        <w:t>（</w:t>
      </w:r>
      <w:r>
        <w:rPr>
          <w:rFonts w:ascii="宋体" w:hAnsi="宋体" w:cs="宋体" w:eastAsia="宋体" w:hint="default"/>
        </w:rPr>
        <w:t>4</w:t>
      </w:r>
      <w:r>
        <w:rPr/>
        <w:t>）一项交易单独看是不经济的，但是和其他交易一并考虑时是经济的。</w:t>
      </w:r>
      <w:r>
        <w:rPr>
          <w:w w:val="100"/>
        </w:rPr>
        <w:t> </w:t>
      </w:r>
      <w:r>
        <w:rPr>
          <w:spacing w:val="-2"/>
        </w:rPr>
        <w:t>因处置部分股权投资或其他原因丧失了对原有子公司控制权的，不属于一揽子交易的，应当区分个别</w:t>
      </w:r>
    </w:p>
    <w:p>
      <w:pPr>
        <w:pStyle w:val="BodyText"/>
        <w:spacing w:line="240" w:lineRule="auto"/>
        <w:ind w:right="0"/>
        <w:jc w:val="left"/>
      </w:pPr>
      <w:r>
        <w:rPr/>
        <w:t>财务报表和合并财务报表进行相关会计处理：</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w:t>
      </w:r>
      <w:r>
        <w:rPr>
          <w:rFonts w:ascii="宋体" w:hAnsi="宋体" w:cs="宋体" w:eastAsia="宋体" w:hint="default"/>
        </w:rPr>
        <w:t>1</w:t>
      </w:r>
      <w:r>
        <w:rPr/>
        <w:t>）在个别财务报表中，对于处置的股权，其账面价值与实际取得价款之间的差额计入当期损益。</w:t>
      </w:r>
      <w:r>
        <w:rPr>
          <w:w w:val="100"/>
        </w:rPr>
        <w:t> </w:t>
      </w:r>
      <w:r>
        <w:rPr>
          <w:spacing w:val="-2"/>
        </w:rPr>
        <w:t>处置后的剩余股权能够对被投资单位实施共同控制或施加重大影响的，改按权益法核算，并对该剩余股权</w:t>
      </w:r>
      <w:r>
        <w:rPr>
          <w:spacing w:val="-43"/>
        </w:rPr>
        <w:t> </w:t>
      </w:r>
      <w:r>
        <w:rPr>
          <w:spacing w:val="-43"/>
        </w:rPr>
      </w:r>
      <w:r>
        <w:rPr>
          <w:spacing w:val="-2"/>
        </w:rPr>
        <w:t>视同自取得时即采用权益法核算进行调整；处置后的剩余股权不能对被投资单位实施共同控制或施加重大</w:t>
      </w:r>
      <w:r>
        <w:rPr>
          <w:spacing w:val="-43"/>
        </w:rPr>
        <w:t> </w:t>
      </w:r>
      <w:r>
        <w:rPr>
          <w:spacing w:val="-43"/>
        </w:rPr>
      </w:r>
      <w:r>
        <w:rPr>
          <w:spacing w:val="-3"/>
        </w:rPr>
        <w:t>影响的，改按《企业会计准则第</w:t>
      </w:r>
      <w:r>
        <w:rPr>
          <w:rFonts w:ascii="宋体" w:hAnsi="宋体" w:cs="宋体" w:eastAsia="宋体" w:hint="default"/>
          <w:spacing w:val="-3"/>
        </w:rPr>
        <w:t>22</w:t>
      </w:r>
      <w:r>
        <w:rPr>
          <w:spacing w:val="-3"/>
        </w:rPr>
        <w:t>号</w:t>
      </w:r>
      <w:r>
        <w:rPr>
          <w:rFonts w:ascii="宋体" w:hAnsi="宋体" w:cs="宋体" w:eastAsia="宋体" w:hint="default"/>
          <w:spacing w:val="-3"/>
        </w:rPr>
        <w:t>——</w:t>
      </w:r>
      <w:r>
        <w:rPr>
          <w:spacing w:val="-3"/>
        </w:rPr>
        <w:t>金融工具确认和计量》的有关规定进行会计处理，其在丧失控制</w:t>
      </w:r>
      <w:r>
        <w:rPr>
          <w:spacing w:val="-6"/>
        </w:rPr>
        <w:t> </w:t>
      </w:r>
      <w:r>
        <w:rPr>
          <w:spacing w:val="-6"/>
        </w:rPr>
      </w:r>
      <w:r>
        <w:rPr/>
        <w:t>之日的公允价值与账面价值间的差额计入当期损益。</w:t>
      </w:r>
    </w:p>
    <w:p>
      <w:pPr>
        <w:pStyle w:val="BodyText"/>
        <w:spacing w:line="408" w:lineRule="auto"/>
        <w:ind w:right="0" w:firstLine="420"/>
        <w:jc w:val="left"/>
      </w:pPr>
      <w:r>
        <w:rPr/>
        <w:t>（</w:t>
      </w:r>
      <w:r>
        <w:rPr>
          <w:rFonts w:ascii="宋体" w:hAnsi="宋体" w:cs="宋体" w:eastAsia="宋体" w:hint="default"/>
        </w:rPr>
        <w:t>2</w:t>
      </w:r>
      <w:r>
        <w:rPr/>
        <w:t>）在合并财务报表中，对于在丧失对子公司控制权以前的各项交易，处置价款与处置长期股权投</w:t>
      </w:r>
      <w:r>
        <w:rPr>
          <w:w w:val="100"/>
        </w:rPr>
        <w:t> </w:t>
      </w:r>
      <w:r>
        <w:rPr/>
        <w:t>资相应对享有子公司自购买日或合并日开始持续计算的净资产份额之间的差额，调整资本公积（股本溢</w:t>
      </w:r>
      <w:r>
        <w:rPr>
          <w:w w:val="100"/>
        </w:rPr>
        <w:t> </w:t>
      </w:r>
      <w:r>
        <w:rPr>
          <w:spacing w:val="-2"/>
        </w:rPr>
        <w:t>价），资本公积不足冲减的，调整留存收益；在丧失对子公司控制权时，对于剩余股权，按照其在丧失控</w:t>
      </w:r>
      <w:r>
        <w:rPr>
          <w:spacing w:val="-42"/>
        </w:rPr>
        <w:t> </w:t>
      </w:r>
      <w:r>
        <w:rPr>
          <w:spacing w:val="-42"/>
        </w:rPr>
      </w:r>
      <w:r>
        <w:rPr>
          <w:spacing w:val="-2"/>
        </w:rPr>
        <w:t>制权日的公允价值进行重新计量。处置股权取得的对价与剩余股权公允价值之和，减去按原持股比例计算</w:t>
      </w:r>
      <w:r>
        <w:rPr>
          <w:spacing w:val="-43"/>
        </w:rPr>
        <w:t> </w:t>
      </w:r>
      <w:r>
        <w:rPr>
          <w:spacing w:val="-43"/>
        </w:rPr>
      </w:r>
      <w:r>
        <w:rPr>
          <w:spacing w:val="-2"/>
        </w:rPr>
        <w:t>应享有原有子公司自购买日开始持续计算的净资产的份额之间的差额，计入丧失控制权当期的投资收益，</w:t>
      </w:r>
      <w:r>
        <w:rPr>
          <w:spacing w:val="-21"/>
        </w:rPr>
        <w:t> </w:t>
      </w:r>
      <w:r>
        <w:rPr>
          <w:spacing w:val="-21"/>
        </w:rPr>
      </w:r>
      <w:r>
        <w:rPr/>
        <w:t>同时冲减商誉。与原有子公司股权投资相关的其他综合收益等，在丧失控制权时转为当期投资收益。</w:t>
      </w:r>
    </w:p>
    <w:p>
      <w:pPr>
        <w:pStyle w:val="BodyText"/>
        <w:spacing w:line="408" w:lineRule="auto"/>
        <w:ind w:right="0" w:firstLine="420"/>
        <w:jc w:val="left"/>
      </w:pPr>
      <w:r>
        <w:rPr>
          <w:spacing w:val="-2"/>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BodyText"/>
        <w:spacing w:line="408" w:lineRule="auto"/>
        <w:ind w:right="0" w:firstLine="420"/>
        <w:jc w:val="left"/>
      </w:pPr>
      <w:r>
        <w:rPr>
          <w:spacing w:val="-2"/>
        </w:rPr>
        <w:t>（</w:t>
      </w:r>
      <w:r>
        <w:rPr>
          <w:rFonts w:ascii="宋体" w:hAnsi="宋体" w:cs="宋体" w:eastAsia="宋体" w:hint="default"/>
          <w:spacing w:val="-2"/>
        </w:rPr>
        <w:t>1</w:t>
      </w:r>
      <w:r>
        <w:rPr>
          <w:spacing w:val="-2"/>
        </w:rPr>
        <w:t>）在个别财务报表中，在丧失控制权之前每一次处置价款与处置的股权对应的长期股权投资账面</w:t>
      </w:r>
      <w:r>
        <w:rPr>
          <w:w w:val="100"/>
        </w:rPr>
        <w:t> </w:t>
      </w:r>
      <w:r>
        <w:rPr/>
        <w:t>价值之间的差额，确认为其他综合收益，在丧失控制权时一并转入丧失控制权当期的损益。</w:t>
      </w:r>
    </w:p>
    <w:p>
      <w:pPr>
        <w:pStyle w:val="BodyText"/>
        <w:spacing w:line="408" w:lineRule="auto"/>
        <w:ind w:right="0" w:firstLine="420"/>
        <w:jc w:val="left"/>
      </w:pPr>
      <w:r>
        <w:rPr>
          <w:spacing w:val="-2"/>
        </w:rPr>
        <w:t>（</w:t>
      </w:r>
      <w:r>
        <w:rPr>
          <w:rFonts w:ascii="宋体" w:hAnsi="宋体" w:cs="宋体" w:eastAsia="宋体" w:hint="default"/>
          <w:spacing w:val="-2"/>
        </w:rPr>
        <w:t>2</w:t>
      </w:r>
      <w:r>
        <w:rPr>
          <w:spacing w:val="-2"/>
        </w:rPr>
        <w:t>）在合并财务报表中，在丧失控制权之前每一次处置价款与处置投资对应的享有该子公司净资产</w:t>
      </w:r>
      <w:r>
        <w:rPr>
          <w:w w:val="100"/>
        </w:rPr>
        <w:t> </w:t>
      </w:r>
      <w:r>
        <w:rPr/>
        <w:t>份额的差额，确认为其他综合收益，在丧失控制权时一并转入丧失控制权当期的损益。</w:t>
      </w:r>
    </w:p>
    <w:p>
      <w:pPr>
        <w:pStyle w:val="Heading3"/>
        <w:spacing w:line="240" w:lineRule="auto" w:before="45"/>
        <w:ind w:left="575" w:right="0"/>
        <w:jc w:val="left"/>
        <w:rPr>
          <w:b w:val="0"/>
          <w:bCs w:val="0"/>
        </w:rPr>
      </w:pPr>
      <w:r>
        <w:rPr>
          <w:rFonts w:ascii="宋体" w:hAnsi="宋体" w:cs="宋体" w:eastAsia="宋体" w:hint="default"/>
        </w:rPr>
        <w:t>5</w:t>
      </w:r>
      <w:r>
        <w:rPr/>
        <w:t>、共同控制、重大影响的判断标准</w:t>
      </w:r>
      <w:r>
        <w:rPr>
          <w:b w:val="0"/>
          <w:bCs w:val="0"/>
        </w:rPr>
      </w:r>
    </w:p>
    <w:p>
      <w:pPr>
        <w:spacing w:after="0" w:line="240" w:lineRule="auto"/>
        <w:jc w:val="left"/>
        <w:sectPr>
          <w:pgSz w:w="11910" w:h="16840"/>
          <w:pgMar w:header="990" w:footer="1066" w:top="1220" w:bottom="1260" w:left="980" w:right="980"/>
        </w:sectPr>
      </w:pPr>
    </w:p>
    <w:p>
      <w:pPr>
        <w:spacing w:line="240" w:lineRule="auto" w:before="4"/>
        <w:rPr>
          <w:rFonts w:ascii="宋体" w:hAnsi="宋体" w:cs="宋体" w:eastAsia="宋体" w:hint="default"/>
          <w:b/>
          <w:bCs/>
          <w:sz w:val="16"/>
          <w:szCs w:val="16"/>
        </w:rPr>
      </w:pPr>
    </w:p>
    <w:p>
      <w:pPr>
        <w:pStyle w:val="BodyText"/>
        <w:spacing w:line="408" w:lineRule="auto" w:before="36"/>
        <w:ind w:right="207" w:firstLine="420"/>
        <w:jc w:val="both"/>
      </w:pPr>
      <w:r>
        <w:rPr>
          <w:spacing w:val="-2"/>
        </w:rPr>
        <w:t>如果本公司按照相关约定与其他参与方集体控制某项安排，并且对该安排回报具有重大影响的活动决</w:t>
      </w:r>
      <w:r>
        <w:rPr>
          <w:w w:val="100"/>
        </w:rPr>
        <w:t> </w:t>
      </w:r>
      <w:r>
        <w:rPr>
          <w:spacing w:val="-2"/>
        </w:rPr>
        <w:t>策，需要经过分享控制权的参与方一致同意时才存在，则视为本公司与其他参与方共同控制某项安排，该</w:t>
      </w:r>
      <w:r>
        <w:rPr>
          <w:spacing w:val="-42"/>
        </w:rPr>
        <w:t> </w:t>
      </w:r>
      <w:r>
        <w:rPr>
          <w:spacing w:val="-42"/>
        </w:rPr>
      </w:r>
      <w:r>
        <w:rPr/>
        <w:t>安排即属于合营安排。</w:t>
      </w:r>
    </w:p>
    <w:p>
      <w:pPr>
        <w:pStyle w:val="BodyText"/>
        <w:spacing w:line="408" w:lineRule="auto"/>
        <w:ind w:right="207" w:firstLine="420"/>
        <w:jc w:val="both"/>
      </w:pPr>
      <w:r>
        <w:rPr>
          <w:spacing w:val="-2"/>
        </w:rPr>
        <w:t>合营安排通过单独主体达成的，根据相关约定判断本公司对该单独主体的净资产享有权利时，将该单</w:t>
      </w:r>
      <w:r>
        <w:rPr>
          <w:w w:val="100"/>
        </w:rPr>
        <w:t> </w:t>
      </w:r>
      <w:r>
        <w:rPr>
          <w:spacing w:val="-2"/>
        </w:rPr>
        <w:t>独主体作为合营企业，采用权益法核算。若根据相关约定判断本公司并非对该单独主体的净资产享有权利</w:t>
      </w:r>
      <w:r>
        <w:rPr>
          <w:spacing w:val="-43"/>
        </w:rPr>
        <w:t> </w:t>
      </w:r>
      <w:r>
        <w:rPr>
          <w:spacing w:val="-43"/>
        </w:rPr>
      </w:r>
      <w:r>
        <w:rPr>
          <w:spacing w:val="-2"/>
        </w:rPr>
        <w:t>时，该单独主体作为共同经营，本公司确认与共同经营利益份额相关的项目，并按照相关企业会计准则的</w:t>
      </w:r>
      <w:r>
        <w:rPr>
          <w:spacing w:val="-44"/>
        </w:rPr>
        <w:t> </w:t>
      </w:r>
      <w:r>
        <w:rPr>
          <w:spacing w:val="-44"/>
        </w:rPr>
      </w:r>
      <w:r>
        <w:rPr/>
        <w:t>规定进行会计处理。</w:t>
      </w:r>
    </w:p>
    <w:p>
      <w:pPr>
        <w:pStyle w:val="BodyText"/>
        <w:spacing w:line="408" w:lineRule="auto"/>
        <w:ind w:right="207" w:firstLine="420"/>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他方一起共同控制这些政策的制定。本公司通过以下一种或多种情形，并综合考虑所有事实和情况后，判</w:t>
      </w:r>
      <w:r>
        <w:rPr>
          <w:spacing w:val="-43"/>
        </w:rPr>
        <w:t> </w:t>
      </w:r>
      <w:r>
        <w:rPr>
          <w:spacing w:val="-43"/>
        </w:rPr>
      </w:r>
      <w:r>
        <w:rPr>
          <w:spacing w:val="-2"/>
        </w:rPr>
        <w:t>断对被投资单位具有重大影响。（</w:t>
      </w:r>
      <w:r>
        <w:rPr>
          <w:rFonts w:ascii="宋体" w:hAnsi="宋体" w:cs="宋体" w:eastAsia="宋体" w:hint="default"/>
          <w:spacing w:val="-2"/>
        </w:rPr>
        <w:t>1</w:t>
      </w:r>
      <w:r>
        <w:rPr>
          <w:spacing w:val="-2"/>
        </w:rPr>
        <w:t>）在被投资单位的董事会或类似权力机构中派有代表；（</w:t>
      </w:r>
      <w:r>
        <w:rPr>
          <w:rFonts w:ascii="宋体" w:hAnsi="宋体" w:cs="宋体" w:eastAsia="宋体" w:hint="default"/>
          <w:spacing w:val="-2"/>
        </w:rPr>
        <w:t>2</w:t>
      </w:r>
      <w:r>
        <w:rPr>
          <w:spacing w:val="-2"/>
        </w:rPr>
        <w:t>）参与被投</w:t>
      </w:r>
      <w:r>
        <w:rPr>
          <w:spacing w:val="-46"/>
        </w:rPr>
        <w:t> </w:t>
      </w:r>
      <w:r>
        <w:rPr>
          <w:spacing w:val="-46"/>
        </w:rPr>
      </w:r>
      <w:r>
        <w:rPr>
          <w:spacing w:val="-2"/>
        </w:rPr>
        <w:t>资单位财务和经营政策制定过程；（</w:t>
      </w:r>
      <w:r>
        <w:rPr>
          <w:rFonts w:ascii="宋体" w:hAnsi="宋体" w:cs="宋体" w:eastAsia="宋体" w:hint="default"/>
          <w:spacing w:val="-2"/>
        </w:rPr>
        <w:t>3</w:t>
      </w:r>
      <w:r>
        <w:rPr>
          <w:spacing w:val="-2"/>
        </w:rPr>
        <w:t>）与被投资单位之间发生重要交易；（</w:t>
      </w:r>
      <w:r>
        <w:rPr>
          <w:rFonts w:ascii="宋体" w:hAnsi="宋体" w:cs="宋体" w:eastAsia="宋体" w:hint="default"/>
          <w:spacing w:val="-2"/>
        </w:rPr>
        <w:t>4</w:t>
      </w:r>
      <w:r>
        <w:rPr>
          <w:spacing w:val="-2"/>
        </w:rPr>
        <w:t>）向被投资单位派出管理人</w:t>
      </w:r>
      <w:r>
        <w:rPr>
          <w:spacing w:val="-48"/>
        </w:rPr>
        <w:t> </w:t>
      </w:r>
      <w:r>
        <w:rPr>
          <w:spacing w:val="-48"/>
        </w:rPr>
      </w:r>
      <w:r>
        <w:rPr/>
        <w:t>员；（</w:t>
      </w:r>
      <w:r>
        <w:rPr>
          <w:rFonts w:ascii="宋体" w:hAnsi="宋体" w:cs="宋体" w:eastAsia="宋体" w:hint="default"/>
        </w:rPr>
        <w:t>5</w:t>
      </w:r>
      <w:r>
        <w:rPr/>
        <w:t>）向被投资单位提供关键技术资料。</w:t>
      </w:r>
    </w:p>
    <w:p>
      <w:pPr>
        <w:pStyle w:val="Heading3"/>
        <w:spacing w:line="240" w:lineRule="auto" w:before="166"/>
        <w:ind w:left="632" w:right="106"/>
        <w:jc w:val="left"/>
        <w:rPr>
          <w:b w:val="0"/>
          <w:bCs w:val="0"/>
        </w:rPr>
      </w:pPr>
      <w:r>
        <w:rPr/>
        <w:t>（十三）固定资产</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right="106"/>
        <w:jc w:val="left"/>
        <w:rPr>
          <w:b w:val="0"/>
          <w:bCs w:val="0"/>
        </w:rPr>
      </w:pPr>
      <w:r>
        <w:rPr>
          <w:rFonts w:ascii="宋体" w:hAnsi="宋体" w:cs="宋体" w:eastAsia="宋体" w:hint="default"/>
        </w:rPr>
        <w:t>1.</w:t>
      </w:r>
      <w:r>
        <w:rPr>
          <w:rFonts w:ascii="宋体" w:hAnsi="宋体" w:cs="宋体" w:eastAsia="宋体" w:hint="default"/>
          <w:spacing w:val="44"/>
        </w:rPr>
        <w:t> </w:t>
      </w:r>
      <w:r>
        <w:rPr/>
        <w:t>固定资产确认条件</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12" w:right="106" w:firstLine="420"/>
        <w:jc w:val="left"/>
      </w:pPr>
      <w:r>
        <w:rPr>
          <w:spacing w:val="-1"/>
        </w:rPr>
        <w:t>固定资产指为生产商品、提供劳务、出租或经营管理而持有，并且使用寿命超过一个会计年度的</w:t>
      </w:r>
      <w:r>
        <w:rPr>
          <w:w w:val="100"/>
        </w:rPr>
        <w:t> </w:t>
      </w:r>
      <w:r>
        <w:rPr/>
        <w:t>有形资产。固定资产在同时满足下列条件时予以确认：</w:t>
      </w:r>
    </w:p>
    <w:p>
      <w:pPr>
        <w:pStyle w:val="BodyText"/>
        <w:spacing w:line="240" w:lineRule="auto"/>
        <w:ind w:left="932" w:right="106"/>
        <w:jc w:val="left"/>
      </w:pPr>
      <w:r>
        <w:rPr/>
        <w:t>（</w:t>
      </w:r>
      <w:r>
        <w:rPr>
          <w:rFonts w:ascii="宋体" w:hAnsi="宋体" w:cs="宋体" w:eastAsia="宋体" w:hint="default"/>
        </w:rPr>
        <w:t>1</w:t>
      </w:r>
      <w:r>
        <w:rPr/>
        <w:t>）与该固定资产有关的经济利益很可能流入企业；</w:t>
      </w:r>
    </w:p>
    <w:p>
      <w:pPr>
        <w:spacing w:line="240" w:lineRule="auto" w:before="10"/>
        <w:rPr>
          <w:rFonts w:ascii="宋体" w:hAnsi="宋体" w:cs="宋体" w:eastAsia="宋体" w:hint="default"/>
          <w:sz w:val="14"/>
          <w:szCs w:val="14"/>
        </w:rPr>
      </w:pPr>
    </w:p>
    <w:p>
      <w:pPr>
        <w:pStyle w:val="BodyText"/>
        <w:spacing w:line="240" w:lineRule="auto" w:before="0"/>
        <w:ind w:left="932" w:right="106"/>
        <w:jc w:val="left"/>
      </w:pPr>
      <w:r>
        <w:rPr/>
        <w:t>（</w:t>
      </w:r>
      <w:r>
        <w:rPr>
          <w:rFonts w:ascii="宋体" w:hAnsi="宋体" w:cs="宋体" w:eastAsia="宋体" w:hint="default"/>
        </w:rPr>
        <w:t>2</w:t>
      </w:r>
      <w:r>
        <w:rPr/>
        <w:t>）该固定资产的成本能够可靠地计量。</w:t>
      </w:r>
    </w:p>
    <w:p>
      <w:pPr>
        <w:spacing w:line="240" w:lineRule="auto" w:before="10"/>
        <w:rPr>
          <w:rFonts w:ascii="宋体" w:hAnsi="宋体" w:cs="宋体" w:eastAsia="宋体" w:hint="default"/>
          <w:sz w:val="14"/>
          <w:szCs w:val="14"/>
        </w:rPr>
      </w:pPr>
    </w:p>
    <w:p>
      <w:pPr>
        <w:pStyle w:val="Heading3"/>
        <w:spacing w:line="240" w:lineRule="auto"/>
        <w:ind w:right="106"/>
        <w:jc w:val="left"/>
        <w:rPr>
          <w:b w:val="0"/>
          <w:bCs w:val="0"/>
        </w:rPr>
      </w:pPr>
      <w:r>
        <w:rPr>
          <w:rFonts w:ascii="宋体" w:hAnsi="宋体" w:cs="宋体" w:eastAsia="宋体" w:hint="default"/>
        </w:rPr>
        <w:t>1.</w:t>
      </w:r>
      <w:r>
        <w:rPr>
          <w:rFonts w:ascii="宋体" w:hAnsi="宋体" w:cs="宋体" w:eastAsia="宋体" w:hint="default"/>
          <w:spacing w:val="44"/>
        </w:rPr>
        <w:t> </w:t>
      </w:r>
      <w:r>
        <w:rPr/>
        <w:t>固定资产初始计量</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12" w:right="106" w:firstLine="420"/>
        <w:jc w:val="left"/>
      </w:pPr>
      <w:r>
        <w:rPr/>
        <w:t>本公司固定资产按成本进行初始计量。其中，外购的固定资产的成本包括买价、进口关税等相关</w:t>
      </w:r>
      <w:r>
        <w:rPr>
          <w:w w:val="100"/>
        </w:rPr>
        <w:t> </w:t>
      </w:r>
      <w:r>
        <w:rPr/>
        <w:t>税费，以及为使固定资产达到预定可使用状态前所发生的可直接归属于该资产的其他支出。自行建造</w:t>
      </w:r>
      <w:r>
        <w:rPr>
          <w:spacing w:val="-65"/>
        </w:rPr>
        <w:t> </w:t>
      </w:r>
      <w:r>
        <w:rPr>
          <w:spacing w:val="-65"/>
        </w:rPr>
      </w:r>
      <w:r>
        <w:rPr/>
        <w:t>固定资产的成本，由建造该项资产达到预定可使用状态前所发生的必要支出构成。投资者投入的固定</w:t>
      </w:r>
      <w:r>
        <w:rPr>
          <w:spacing w:val="-65"/>
        </w:rPr>
        <w:t> </w:t>
      </w:r>
      <w:r>
        <w:rPr>
          <w:spacing w:val="-65"/>
        </w:rPr>
      </w:r>
      <w:r>
        <w:rPr>
          <w:spacing w:val="-3"/>
        </w:rPr>
        <w:t>资产，按投资合同或协议约定的价值作为入账价值，但合同或协议约定价值不公允的按公允价值入账。</w:t>
      </w:r>
      <w:r>
        <w:rPr>
          <w:spacing w:val="-45"/>
        </w:rPr>
        <w:t> </w:t>
      </w:r>
      <w:r>
        <w:rPr>
          <w:spacing w:val="-45"/>
        </w:rPr>
      </w:r>
      <w:r>
        <w:rPr/>
        <w:t>购买固定资产的价款超过正常信用条件延期支付，实质上具有融资性质的，固定资产的成本以购买价</w:t>
      </w:r>
      <w:r>
        <w:rPr>
          <w:spacing w:val="-65"/>
        </w:rPr>
        <w:t> </w:t>
      </w:r>
      <w:r>
        <w:rPr>
          <w:spacing w:val="-65"/>
        </w:rPr>
      </w:r>
      <w:r>
        <w:rPr/>
        <w:t>款的现值为基础确定。实际支付的价款与购买价款的现值之间的差额，除应予资本化的以外，在信用</w:t>
      </w:r>
      <w:r>
        <w:rPr>
          <w:spacing w:val="-65"/>
        </w:rPr>
        <w:t> </w:t>
      </w:r>
      <w:r>
        <w:rPr>
          <w:spacing w:val="-65"/>
        </w:rPr>
      </w:r>
      <w:r>
        <w:rPr/>
        <w:t>期间内计入当期损益。</w:t>
      </w:r>
    </w:p>
    <w:p>
      <w:pPr>
        <w:pStyle w:val="Heading3"/>
        <w:spacing w:line="240" w:lineRule="auto" w:before="46"/>
        <w:ind w:right="106"/>
        <w:jc w:val="left"/>
        <w:rPr>
          <w:b w:val="0"/>
          <w:bCs w:val="0"/>
        </w:rPr>
      </w:pPr>
      <w:r>
        <w:rPr>
          <w:rFonts w:ascii="宋体" w:hAnsi="宋体" w:cs="宋体" w:eastAsia="宋体" w:hint="default"/>
        </w:rPr>
        <w:t>1.</w:t>
      </w:r>
      <w:r>
        <w:rPr>
          <w:rFonts w:ascii="宋体" w:hAnsi="宋体" w:cs="宋体" w:eastAsia="宋体" w:hint="default"/>
          <w:spacing w:val="42"/>
        </w:rPr>
        <w:t> </w:t>
      </w:r>
      <w:r>
        <w:rPr/>
        <w:t>固定资产后续计量及处置</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2" w:right="106" w:firstLine="2"/>
        <w:jc w:val="left"/>
      </w:pPr>
      <w:r>
        <w:rPr/>
        <w:t>（</w:t>
      </w:r>
      <w:r>
        <w:rPr>
          <w:rFonts w:ascii="宋体" w:hAnsi="宋体" w:cs="宋体" w:eastAsia="宋体" w:hint="default"/>
        </w:rPr>
        <w:t>1</w:t>
      </w:r>
      <w:r>
        <w:rPr/>
        <w:t>）固定资产折旧</w:t>
      </w:r>
      <w:r>
        <w:rPr>
          <w:spacing w:val="-3"/>
          <w:w w:val="100"/>
        </w:rPr>
        <w:t> </w:t>
      </w:r>
      <w:r>
        <w:rPr>
          <w:spacing w:val="-2"/>
        </w:rPr>
        <w:t>固定资产折旧按其入账价值减去预计净残值后在预计使用寿命内计提。对计提了减值准备的固定资</w:t>
      </w:r>
    </w:p>
    <w:p>
      <w:pPr>
        <w:spacing w:after="0" w:line="408" w:lineRule="auto"/>
        <w:jc w:val="left"/>
        <w:sectPr>
          <w:pgSz w:w="11910" w:h="16840"/>
          <w:pgMar w:header="990" w:footer="1066" w:top="1220" w:bottom="1260" w:left="980" w:right="920"/>
        </w:sectPr>
      </w:pPr>
    </w:p>
    <w:p>
      <w:pPr>
        <w:spacing w:line="240" w:lineRule="auto" w:before="4"/>
        <w:rPr>
          <w:rFonts w:ascii="宋体" w:hAnsi="宋体" w:cs="宋体" w:eastAsia="宋体" w:hint="default"/>
          <w:sz w:val="16"/>
          <w:szCs w:val="16"/>
        </w:rPr>
      </w:pPr>
    </w:p>
    <w:p>
      <w:pPr>
        <w:pStyle w:val="BodyText"/>
        <w:spacing w:line="408" w:lineRule="auto" w:before="36"/>
        <w:ind w:left="572" w:right="0" w:hanging="420"/>
        <w:jc w:val="left"/>
      </w:pPr>
      <w:r>
        <w:rPr/>
        <w:t>产，则在未来期间按扣除减值准备后的账面价值及依据尚可使用年限确定折旧额。</w:t>
      </w:r>
      <w:r>
        <w:rPr>
          <w:w w:val="100"/>
        </w:rPr>
        <w:t> </w:t>
      </w:r>
      <w:r>
        <w:rPr>
          <w:spacing w:val="-3"/>
        </w:rPr>
        <w:t>本公司根据固定资产的性质和使用情况，确定固定资产的使用寿命和预计净残值。并在年度终了，对</w:t>
      </w:r>
      <w:r>
        <w:rPr/>
      </w:r>
    </w:p>
    <w:p>
      <w:pPr>
        <w:pStyle w:val="BodyText"/>
        <w:spacing w:line="408" w:lineRule="auto"/>
        <w:ind w:left="572" w:right="0" w:hanging="420"/>
        <w:jc w:val="left"/>
      </w:pPr>
      <w:r>
        <w:rPr>
          <w:spacing w:val="-2"/>
        </w:rPr>
        <w:t>固定资产的使用寿命、预计净残值和折旧方法进行复核，如与原先估计数存在差异的，进行相应的调整。</w:t>
      </w:r>
      <w:r>
        <w:rPr>
          <w:spacing w:val="-24"/>
        </w:rPr>
        <w:t> </w:t>
      </w:r>
      <w:r>
        <w:rPr>
          <w:spacing w:val="-24"/>
        </w:rPr>
      </w:r>
      <w:r>
        <w:rPr/>
        <w:t>各类固定资产的折旧方法、折旧年限和年折旧率如下：</w:t>
      </w:r>
    </w:p>
    <w:tbl>
      <w:tblPr>
        <w:tblW w:w="0" w:type="auto"/>
        <w:jc w:val="left"/>
        <w:tblInd w:w="145" w:type="dxa"/>
        <w:tblLayout w:type="fixed"/>
        <w:tblCellMar>
          <w:top w:w="0" w:type="dxa"/>
          <w:left w:w="0" w:type="dxa"/>
          <w:bottom w:w="0" w:type="dxa"/>
          <w:right w:w="0" w:type="dxa"/>
        </w:tblCellMar>
        <w:tblLook w:val="01E0"/>
      </w:tblPr>
      <w:tblGrid>
        <w:gridCol w:w="2014"/>
        <w:gridCol w:w="1702"/>
        <w:gridCol w:w="1481"/>
        <w:gridCol w:w="1637"/>
        <w:gridCol w:w="1538"/>
      </w:tblGrid>
      <w:tr>
        <w:trPr>
          <w:trHeight w:val="353" w:hRule="exact"/>
        </w:trPr>
        <w:tc>
          <w:tcPr>
            <w:tcW w:w="2014"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4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净残值率</w:t>
            </w:r>
            <w:r>
              <w:rPr>
                <w:rFonts w:ascii="Times New Roman" w:hAnsi="Times New Roman" w:cs="Times New Roman" w:eastAsia="Times New Roman" w:hint="default"/>
                <w:sz w:val="18"/>
                <w:szCs w:val="18"/>
              </w:rPr>
              <w:t>(%)</w:t>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折旧年限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538" w:type="dxa"/>
            <w:tcBorders>
              <w:top w:val="single" w:sz="6" w:space="0" w:color="000000"/>
              <w:left w:val="single" w:sz="6" w:space="0" w:color="000000"/>
              <w:bottom w:val="single" w:sz="12" w:space="0" w:color="000000"/>
              <w:right w:val="nil" w:sz="6" w:space="0" w:color="auto"/>
            </w:tcBorders>
          </w:tcPr>
          <w:p>
            <w:pPr>
              <w:pStyle w:val="TableParagraph"/>
              <w:spacing w:line="249" w:lineRule="exact"/>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353"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4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5</w:t>
            </w:r>
          </w:p>
        </w:tc>
        <w:tc>
          <w:tcPr>
            <w:tcW w:w="16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30</w:t>
            </w:r>
          </w:p>
        </w:tc>
        <w:tc>
          <w:tcPr>
            <w:tcW w:w="15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3.167</w:t>
            </w:r>
          </w:p>
        </w:tc>
      </w:tr>
      <w:tr>
        <w:trPr>
          <w:trHeight w:val="353"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4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5</w:t>
            </w:r>
          </w:p>
        </w:tc>
        <w:tc>
          <w:tcPr>
            <w:tcW w:w="16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5</w:t>
            </w:r>
          </w:p>
        </w:tc>
        <w:tc>
          <w:tcPr>
            <w:tcW w:w="15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19.00</w:t>
            </w:r>
          </w:p>
        </w:tc>
      </w:tr>
      <w:tr>
        <w:trPr>
          <w:trHeight w:val="350"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4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2"/>
              <w:ind w:left="1" w:right="0"/>
              <w:jc w:val="center"/>
              <w:rPr>
                <w:rFonts w:ascii="Times New Roman" w:hAnsi="Times New Roman" w:cs="Times New Roman" w:eastAsia="Times New Roman" w:hint="default"/>
                <w:sz w:val="18"/>
                <w:szCs w:val="18"/>
              </w:rPr>
            </w:pPr>
            <w:r>
              <w:rPr>
                <w:rFonts w:ascii="Times New Roman"/>
                <w:sz w:val="18"/>
              </w:rPr>
              <w:t>5</w:t>
            </w:r>
          </w:p>
        </w:tc>
        <w:tc>
          <w:tcPr>
            <w:tcW w:w="16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5</w:t>
            </w:r>
          </w:p>
        </w:tc>
        <w:tc>
          <w:tcPr>
            <w:tcW w:w="15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19.00</w:t>
            </w:r>
          </w:p>
        </w:tc>
      </w:tr>
      <w:tr>
        <w:trPr>
          <w:trHeight w:val="355"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4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5</w:t>
            </w:r>
          </w:p>
        </w:tc>
        <w:tc>
          <w:tcPr>
            <w:tcW w:w="16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5</w:t>
            </w:r>
          </w:p>
        </w:tc>
        <w:tc>
          <w:tcPr>
            <w:tcW w:w="15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19.00</w:t>
            </w:r>
          </w:p>
        </w:tc>
      </w:tr>
    </w:tbl>
    <w:p>
      <w:pPr>
        <w:spacing w:line="240" w:lineRule="auto" w:before="12"/>
        <w:rPr>
          <w:rFonts w:ascii="宋体" w:hAnsi="宋体" w:cs="宋体" w:eastAsia="宋体" w:hint="default"/>
          <w:sz w:val="9"/>
          <w:szCs w:val="9"/>
        </w:rPr>
      </w:pPr>
    </w:p>
    <w:p>
      <w:pPr>
        <w:pStyle w:val="BodyText"/>
        <w:spacing w:line="386" w:lineRule="auto" w:before="36"/>
        <w:ind w:left="572" w:right="0"/>
        <w:jc w:val="left"/>
      </w:pPr>
      <w:r>
        <w:rPr/>
        <w:t>（</w:t>
      </w:r>
      <w:r>
        <w:rPr>
          <w:rFonts w:ascii="Times New Roman" w:hAnsi="Times New Roman" w:cs="Times New Roman" w:eastAsia="Times New Roman" w:hint="default"/>
        </w:rPr>
        <w:t>2</w:t>
      </w:r>
      <w:r>
        <w:rPr/>
        <w:t>）固定资产的后续支出</w:t>
      </w:r>
      <w:r>
        <w:rPr>
          <w:w w:val="100"/>
        </w:rPr>
        <w:t> </w:t>
      </w:r>
      <w:r>
        <w:rPr>
          <w:spacing w:val="-2"/>
        </w:rPr>
        <w:t>与固定资产有关的后续支出，符合固定资产确认条件的，计入固定资产成本；不符合固定资产确认条</w:t>
      </w:r>
    </w:p>
    <w:p>
      <w:pPr>
        <w:pStyle w:val="BodyText"/>
        <w:spacing w:line="240" w:lineRule="auto" w:before="65"/>
        <w:ind w:right="0"/>
        <w:jc w:val="left"/>
      </w:pPr>
      <w:r>
        <w:rPr/>
        <w:t>件的，在发生时计入当期损益。</w:t>
      </w:r>
    </w:p>
    <w:p>
      <w:pPr>
        <w:spacing w:line="240" w:lineRule="auto" w:before="10"/>
        <w:rPr>
          <w:rFonts w:ascii="宋体" w:hAnsi="宋体" w:cs="宋体" w:eastAsia="宋体" w:hint="default"/>
          <w:sz w:val="14"/>
          <w:szCs w:val="14"/>
        </w:rPr>
      </w:pPr>
    </w:p>
    <w:p>
      <w:pPr>
        <w:pStyle w:val="BodyText"/>
        <w:spacing w:line="386" w:lineRule="auto" w:before="0"/>
        <w:ind w:left="572" w:right="0"/>
        <w:jc w:val="left"/>
      </w:pPr>
      <w:r>
        <w:rPr/>
        <w:t>（</w:t>
      </w:r>
      <w:r>
        <w:rPr>
          <w:rFonts w:ascii="Times New Roman" w:hAnsi="Times New Roman" w:cs="Times New Roman" w:eastAsia="Times New Roman" w:hint="default"/>
        </w:rPr>
        <w:t>3</w:t>
      </w:r>
      <w:r>
        <w:rPr/>
        <w:t>）固定资产处置</w:t>
      </w:r>
      <w:r>
        <w:rPr>
          <w:spacing w:val="-3"/>
          <w:w w:val="100"/>
        </w:rPr>
        <w:t> </w:t>
      </w:r>
      <w:r>
        <w:rPr>
          <w:spacing w:val="-2"/>
        </w:rPr>
        <w:t>当固定资产被处置、或者预期通过使用或处置不能产生经济利益时，终止确认该固定资产。固定资产</w:t>
      </w:r>
    </w:p>
    <w:p>
      <w:pPr>
        <w:spacing w:line="398" w:lineRule="auto" w:before="65"/>
        <w:ind w:left="565" w:right="0" w:hanging="413"/>
        <w:jc w:val="left"/>
        <w:rPr>
          <w:rFonts w:ascii="宋体" w:hAnsi="宋体" w:cs="宋体" w:eastAsia="宋体" w:hint="default"/>
          <w:sz w:val="21"/>
          <w:szCs w:val="21"/>
        </w:rPr>
      </w:pPr>
      <w:r>
        <w:rPr>
          <w:rFonts w:ascii="宋体" w:hAnsi="宋体" w:cs="宋体" w:eastAsia="宋体" w:hint="default"/>
          <w:spacing w:val="-2"/>
          <w:sz w:val="21"/>
          <w:szCs w:val="21"/>
        </w:rPr>
        <w:t>出售、转让、报废或毁损的处置收入扣除其账面价值和相关税费后的金额计入当期损益。</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z w:val="21"/>
          <w:szCs w:val="21"/>
        </w:rPr>
        <w:t>当本公司租入的固定资产符合下列一项或数项标准时，确认为融资租入固定资产：</w:t>
      </w:r>
    </w:p>
    <w:p>
      <w:pPr>
        <w:pStyle w:val="BodyText"/>
        <w:spacing w:line="240" w:lineRule="auto" w:before="54"/>
        <w:ind w:left="572" w:right="0"/>
        <w:jc w:val="left"/>
      </w:pPr>
      <w:r>
        <w:rPr/>
        <w:t>（</w:t>
      </w:r>
      <w:r>
        <w:rPr>
          <w:rFonts w:ascii="Times New Roman" w:hAnsi="Times New Roman" w:cs="Times New Roman" w:eastAsia="Times New Roman" w:hint="default"/>
        </w:rPr>
        <w:t>1</w:t>
      </w:r>
      <w:r>
        <w:rPr/>
        <w:t>）在租赁期届满时，租赁资产的所有权转移给本公司。</w:t>
      </w:r>
    </w:p>
    <w:p>
      <w:pPr>
        <w:pStyle w:val="BodyText"/>
        <w:spacing w:line="386" w:lineRule="auto" w:before="177"/>
        <w:ind w:right="230" w:firstLine="420"/>
        <w:jc w:val="both"/>
      </w:pPr>
      <w:r>
        <w:rPr>
          <w:spacing w:val="-2"/>
        </w:rPr>
        <w:t>（</w:t>
      </w:r>
      <w:r>
        <w:rPr>
          <w:rFonts w:ascii="Times New Roman" w:hAnsi="Times New Roman" w:cs="Times New Roman" w:eastAsia="Times New Roman" w:hint="default"/>
          <w:spacing w:val="-2"/>
        </w:rPr>
        <w:t>2</w:t>
      </w:r>
      <w:r>
        <w:rPr>
          <w:spacing w:val="-2"/>
        </w:rPr>
        <w:t>）本公司有购买租赁资产的选择权，所订立的购买价款预计将远低于行使选择权时租赁资产的公</w:t>
      </w:r>
      <w:r>
        <w:rPr>
          <w:w w:val="100"/>
        </w:rPr>
        <w:t> </w:t>
      </w:r>
      <w:r>
        <w:rPr/>
        <w:t>允价值，因而在租赁开始日就可以合理确定本公司将会行使这种选择权。</w:t>
      </w:r>
    </w:p>
    <w:p>
      <w:pPr>
        <w:pStyle w:val="BodyText"/>
        <w:spacing w:line="240" w:lineRule="auto" w:before="65"/>
        <w:ind w:left="572" w:right="0"/>
        <w:jc w:val="left"/>
      </w:pPr>
      <w:r>
        <w:rPr/>
        <w:t>（</w:t>
      </w: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177"/>
        <w:ind w:left="572" w:right="0"/>
        <w:jc w:val="left"/>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386" w:lineRule="auto" w:before="177"/>
        <w:ind w:left="572" w:right="0"/>
        <w:jc w:val="left"/>
      </w:pPr>
      <w:r>
        <w:rPr/>
        <w:t>（</w:t>
      </w:r>
      <w:r>
        <w:rPr>
          <w:rFonts w:ascii="Times New Roman" w:hAnsi="Times New Roman" w:cs="Times New Roman" w:eastAsia="Times New Roman" w:hint="default"/>
        </w:rPr>
        <w:t>5</w:t>
      </w:r>
      <w:r>
        <w:rPr/>
        <w:t>）租赁资产性质特殊，如果不作较大改造，只有本公司才能使用。</w:t>
      </w:r>
      <w:r>
        <w:rPr>
          <w:w w:val="100"/>
        </w:rPr>
        <w:t> </w:t>
      </w:r>
      <w:r>
        <w:rPr>
          <w:spacing w:val="-2"/>
        </w:rPr>
        <w:t>融资租赁租入的固定资产，按租赁开始日租赁资产公允价值与最低租赁付款额的现值两者中较低者，</w:t>
      </w:r>
    </w:p>
    <w:p>
      <w:pPr>
        <w:pStyle w:val="BodyText"/>
        <w:spacing w:line="408" w:lineRule="auto" w:before="65"/>
        <w:ind w:right="148"/>
        <w:jc w:val="both"/>
      </w:pPr>
      <w:r>
        <w:rPr>
          <w:spacing w:val="-3"/>
        </w:rPr>
        <w:t>作为入账价值。最低租赁付款额作为长期应付款的入账价值，其差额作为未确认融资费用。在租赁谈判和</w:t>
      </w:r>
      <w:r>
        <w:rPr>
          <w:spacing w:val="-7"/>
        </w:rPr>
        <w:t> </w:t>
      </w:r>
      <w:r>
        <w:rPr>
          <w:spacing w:val="-7"/>
        </w:rPr>
      </w:r>
      <w:r>
        <w:rPr>
          <w:spacing w:val="-2"/>
        </w:rPr>
        <w:t>签订租赁合同过程中发生的，可归属于租赁项目的手续费、律师费、差旅费、印花税等初始直接费用，计</w:t>
      </w:r>
      <w:r>
        <w:rPr>
          <w:spacing w:val="-48"/>
        </w:rPr>
        <w:t> </w:t>
      </w:r>
      <w:r>
        <w:rPr>
          <w:spacing w:val="-48"/>
        </w:rPr>
      </w:r>
      <w:r>
        <w:rPr/>
        <w:t>入租入资产价值。未确认融资费用在租赁期内各个期间采用实际利率法进行分摊。</w:t>
      </w:r>
    </w:p>
    <w:p>
      <w:pPr>
        <w:pStyle w:val="BodyText"/>
        <w:spacing w:line="408" w:lineRule="auto"/>
        <w:ind w:right="147" w:firstLine="420"/>
        <w:jc w:val="both"/>
      </w:pPr>
      <w:r>
        <w:rPr>
          <w:spacing w:val="-2"/>
        </w:rPr>
        <w:t>本公司采用与自有固定资产相一致的折旧政策计提融资租入固定资产折旧。能够合理确定租赁期届满</w:t>
      </w:r>
      <w:r>
        <w:rPr>
          <w:w w:val="100"/>
        </w:rPr>
        <w:t> </w:t>
      </w:r>
      <w:r>
        <w:rPr>
          <w:spacing w:val="-2"/>
        </w:rPr>
        <w:t>时取得租赁资产所有权的，在租赁资产使用寿命内计提折旧。无法合理确定租赁期届满时能够取得租赁资</w:t>
      </w:r>
      <w:r>
        <w:rPr>
          <w:spacing w:val="-43"/>
        </w:rPr>
        <w:t> </w:t>
      </w:r>
      <w:r>
        <w:rPr>
          <w:spacing w:val="-43"/>
        </w:rPr>
      </w:r>
      <w:r>
        <w:rPr/>
        <w:t>产所有权的，在租赁期与租赁资产使用寿命两者中较短的期间内计提折旧。</w:t>
      </w:r>
    </w:p>
    <w:p>
      <w:pPr>
        <w:spacing w:after="0" w:line="408" w:lineRule="auto"/>
        <w:jc w:val="both"/>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Heading3"/>
        <w:spacing w:line="240" w:lineRule="auto" w:before="36"/>
        <w:ind w:left="632" w:right="106"/>
        <w:jc w:val="left"/>
        <w:rPr>
          <w:b w:val="0"/>
          <w:bCs w:val="0"/>
        </w:rPr>
      </w:pPr>
      <w:r>
        <w:rPr/>
        <w:t>（十四）在建工程</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right="106"/>
        <w:jc w:val="left"/>
        <w:rPr>
          <w:b w:val="0"/>
          <w:bCs w:val="0"/>
        </w:rPr>
      </w:pPr>
      <w:r>
        <w:rPr>
          <w:rFonts w:ascii="宋体" w:hAnsi="宋体" w:cs="宋体" w:eastAsia="宋体" w:hint="default"/>
        </w:rPr>
        <w:t>1.</w:t>
      </w:r>
      <w:r>
        <w:rPr>
          <w:rFonts w:ascii="宋体" w:hAnsi="宋体" w:cs="宋体" w:eastAsia="宋体" w:hint="default"/>
          <w:spacing w:val="44"/>
        </w:rPr>
        <w:t> </w:t>
      </w:r>
      <w:r>
        <w:rPr/>
        <w:t>在建工程的类别</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12" w:right="208" w:firstLine="420"/>
        <w:jc w:val="both"/>
      </w:pPr>
      <w:r>
        <w:rPr>
          <w:spacing w:val="-1"/>
        </w:rPr>
        <w:t>本公司自行建造的在建工程按实际成本计价，实际成本由建造该项资产达到预定可使用状态前所</w:t>
      </w:r>
      <w:r>
        <w:rPr>
          <w:w w:val="100"/>
        </w:rPr>
        <w:t> </w:t>
      </w:r>
      <w:r>
        <w:rPr>
          <w:spacing w:val="-1"/>
        </w:rPr>
        <w:t>发生的必要支出构成，包括工程用物资成本、人工成本、交纳的相关税费、应予资本化的借款费用以</w:t>
      </w:r>
      <w:r>
        <w:rPr>
          <w:spacing w:val="-21"/>
        </w:rPr>
        <w:t> </w:t>
      </w:r>
      <w:r>
        <w:rPr>
          <w:spacing w:val="-21"/>
        </w:rPr>
      </w:r>
      <w:r>
        <w:rPr/>
        <w:t>及应分摊的间接费用等。本公司的在建工程以项目分类核算。</w:t>
      </w:r>
    </w:p>
    <w:p>
      <w:pPr>
        <w:spacing w:line="408" w:lineRule="auto" w:before="46"/>
        <w:ind w:left="572" w:right="106"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在建工程项目按建造该项资产达到预定可使用状态前所发生的全部支出，作为固定资产的入账价值。</w:t>
      </w:r>
    </w:p>
    <w:p>
      <w:pPr>
        <w:pStyle w:val="BodyText"/>
        <w:spacing w:line="408" w:lineRule="auto"/>
        <w:ind w:right="206"/>
        <w:jc w:val="both"/>
      </w:pPr>
      <w:r>
        <w:rPr>
          <w:spacing w:val="-2"/>
        </w:rPr>
        <w:t>所建造的在建工程已达到预定可使用状态，但尚未办理竣工决算的，自达到预定可使用状态之日起，根据</w:t>
      </w:r>
      <w:r>
        <w:rPr>
          <w:spacing w:val="-44"/>
        </w:rPr>
        <w:t> </w:t>
      </w:r>
      <w:r>
        <w:rPr>
          <w:spacing w:val="-44"/>
        </w:rPr>
      </w:r>
      <w:r>
        <w:rPr>
          <w:spacing w:val="-2"/>
        </w:rPr>
        <w:t>工程预算、造价或者工程实际成本等，按估计的价值转入固定资产，并按本公司固定资产折旧政策计提固</w:t>
      </w:r>
      <w:r>
        <w:rPr>
          <w:spacing w:val="-44"/>
        </w:rPr>
        <w:t> </w:t>
      </w:r>
      <w:r>
        <w:rPr>
          <w:spacing w:val="-44"/>
        </w:rPr>
      </w:r>
      <w:r>
        <w:rPr/>
        <w:t>定资产的折旧，待办理竣工决算后，再按实际成本调整原来的暂估价值，但不调整原已计提的折旧额。</w:t>
      </w:r>
    </w:p>
    <w:p>
      <w:pPr>
        <w:pStyle w:val="Heading3"/>
        <w:spacing w:line="240" w:lineRule="auto" w:before="166"/>
        <w:ind w:left="632" w:right="106"/>
        <w:jc w:val="left"/>
        <w:rPr>
          <w:b w:val="0"/>
          <w:bCs w:val="0"/>
        </w:rPr>
      </w:pPr>
      <w:r>
        <w:rPr/>
        <w:t>（十五）借款费用</w:t>
      </w:r>
      <w:r>
        <w:rPr>
          <w:b w:val="0"/>
          <w:bCs w:val="0"/>
        </w:rPr>
      </w:r>
    </w:p>
    <w:p>
      <w:pPr>
        <w:spacing w:line="240" w:lineRule="auto" w:before="10"/>
        <w:rPr>
          <w:rFonts w:ascii="宋体" w:hAnsi="宋体" w:cs="宋体" w:eastAsia="宋体" w:hint="default"/>
          <w:b/>
          <w:bCs/>
          <w:sz w:val="14"/>
          <w:szCs w:val="14"/>
        </w:rPr>
      </w:pPr>
    </w:p>
    <w:p>
      <w:pPr>
        <w:spacing w:line="408" w:lineRule="auto" w:before="0"/>
        <w:ind w:left="932" w:right="106" w:hanging="78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1"/>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1"/>
          <w:sz w:val="21"/>
          <w:szCs w:val="21"/>
        </w:rPr>
        <w:t>公司发生的借款费用，可直接归属于符合资本化条件的资产的购建或者生产的，在符合资本化条</w:t>
      </w:r>
    </w:p>
    <w:p>
      <w:pPr>
        <w:pStyle w:val="BodyText"/>
        <w:spacing w:line="408" w:lineRule="auto"/>
        <w:ind w:left="512" w:right="106"/>
        <w:jc w:val="left"/>
      </w:pPr>
      <w:r>
        <w:rPr>
          <w:spacing w:val="-1"/>
        </w:rPr>
        <w:t>件的情况下开始资本化，计入相关资产成本；其他借款费用，在发生时根据其发生额确认为费用，计</w:t>
      </w:r>
      <w:r>
        <w:rPr>
          <w:spacing w:val="-21"/>
        </w:rPr>
        <w:t> </w:t>
      </w:r>
      <w:r>
        <w:rPr>
          <w:spacing w:val="-21"/>
        </w:rPr>
      </w:r>
      <w:r>
        <w:rPr/>
        <w:t>入当期损益。</w:t>
      </w:r>
    </w:p>
    <w:p>
      <w:pPr>
        <w:pStyle w:val="BodyText"/>
        <w:spacing w:line="408" w:lineRule="auto"/>
        <w:ind w:left="512" w:right="208" w:firstLine="420"/>
        <w:jc w:val="both"/>
      </w:pPr>
      <w:r>
        <w:rPr>
          <w:spacing w:val="-1"/>
        </w:rPr>
        <w:t>符合资本化条件的资产，是指需要经过相当长时间的购建或者生产活动才能达到预定可使用或者</w:t>
      </w:r>
      <w:r>
        <w:rPr>
          <w:w w:val="100"/>
        </w:rPr>
        <w:t> </w:t>
      </w:r>
      <w:r>
        <w:rPr/>
        <w:t>可销售状态的固定资产、投资性房地产和存货等资产。</w:t>
      </w:r>
    </w:p>
    <w:p>
      <w:pPr>
        <w:pStyle w:val="BodyText"/>
        <w:spacing w:line="240" w:lineRule="auto"/>
        <w:ind w:left="932" w:right="106"/>
        <w:jc w:val="left"/>
      </w:pPr>
      <w:r>
        <w:rPr/>
        <w:t>借款费用同时满足下列条件时开始资本化：</w:t>
      </w:r>
    </w:p>
    <w:p>
      <w:pPr>
        <w:spacing w:line="240" w:lineRule="auto" w:before="10"/>
        <w:rPr>
          <w:rFonts w:ascii="宋体" w:hAnsi="宋体" w:cs="宋体" w:eastAsia="宋体" w:hint="default"/>
          <w:sz w:val="14"/>
          <w:szCs w:val="14"/>
        </w:rPr>
      </w:pPr>
    </w:p>
    <w:p>
      <w:pPr>
        <w:pStyle w:val="BodyText"/>
        <w:spacing w:line="386" w:lineRule="auto" w:before="0"/>
        <w:ind w:left="512" w:right="207" w:firstLine="419"/>
        <w:jc w:val="both"/>
      </w:pPr>
      <w:r>
        <w:rPr>
          <w:spacing w:val="-3"/>
        </w:rPr>
        <w:t>（</w:t>
      </w:r>
      <w:r>
        <w:rPr>
          <w:rFonts w:ascii="Times New Roman" w:hAnsi="Times New Roman" w:cs="Times New Roman" w:eastAsia="Times New Roman" w:hint="default"/>
          <w:spacing w:val="-3"/>
        </w:rPr>
        <w:t>1</w:t>
      </w:r>
      <w:r>
        <w:rPr>
          <w:spacing w:val="-3"/>
        </w:rPr>
        <w:t>）资产支出已经发生，资产支出包括为购建或者生产符合资本化条件的资产而以支付现金、转</w:t>
      </w:r>
      <w:r>
        <w:rPr>
          <w:w w:val="100"/>
        </w:rPr>
        <w:t> </w:t>
      </w:r>
      <w:r>
        <w:rPr/>
        <w:t>移非现金资产或者承担带息债务形式发生的支出；</w:t>
      </w:r>
    </w:p>
    <w:p>
      <w:pPr>
        <w:pStyle w:val="BodyText"/>
        <w:spacing w:line="240" w:lineRule="auto" w:before="65"/>
        <w:ind w:left="933" w:right="106"/>
        <w:jc w:val="left"/>
      </w:pPr>
      <w:r>
        <w:rPr/>
        <w:t>（</w:t>
      </w:r>
      <w:r>
        <w:rPr>
          <w:rFonts w:ascii="Times New Roman" w:hAnsi="Times New Roman" w:cs="Times New Roman" w:eastAsia="Times New Roman" w:hint="default"/>
        </w:rPr>
        <w:t>2</w:t>
      </w:r>
      <w:r>
        <w:rPr/>
        <w:t>）借款费用已经发生；</w:t>
      </w:r>
    </w:p>
    <w:p>
      <w:pPr>
        <w:pStyle w:val="BodyText"/>
        <w:spacing w:line="240" w:lineRule="auto" w:before="177"/>
        <w:ind w:left="933" w:right="106"/>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Heading3"/>
        <w:spacing w:line="240" w:lineRule="auto" w:before="177"/>
        <w:ind w:right="106"/>
        <w:jc w:val="left"/>
        <w:rPr>
          <w:b w:val="0"/>
          <w:bCs w:val="0"/>
        </w:rPr>
      </w:pPr>
      <w:r>
        <w:rPr>
          <w:rFonts w:ascii="宋体" w:hAnsi="宋体" w:cs="宋体" w:eastAsia="宋体" w:hint="default"/>
        </w:rPr>
        <w:t>3.</w:t>
      </w:r>
      <w:r>
        <w:rPr>
          <w:rFonts w:ascii="宋体" w:hAnsi="宋体" w:cs="宋体" w:eastAsia="宋体" w:hint="default"/>
          <w:spacing w:val="44"/>
        </w:rPr>
        <w:t> </w:t>
      </w:r>
      <w:r>
        <w:rPr/>
        <w:t>借款费用资本化期间</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12" w:right="208" w:firstLine="420"/>
        <w:jc w:val="both"/>
      </w:pPr>
      <w:r>
        <w:rPr>
          <w:spacing w:val="-1"/>
        </w:rPr>
        <w:t>资本化期间，指从借款费用开始资本化时点到停止资本化时点的期间，借款费用暂停资本化的期</w:t>
      </w:r>
      <w:r>
        <w:rPr>
          <w:w w:val="100"/>
        </w:rPr>
        <w:t> </w:t>
      </w:r>
      <w:r>
        <w:rPr/>
        <w:t>间不包括在内。</w:t>
      </w:r>
    </w:p>
    <w:p>
      <w:pPr>
        <w:pStyle w:val="BodyText"/>
        <w:spacing w:line="408" w:lineRule="auto"/>
        <w:ind w:left="932" w:right="106"/>
        <w:jc w:val="left"/>
      </w:pPr>
      <w:r>
        <w:rPr>
          <w:spacing w:val="-3"/>
        </w:rPr>
        <w:t>当购建或者生产符合资本化条件的资产达到预定可使用或者可销售状态时，借款费用停止资本化。</w:t>
      </w:r>
      <w:r>
        <w:rPr>
          <w:spacing w:val="-52"/>
        </w:rPr>
        <w:t> </w:t>
      </w:r>
      <w:r>
        <w:rPr>
          <w:spacing w:val="-52"/>
        </w:rPr>
      </w:r>
      <w:r>
        <w:rPr/>
        <w:t>当购建或者生产符合资本化条件的资产中部分项目分别完工且可单独使用时，该部分资产借款费</w:t>
      </w:r>
    </w:p>
    <w:p>
      <w:pPr>
        <w:pStyle w:val="BodyText"/>
        <w:spacing w:line="408" w:lineRule="auto"/>
        <w:ind w:left="932" w:right="106" w:hanging="421"/>
        <w:jc w:val="left"/>
      </w:pPr>
      <w:r>
        <w:rPr/>
        <w:t>用停止资本化。</w:t>
      </w:r>
      <w:r>
        <w:rPr>
          <w:spacing w:val="-103"/>
        </w:rPr>
        <w:t> </w:t>
      </w:r>
      <w:r>
        <w:rPr>
          <w:spacing w:val="-103"/>
        </w:rPr>
      </w:r>
      <w:r>
        <w:rPr>
          <w:spacing w:val="-1"/>
        </w:rPr>
        <w:t>购建或者生产的资产的各部分分别完工，但必须等到整体完工后才可使用或可对外销售的，在该</w:t>
      </w:r>
    </w:p>
    <w:p>
      <w:pPr>
        <w:spacing w:after="0" w:line="408" w:lineRule="auto"/>
        <w:jc w:val="left"/>
        <w:sectPr>
          <w:pgSz w:w="11910" w:h="16840"/>
          <w:pgMar w:header="990" w:footer="1066" w:top="1220" w:bottom="1260" w:left="980" w:right="920"/>
        </w:sectPr>
      </w:pPr>
    </w:p>
    <w:p>
      <w:pPr>
        <w:spacing w:line="240" w:lineRule="auto" w:before="4"/>
        <w:rPr>
          <w:rFonts w:ascii="宋体" w:hAnsi="宋体" w:cs="宋体" w:eastAsia="宋体" w:hint="default"/>
          <w:sz w:val="16"/>
          <w:szCs w:val="16"/>
        </w:rPr>
      </w:pPr>
    </w:p>
    <w:p>
      <w:pPr>
        <w:pStyle w:val="BodyText"/>
        <w:spacing w:line="240" w:lineRule="auto" w:before="36"/>
        <w:ind w:left="512" w:right="0"/>
        <w:jc w:val="left"/>
      </w:pPr>
      <w:r>
        <w:rPr/>
        <w:t>资产整体完工时停止借款费用资本化。</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宋体" w:hAnsi="宋体" w:cs="宋体" w:eastAsia="宋体" w:hint="default"/>
        </w:rPr>
        <w:t>4.</w:t>
      </w:r>
      <w:r>
        <w:rPr>
          <w:rFonts w:ascii="宋体" w:hAnsi="宋体" w:cs="宋体" w:eastAsia="宋体" w:hint="default"/>
          <w:spacing w:val="44"/>
        </w:rPr>
        <w:t> </w:t>
      </w:r>
      <w:r>
        <w:rPr/>
        <w:t>暂停资本化期间</w:t>
      </w:r>
      <w:r>
        <w:rPr>
          <w:b w:val="0"/>
          <w:bCs w:val="0"/>
        </w:rPr>
      </w:r>
    </w:p>
    <w:p>
      <w:pPr>
        <w:spacing w:line="240" w:lineRule="auto" w:before="10"/>
        <w:rPr>
          <w:rFonts w:ascii="宋体" w:hAnsi="宋体" w:cs="宋体" w:eastAsia="宋体" w:hint="default"/>
          <w:b/>
          <w:bCs/>
          <w:sz w:val="14"/>
          <w:szCs w:val="14"/>
        </w:rPr>
      </w:pPr>
    </w:p>
    <w:p>
      <w:pPr>
        <w:pStyle w:val="BodyText"/>
        <w:spacing w:line="400" w:lineRule="auto" w:before="0"/>
        <w:ind w:left="512" w:right="147" w:firstLine="419"/>
        <w:jc w:val="both"/>
      </w:pPr>
      <w:r>
        <w:rPr>
          <w:spacing w:val="-3"/>
        </w:rPr>
        <w:t>符合资本化条件的资产在购建或生产过程中发生的非正常中断、且中断时间连续超过</w:t>
      </w:r>
      <w:r>
        <w:rPr>
          <w:rFonts w:ascii="Times New Roman" w:hAnsi="Times New Roman" w:cs="Times New Roman" w:eastAsia="Times New Roman" w:hint="default"/>
          <w:spacing w:val="-3"/>
        </w:rPr>
        <w:t>3</w:t>
      </w:r>
      <w:r>
        <w:rPr>
          <w:spacing w:val="-3"/>
        </w:rPr>
        <w:t>个月的，则</w:t>
      </w:r>
      <w:r>
        <w:rPr>
          <w:w w:val="100"/>
        </w:rPr>
        <w:t> </w:t>
      </w:r>
      <w:r>
        <w:rPr>
          <w:spacing w:val="-1"/>
        </w:rPr>
        <w:t>借款费用暂停资本化；该项中断如是所购建或生产的符合资本化条件的资产达到预定可使用状态或者</w:t>
      </w:r>
      <w:r>
        <w:rPr>
          <w:spacing w:val="-21"/>
        </w:rPr>
        <w:t> </w:t>
      </w:r>
      <w:r>
        <w:rPr>
          <w:spacing w:val="-21"/>
        </w:rPr>
      </w:r>
      <w:r>
        <w:rPr>
          <w:spacing w:val="-1"/>
        </w:rPr>
        <w:t>可销售状态必要的程序，则借款费用继续资本化。在中断期间发生的借款费用确认为当期损益，直至</w:t>
      </w:r>
      <w:r>
        <w:rPr>
          <w:spacing w:val="-21"/>
        </w:rPr>
        <w:t> </w:t>
      </w:r>
      <w:r>
        <w:rPr>
          <w:spacing w:val="-21"/>
        </w:rPr>
      </w:r>
      <w:r>
        <w:rPr/>
        <w:t>资产的购建或者生产活动重新开始后借款费用继续资本化。</w:t>
      </w:r>
    </w:p>
    <w:p>
      <w:pPr>
        <w:spacing w:line="408" w:lineRule="auto" w:before="52"/>
        <w:ind w:left="932" w:right="0" w:hanging="78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41"/>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w:t>
      </w:r>
    </w:p>
    <w:p>
      <w:pPr>
        <w:pStyle w:val="BodyText"/>
        <w:spacing w:line="408" w:lineRule="auto"/>
        <w:ind w:left="512" w:right="0"/>
        <w:jc w:val="left"/>
      </w:pPr>
      <w:r>
        <w:rPr>
          <w:spacing w:val="-1"/>
        </w:rPr>
        <w:t>得的投资收益）及其辅助费用在所购建或者生产的符合资本化条件的资产达到预定可使用或者可销售</w:t>
      </w:r>
      <w:r>
        <w:rPr>
          <w:spacing w:val="-21"/>
        </w:rPr>
        <w:t> </w:t>
      </w:r>
      <w:r>
        <w:rPr>
          <w:spacing w:val="-21"/>
        </w:rPr>
      </w:r>
      <w:r>
        <w:rPr/>
        <w:t>状态前，予以资本化。</w:t>
      </w:r>
    </w:p>
    <w:p>
      <w:pPr>
        <w:pStyle w:val="BodyText"/>
        <w:spacing w:line="408" w:lineRule="auto"/>
        <w:ind w:left="512" w:right="148" w:firstLine="420"/>
        <w:jc w:val="both"/>
      </w:pPr>
      <w:r>
        <w:rPr>
          <w:spacing w:val="-1"/>
        </w:rPr>
        <w:t>根据累计资产支出超过专门借款部分的资产支出加权平均数乘以所占用一般借款的资本化率，计</w:t>
      </w:r>
      <w:r>
        <w:rPr>
          <w:w w:val="100"/>
        </w:rPr>
        <w:t> </w:t>
      </w:r>
      <w:r>
        <w:rPr/>
        <w:t>算确定一般借款应予资本化的利息金额。资本化率根据一般借款加权平均利率计算确定。</w:t>
      </w:r>
    </w:p>
    <w:p>
      <w:pPr>
        <w:pStyle w:val="BodyText"/>
        <w:spacing w:line="408" w:lineRule="auto"/>
        <w:ind w:left="512" w:right="148" w:firstLine="420"/>
        <w:jc w:val="both"/>
      </w:pPr>
      <w:r>
        <w:rPr>
          <w:spacing w:val="-1"/>
        </w:rPr>
        <w:t>借款存在折价或者溢价的，按照实际利率法确定每一会计期间应摊销的折价或者溢价金额，调整</w:t>
      </w:r>
      <w:r>
        <w:rPr>
          <w:w w:val="100"/>
        </w:rPr>
        <w:t> </w:t>
      </w:r>
      <w:r>
        <w:rPr/>
        <w:t>每期利息金额。</w:t>
      </w:r>
    </w:p>
    <w:p>
      <w:pPr>
        <w:spacing w:line="408" w:lineRule="auto" w:before="166"/>
        <w:ind w:left="932" w:right="0" w:firstLine="60"/>
        <w:jc w:val="left"/>
        <w:rPr>
          <w:rFonts w:ascii="宋体" w:hAnsi="宋体" w:cs="宋体" w:eastAsia="宋体" w:hint="default"/>
          <w:sz w:val="21"/>
          <w:szCs w:val="21"/>
        </w:rPr>
      </w:pPr>
      <w:r>
        <w:rPr>
          <w:rFonts w:ascii="宋体" w:hAnsi="宋体" w:cs="宋体" w:eastAsia="宋体" w:hint="default"/>
          <w:b/>
          <w:bCs/>
          <w:sz w:val="21"/>
          <w:szCs w:val="21"/>
        </w:rPr>
        <w:t>（十六）无形资产与开发支出</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无形资产是指本公司拥有或者控制的没有实物形态的可辨认非货币性资产，包括自行开发软件（同</w:t>
      </w:r>
    </w:p>
    <w:p>
      <w:pPr>
        <w:pStyle w:val="BodyText"/>
        <w:spacing w:line="240" w:lineRule="auto"/>
        <w:ind w:left="512" w:right="0"/>
        <w:jc w:val="left"/>
      </w:pPr>
      <w:r>
        <w:rPr/>
        <w:t>步课堂网络平台、分站式项目、中小学教材同步辅导、金太阳练习测评管理系统）、外购软件等。</w:t>
      </w:r>
    </w:p>
    <w:p>
      <w:pPr>
        <w:spacing w:line="240" w:lineRule="auto" w:before="10"/>
        <w:rPr>
          <w:rFonts w:ascii="宋体" w:hAnsi="宋体" w:cs="宋体" w:eastAsia="宋体" w:hint="default"/>
          <w:sz w:val="14"/>
          <w:szCs w:val="14"/>
        </w:rPr>
      </w:pPr>
    </w:p>
    <w:p>
      <w:pPr>
        <w:spacing w:line="408" w:lineRule="auto" w:before="0"/>
        <w:ind w:left="572" w:right="0" w:hanging="420"/>
        <w:jc w:val="left"/>
        <w:rPr>
          <w:rFonts w:ascii="宋体" w:hAnsi="宋体" w:cs="宋体" w:eastAsia="宋体" w:hint="default"/>
          <w:sz w:val="21"/>
          <w:szCs w:val="21"/>
        </w:rPr>
      </w:pPr>
      <w:r>
        <w:rPr>
          <w:rFonts w:ascii="宋体" w:hAnsi="宋体" w:cs="宋体" w:eastAsia="宋体" w:hint="default"/>
          <w:b/>
          <w:bCs/>
          <w:sz w:val="21"/>
          <w:szCs w:val="21"/>
        </w:rPr>
        <w:t>E.</w:t>
      </w:r>
      <w:r>
        <w:rPr>
          <w:rFonts w:ascii="宋体" w:hAnsi="宋体" w:cs="宋体" w:eastAsia="宋体" w:hint="default"/>
          <w:b/>
          <w:bCs/>
          <w:spacing w:val="42"/>
          <w:sz w:val="21"/>
          <w:szCs w:val="21"/>
        </w:rPr>
        <w:t> </w:t>
      </w:r>
      <w:r>
        <w:rPr>
          <w:rFonts w:ascii="宋体" w:hAnsi="宋体" w:cs="宋体" w:eastAsia="宋体" w:hint="default"/>
          <w:b/>
          <w:bCs/>
          <w:sz w:val="21"/>
          <w:szCs w:val="21"/>
        </w:rPr>
        <w:t>无形资产的初始计量</w:t>
      </w:r>
      <w:r>
        <w:rPr>
          <w:rFonts w:ascii="宋体" w:hAnsi="宋体" w:cs="宋体" w:eastAsia="宋体" w:hint="default"/>
          <w:b/>
          <w:bCs/>
          <w:spacing w:val="-103"/>
          <w:sz w:val="21"/>
          <w:szCs w:val="21"/>
        </w:rPr>
        <w:t> </w:t>
      </w:r>
      <w:r>
        <w:rPr>
          <w:rFonts w:ascii="宋体" w:hAnsi="宋体" w:cs="宋体" w:eastAsia="宋体" w:hint="default"/>
          <w:spacing w:val="-2"/>
          <w:sz w:val="21"/>
          <w:szCs w:val="21"/>
        </w:rPr>
        <w:t>外购无形资产的成本，包括购买价款、相关税费以及直接归属于使该项资产达到预定用途所发生的其</w:t>
      </w:r>
    </w:p>
    <w:p>
      <w:pPr>
        <w:pStyle w:val="BodyText"/>
        <w:spacing w:line="408" w:lineRule="auto"/>
        <w:ind w:right="0"/>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408" w:lineRule="auto"/>
        <w:ind w:right="147"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408" w:lineRule="auto"/>
        <w:ind w:right="147"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408" w:lineRule="auto"/>
        <w:ind w:right="147"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spacing w:after="0" w:line="408" w:lineRule="auto"/>
        <w:jc w:val="both"/>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right="207"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50"/>
        </w:rPr>
        <w:t> </w:t>
      </w:r>
      <w:r>
        <w:rPr>
          <w:spacing w:val="-50"/>
        </w:rPr>
      </w:r>
      <w:r>
        <w:rPr/>
        <w:t>用途前所发生的其他直接费用。</w:t>
      </w:r>
    </w:p>
    <w:p>
      <w:pPr>
        <w:spacing w:line="386" w:lineRule="auto" w:before="46"/>
        <w:ind w:left="572"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本公司在取得无形资产时分析判断其使用寿命，划分为使用寿命有限和使用寿命不确定的无形资产。</w:t>
      </w:r>
    </w:p>
    <w:p>
      <w:pPr>
        <w:pStyle w:val="BodyText"/>
        <w:spacing w:line="386" w:lineRule="auto" w:before="65"/>
        <w:ind w:left="572" w:right="106"/>
        <w:jc w:val="left"/>
      </w:pPr>
      <w:r>
        <w:rPr/>
        <w:t>（</w:t>
      </w:r>
      <w:r>
        <w:rPr>
          <w:rFonts w:ascii="Times New Roman" w:hAnsi="Times New Roman" w:cs="Times New Roman" w:eastAsia="Times New Roman" w:hint="default"/>
        </w:rPr>
        <w:t>1</w:t>
      </w:r>
      <w:r>
        <w:rPr/>
        <w:t>）使用寿命有限的无形资产</w:t>
      </w:r>
      <w:r>
        <w:rPr>
          <w:spacing w:val="-3"/>
          <w:w w:val="100"/>
        </w:rPr>
        <w:t> </w:t>
      </w:r>
      <w:r>
        <w:rPr>
          <w:spacing w:val="-2"/>
        </w:rPr>
        <w:t>对于使用寿命有限的无形资产，在为企业带来经济利益的期限内按直线法摊销。使用寿命有限的无形</w:t>
      </w:r>
    </w:p>
    <w:p>
      <w:pPr>
        <w:pStyle w:val="BodyText"/>
        <w:spacing w:line="240" w:lineRule="auto" w:before="65"/>
        <w:ind w:right="106"/>
        <w:jc w:val="left"/>
      </w:pPr>
      <w:r>
        <w:rPr/>
        <w:t>资产预计寿命及依据如下：</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4394"/>
        <w:gridCol w:w="3934"/>
      </w:tblGrid>
      <w:tr>
        <w:trPr>
          <w:trHeight w:val="353" w:hRule="exact"/>
        </w:trPr>
        <w:tc>
          <w:tcPr>
            <w:tcW w:w="43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无形资产类别</w:t>
            </w:r>
          </w:p>
        </w:tc>
        <w:tc>
          <w:tcPr>
            <w:tcW w:w="39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423"/>
              <w:jc w:val="right"/>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53"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自行开发软件</w:t>
            </w:r>
            <w:r>
              <w:rPr>
                <w:rFonts w:ascii="Times New Roman" w:hAnsi="Times New Roman" w:cs="Times New Roman" w:eastAsia="Times New Roman" w:hint="default"/>
                <w:sz w:val="18"/>
                <w:szCs w:val="18"/>
              </w:rPr>
              <w:t>-</w:t>
            </w:r>
            <w:r>
              <w:rPr>
                <w:rFonts w:ascii="宋体" w:hAnsi="宋体" w:cs="宋体" w:eastAsia="宋体" w:hint="default"/>
                <w:sz w:val="18"/>
                <w:szCs w:val="18"/>
              </w:rPr>
              <w:t>同步课堂网络平台</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53"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自行开发软件</w:t>
            </w:r>
            <w:r>
              <w:rPr>
                <w:rFonts w:ascii="Times New Roman" w:hAnsi="Times New Roman" w:cs="Times New Roman" w:eastAsia="Times New Roman" w:hint="default"/>
                <w:sz w:val="18"/>
                <w:szCs w:val="18"/>
              </w:rPr>
              <w:t>-</w:t>
            </w:r>
            <w:r>
              <w:rPr>
                <w:rFonts w:ascii="宋体" w:hAnsi="宋体" w:cs="宋体" w:eastAsia="宋体" w:hint="default"/>
                <w:sz w:val="18"/>
                <w:szCs w:val="18"/>
              </w:rPr>
              <w:t>分站式项目</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50"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自行开发软件</w:t>
            </w:r>
            <w:r>
              <w:rPr>
                <w:rFonts w:ascii="Times New Roman" w:hAnsi="Times New Roman" w:cs="Times New Roman" w:eastAsia="Times New Roman" w:hint="default"/>
                <w:sz w:val="18"/>
                <w:szCs w:val="18"/>
              </w:rPr>
              <w:t>-</w:t>
            </w:r>
            <w:r>
              <w:rPr>
                <w:rFonts w:ascii="宋体" w:hAnsi="宋体" w:cs="宋体" w:eastAsia="宋体" w:hint="default"/>
                <w:sz w:val="18"/>
                <w:szCs w:val="18"/>
              </w:rPr>
              <w:t>中小学教材同步辅导</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1509"/>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r>
      <w:tr>
        <w:trPr>
          <w:trHeight w:val="353"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自行开发软件</w:t>
            </w:r>
            <w:r>
              <w:rPr>
                <w:rFonts w:ascii="Times New Roman" w:hAnsi="Times New Roman" w:cs="Times New Roman" w:eastAsia="Times New Roman" w:hint="default"/>
                <w:sz w:val="18"/>
                <w:szCs w:val="18"/>
              </w:rPr>
              <w:t>-</w:t>
            </w:r>
            <w:r>
              <w:rPr>
                <w:rFonts w:ascii="宋体" w:hAnsi="宋体" w:cs="宋体" w:eastAsia="宋体" w:hint="default"/>
                <w:sz w:val="18"/>
                <w:szCs w:val="18"/>
              </w:rPr>
              <w:t>金太阳练习测评管理系统</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53"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bl>
    <w:p>
      <w:pPr>
        <w:spacing w:line="240" w:lineRule="auto" w:before="4"/>
        <w:rPr>
          <w:rFonts w:ascii="宋体" w:hAnsi="宋体" w:cs="宋体" w:eastAsia="宋体" w:hint="default"/>
          <w:sz w:val="11"/>
          <w:szCs w:val="11"/>
        </w:rPr>
      </w:pPr>
    </w:p>
    <w:p>
      <w:pPr>
        <w:pStyle w:val="BodyText"/>
        <w:spacing w:line="408" w:lineRule="auto" w:before="36"/>
        <w:ind w:right="106" w:firstLine="420"/>
        <w:jc w:val="left"/>
      </w:pPr>
      <w:r>
        <w:rPr>
          <w:spacing w:val="-2"/>
        </w:rPr>
        <w:t>每期末，对使用寿命有限的无形资产的使用寿命及摊销方法进行复核，如与原先估计数存在差异的，</w:t>
      </w:r>
      <w:r>
        <w:rPr>
          <w:w w:val="100"/>
        </w:rPr>
        <w:t> </w:t>
      </w:r>
      <w:r>
        <w:rPr/>
        <w:t>进行相应的调整。</w:t>
      </w:r>
    </w:p>
    <w:p>
      <w:pPr>
        <w:pStyle w:val="BodyText"/>
        <w:spacing w:line="240" w:lineRule="auto"/>
        <w:ind w:left="572" w:right="106"/>
        <w:jc w:val="left"/>
      </w:pPr>
      <w:r>
        <w:rPr/>
        <w:t>经复核，本期期末无形资产的使用寿命及摊销方法与以前估计未有不同。</w:t>
      </w:r>
    </w:p>
    <w:p>
      <w:pPr>
        <w:spacing w:line="240" w:lineRule="auto" w:before="10"/>
        <w:rPr>
          <w:rFonts w:ascii="宋体" w:hAnsi="宋体" w:cs="宋体" w:eastAsia="宋体" w:hint="default"/>
          <w:sz w:val="14"/>
          <w:szCs w:val="14"/>
        </w:rPr>
      </w:pPr>
    </w:p>
    <w:p>
      <w:pPr>
        <w:pStyle w:val="BodyText"/>
        <w:spacing w:line="408" w:lineRule="auto" w:before="0"/>
        <w:ind w:left="572" w:right="106" w:hanging="106"/>
        <w:jc w:val="left"/>
      </w:pPr>
      <w:r>
        <w:rPr/>
        <w:t>（</w:t>
      </w:r>
      <w:r>
        <w:rPr>
          <w:rFonts w:ascii="宋体" w:hAnsi="宋体" w:cs="宋体" w:eastAsia="宋体" w:hint="default"/>
        </w:rPr>
        <w:t>2</w:t>
      </w:r>
      <w:r>
        <w:rPr/>
        <w:t>）使用寿命不确定的无形资产</w:t>
      </w:r>
      <w:r>
        <w:rPr>
          <w:spacing w:val="-3"/>
          <w:w w:val="100"/>
        </w:rPr>
        <w:t> </w:t>
      </w:r>
      <w:r>
        <w:rPr/>
        <w:t>无法预见无形资产为企业带来经济利益期限的，视为使用寿命不确定的无形资产。</w:t>
      </w:r>
      <w:r>
        <w:rPr>
          <w:w w:val="100"/>
        </w:rPr>
        <w:t> </w:t>
      </w:r>
      <w:r>
        <w:rPr>
          <w:spacing w:val="-3"/>
        </w:rPr>
        <w:t>对于使用寿命不确定的无形资产，在持有期间内不摊销，每期末对无形资产的寿命进行复核。如果期</w:t>
      </w:r>
    </w:p>
    <w:p>
      <w:pPr>
        <w:pStyle w:val="BodyText"/>
        <w:spacing w:line="408" w:lineRule="auto"/>
        <w:ind w:left="572" w:right="106" w:hanging="315"/>
        <w:jc w:val="left"/>
      </w:pPr>
      <w:r>
        <w:rPr/>
        <w:t>末重新复核后仍为不确定的，在每个会计期间继续进行减值测试。</w:t>
      </w:r>
      <w:r>
        <w:rPr>
          <w:w w:val="100"/>
        </w:rPr>
        <w:t> </w:t>
      </w:r>
      <w:r>
        <w:rPr/>
        <w:t>经复核，本公司无使用寿命不确定的无形资产。</w:t>
      </w:r>
      <w:r>
        <w:rPr>
          <w:w w:val="100"/>
        </w:rPr>
        <w:t> </w:t>
      </w:r>
      <w:r>
        <w:rPr>
          <w:rFonts w:ascii="宋体" w:hAnsi="宋体" w:cs="宋体" w:eastAsia="宋体" w:hint="default"/>
          <w:b/>
          <w:bCs/>
        </w:rPr>
        <w:t>3</w:t>
      </w:r>
      <w:r>
        <w:rPr>
          <w:rFonts w:ascii="宋体" w:hAnsi="宋体" w:cs="宋体" w:eastAsia="宋体" w:hint="default"/>
          <w:b/>
          <w:bCs/>
        </w:rPr>
        <w:t>、划分公司内部研究开发项目的研究阶段和开发阶段具体标准</w:t>
      </w:r>
      <w:r>
        <w:rPr>
          <w:rFonts w:ascii="宋体" w:hAnsi="宋体" w:cs="宋体" w:eastAsia="宋体" w:hint="default"/>
          <w:b/>
          <w:bCs/>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408" w:lineRule="auto"/>
        <w:ind w:left="572" w:right="106" w:hanging="421"/>
        <w:jc w:val="left"/>
      </w:pPr>
      <w:r>
        <w:rPr/>
        <w:t>的或具有实质性改进的材料、装置、产品等活动的阶段。</w:t>
      </w:r>
      <w:r>
        <w:rPr>
          <w:w w:val="100"/>
        </w:rPr>
        <w:t> </w:t>
      </w:r>
      <w:r>
        <w:rPr/>
        <w:t>内部研究开发项目研究阶段的支出，在发生时计入当期损益。</w:t>
      </w:r>
      <w:r>
        <w:rPr>
          <w:w w:val="100"/>
        </w:rPr>
        <w:t> </w:t>
      </w:r>
      <w:r>
        <w:rPr>
          <w:spacing w:val="-2"/>
        </w:rPr>
        <w:t>公司根据软件项目开发管理的流程，将开发项目划分研究阶段和开发阶段。其中，项目策划阶段与项</w:t>
      </w:r>
    </w:p>
    <w:p>
      <w:pPr>
        <w:pStyle w:val="BodyText"/>
        <w:spacing w:line="408" w:lineRule="auto"/>
        <w:ind w:left="572" w:right="106" w:hanging="421"/>
        <w:jc w:val="left"/>
      </w:pPr>
      <w:r>
        <w:rPr/>
        <w:t>目立项阶段作为研究阶段；项目计划阶段、项目实施与执行阶段和项目验收阶段作为开发阶段。</w:t>
      </w:r>
      <w:r>
        <w:rPr>
          <w:w w:val="100"/>
        </w:rPr>
        <w:t> </w:t>
      </w:r>
      <w:r>
        <w:rPr>
          <w:spacing w:val="-5"/>
        </w:rPr>
        <w:t>研究阶段起点为项目策划阶段，终点为立项评审通过，表明公司开发部、市场部判断该项目在技术上、</w:t>
      </w:r>
    </w:p>
    <w:p>
      <w:pPr>
        <w:pStyle w:val="BodyText"/>
        <w:spacing w:line="240" w:lineRule="auto"/>
        <w:ind w:right="106"/>
        <w:jc w:val="left"/>
      </w:pPr>
      <w:r>
        <w:rPr/>
        <w:t>商业上等具有可行性；开发阶段的起点为项目开发立项，终点为项目相关测试完成后可进入商业运营。开</w:t>
      </w:r>
    </w:p>
    <w:p>
      <w:pPr>
        <w:spacing w:after="0" w:line="240" w:lineRule="auto"/>
        <w:jc w:val="left"/>
        <w:sectPr>
          <w:pgSz w:w="11910" w:h="16840"/>
          <w:pgMar w:header="990" w:footer="1066" w:top="1220" w:bottom="1260" w:left="980" w:right="920"/>
        </w:sectPr>
      </w:pPr>
    </w:p>
    <w:p>
      <w:pPr>
        <w:spacing w:line="240" w:lineRule="auto" w:before="4"/>
        <w:rPr>
          <w:rFonts w:ascii="宋体" w:hAnsi="宋体" w:cs="宋体" w:eastAsia="宋体" w:hint="default"/>
          <w:sz w:val="16"/>
          <w:szCs w:val="16"/>
        </w:rPr>
      </w:pPr>
    </w:p>
    <w:p>
      <w:pPr>
        <w:pStyle w:val="BodyText"/>
        <w:spacing w:line="408" w:lineRule="auto" w:before="36"/>
        <w:ind w:left="572" w:right="0" w:hanging="420"/>
        <w:jc w:val="left"/>
      </w:pPr>
      <w:r>
        <w:rPr/>
        <w:t>发项目研究阶段的支出，在发生时计入当期损益。</w:t>
      </w:r>
      <w:r>
        <w:rPr>
          <w:w w:val="100"/>
        </w:rPr>
        <w:t> </w:t>
      </w:r>
      <w:r>
        <w:rPr>
          <w:spacing w:val="-2"/>
        </w:rPr>
        <w:t>进入开发阶段的项目支出，则予以资本化，先在</w:t>
      </w:r>
      <w:r>
        <w:rPr>
          <w:rFonts w:ascii="宋体" w:hAnsi="宋体" w:cs="宋体" w:eastAsia="宋体" w:hint="default"/>
          <w:spacing w:val="-2"/>
        </w:rPr>
        <w:t>“</w:t>
      </w:r>
      <w:r>
        <w:rPr>
          <w:spacing w:val="-2"/>
        </w:rPr>
        <w:t>开发支出</w:t>
      </w:r>
      <w:r>
        <w:rPr>
          <w:rFonts w:ascii="宋体" w:hAnsi="宋体" w:cs="宋体" w:eastAsia="宋体" w:hint="default"/>
          <w:spacing w:val="-2"/>
        </w:rPr>
        <w:t>”</w:t>
      </w:r>
      <w:r>
        <w:rPr>
          <w:spacing w:val="-2"/>
        </w:rPr>
        <w:t>科目分项目进行明细核算，可商业运营</w:t>
      </w:r>
    </w:p>
    <w:p>
      <w:pPr>
        <w:spacing w:line="408" w:lineRule="auto" w:before="46"/>
        <w:ind w:left="572" w:right="1674" w:hanging="421"/>
        <w:jc w:val="left"/>
        <w:rPr>
          <w:rFonts w:ascii="宋体" w:hAnsi="宋体" w:cs="宋体" w:eastAsia="宋体" w:hint="default"/>
          <w:sz w:val="21"/>
          <w:szCs w:val="21"/>
        </w:rPr>
      </w:pPr>
      <w:r>
        <w:rPr>
          <w:rFonts w:ascii="宋体" w:hAnsi="宋体" w:cs="宋体" w:eastAsia="宋体" w:hint="default"/>
          <w:sz w:val="21"/>
          <w:szCs w:val="21"/>
        </w:rPr>
        <w:t>时，再转入</w:t>
      </w:r>
      <w:r>
        <w:rPr>
          <w:rFonts w:ascii="宋体" w:hAnsi="宋体" w:cs="宋体" w:eastAsia="宋体" w:hint="default"/>
          <w:sz w:val="21"/>
          <w:szCs w:val="21"/>
        </w:rPr>
        <w:t>“</w:t>
      </w:r>
      <w:r>
        <w:rPr>
          <w:rFonts w:ascii="宋体" w:hAnsi="宋体" w:cs="宋体" w:eastAsia="宋体" w:hint="default"/>
          <w:sz w:val="21"/>
          <w:szCs w:val="21"/>
        </w:rPr>
        <w:t>无形资产</w:t>
      </w:r>
      <w:r>
        <w:rPr>
          <w:rFonts w:ascii="宋体" w:hAnsi="宋体" w:cs="宋体" w:eastAsia="宋体" w:hint="default"/>
          <w:sz w:val="21"/>
          <w:szCs w:val="21"/>
        </w:rPr>
        <w:t>”</w:t>
      </w:r>
      <w:r>
        <w:rPr>
          <w:rFonts w:ascii="宋体" w:hAnsi="宋体" w:cs="宋体" w:eastAsia="宋体" w:hint="default"/>
          <w:sz w:val="21"/>
          <w:szCs w:val="21"/>
        </w:rPr>
        <w:t>科目分项目进行明细核算。</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、开发阶段支出符合资本化的具体标准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ind w:left="572" w:right="0"/>
        <w:jc w:val="left"/>
      </w:pPr>
      <w:r>
        <w:rPr/>
        <w:t>（</w:t>
      </w:r>
      <w:r>
        <w:rPr>
          <w:rFonts w:ascii="宋体" w:hAnsi="宋体" w:cs="宋体" w:eastAsia="宋体" w:hint="default"/>
        </w:rPr>
        <w:t>1</w:t>
      </w:r>
      <w:r>
        <w:rPr/>
        <w:t>）完成该无形资产以使其能够使用或出售在技术上具有可行性；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2</w:t>
      </w:r>
      <w:r>
        <w:rPr/>
        <w:t>）具有完成该无形资产并使用或出售的意图；</w:t>
      </w:r>
    </w:p>
    <w:p>
      <w:pPr>
        <w:spacing w:line="240" w:lineRule="auto" w:before="10"/>
        <w:rPr>
          <w:rFonts w:ascii="宋体" w:hAnsi="宋体" w:cs="宋体" w:eastAsia="宋体" w:hint="default"/>
          <w:sz w:val="14"/>
          <w:szCs w:val="14"/>
        </w:rPr>
      </w:pPr>
    </w:p>
    <w:p>
      <w:pPr>
        <w:pStyle w:val="BodyText"/>
        <w:spacing w:line="408" w:lineRule="auto" w:before="0"/>
        <w:ind w:right="154" w:firstLine="420"/>
        <w:jc w:val="both"/>
      </w:pPr>
      <w:r>
        <w:rPr/>
        <w:t>（</w:t>
      </w:r>
      <w:r>
        <w:rPr>
          <w:rFonts w:ascii="宋体" w:hAnsi="宋体" w:cs="宋体" w:eastAsia="宋体"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408" w:lineRule="auto"/>
        <w:ind w:right="154" w:firstLine="420"/>
        <w:jc w:val="both"/>
      </w:pPr>
      <w:r>
        <w:rPr/>
        <w:t>（</w:t>
      </w:r>
      <w:r>
        <w:rPr>
          <w:rFonts w:ascii="宋体" w:hAnsi="宋体" w:cs="宋体" w:eastAsia="宋体" w:hint="default"/>
        </w:rPr>
        <w:t>4</w:t>
      </w:r>
      <w:r>
        <w:rPr/>
        <w:t>）有足够的技术、财务资源和其他资源支持，以完成该无形资产的开发，并有能力使用或出售该</w:t>
      </w:r>
      <w:r>
        <w:rPr>
          <w:w w:val="100"/>
        </w:rPr>
        <w:t> </w:t>
      </w:r>
      <w:r>
        <w:rPr/>
        <w:t>无形资产；</w:t>
      </w:r>
    </w:p>
    <w:p>
      <w:pPr>
        <w:pStyle w:val="BodyText"/>
        <w:spacing w:line="408" w:lineRule="auto"/>
        <w:ind w:left="572" w:right="0"/>
        <w:jc w:val="left"/>
      </w:pPr>
      <w:r>
        <w:rPr/>
        <w:t>（</w:t>
      </w:r>
      <w:r>
        <w:rPr>
          <w:rFonts w:ascii="宋体" w:hAnsi="宋体" w:cs="宋体" w:eastAsia="宋体" w:hint="default"/>
        </w:rPr>
        <w:t>5</w:t>
      </w:r>
      <w:r>
        <w:rPr/>
        <w:t>）归属于该无形资产开发阶段的支出能够可靠地计量。</w:t>
      </w:r>
      <w:r>
        <w:rPr>
          <w:w w:val="100"/>
        </w:rPr>
        <w:t> </w:t>
      </w:r>
      <w:r>
        <w:rPr>
          <w:spacing w:val="-2"/>
        </w:rPr>
        <w:t>不满足上述条件的开发阶段的支出，于发生时计入当期损益。以前期间已计入损益的开发支出不在以</w:t>
      </w:r>
    </w:p>
    <w:p>
      <w:pPr>
        <w:pStyle w:val="BodyText"/>
        <w:spacing w:line="408" w:lineRule="auto"/>
        <w:ind w:right="0"/>
        <w:jc w:val="left"/>
      </w:pPr>
      <w:r>
        <w:rPr>
          <w:spacing w:val="-2"/>
        </w:rPr>
        <w:t>后期间重新确认为资产。已资本化的开发阶段的支出在资产负债表上列示为开发支出，自该项目达到预定</w:t>
      </w:r>
      <w:r>
        <w:rPr>
          <w:spacing w:val="-42"/>
        </w:rPr>
        <w:t> </w:t>
      </w:r>
      <w:r>
        <w:rPr>
          <w:spacing w:val="-42"/>
        </w:rPr>
      </w:r>
      <w:r>
        <w:rPr/>
        <w:t>用途之日起转为无形资产。</w:t>
      </w:r>
    </w:p>
    <w:p>
      <w:pPr>
        <w:pStyle w:val="BodyText"/>
        <w:spacing w:line="408" w:lineRule="auto" w:before="166"/>
        <w:ind w:left="572" w:right="0" w:firstLine="60"/>
        <w:jc w:val="left"/>
      </w:pPr>
      <w:r>
        <w:rPr>
          <w:rFonts w:ascii="宋体" w:hAnsi="宋体" w:cs="宋体" w:eastAsia="宋体" w:hint="default"/>
          <w:b/>
          <w:bCs/>
        </w:rPr>
        <w:t>（十七）长期资产减值</w:t>
      </w:r>
      <w:r>
        <w:rPr>
          <w:rFonts w:ascii="宋体" w:hAnsi="宋体" w:cs="宋体" w:eastAsia="宋体" w:hint="default"/>
          <w:b/>
          <w:bCs/>
          <w:w w:val="100"/>
        </w:rPr>
        <w:t> </w:t>
      </w:r>
      <w:r>
        <w:rPr>
          <w:spacing w:val="-2"/>
        </w:rPr>
        <w:t>本公司在资产负债表日判断长期资产是否存在可能发生减值的迹象。如果长期资产存在减值迹象的，</w:t>
      </w:r>
    </w:p>
    <w:p>
      <w:pPr>
        <w:pStyle w:val="BodyText"/>
        <w:spacing w:line="408" w:lineRule="auto"/>
        <w:ind w:right="0"/>
        <w:jc w:val="left"/>
      </w:pPr>
      <w:r>
        <w:rPr>
          <w:spacing w:val="-2"/>
        </w:rPr>
        <w:t>以单项资产为基础估计其可收回金额；难以对单项资产的可收回金额进行估计的，以该资产所属的资产组</w:t>
      </w:r>
      <w:r>
        <w:rPr>
          <w:spacing w:val="-43"/>
        </w:rPr>
        <w:t> </w:t>
      </w:r>
      <w:r>
        <w:rPr>
          <w:spacing w:val="-43"/>
        </w:rPr>
      </w:r>
      <w:r>
        <w:rPr/>
        <w:t>为基础确定资产组的可收回金额。</w:t>
      </w:r>
    </w:p>
    <w:p>
      <w:pPr>
        <w:pStyle w:val="BodyText"/>
        <w:spacing w:line="408" w:lineRule="auto"/>
        <w:ind w:right="147" w:firstLine="420"/>
        <w:jc w:val="both"/>
      </w:pPr>
      <w:r>
        <w:rPr>
          <w:spacing w:val="-2"/>
        </w:rPr>
        <w:t>资产可收回金额的估计，根据其公允价值减去处置费用后的净额与资产预计未来现金流量的现值两者</w:t>
      </w:r>
      <w:r>
        <w:rPr>
          <w:w w:val="100"/>
        </w:rPr>
        <w:t> </w:t>
      </w:r>
      <w:r>
        <w:rPr/>
        <w:t>之间较高者确定。</w:t>
      </w:r>
    </w:p>
    <w:p>
      <w:pPr>
        <w:pStyle w:val="BodyText"/>
        <w:spacing w:line="408" w:lineRule="auto"/>
        <w:ind w:right="147" w:firstLine="420"/>
        <w:jc w:val="both"/>
      </w:pPr>
      <w:r>
        <w:rPr>
          <w:spacing w:val="-2"/>
        </w:rPr>
        <w:t>可收回金额的计量结果表明，长期资产的可收回金额低于其账面价值的，将长期资产的账面价值减记</w:t>
      </w:r>
      <w:r>
        <w:rPr>
          <w:w w:val="100"/>
        </w:rPr>
        <w:t> </w:t>
      </w:r>
      <w:r>
        <w:rPr>
          <w:spacing w:val="-3"/>
        </w:rPr>
        <w:t>至可收回金额，减记的金额确认为资产减值损失，计入当期损益，同时计提相应的资产减值准备。资产减</w:t>
      </w:r>
      <w:r>
        <w:rPr>
          <w:spacing w:val="-15"/>
        </w:rPr>
        <w:t> </w:t>
      </w:r>
      <w:r>
        <w:rPr>
          <w:spacing w:val="-15"/>
        </w:rPr>
      </w:r>
      <w:r>
        <w:rPr/>
        <w:t>值损失一经确认，在以后会计期间不得转回。</w:t>
      </w:r>
    </w:p>
    <w:p>
      <w:pPr>
        <w:pStyle w:val="BodyText"/>
        <w:spacing w:line="408" w:lineRule="auto"/>
        <w:ind w:right="147" w:firstLine="420"/>
        <w:jc w:val="both"/>
      </w:pPr>
      <w:r>
        <w:rPr>
          <w:spacing w:val="-2"/>
        </w:rPr>
        <w:t>资产减值损失确认后，减值资产的折旧或者摊销费用在未来期间作相应调整，以使该资产在剩余使用</w:t>
      </w:r>
      <w:r>
        <w:rPr>
          <w:w w:val="100"/>
        </w:rPr>
        <w:t> </w:t>
      </w:r>
      <w:r>
        <w:rPr/>
        <w:t>寿命内，系统地分摊调整后的资产账面价值（扣除预计净残值）。</w:t>
      </w:r>
    </w:p>
    <w:p>
      <w:pPr>
        <w:pStyle w:val="BodyText"/>
        <w:spacing w:line="408" w:lineRule="auto"/>
        <w:ind w:right="147" w:firstLine="420"/>
        <w:jc w:val="both"/>
      </w:pPr>
      <w:r>
        <w:rPr>
          <w:spacing w:val="-2"/>
        </w:rPr>
        <w:t>因企业合并所形成的商誉和使用寿命不确定的无形资产，无论是否存在减值迹象，每年都进行减值测</w:t>
      </w:r>
      <w:r>
        <w:rPr>
          <w:w w:val="100"/>
        </w:rPr>
        <w:t> </w:t>
      </w:r>
      <w:r>
        <w:rPr/>
        <w:t>试。</w:t>
      </w:r>
    </w:p>
    <w:p>
      <w:pPr>
        <w:pStyle w:val="BodyText"/>
        <w:spacing w:line="240" w:lineRule="auto"/>
        <w:ind w:left="572" w:right="0"/>
        <w:jc w:val="left"/>
      </w:pPr>
      <w:r>
        <w:rPr/>
        <w:t>在对商誉进行减值测试时，将商誉的账面价值分摊至预期从企业合并的协同效应中受益的资产组或资</w:t>
      </w:r>
    </w:p>
    <w:p>
      <w:pPr>
        <w:spacing w:after="0" w:line="240"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right="146"/>
        <w:jc w:val="both"/>
      </w:pPr>
      <w:r>
        <w:rPr>
          <w:spacing w:val="-2"/>
        </w:rPr>
        <w:t>产组组合。在对包含商誉的相关资产组或者资产组组合进行减值测试时，如与商誉相关的资产组或者资产</w:t>
      </w:r>
      <w:r>
        <w:rPr>
          <w:spacing w:val="-49"/>
        </w:rPr>
        <w:t> </w:t>
      </w:r>
      <w:r>
        <w:rPr>
          <w:spacing w:val="-49"/>
        </w:rPr>
      </w:r>
      <w:r>
        <w:rPr>
          <w:spacing w:val="-2"/>
        </w:rPr>
        <w:t>组组合存在减值迹象的，先对不包含商誉的资产组或者资产组组合进行减值测试，计算可收回金额，并与</w:t>
      </w:r>
      <w:r>
        <w:rPr>
          <w:spacing w:val="-43"/>
        </w:rPr>
        <w:t> </w:t>
      </w:r>
      <w:r>
        <w:rPr>
          <w:spacing w:val="-43"/>
        </w:rPr>
      </w:r>
      <w:r>
        <w:rPr>
          <w:spacing w:val="-2"/>
        </w:rPr>
        <w:t>相关账面价值相比较，确认相应的减值损失。再对包含商誉的资产组或者资产组组合进行减值测试，比较</w:t>
      </w:r>
      <w:r>
        <w:rPr>
          <w:spacing w:val="-43"/>
        </w:rPr>
        <w:t> </w:t>
      </w:r>
      <w:r>
        <w:rPr>
          <w:spacing w:val="-43"/>
        </w:rPr>
      </w:r>
      <w:r>
        <w:rPr>
          <w:spacing w:val="-2"/>
        </w:rPr>
        <w:t>这些相关资产组或者资产组组合的账面价值（包括所分摊的商誉的账面价值部分）与其可收回金额，如相</w:t>
      </w:r>
      <w:r>
        <w:rPr>
          <w:spacing w:val="-44"/>
        </w:rPr>
        <w:t> </w:t>
      </w:r>
      <w:r>
        <w:rPr>
          <w:spacing w:val="-44"/>
        </w:rPr>
      </w:r>
      <w:r>
        <w:rPr/>
        <w:t>关资产组或者资产组组合的可收回金额低于其账面价值的，确认商誉的减值损失。</w:t>
      </w:r>
    </w:p>
    <w:p>
      <w:pPr>
        <w:pStyle w:val="Heading3"/>
        <w:spacing w:line="240" w:lineRule="auto" w:before="166"/>
        <w:ind w:left="632" w:right="0"/>
        <w:jc w:val="left"/>
        <w:rPr>
          <w:b w:val="0"/>
          <w:bCs w:val="0"/>
        </w:rPr>
      </w:pPr>
      <w:r>
        <w:rPr/>
        <w:t>（十八）长期待摊费用</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left="572" w:right="0" w:firstLine="2"/>
        <w:jc w:val="left"/>
      </w:pP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摊销方法</w:t>
      </w:r>
      <w:r>
        <w:rPr>
          <w:rFonts w:ascii="宋体" w:hAnsi="宋体" w:cs="宋体" w:eastAsia="宋体" w:hint="default"/>
          <w:b/>
          <w:bCs/>
          <w:w w:val="100"/>
        </w:rPr>
        <w:t> </w:t>
      </w:r>
      <w:r>
        <w:rPr>
          <w:spacing w:val="-2"/>
        </w:rPr>
        <w:t>长期待摊费用，是指本公司已经发生但应由本期和以后各期负担的分摊期限在</w:t>
      </w:r>
      <w:r>
        <w:rPr>
          <w:rFonts w:ascii="宋体" w:hAnsi="宋体" w:cs="宋体" w:eastAsia="宋体" w:hint="default"/>
          <w:spacing w:val="-2"/>
        </w:rPr>
        <w:t>1</w:t>
      </w:r>
      <w:r>
        <w:rPr>
          <w:spacing w:val="-2"/>
        </w:rPr>
        <w:t>年以上的各项费用。</w:t>
      </w:r>
      <w:r>
        <w:rPr/>
      </w:r>
    </w:p>
    <w:p>
      <w:pPr>
        <w:pStyle w:val="BodyText"/>
        <w:spacing w:line="240" w:lineRule="auto"/>
        <w:ind w:right="0"/>
        <w:jc w:val="both"/>
      </w:pPr>
      <w:r>
        <w:rPr/>
        <w:t>长期待摊费用在受益期内按直线法分期摊销。</w:t>
      </w:r>
    </w:p>
    <w:p>
      <w:pPr>
        <w:pStyle w:val="Heading3"/>
        <w:spacing w:line="240" w:lineRule="auto" w:before="116"/>
        <w:ind w:left="575" w:right="0"/>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4003"/>
        <w:gridCol w:w="4416"/>
      </w:tblGrid>
      <w:tr>
        <w:trPr>
          <w:trHeight w:val="353" w:hRule="exact"/>
        </w:trPr>
        <w:tc>
          <w:tcPr>
            <w:tcW w:w="40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276" w:right="0"/>
              <w:jc w:val="left"/>
              <w:rPr>
                <w:rFonts w:ascii="宋体" w:hAnsi="宋体" w:cs="宋体" w:eastAsia="宋体" w:hint="default"/>
                <w:sz w:val="18"/>
                <w:szCs w:val="18"/>
              </w:rPr>
            </w:pPr>
            <w:r>
              <w:rPr>
                <w:rFonts w:ascii="宋体" w:hAnsi="宋体" w:cs="宋体" w:eastAsia="宋体" w:hint="default"/>
                <w:sz w:val="18"/>
                <w:szCs w:val="18"/>
              </w:rPr>
              <w:t>长期摊销费用类别</w:t>
            </w:r>
          </w:p>
        </w:tc>
        <w:tc>
          <w:tcPr>
            <w:tcW w:w="44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53" w:hRule="exact"/>
        </w:trPr>
        <w:tc>
          <w:tcPr>
            <w:tcW w:w="4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办公楼装修费</w:t>
            </w:r>
          </w:p>
        </w:tc>
        <w:tc>
          <w:tcPr>
            <w:tcW w:w="44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1752"/>
              <w:jc w:val="righ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个月</w:t>
            </w:r>
          </w:p>
        </w:tc>
      </w:tr>
      <w:tr>
        <w:trPr>
          <w:trHeight w:val="353" w:hRule="exact"/>
        </w:trPr>
        <w:tc>
          <w:tcPr>
            <w:tcW w:w="4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仓库装修费</w:t>
            </w:r>
          </w:p>
        </w:tc>
        <w:tc>
          <w:tcPr>
            <w:tcW w:w="44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1752"/>
              <w:jc w:val="righ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个月</w:t>
            </w:r>
          </w:p>
        </w:tc>
      </w:tr>
      <w:tr>
        <w:trPr>
          <w:trHeight w:val="353" w:hRule="exact"/>
        </w:trPr>
        <w:tc>
          <w:tcPr>
            <w:tcW w:w="4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z w:val="18"/>
                <w:szCs w:val="18"/>
              </w:rPr>
              <w:t>QQ</w:t>
            </w:r>
            <w:r>
              <w:rPr>
                <w:rFonts w:ascii="宋体" w:hAnsi="宋体" w:cs="宋体" w:eastAsia="宋体" w:hint="default"/>
                <w:sz w:val="18"/>
                <w:szCs w:val="18"/>
              </w:rPr>
              <w:t>服务费</w:t>
            </w:r>
          </w:p>
        </w:tc>
        <w:tc>
          <w:tcPr>
            <w:tcW w:w="44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1752"/>
              <w:jc w:val="righ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宋体" w:hAnsi="宋体" w:cs="宋体" w:eastAsia="宋体" w:hint="default"/>
                <w:sz w:val="18"/>
                <w:szCs w:val="18"/>
              </w:rPr>
              <w:t>个月</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408" w:lineRule="auto" w:before="36"/>
        <w:ind w:left="572" w:right="0"/>
        <w:jc w:val="left"/>
      </w:pPr>
      <w:r>
        <w:rPr>
          <w:rFonts w:ascii="宋体" w:hAnsi="宋体" w:cs="宋体" w:eastAsia="宋体" w:hint="default"/>
          <w:b/>
          <w:bCs/>
        </w:rPr>
        <w:t>（十九）职工薪酬</w:t>
      </w:r>
      <w:r>
        <w:rPr>
          <w:rFonts w:ascii="宋体" w:hAnsi="宋体" w:cs="宋体" w:eastAsia="宋体" w:hint="default"/>
          <w:b/>
          <w:bCs/>
          <w:spacing w:val="-103"/>
        </w:rPr>
        <w:t> </w:t>
      </w:r>
      <w:r>
        <w:rPr>
          <w:spacing w:val="-2"/>
        </w:rPr>
        <w:t>职工薪酬，是指本公司为获得职工提供的服务或解除劳动关系而给予的各种形式的报酬或补偿。职工</w:t>
      </w:r>
    </w:p>
    <w:p>
      <w:pPr>
        <w:pStyle w:val="BodyText"/>
        <w:spacing w:line="240" w:lineRule="auto"/>
        <w:ind w:right="0"/>
        <w:jc w:val="left"/>
      </w:pPr>
      <w:r>
        <w:rPr/>
        <w:t>薪酬包括短期薪酬、离职后福利、辞退福利和其他长期职工福利。</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43"/>
        </w:rPr>
        <w:t> </w:t>
      </w:r>
      <w:r>
        <w:rPr/>
        <w:t>短期薪酬</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12" w:right="183" w:firstLine="420"/>
        <w:jc w:val="both"/>
      </w:pPr>
      <w:r>
        <w:rPr>
          <w:spacing w:val="-2"/>
        </w:rPr>
        <w:t>短期薪酬是指本公司在职工提供相关服务的年度报告期间结束后十二个月内需要全部予以支付的</w:t>
      </w:r>
      <w:r>
        <w:rPr>
          <w:w w:val="100"/>
        </w:rPr>
        <w:t> </w:t>
      </w:r>
      <w:r>
        <w:rPr>
          <w:spacing w:val="-2"/>
        </w:rPr>
        <w:t>职工薪酬，离职后福利和辞退福利除外。本公司在职工提供服务的会计期间，将应付的短期薪酬确认</w:t>
      </w:r>
      <w:r>
        <w:rPr>
          <w:spacing w:val="-21"/>
        </w:rPr>
        <w:t> </w:t>
      </w:r>
      <w:r>
        <w:rPr>
          <w:spacing w:val="-21"/>
        </w:rPr>
      </w:r>
      <w:r>
        <w:rPr/>
        <w:t>为负债，并根据职工提供服务的受益对象计入相关资产成本和费用。</w:t>
      </w:r>
    </w:p>
    <w:p>
      <w:pPr>
        <w:pStyle w:val="Heading3"/>
        <w:spacing w:line="240" w:lineRule="auto" w:before="46"/>
        <w:ind w:right="0"/>
        <w:jc w:val="left"/>
        <w:rPr>
          <w:b w:val="0"/>
          <w:bCs w:val="0"/>
        </w:rPr>
      </w:pPr>
      <w:r>
        <w:rPr>
          <w:rFonts w:ascii="宋体" w:hAnsi="宋体" w:cs="宋体" w:eastAsia="宋体" w:hint="default"/>
        </w:rPr>
        <w:t>1.</w:t>
      </w:r>
      <w:r>
        <w:rPr>
          <w:rFonts w:ascii="宋体" w:hAnsi="宋体" w:cs="宋体" w:eastAsia="宋体" w:hint="default"/>
          <w:spacing w:val="43"/>
        </w:rPr>
        <w:t> </w:t>
      </w:r>
      <w:r>
        <w:rPr/>
        <w:t>离职后福利</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12" w:right="183" w:firstLine="420"/>
        <w:jc w:val="both"/>
      </w:pPr>
      <w:r>
        <w:rPr>
          <w:spacing w:val="-2"/>
        </w:rPr>
        <w:t>离职后福利是指本公司为获得职工提供的服务而在职工退休或与企业解除劳动关系后，提供的各</w:t>
      </w:r>
      <w:r>
        <w:rPr>
          <w:w w:val="100"/>
        </w:rPr>
        <w:t> </w:t>
      </w:r>
      <w:r>
        <w:rPr/>
        <w:t>种形式的报酬和福利，短期薪酬和辞退福利除外。</w:t>
      </w:r>
    </w:p>
    <w:p>
      <w:pPr>
        <w:pStyle w:val="BodyText"/>
        <w:spacing w:line="408" w:lineRule="auto"/>
        <w:ind w:left="932" w:right="0"/>
        <w:jc w:val="left"/>
      </w:pPr>
      <w:r>
        <w:rPr/>
        <w:t>本公司的离职后福利计划分类为设定提存计划和设定受益计划。</w:t>
      </w:r>
      <w:r>
        <w:rPr>
          <w:w w:val="100"/>
        </w:rPr>
        <w:t> </w:t>
      </w:r>
      <w:r>
        <w:rPr>
          <w:spacing w:val="-2"/>
        </w:rPr>
        <w:t>离职后福利设定提存计划主要为参加由各地劳动及社会保障机构组织实施的社会基本养老保险、</w:t>
      </w:r>
    </w:p>
    <w:p>
      <w:pPr>
        <w:pStyle w:val="BodyText"/>
        <w:spacing w:line="408" w:lineRule="auto"/>
        <w:ind w:left="512" w:right="0"/>
        <w:jc w:val="left"/>
      </w:pPr>
      <w:r>
        <w:rPr>
          <w:spacing w:val="-2"/>
        </w:rPr>
        <w:t>失业保险等。在职工为本公司提供服务的会计期间，将根据设定提存计划计算的应缴存金额确认为负</w:t>
      </w:r>
      <w:r>
        <w:rPr>
          <w:spacing w:val="-21"/>
        </w:rPr>
        <w:t> </w:t>
      </w:r>
      <w:r>
        <w:rPr>
          <w:spacing w:val="-21"/>
        </w:rPr>
      </w:r>
      <w:r>
        <w:rPr/>
        <w:t>债，并计入当期损益或相关资产成本。</w:t>
      </w:r>
    </w:p>
    <w:p>
      <w:pPr>
        <w:pStyle w:val="BodyText"/>
        <w:spacing w:line="240" w:lineRule="auto"/>
        <w:ind w:left="932" w:right="0"/>
        <w:jc w:val="left"/>
      </w:pPr>
      <w:r>
        <w:rPr/>
        <w:t>本公司按照国家规定的标准定期缴付上述款项后，不再有其他的支付义务。</w:t>
      </w:r>
    </w:p>
    <w:p>
      <w:pPr>
        <w:spacing w:after="0" w:line="240"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Heading3"/>
        <w:spacing w:line="240" w:lineRule="auto" w:before="36"/>
        <w:ind w:right="106"/>
        <w:jc w:val="left"/>
        <w:rPr>
          <w:b w:val="0"/>
          <w:bCs w:val="0"/>
        </w:rPr>
      </w:pPr>
      <w:r>
        <w:rPr>
          <w:rFonts w:ascii="宋体" w:hAnsi="宋体" w:cs="宋体" w:eastAsia="宋体" w:hint="default"/>
        </w:rPr>
        <w:t>1.</w:t>
      </w:r>
      <w:r>
        <w:rPr>
          <w:rFonts w:ascii="宋体" w:hAnsi="宋体" w:cs="宋体" w:eastAsia="宋体" w:hint="default"/>
          <w:spacing w:val="43"/>
        </w:rPr>
        <w:t> </w:t>
      </w:r>
      <w:r>
        <w:rPr/>
        <w:t>辞退福利</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12" w:right="106" w:firstLine="420"/>
        <w:jc w:val="left"/>
      </w:pPr>
      <w:r>
        <w:rPr/>
        <w:t>辞退福利是指本公司在职工劳动合同到期之前解除与职工的劳动关系，或者为鼓励职工自愿接受</w:t>
      </w:r>
      <w:r>
        <w:rPr>
          <w:w w:val="100"/>
        </w:rPr>
        <w:t> </w:t>
      </w:r>
      <w:r>
        <w:rPr/>
        <w:t>裁减而给予职工的补偿，在本公司不能单方面撤回解除劳动关系计划或裁减建议时和确认与涉及支付</w:t>
      </w:r>
      <w:r>
        <w:rPr>
          <w:w w:val="100"/>
        </w:rPr>
        <w:t> </w:t>
      </w:r>
      <w:r>
        <w:rPr>
          <w:spacing w:val="-3"/>
        </w:rPr>
        <w:t>辞退福利的重组相关的成本费用时两者孰早日，确认因解除与职工的劳动关系给予补偿而产生的负债，</w:t>
      </w:r>
      <w:r>
        <w:rPr>
          <w:spacing w:val="-44"/>
        </w:rPr>
        <w:t> </w:t>
      </w:r>
      <w:r>
        <w:rPr>
          <w:spacing w:val="-44"/>
        </w:rPr>
      </w:r>
      <w:r>
        <w:rPr/>
        <w:t>同时计入当期损益。</w:t>
      </w:r>
    </w:p>
    <w:p>
      <w:pPr>
        <w:pStyle w:val="BodyText"/>
        <w:spacing w:line="408" w:lineRule="auto"/>
        <w:ind w:left="932" w:right="106"/>
        <w:jc w:val="left"/>
      </w:pPr>
      <w:r>
        <w:rPr>
          <w:spacing w:val="-3"/>
        </w:rPr>
        <w:t>本公司向接受内部退休安排的职工提供内退福利。内退福利是指，向未达到国家规定的退休年龄、</w:t>
      </w:r>
      <w:r>
        <w:rPr>
          <w:spacing w:val="-48"/>
        </w:rPr>
        <w:t> </w:t>
      </w:r>
      <w:r>
        <w:rPr>
          <w:spacing w:val="-48"/>
        </w:rPr>
      </w:r>
      <w:r>
        <w:rPr/>
        <w:t>经本公司管理层批准自愿退出工作岗位的职工支付的工资及为其缴纳的社会保险费等。本公司自</w:t>
      </w:r>
      <w:r>
        <w:rPr>
          <w:w w:val="100"/>
        </w:rPr>
        <w:t> </w:t>
      </w:r>
      <w:r>
        <w:rPr/>
        <w:t>内部退休安排开始之日起至职工达到正常退休年龄止，向内退职工支付内部退养福利。对于内退</w:t>
      </w:r>
      <w:r>
        <w:rPr>
          <w:w w:val="100"/>
        </w:rPr>
        <w:t> </w:t>
      </w:r>
      <w:r>
        <w:rPr/>
        <w:t>福利，本公司比照辞退福利进行会计处理，在符合辞退福利相关确认条件时，将自职工停止提供</w:t>
      </w:r>
      <w:r>
        <w:rPr>
          <w:w w:val="100"/>
        </w:rPr>
        <w:t> </w:t>
      </w:r>
      <w:r>
        <w:rPr/>
        <w:t>服务日至正常退休日期间拟支付的内退职工工资和缴纳的社会保险费等，确认为负债，一次性计</w:t>
      </w:r>
      <w:r>
        <w:rPr>
          <w:w w:val="100"/>
        </w:rPr>
        <w:t> </w:t>
      </w:r>
      <w:r>
        <w:rPr/>
        <w:t>入当期损益。内退福利的精算假设变化及福利标准调整引起的差异于发生时计入当期损益。</w:t>
      </w:r>
    </w:p>
    <w:p>
      <w:pPr>
        <w:pStyle w:val="BodyText"/>
        <w:spacing w:line="408" w:lineRule="auto"/>
        <w:ind w:left="572" w:right="106" w:hanging="42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其他长期职工福利</w:t>
      </w:r>
      <w:r>
        <w:rPr>
          <w:rFonts w:ascii="宋体" w:hAnsi="宋体" w:cs="宋体" w:eastAsia="宋体" w:hint="default"/>
          <w:b/>
          <w:bCs/>
          <w:spacing w:val="-104"/>
        </w:rPr>
        <w:t> </w:t>
      </w:r>
      <w:r>
        <w:rPr/>
        <w:t>其他长期职工福利是指除短期薪酬、离职后福利、辞退福利之外的其他所有职工福利。</w:t>
      </w:r>
      <w:r>
        <w:rPr>
          <w:w w:val="100"/>
        </w:rPr>
        <w:t> </w:t>
      </w:r>
      <w:r>
        <w:rPr>
          <w:spacing w:val="-2"/>
        </w:rPr>
        <w:t>对符合设定提存计划条件的其他长期职工福利，在职工为本公司提供服务的会计期间，将应缴存金额</w:t>
      </w:r>
    </w:p>
    <w:p>
      <w:pPr>
        <w:pStyle w:val="BodyText"/>
        <w:spacing w:line="240" w:lineRule="auto"/>
        <w:ind w:right="106"/>
        <w:jc w:val="left"/>
      </w:pPr>
      <w:r>
        <w:rPr/>
        <w:t>确认为负债，并计入当期损益或相关资产成本。</w:t>
      </w:r>
    </w:p>
    <w:p>
      <w:pPr>
        <w:spacing w:line="240" w:lineRule="auto" w:before="12"/>
        <w:rPr>
          <w:rFonts w:ascii="宋体" w:hAnsi="宋体" w:cs="宋体" w:eastAsia="宋体" w:hint="default"/>
          <w:sz w:val="23"/>
          <w:szCs w:val="23"/>
        </w:rPr>
      </w:pPr>
    </w:p>
    <w:p>
      <w:pPr>
        <w:pStyle w:val="Heading3"/>
        <w:spacing w:line="240" w:lineRule="auto"/>
        <w:ind w:left="572" w:right="106"/>
        <w:jc w:val="left"/>
        <w:rPr>
          <w:b w:val="0"/>
          <w:bCs w:val="0"/>
        </w:rPr>
      </w:pPr>
      <w:r>
        <w:rPr/>
        <w:t>（二十）预计负债</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932" w:right="1967" w:firstLine="2"/>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预计负债的确认标准</w:t>
      </w:r>
      <w:r>
        <w:rPr>
          <w:rFonts w:ascii="宋体" w:hAnsi="宋体" w:cs="宋体" w:eastAsia="宋体" w:hint="default"/>
          <w:b/>
          <w:bCs/>
          <w:w w:val="100"/>
        </w:rPr>
        <w:t> </w:t>
      </w: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pStyle w:val="BodyText"/>
        <w:spacing w:line="408" w:lineRule="auto"/>
        <w:ind w:left="572" w:right="106" w:firstLine="2"/>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预计负债的计量方法</w:t>
      </w:r>
      <w:r>
        <w:rPr>
          <w:rFonts w:ascii="宋体" w:hAnsi="宋体" w:cs="宋体" w:eastAsia="宋体" w:hint="default"/>
          <w:b/>
          <w:bCs/>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408" w:lineRule="auto"/>
        <w:ind w:left="572" w:right="106" w:hanging="421"/>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408" w:lineRule="auto"/>
        <w:ind w:left="572" w:right="106" w:hanging="420"/>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spacing w:after="0" w:line="408" w:lineRule="auto"/>
        <w:jc w:val="left"/>
        <w:sectPr>
          <w:footerReference w:type="default" r:id="rId51"/>
          <w:pgSz w:w="11910" w:h="16840"/>
          <w:pgMar w:footer="1066" w:header="990" w:top="1220" w:bottom="1260" w:left="980" w:right="920"/>
          <w:pgNumType w:start="110"/>
        </w:sectPr>
      </w:pPr>
    </w:p>
    <w:p>
      <w:pPr>
        <w:spacing w:line="240" w:lineRule="auto" w:before="4"/>
        <w:rPr>
          <w:rFonts w:ascii="宋体" w:hAnsi="宋体" w:cs="宋体" w:eastAsia="宋体" w:hint="default"/>
          <w:sz w:val="16"/>
          <w:szCs w:val="16"/>
        </w:rPr>
      </w:pPr>
    </w:p>
    <w:p>
      <w:pPr>
        <w:pStyle w:val="BodyText"/>
        <w:spacing w:line="408" w:lineRule="auto" w:before="36"/>
        <w:ind w:right="0"/>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408" w:lineRule="auto"/>
        <w:ind w:right="0"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pStyle w:val="Heading3"/>
        <w:spacing w:line="240" w:lineRule="auto" w:before="166"/>
        <w:ind w:left="632" w:right="0"/>
        <w:jc w:val="left"/>
        <w:rPr>
          <w:b w:val="0"/>
          <w:bCs w:val="0"/>
        </w:rPr>
      </w:pPr>
      <w:r>
        <w:rPr/>
        <w:t>（二十一）收入</w:t>
      </w:r>
      <w:r>
        <w:rPr>
          <w:b w:val="0"/>
          <w:bCs w:val="0"/>
        </w:rPr>
      </w:r>
    </w:p>
    <w:p>
      <w:pPr>
        <w:spacing w:line="240" w:lineRule="auto" w:before="10"/>
        <w:rPr>
          <w:rFonts w:ascii="宋体" w:hAnsi="宋体" w:cs="宋体" w:eastAsia="宋体" w:hint="default"/>
          <w:b/>
          <w:bCs/>
          <w:sz w:val="14"/>
          <w:szCs w:val="14"/>
        </w:rPr>
      </w:pPr>
    </w:p>
    <w:p>
      <w:pPr>
        <w:spacing w:line="408" w:lineRule="auto" w:before="0"/>
        <w:ind w:left="1038" w:right="0" w:hanging="886"/>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3"/>
          <w:sz w:val="21"/>
          <w:szCs w:val="21"/>
        </w:rPr>
        <w:t>公司已将商品所有权上的主要风险和报酬转移给购买方；公司既没有保留与所有权相联系的继续</w:t>
      </w:r>
    </w:p>
    <w:p>
      <w:pPr>
        <w:pStyle w:val="BodyText"/>
        <w:spacing w:line="408" w:lineRule="auto"/>
        <w:ind w:left="512" w:right="183"/>
        <w:jc w:val="both"/>
      </w:pPr>
      <w:r>
        <w:rPr>
          <w:spacing w:val="-2"/>
        </w:rPr>
        <w:t>管理权，也没有对已售出的商品实施有效控制；收入的金额能够可靠地计量；相关的经济利益很可能</w:t>
      </w:r>
      <w:r>
        <w:rPr>
          <w:spacing w:val="-21"/>
        </w:rPr>
        <w:t> </w:t>
      </w:r>
      <w:r>
        <w:rPr>
          <w:spacing w:val="-21"/>
        </w:rPr>
      </w:r>
      <w:r>
        <w:rPr>
          <w:spacing w:val="-2"/>
        </w:rPr>
        <w:t>流入企业；相关的已发生或将发生的成本能够可靠地计量时，确认商品销售收入实现。各销售方式收</w:t>
      </w:r>
      <w:r>
        <w:rPr>
          <w:spacing w:val="-21"/>
        </w:rPr>
        <w:t> </w:t>
      </w:r>
      <w:r>
        <w:rPr>
          <w:spacing w:val="-21"/>
        </w:rPr>
      </w:r>
      <w:r>
        <w:rPr/>
        <w:t>入确认说明如下：</w:t>
      </w:r>
    </w:p>
    <w:p>
      <w:pPr>
        <w:pStyle w:val="BodyText"/>
        <w:spacing w:line="408" w:lineRule="auto"/>
        <w:ind w:left="932" w:right="0" w:hanging="209"/>
        <w:jc w:val="left"/>
      </w:pPr>
      <w:r>
        <w:rPr/>
        <w:t>（</w:t>
      </w:r>
      <w:r>
        <w:rPr>
          <w:rFonts w:ascii="宋体" w:hAnsi="宋体" w:cs="宋体" w:eastAsia="宋体" w:hint="default"/>
        </w:rPr>
        <w:t>1</w:t>
      </w:r>
      <w:r>
        <w:rPr/>
        <w:t>）直接销售收入确认</w:t>
      </w:r>
      <w:r>
        <w:rPr>
          <w:spacing w:val="-3"/>
          <w:w w:val="100"/>
        </w:rPr>
        <w:t> </w:t>
      </w:r>
      <w:r>
        <w:rPr>
          <w:spacing w:val="-2"/>
        </w:rPr>
        <w:t>公司根据学生或家长的订单情况，通过第三方物流进行配送，由公司当地营销人员负责向中小学</w:t>
      </w:r>
    </w:p>
    <w:p>
      <w:pPr>
        <w:pStyle w:val="BodyText"/>
        <w:spacing w:line="240" w:lineRule="auto"/>
        <w:ind w:left="512" w:right="0"/>
        <w:jc w:val="both"/>
      </w:pPr>
      <w:r>
        <w:rPr/>
        <w:t>生或其家长发放，在与中小学生或其家长进行确认并收款后，直接确认销售收入。</w:t>
      </w:r>
    </w:p>
    <w:p>
      <w:pPr>
        <w:spacing w:line="240" w:lineRule="auto" w:before="10"/>
        <w:rPr>
          <w:rFonts w:ascii="宋体" w:hAnsi="宋体" w:cs="宋体" w:eastAsia="宋体" w:hint="default"/>
          <w:sz w:val="14"/>
          <w:szCs w:val="14"/>
        </w:rPr>
      </w:pPr>
    </w:p>
    <w:p>
      <w:pPr>
        <w:pStyle w:val="BodyText"/>
        <w:spacing w:line="408" w:lineRule="auto" w:before="0"/>
        <w:ind w:left="932" w:right="0" w:hanging="209"/>
        <w:jc w:val="left"/>
      </w:pPr>
      <w:r>
        <w:rPr/>
        <w:t>（</w:t>
      </w:r>
      <w:r>
        <w:rPr>
          <w:rFonts w:ascii="宋体" w:hAnsi="宋体" w:cs="宋体" w:eastAsia="宋体" w:hint="default"/>
        </w:rPr>
        <w:t>2</w:t>
      </w:r>
      <w:r>
        <w:rPr/>
        <w:t>）教育系统征订销售渠道收入确认</w:t>
      </w:r>
      <w:r>
        <w:rPr>
          <w:spacing w:val="-3"/>
          <w:w w:val="100"/>
        </w:rPr>
        <w:t> </w:t>
      </w:r>
      <w:r>
        <w:rPr>
          <w:spacing w:val="-2"/>
        </w:rPr>
        <w:t>根据订单规定的交货时间及送货地址由仓库根据商务开具的发货单明细配送发货；成品送至客户</w:t>
      </w:r>
    </w:p>
    <w:p>
      <w:pPr>
        <w:pStyle w:val="BodyText"/>
        <w:spacing w:line="408" w:lineRule="auto"/>
        <w:ind w:left="512" w:right="183"/>
        <w:jc w:val="both"/>
      </w:pPr>
      <w:r>
        <w:rPr>
          <w:spacing w:val="-2"/>
        </w:rPr>
        <w:t>指定收货点后，由收货单位于送货单上盖章签字确认；相关送货人员将客户盖章签字确认的送货单交</w:t>
      </w:r>
      <w:r>
        <w:rPr>
          <w:spacing w:val="-21"/>
        </w:rPr>
        <w:t> </w:t>
      </w:r>
      <w:r>
        <w:rPr>
          <w:spacing w:val="-21"/>
        </w:rPr>
      </w:r>
      <w:r>
        <w:rPr>
          <w:spacing w:val="-2"/>
        </w:rPr>
        <w:t>财务部门和销售部门各一联；由公司商务部根据客户确认的送货单与客户核对产品品种、数量，根据</w:t>
      </w:r>
      <w:r>
        <w:rPr>
          <w:spacing w:val="-21"/>
        </w:rPr>
        <w:t> </w:t>
      </w:r>
      <w:r>
        <w:rPr>
          <w:spacing w:val="-21"/>
        </w:rPr>
      </w:r>
      <w:r>
        <w:rPr>
          <w:spacing w:val="-2"/>
        </w:rPr>
        <w:t>合同单价制作对账结算单并传真至客户，由其盖章确认后回传至公司；根据客户回传确认的对账结算</w:t>
      </w:r>
      <w:r>
        <w:rPr>
          <w:spacing w:val="-21"/>
        </w:rPr>
        <w:t> </w:t>
      </w:r>
      <w:r>
        <w:rPr>
          <w:spacing w:val="-21"/>
        </w:rPr>
      </w:r>
      <w:r>
        <w:rPr/>
        <w:t>单确认收入。</w:t>
      </w:r>
    </w:p>
    <w:p>
      <w:pPr>
        <w:pStyle w:val="BodyText"/>
        <w:spacing w:line="408" w:lineRule="auto"/>
        <w:ind w:left="933" w:right="0" w:hanging="106"/>
        <w:jc w:val="left"/>
      </w:pPr>
      <w:r>
        <w:rPr/>
        <w:t>（</w:t>
      </w:r>
      <w:r>
        <w:rPr>
          <w:rFonts w:ascii="宋体" w:hAnsi="宋体" w:cs="宋体" w:eastAsia="宋体" w:hint="default"/>
        </w:rPr>
        <w:t>3</w:t>
      </w:r>
      <w:r>
        <w:rPr/>
        <w:t>）系统销售一般收入确认</w:t>
      </w:r>
      <w:r>
        <w:rPr>
          <w:spacing w:val="-3"/>
          <w:w w:val="100"/>
        </w:rPr>
        <w:t> </w:t>
      </w:r>
      <w:r>
        <w:rPr>
          <w:spacing w:val="-2"/>
        </w:rPr>
        <w:t>在客户信用额度内的订货，由商务部门开具发货单通知库房配送产品；本地客户由相关送货人员</w:t>
      </w:r>
    </w:p>
    <w:p>
      <w:pPr>
        <w:pStyle w:val="BodyText"/>
        <w:spacing w:line="408" w:lineRule="auto"/>
        <w:ind w:left="512" w:right="182"/>
        <w:jc w:val="both"/>
      </w:pPr>
      <w:r>
        <w:rPr>
          <w:spacing w:val="-2"/>
        </w:rPr>
        <w:t>送至客户仓库，将客户盖章签字确认的送货单交财务部门和销售部门各一联。异地客户由客户收货员</w:t>
      </w:r>
      <w:r>
        <w:rPr>
          <w:spacing w:val="-21"/>
        </w:rPr>
        <w:t> </w:t>
      </w:r>
      <w:r>
        <w:rPr>
          <w:spacing w:val="-21"/>
        </w:rPr>
      </w:r>
      <w:r>
        <w:rPr>
          <w:spacing w:val="-2"/>
        </w:rPr>
        <w:t>盖章签字后传真给公司商务部门和财务部门留存；每月公司商务部门与书店系统代理进行对账确认。</w:t>
      </w:r>
      <w:r>
        <w:rPr>
          <w:spacing w:val="-21"/>
        </w:rPr>
        <w:t> </w:t>
      </w:r>
      <w:r>
        <w:rPr>
          <w:spacing w:val="-21"/>
        </w:rPr>
      </w:r>
      <w:r>
        <w:rPr/>
        <w:t>书店系统代理销售根据双方确认的对账结算单确认收入。</w:t>
      </w:r>
    </w:p>
    <w:p>
      <w:pPr>
        <w:pStyle w:val="BodyText"/>
        <w:spacing w:line="408" w:lineRule="auto"/>
        <w:ind w:left="933" w:right="0" w:hanging="106"/>
        <w:jc w:val="left"/>
      </w:pPr>
      <w:r>
        <w:rPr/>
        <w:t>（</w:t>
      </w:r>
      <w:r>
        <w:rPr>
          <w:rFonts w:ascii="宋体" w:hAnsi="宋体" w:cs="宋体" w:eastAsia="宋体" w:hint="default"/>
        </w:rPr>
        <w:t>4</w:t>
      </w:r>
      <w:r>
        <w:rPr/>
        <w:t>）邮件系统、其他产品销售收入确认</w:t>
      </w:r>
      <w:r>
        <w:rPr>
          <w:w w:val="100"/>
        </w:rPr>
        <w:t> </w:t>
      </w:r>
      <w:r>
        <w:rPr>
          <w:spacing w:val="-2"/>
        </w:rPr>
        <w:t>邮件系统销售分产品销售与解决方案实施。大部分需进行二次开发、设备安装、上线试运行及验</w:t>
      </w:r>
    </w:p>
    <w:p>
      <w:pPr>
        <w:pStyle w:val="BodyText"/>
        <w:spacing w:line="408" w:lineRule="auto"/>
        <w:ind w:left="512" w:right="182"/>
        <w:jc w:val="both"/>
      </w:pPr>
      <w:r>
        <w:rPr>
          <w:spacing w:val="-2"/>
        </w:rPr>
        <w:t>收等程序；与货物相关的风险、所有权和责任，在验收合格后方转移到买方。公司在取得用户验收合</w:t>
      </w:r>
      <w:r>
        <w:rPr>
          <w:spacing w:val="-21"/>
        </w:rPr>
        <w:t> </w:t>
      </w:r>
      <w:r>
        <w:rPr>
          <w:spacing w:val="-21"/>
        </w:rPr>
      </w:r>
      <w:r>
        <w:rPr/>
        <w:t>格确认书时根据合同约定确认销售收入。</w:t>
      </w:r>
    </w:p>
    <w:p>
      <w:pPr>
        <w:pStyle w:val="Heading3"/>
        <w:spacing w:line="240" w:lineRule="auto" w:before="45"/>
        <w:ind w:right="0"/>
        <w:jc w:val="left"/>
        <w:rPr>
          <w:b w:val="0"/>
          <w:bCs w:val="0"/>
        </w:rPr>
      </w:pPr>
      <w:r>
        <w:rPr>
          <w:rFonts w:ascii="宋体" w:hAnsi="宋体" w:cs="宋体" w:eastAsia="宋体" w:hint="default"/>
        </w:rPr>
        <w:t>1.</w:t>
      </w:r>
      <w:r>
        <w:rPr>
          <w:rFonts w:ascii="宋体" w:hAnsi="宋体" w:cs="宋体" w:eastAsia="宋体" w:hint="default"/>
          <w:spacing w:val="40"/>
        </w:rPr>
        <w:t> </w:t>
      </w:r>
      <w:r>
        <w:rPr/>
        <w:t>确认让渡资产使用权收入的依据</w:t>
      </w:r>
      <w:r>
        <w:rPr>
          <w:b w:val="0"/>
          <w:bCs w:val="0"/>
        </w:rPr>
      </w:r>
    </w:p>
    <w:p>
      <w:pPr>
        <w:spacing w:after="0" w:line="240" w:lineRule="auto"/>
        <w:jc w:val="left"/>
        <w:sectPr>
          <w:pgSz w:w="11910" w:h="16840"/>
          <w:pgMar w:header="990" w:footer="1066" w:top="1220" w:bottom="1260" w:left="980" w:right="980"/>
        </w:sectPr>
      </w:pPr>
    </w:p>
    <w:p>
      <w:pPr>
        <w:spacing w:line="240" w:lineRule="auto" w:before="4"/>
        <w:rPr>
          <w:rFonts w:ascii="宋体" w:hAnsi="宋体" w:cs="宋体" w:eastAsia="宋体" w:hint="default"/>
          <w:b/>
          <w:bCs/>
          <w:sz w:val="16"/>
          <w:szCs w:val="16"/>
        </w:rPr>
      </w:pPr>
    </w:p>
    <w:p>
      <w:pPr>
        <w:pStyle w:val="BodyText"/>
        <w:spacing w:line="408" w:lineRule="auto" w:before="36"/>
        <w:ind w:left="512" w:right="0" w:firstLine="420"/>
        <w:jc w:val="left"/>
      </w:pPr>
      <w:r>
        <w:rPr>
          <w:spacing w:val="-1"/>
        </w:rPr>
        <w:t>与交易相关的经济利益很可能流入企业，收入的金额能够可靠地计量时。分别下列情况确定让渡</w:t>
      </w:r>
      <w:r>
        <w:rPr>
          <w:w w:val="100"/>
        </w:rPr>
        <w:t> </w:t>
      </w:r>
      <w:r>
        <w:rPr/>
        <w:t>资产使用权收入金额：</w:t>
      </w:r>
    </w:p>
    <w:p>
      <w:pPr>
        <w:pStyle w:val="BodyText"/>
        <w:spacing w:line="240" w:lineRule="auto"/>
        <w:ind w:left="932" w:right="0"/>
        <w:jc w:val="left"/>
      </w:pPr>
      <w:r>
        <w:rPr/>
        <w:t>（</w:t>
      </w:r>
      <w:r>
        <w:rPr>
          <w:rFonts w:ascii="宋体" w:hAnsi="宋体" w:cs="宋体" w:eastAsia="宋体" w:hint="default"/>
        </w:rPr>
        <w:t>1</w:t>
      </w:r>
      <w:r>
        <w:rPr/>
        <w:t>）利息收入金额，按照他人使用本企业货币资金的时间和实际利率计算确定。</w:t>
      </w:r>
    </w:p>
    <w:p>
      <w:pPr>
        <w:spacing w:line="240" w:lineRule="auto" w:before="10"/>
        <w:rPr>
          <w:rFonts w:ascii="宋体" w:hAnsi="宋体" w:cs="宋体" w:eastAsia="宋体" w:hint="default"/>
          <w:sz w:val="14"/>
          <w:szCs w:val="14"/>
        </w:rPr>
      </w:pPr>
    </w:p>
    <w:p>
      <w:pPr>
        <w:pStyle w:val="BodyText"/>
        <w:spacing w:line="240" w:lineRule="auto" w:before="0"/>
        <w:ind w:left="932" w:right="0"/>
        <w:jc w:val="left"/>
      </w:pPr>
      <w:r>
        <w:rPr/>
        <w:t>（</w:t>
      </w:r>
      <w:r>
        <w:rPr>
          <w:rFonts w:ascii="宋体" w:hAnsi="宋体" w:cs="宋体" w:eastAsia="宋体" w:hint="default"/>
        </w:rPr>
        <w:t>2</w:t>
      </w:r>
      <w:r>
        <w:rPr/>
        <w:t>）使用费收入金额，按照有关合同或协议约定的收费时间和方法计算确定。</w:t>
      </w:r>
    </w:p>
    <w:p>
      <w:pPr>
        <w:spacing w:line="240" w:lineRule="auto" w:before="10"/>
        <w:rPr>
          <w:rFonts w:ascii="宋体" w:hAnsi="宋体" w:cs="宋体" w:eastAsia="宋体" w:hint="default"/>
          <w:sz w:val="14"/>
          <w:szCs w:val="14"/>
        </w:rPr>
      </w:pPr>
    </w:p>
    <w:p>
      <w:pPr>
        <w:spacing w:line="408" w:lineRule="auto" w:before="0"/>
        <w:ind w:left="572" w:right="0"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1"/>
          <w:sz w:val="21"/>
          <w:szCs w:val="21"/>
        </w:rPr>
        <w:t> </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在资产负债表日提供劳务交易的结果能够可靠估计的，采用完工百分比法确认提供劳务收入。提供劳</w:t>
      </w:r>
    </w:p>
    <w:p>
      <w:pPr>
        <w:pStyle w:val="BodyText"/>
        <w:spacing w:line="408" w:lineRule="auto"/>
        <w:ind w:left="572" w:right="0" w:hanging="420"/>
        <w:jc w:val="left"/>
      </w:pPr>
      <w:r>
        <w:rPr/>
        <w:t>务交易的完工进度，依据已完工作的测量确定。</w:t>
      </w:r>
      <w:r>
        <w:rPr>
          <w:w w:val="100"/>
        </w:rPr>
        <w:t> </w:t>
      </w:r>
      <w:r>
        <w:rPr>
          <w:spacing w:val="-2"/>
        </w:rPr>
        <w:t>按照已收或应收的合同或协议价款确定提供劳务收入总额，但已收或应收的合同或协议价款不公允的</w:t>
      </w:r>
    </w:p>
    <w:p>
      <w:pPr>
        <w:pStyle w:val="BodyText"/>
        <w:spacing w:line="408" w:lineRule="auto"/>
        <w:ind w:right="147"/>
        <w:jc w:val="both"/>
      </w:pPr>
      <w:r>
        <w:rPr>
          <w:spacing w:val="-2"/>
        </w:rPr>
        <w:t>除外。资产负债表日按照提供劳务收入总额乘以完工进度扣除以前会计期间累计已确认提供劳务收入后的</w:t>
      </w:r>
      <w:r>
        <w:rPr>
          <w:spacing w:val="-43"/>
        </w:rPr>
        <w:t> </w:t>
      </w:r>
      <w:r>
        <w:rPr>
          <w:spacing w:val="-43"/>
        </w:rPr>
      </w:r>
      <w:r>
        <w:rPr>
          <w:spacing w:val="-2"/>
        </w:rPr>
        <w:t>金额，确认当期提供劳务收入；同时，按照提供劳务估计总成本乘以完工进度扣除以前会计期间累计已确</w:t>
      </w:r>
      <w:r>
        <w:rPr>
          <w:spacing w:val="-44"/>
        </w:rPr>
        <w:t> </w:t>
      </w:r>
      <w:r>
        <w:rPr>
          <w:spacing w:val="-44"/>
        </w:rPr>
      </w:r>
      <w:r>
        <w:rPr/>
        <w:t>认劳务成本后的金额，结转当期劳务成本。</w:t>
      </w:r>
    </w:p>
    <w:p>
      <w:pPr>
        <w:pStyle w:val="BodyText"/>
        <w:spacing w:line="240" w:lineRule="auto"/>
        <w:ind w:left="572" w:right="0"/>
        <w:jc w:val="left"/>
      </w:pPr>
      <w:r>
        <w:rPr/>
        <w:t>在资产负债表日提供劳务交易结果不能够可靠估计的，分别下列情况处理：</w:t>
      </w:r>
    </w:p>
    <w:p>
      <w:pPr>
        <w:spacing w:line="240" w:lineRule="auto" w:before="10"/>
        <w:rPr>
          <w:rFonts w:ascii="宋体" w:hAnsi="宋体" w:cs="宋体" w:eastAsia="宋体" w:hint="default"/>
          <w:sz w:val="14"/>
          <w:szCs w:val="14"/>
        </w:rPr>
      </w:pPr>
    </w:p>
    <w:p>
      <w:pPr>
        <w:pStyle w:val="BodyText"/>
        <w:spacing w:line="408" w:lineRule="auto" w:before="0"/>
        <w:ind w:right="231" w:firstLine="420"/>
        <w:jc w:val="both"/>
      </w:pPr>
      <w:r>
        <w:rPr>
          <w:spacing w:val="-2"/>
        </w:rPr>
        <w:t>（</w:t>
      </w:r>
      <w:r>
        <w:rPr>
          <w:rFonts w:ascii="宋体" w:hAnsi="宋体" w:cs="宋体" w:eastAsia="宋体" w:hint="default"/>
          <w:spacing w:val="-2"/>
        </w:rPr>
        <w:t>1</w:t>
      </w:r>
      <w:r>
        <w:rPr>
          <w:spacing w:val="-2"/>
        </w:rPr>
        <w:t>）已经发生的劳务成本预计能够得到补偿的，按照已经发生的劳务成本金额确认提供劳务收入，</w:t>
      </w:r>
      <w:r>
        <w:rPr>
          <w:w w:val="100"/>
        </w:rPr>
        <w:t> </w:t>
      </w:r>
      <w:r>
        <w:rPr/>
        <w:t>并按相同金额结转劳务成本。</w:t>
      </w:r>
    </w:p>
    <w:p>
      <w:pPr>
        <w:pStyle w:val="BodyText"/>
        <w:spacing w:line="408" w:lineRule="auto"/>
        <w:ind w:right="231" w:firstLine="420"/>
        <w:jc w:val="both"/>
      </w:pPr>
      <w:r>
        <w:rPr>
          <w:spacing w:val="-2"/>
        </w:rPr>
        <w:t>（</w:t>
      </w:r>
      <w:r>
        <w:rPr>
          <w:rFonts w:ascii="宋体" w:hAnsi="宋体" w:cs="宋体" w:eastAsia="宋体" w:hint="default"/>
          <w:spacing w:val="-2"/>
        </w:rPr>
        <w:t>2</w:t>
      </w:r>
      <w:r>
        <w:rPr>
          <w:spacing w:val="-2"/>
        </w:rPr>
        <w:t>）已经发生的劳务成本预计不能够得到补偿的，将已经发生的劳务成本计入当期损益，不确认提</w:t>
      </w:r>
      <w:r>
        <w:rPr>
          <w:w w:val="100"/>
        </w:rPr>
        <w:t> </w:t>
      </w:r>
      <w:r>
        <w:rPr/>
        <w:t>供劳务收入。</w:t>
      </w:r>
    </w:p>
    <w:p>
      <w:pPr>
        <w:pStyle w:val="BodyText"/>
        <w:spacing w:line="408" w:lineRule="auto"/>
        <w:ind w:right="147" w:firstLine="420"/>
        <w:jc w:val="both"/>
      </w:pPr>
      <w:r>
        <w:rPr>
          <w:spacing w:val="-2"/>
        </w:rPr>
        <w:t>本公司与其他企业签订的合同或协议包括销售商品和提供劳务时，销售商品部分和提供劳务部分能够</w:t>
      </w:r>
      <w:r>
        <w:rPr>
          <w:w w:val="100"/>
        </w:rPr>
        <w:t> </w:t>
      </w:r>
      <w:r>
        <w:rPr>
          <w:spacing w:val="-2"/>
        </w:rPr>
        <w:t>区分且能够单独计量的，将销售商品的部分作为销售商品处理，将提供劳务的部分作为提供劳务处理。销</w:t>
      </w:r>
      <w:r>
        <w:rPr>
          <w:spacing w:val="-42"/>
        </w:rPr>
        <w:t> </w:t>
      </w:r>
      <w:r>
        <w:rPr>
          <w:spacing w:val="-42"/>
        </w:rPr>
      </w:r>
      <w:r>
        <w:rPr>
          <w:spacing w:val="-2"/>
        </w:rPr>
        <w:t>售商品部分和提供劳务部分不能够区分，或虽能区分但不能够单独计量的，将销售商品部分和提供劳务部</w:t>
      </w:r>
      <w:r>
        <w:rPr>
          <w:spacing w:val="-42"/>
        </w:rPr>
        <w:t> </w:t>
      </w:r>
      <w:r>
        <w:rPr>
          <w:spacing w:val="-42"/>
        </w:rPr>
      </w:r>
      <w:r>
        <w:rPr/>
        <w:t>分全部作为销售商品处理。</w:t>
      </w:r>
    </w:p>
    <w:p>
      <w:pPr>
        <w:pStyle w:val="Heading3"/>
        <w:spacing w:line="408" w:lineRule="auto" w:before="166"/>
        <w:ind w:right="7607" w:firstLine="480"/>
        <w:jc w:val="left"/>
        <w:rPr>
          <w:b w:val="0"/>
          <w:bCs w:val="0"/>
        </w:rPr>
      </w:pPr>
      <w:r>
        <w:rPr>
          <w:rFonts w:ascii="宋体" w:hAnsi="宋体" w:cs="宋体" w:eastAsia="宋体" w:hint="default"/>
        </w:rPr>
        <w:t>(</w:t>
      </w:r>
      <w:r>
        <w:rPr/>
        <w:t>二十二</w:t>
      </w:r>
      <w:r>
        <w:rPr>
          <w:rFonts w:ascii="宋体" w:hAnsi="宋体" w:cs="宋体" w:eastAsia="宋体" w:hint="default"/>
        </w:rPr>
        <w:t>)</w:t>
      </w:r>
      <w:r>
        <w:rPr/>
        <w:t>政府补助</w:t>
      </w:r>
      <w:r>
        <w:rPr>
          <w:w w:val="100"/>
        </w:rPr>
        <w:t> </w:t>
      </w:r>
      <w:r>
        <w:rPr>
          <w:rFonts w:ascii="宋体" w:hAnsi="宋体" w:cs="宋体" w:eastAsia="宋体" w:hint="default"/>
        </w:rPr>
        <w:t>1.</w:t>
      </w:r>
      <w:r>
        <w:rPr>
          <w:rFonts w:ascii="宋体" w:hAnsi="宋体" w:cs="宋体" w:eastAsia="宋体" w:hint="default"/>
          <w:spacing w:val="42"/>
        </w:rPr>
        <w:t> </w:t>
      </w:r>
      <w:r>
        <w:rPr/>
        <w:t>类型</w:t>
      </w:r>
      <w:r>
        <w:rPr>
          <w:b w:val="0"/>
          <w:bCs w:val="0"/>
        </w:rPr>
      </w:r>
    </w:p>
    <w:p>
      <w:pPr>
        <w:pStyle w:val="BodyText"/>
        <w:spacing w:line="408" w:lineRule="auto"/>
        <w:ind w:right="147" w:firstLine="420"/>
        <w:jc w:val="both"/>
      </w:pPr>
      <w:r>
        <w:rPr>
          <w:spacing w:val="-2"/>
        </w:rPr>
        <w:t>政府补助，是本公司从政府无偿取得的货币性资产与非货币性资产，但不包括政府作为企业所有者投</w:t>
      </w:r>
      <w:r>
        <w:rPr>
          <w:w w:val="100"/>
        </w:rPr>
        <w:t> </w:t>
      </w:r>
      <w:r>
        <w:rPr>
          <w:spacing w:val="-2"/>
        </w:rPr>
        <w:t>入的资本。根据相关政府文件规定的补助对象，将政府补助划分为与资产相关的政府补助和与收益相关的</w:t>
      </w:r>
      <w:r>
        <w:rPr>
          <w:spacing w:val="-43"/>
        </w:rPr>
        <w:t> </w:t>
      </w:r>
      <w:r>
        <w:rPr>
          <w:spacing w:val="-43"/>
        </w:rPr>
      </w:r>
      <w:r>
        <w:rPr/>
        <w:t>政府补助。</w:t>
      </w:r>
    </w:p>
    <w:p>
      <w:pPr>
        <w:pStyle w:val="BodyText"/>
        <w:spacing w:line="408" w:lineRule="auto"/>
        <w:ind w:right="147" w:firstLine="420"/>
        <w:jc w:val="both"/>
      </w:pPr>
      <w:r>
        <w:rPr>
          <w:spacing w:val="-2"/>
        </w:rPr>
        <w:t>与资产相关的政府补助，是指本公司取得的、用于购建或以其他方式形成长期资产的政府补助。与收</w:t>
      </w:r>
      <w:r>
        <w:rPr>
          <w:w w:val="100"/>
        </w:rPr>
        <w:t> </w:t>
      </w:r>
      <w:r>
        <w:rPr/>
        <w:t>益相关的政府补助，是指除与资产相关的政府补助之外的政府补助。</w:t>
      </w:r>
    </w:p>
    <w:p>
      <w:pPr>
        <w:pStyle w:val="BodyText"/>
        <w:spacing w:line="408" w:lineRule="auto"/>
        <w:ind w:left="572" w:right="0" w:firstLine="2"/>
        <w:jc w:val="left"/>
      </w:pPr>
      <w:r>
        <w:rPr>
          <w:rFonts w:ascii="宋体" w:hAnsi="宋体" w:cs="宋体" w:eastAsia="宋体" w:hint="default"/>
          <w:b/>
          <w:bCs/>
        </w:rPr>
        <w:t>2</w:t>
      </w:r>
      <w:r>
        <w:rPr>
          <w:rFonts w:ascii="宋体" w:hAnsi="宋体" w:cs="宋体" w:eastAsia="宋体" w:hint="default"/>
          <w:b/>
          <w:bCs/>
        </w:rPr>
        <w:t>、政府补助的确认</w:t>
      </w:r>
      <w:r>
        <w:rPr>
          <w:rFonts w:ascii="宋体" w:hAnsi="宋体" w:cs="宋体" w:eastAsia="宋体" w:hint="default"/>
          <w:b/>
          <w:bCs/>
          <w:w w:val="100"/>
        </w:rPr>
        <w:t> </w:t>
      </w:r>
      <w:r>
        <w:rPr>
          <w:spacing w:val="-2"/>
        </w:rPr>
        <w:t>对期末有证据表明公司能够符合财政扶持政策规定的相关条件且预计能够收到财政扶持资金的，按应</w:t>
      </w:r>
    </w:p>
    <w:p>
      <w:pPr>
        <w:spacing w:after="0" w:line="408"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left="572" w:right="0" w:hanging="420"/>
        <w:jc w:val="left"/>
      </w:pPr>
      <w:r>
        <w:rPr/>
        <w:t>收金额确认政府补助。除此之外，政府补助均在实际收到时确认。</w:t>
      </w:r>
      <w:r>
        <w:rPr>
          <w:w w:val="100"/>
        </w:rPr>
        <w:t> </w:t>
      </w:r>
      <w:r>
        <w:rPr>
          <w:spacing w:val="-3"/>
        </w:rPr>
        <w:t>政府补助为货币性资产的，按照收到或应收的金额计量。政府补助为非货币性资产的，按照公允价值</w:t>
      </w:r>
      <w:r>
        <w:rPr/>
      </w:r>
    </w:p>
    <w:p>
      <w:pPr>
        <w:pStyle w:val="BodyText"/>
        <w:spacing w:line="408" w:lineRule="auto"/>
        <w:ind w:right="151"/>
        <w:jc w:val="both"/>
      </w:pPr>
      <w:r>
        <w:rPr/>
        <w:t>计量；公允价值不能够可靠取得的，按照名义金额（人民币</w:t>
      </w:r>
      <w:r>
        <w:rPr>
          <w:rFonts w:ascii="宋体" w:hAnsi="宋体" w:cs="宋体" w:eastAsia="宋体" w:hint="default"/>
        </w:rPr>
        <w:t>1</w:t>
      </w:r>
      <w:r>
        <w:rPr/>
        <w:t>元）计量。按照名义金额计量的政府补助，</w:t>
      </w:r>
      <w:r>
        <w:rPr>
          <w:spacing w:val="-25"/>
        </w:rPr>
        <w:t> </w:t>
      </w:r>
      <w:r>
        <w:rPr>
          <w:spacing w:val="-25"/>
        </w:rPr>
      </w:r>
      <w:r>
        <w:rPr/>
        <w:t>直接计入当期损益。</w:t>
      </w:r>
    </w:p>
    <w:p>
      <w:pPr>
        <w:pStyle w:val="BodyText"/>
        <w:spacing w:line="408" w:lineRule="auto"/>
        <w:ind w:left="572" w:right="0" w:firstLine="2"/>
        <w:jc w:val="left"/>
      </w:pPr>
      <w:r>
        <w:rPr>
          <w:rFonts w:ascii="宋体" w:hAnsi="宋体" w:cs="宋体" w:eastAsia="宋体" w:hint="default"/>
          <w:b/>
          <w:bCs/>
        </w:rPr>
        <w:t>3</w:t>
      </w:r>
      <w:r>
        <w:rPr>
          <w:rFonts w:ascii="宋体" w:hAnsi="宋体" w:cs="宋体" w:eastAsia="宋体" w:hint="default"/>
          <w:b/>
          <w:bCs/>
        </w:rPr>
        <w:t>、会计处理方法</w:t>
      </w:r>
      <w:r>
        <w:rPr>
          <w:rFonts w:ascii="宋体" w:hAnsi="宋体" w:cs="宋体" w:eastAsia="宋体" w:hint="default"/>
          <w:b/>
          <w:bCs/>
          <w:w w:val="100"/>
        </w:rPr>
        <w:t> </w:t>
      </w:r>
      <w:r>
        <w:rPr>
          <w:spacing w:val="-2"/>
        </w:rPr>
        <w:t>与资产相关的政府补助，确认为递延收益，按照所建造或购买的资产使用年限分期计入营业外收入；</w:t>
      </w:r>
      <w:r>
        <w:rPr>
          <w:spacing w:val="-28"/>
        </w:rPr>
        <w:t> </w:t>
      </w:r>
      <w:r>
        <w:rPr>
          <w:spacing w:val="-28"/>
        </w:rPr>
      </w:r>
      <w:r>
        <w:rPr>
          <w:spacing w:val="-2"/>
        </w:rPr>
        <w:t>与收益相关的政府补助，用于补偿企业以后期间的相关费用或损失的，确认为递延收益，在确认相关</w:t>
      </w:r>
    </w:p>
    <w:p>
      <w:pPr>
        <w:pStyle w:val="BodyText"/>
        <w:spacing w:line="408" w:lineRule="auto"/>
        <w:ind w:right="147"/>
        <w:jc w:val="both"/>
      </w:pPr>
      <w:r>
        <w:rPr>
          <w:spacing w:val="-2"/>
        </w:rPr>
        <w:t>费用的期间计入当期营业外收入；用于补偿企业已发生的相关费用或损失的，取得时直接计入当期营业外</w:t>
      </w:r>
      <w:r>
        <w:rPr>
          <w:spacing w:val="-44"/>
        </w:rPr>
        <w:t> </w:t>
      </w:r>
      <w:r>
        <w:rPr>
          <w:spacing w:val="-44"/>
        </w:rPr>
      </w:r>
      <w:r>
        <w:rPr/>
        <w:t>收入。</w:t>
      </w:r>
    </w:p>
    <w:p>
      <w:pPr>
        <w:pStyle w:val="BodyText"/>
        <w:spacing w:line="408" w:lineRule="auto"/>
        <w:ind w:right="0" w:firstLine="420"/>
        <w:jc w:val="left"/>
      </w:pPr>
      <w:r>
        <w:rPr>
          <w:spacing w:val="-2"/>
        </w:rPr>
        <w:t>已确认的政府补助需要返还时，存在相关递延收益余额的，冲减相关递延收益账面余额，超出部分计</w:t>
      </w:r>
      <w:r>
        <w:rPr>
          <w:w w:val="100"/>
        </w:rPr>
        <w:t> </w:t>
      </w:r>
      <w:r>
        <w:rPr/>
        <w:t>入当期损益；不存在相关递延收益的，直接计入当期损益。</w:t>
      </w:r>
    </w:p>
    <w:p>
      <w:pPr>
        <w:spacing w:line="408" w:lineRule="auto" w:before="166"/>
        <w:ind w:left="572" w:right="0" w:firstLine="60"/>
        <w:jc w:val="left"/>
        <w:rPr>
          <w:rFonts w:ascii="宋体" w:hAnsi="宋体" w:cs="宋体" w:eastAsia="宋体" w:hint="default"/>
          <w:sz w:val="21"/>
          <w:szCs w:val="21"/>
        </w:rPr>
      </w:pPr>
      <w:r>
        <w:rPr>
          <w:rFonts w:ascii="宋体" w:hAnsi="宋体" w:cs="宋体" w:eastAsia="宋体" w:hint="default"/>
          <w:b/>
          <w:bCs/>
          <w:sz w:val="21"/>
          <w:szCs w:val="21"/>
        </w:rPr>
        <w:t>（二十三）递延所得税资产和递延所得税负债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递延所得税资产和递延所得税负债根据资产和负债的计税基础与其账面价值的差额</w:t>
      </w:r>
      <w:r>
        <w:rPr>
          <w:rFonts w:ascii="宋体" w:hAnsi="宋体" w:cs="宋体" w:eastAsia="宋体" w:hint="default"/>
          <w:spacing w:val="2"/>
          <w:sz w:val="21"/>
          <w:szCs w:val="21"/>
        </w:rPr>
        <w:t>(</w:t>
      </w:r>
      <w:r>
        <w:rPr>
          <w:rFonts w:ascii="宋体" w:hAnsi="宋体" w:cs="宋体" w:eastAsia="宋体" w:hint="default"/>
          <w:spacing w:val="2"/>
          <w:sz w:val="21"/>
          <w:szCs w:val="21"/>
        </w:rPr>
        <w:t>暂时性差异</w:t>
      </w:r>
      <w:r>
        <w:rPr>
          <w:rFonts w:ascii="宋体" w:hAnsi="宋体" w:cs="宋体" w:eastAsia="宋体" w:hint="default"/>
          <w:spacing w:val="2"/>
          <w:sz w:val="21"/>
          <w:szCs w:val="21"/>
        </w:rPr>
        <w:t>)</w:t>
      </w:r>
      <w:r>
        <w:rPr>
          <w:rFonts w:ascii="宋体" w:hAnsi="宋体" w:cs="宋体" w:eastAsia="宋体" w:hint="default"/>
          <w:spacing w:val="2"/>
          <w:sz w:val="21"/>
          <w:szCs w:val="21"/>
        </w:rPr>
        <w:t>计</w:t>
      </w:r>
    </w:p>
    <w:p>
      <w:pPr>
        <w:pStyle w:val="BodyText"/>
        <w:spacing w:line="408" w:lineRule="auto"/>
        <w:ind w:right="147"/>
        <w:jc w:val="both"/>
      </w:pPr>
      <w:r>
        <w:rPr>
          <w:spacing w:val="-2"/>
        </w:rPr>
        <w:t>算确认。于资产负债表日，递延所得税资产和递延所得税负债，按照预期收回该资产或清偿该负债期间的</w:t>
      </w:r>
      <w:r>
        <w:rPr>
          <w:spacing w:val="-43"/>
        </w:rPr>
        <w:t> </w:t>
      </w:r>
      <w:r>
        <w:rPr>
          <w:spacing w:val="-43"/>
        </w:rPr>
      </w:r>
      <w:r>
        <w:rPr/>
        <w:t>适用税率计量。</w:t>
      </w:r>
    </w:p>
    <w:p>
      <w:pPr>
        <w:spacing w:line="408" w:lineRule="auto" w:before="4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本公司以很可能取得用来抵扣可抵扣暂时性差异、能够结转以后年度的可抵扣亏损和税款抵减的应纳</w:t>
      </w:r>
    </w:p>
    <w:p>
      <w:pPr>
        <w:pStyle w:val="BodyText"/>
        <w:spacing w:line="408" w:lineRule="auto"/>
        <w:ind w:right="146"/>
        <w:jc w:val="both"/>
      </w:pPr>
      <w:r>
        <w:rPr>
          <w:spacing w:val="-2"/>
        </w:rPr>
        <w:t>税所得额为限，确认由可抵扣暂时性差异产生的递延所得税资产。但是，同时具有下列特征的交易中因资</w:t>
      </w:r>
      <w:r>
        <w:rPr>
          <w:spacing w:val="-44"/>
        </w:rPr>
        <w:t> </w:t>
      </w:r>
      <w:r>
        <w:rPr>
          <w:spacing w:val="-44"/>
        </w:rPr>
      </w:r>
      <w:r>
        <w:rPr>
          <w:spacing w:val="-2"/>
        </w:rPr>
        <w:t>产或负债的初始确认所产生的递延所得税资产不予确认：（</w:t>
      </w:r>
      <w:r>
        <w:rPr>
          <w:rFonts w:ascii="宋体" w:hAnsi="宋体" w:cs="宋体" w:eastAsia="宋体" w:hint="default"/>
          <w:spacing w:val="-2"/>
        </w:rPr>
        <w:t>1</w:t>
      </w:r>
      <w:r>
        <w:rPr>
          <w:spacing w:val="-2"/>
        </w:rPr>
        <w:t>）该交易不是企业合并；（</w:t>
      </w:r>
      <w:r>
        <w:rPr>
          <w:rFonts w:ascii="宋体" w:hAnsi="宋体" w:cs="宋体" w:eastAsia="宋体" w:hint="default"/>
          <w:spacing w:val="-2"/>
        </w:rPr>
        <w:t>2</w:t>
      </w:r>
      <w:r>
        <w:rPr>
          <w:spacing w:val="-2"/>
        </w:rPr>
        <w:t>）交易发生时既</w:t>
      </w:r>
      <w:r>
        <w:rPr>
          <w:spacing w:val="-47"/>
        </w:rPr>
        <w:t> </w:t>
      </w:r>
      <w:r>
        <w:rPr>
          <w:spacing w:val="-47"/>
        </w:rPr>
      </w:r>
      <w:r>
        <w:rPr/>
        <w:t>不影响会计利润也不影响应纳税所得额或可抵扣亏损。</w:t>
      </w:r>
    </w:p>
    <w:p>
      <w:pPr>
        <w:pStyle w:val="BodyText"/>
        <w:spacing w:line="408" w:lineRule="auto"/>
        <w:ind w:right="0" w:firstLine="420"/>
        <w:jc w:val="left"/>
      </w:pPr>
      <w:r>
        <w:rPr>
          <w:spacing w:val="-2"/>
        </w:rPr>
        <w:t>对于与联营企业投资相关的可抵扣暂时性差异，同时满足下列条件的，确认相应的递延所得税资产：</w:t>
      </w:r>
      <w:r>
        <w:rPr>
          <w:w w:val="100"/>
        </w:rPr>
        <w:t> </w:t>
      </w:r>
      <w:r>
        <w:rPr>
          <w:spacing w:val="-2"/>
        </w:rPr>
        <w:t>暂时性差异在可预见的未来很可能转回，且未来很可能获得用来抵扣可抵扣暂时性差异的应纳税所得额。</w:t>
      </w:r>
    </w:p>
    <w:p>
      <w:pPr>
        <w:spacing w:line="408" w:lineRule="auto" w:before="4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ind w:left="572" w:right="0"/>
        <w:jc w:val="left"/>
      </w:pPr>
      <w:r>
        <w:rPr/>
        <w:t>（</w:t>
      </w:r>
      <w:r>
        <w:rPr>
          <w:rFonts w:ascii="宋体" w:hAnsi="宋体" w:cs="宋体" w:eastAsia="宋体" w:hint="default"/>
        </w:rPr>
        <w:t>1</w:t>
      </w:r>
      <w:r>
        <w:rPr/>
        <w:t>）商誉的初始确认所形成的暂时性差异；</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w:t>
      </w:r>
      <w:r>
        <w:rPr>
          <w:rFonts w:ascii="宋体" w:hAnsi="宋体" w:cs="宋体" w:eastAsia="宋体" w:hint="default"/>
        </w:rPr>
        <w:t>2</w:t>
      </w:r>
      <w:r>
        <w:rPr/>
        <w:t>）非企业合并形成的交易或事项，且该交易或事项发生时既不影响会计利润，也不影响应纳税所</w:t>
      </w:r>
      <w:r>
        <w:rPr>
          <w:w w:val="100"/>
        </w:rPr>
        <w:t> </w:t>
      </w:r>
      <w:r>
        <w:rPr/>
        <w:t>得额（或可抵扣亏损）所形成的暂时性差异；</w:t>
      </w:r>
    </w:p>
    <w:p>
      <w:pPr>
        <w:pStyle w:val="BodyText"/>
        <w:spacing w:line="408" w:lineRule="auto"/>
        <w:ind w:right="0" w:firstLine="420"/>
        <w:jc w:val="left"/>
      </w:pPr>
      <w:r>
        <w:rPr/>
        <w:t>（</w:t>
      </w:r>
      <w:r>
        <w:rPr>
          <w:rFonts w:ascii="宋体" w:hAnsi="宋体" w:cs="宋体" w:eastAsia="宋体" w:hint="default"/>
        </w:rPr>
        <w:t>3</w:t>
      </w:r>
      <w:r>
        <w:rPr/>
        <w:t>）对于与子公司、联营企业投资相关的应纳税暂时性差异，该暂时性差异转回的时间能够控制并</w:t>
      </w:r>
      <w:r>
        <w:rPr>
          <w:w w:val="100"/>
        </w:rPr>
        <w:t> </w:t>
      </w:r>
      <w:r>
        <w:rPr/>
        <w:t>且该暂时性差异在可预见的未来很可能不会转回。</w:t>
      </w:r>
    </w:p>
    <w:p>
      <w:pPr>
        <w:spacing w:after="0" w:line="408"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Heading3"/>
        <w:spacing w:line="240" w:lineRule="auto" w:before="36"/>
        <w:ind w:left="575" w:right="106"/>
        <w:jc w:val="left"/>
        <w:rPr>
          <w:b w:val="0"/>
          <w:bCs w:val="0"/>
        </w:rPr>
      </w:pPr>
      <w:r>
        <w:rPr>
          <w:rFonts w:ascii="宋体" w:hAnsi="宋体" w:cs="宋体" w:eastAsia="宋体" w:hint="default"/>
        </w:rPr>
        <w:t>3</w:t>
      </w:r>
      <w:r>
        <w:rPr/>
        <w:t>、同时满足下列条件时，将递延所得税资产及递延所得税负债以抵销后的净额列示</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572" w:right="106"/>
        <w:jc w:val="left"/>
      </w:pPr>
      <w:r>
        <w:rPr/>
        <w:t>（</w:t>
      </w:r>
      <w:r>
        <w:rPr>
          <w:rFonts w:ascii="宋体" w:hAnsi="宋体" w:cs="宋体" w:eastAsia="宋体" w:hint="default"/>
        </w:rPr>
        <w:t>1</w:t>
      </w:r>
      <w:r>
        <w:rPr/>
        <w:t>）企业拥有以净额结算当期所得税资产及当期所得税负债的法定权利；</w:t>
      </w:r>
    </w:p>
    <w:p>
      <w:pPr>
        <w:spacing w:line="240" w:lineRule="auto" w:before="10"/>
        <w:rPr>
          <w:rFonts w:ascii="宋体" w:hAnsi="宋体" w:cs="宋体" w:eastAsia="宋体" w:hint="default"/>
          <w:sz w:val="14"/>
          <w:szCs w:val="14"/>
        </w:rPr>
      </w:pPr>
    </w:p>
    <w:p>
      <w:pPr>
        <w:pStyle w:val="BodyText"/>
        <w:spacing w:line="408" w:lineRule="auto" w:before="0"/>
        <w:ind w:right="106" w:firstLine="424"/>
        <w:jc w:val="left"/>
      </w:pPr>
      <w:r>
        <w:rPr/>
        <w:t>（</w:t>
      </w:r>
      <w:r>
        <w:rPr>
          <w:rFonts w:ascii="宋体" w:hAnsi="宋体" w:cs="宋体" w:eastAsia="宋体" w:hint="default"/>
        </w:rPr>
        <w:t>2</w:t>
      </w:r>
      <w:r>
        <w:rPr/>
        <w:t>）递延所得税资产和递延所得税负债是与同一税收征管部门对同一纳税主体征收的所得税相关或</w:t>
      </w:r>
      <w:r>
        <w:rPr>
          <w:w w:val="100"/>
        </w:rPr>
        <w:t> </w:t>
      </w:r>
      <w:r>
        <w:rPr>
          <w:spacing w:val="-2"/>
        </w:rPr>
        <w:t>者对不同的纳税主体相关，但在未来每一具有重要性的递延所得税资产和递延所得税负债转回的期间内，</w:t>
      </w:r>
      <w:r>
        <w:rPr>
          <w:spacing w:val="-21"/>
        </w:rPr>
        <w:t> </w:t>
      </w:r>
      <w:r>
        <w:rPr>
          <w:spacing w:val="-21"/>
        </w:rPr>
      </w:r>
      <w:r>
        <w:rPr/>
        <w:t>涉及的纳税主体体意图以净额结算当期所得税资产及当期所得税负债或是同时取得资产、清偿债务。</w:t>
      </w:r>
    </w:p>
    <w:p>
      <w:pPr>
        <w:spacing w:line="408" w:lineRule="auto" w:before="166"/>
        <w:ind w:left="572" w:right="4932" w:firstLine="0"/>
        <w:jc w:val="left"/>
        <w:rPr>
          <w:rFonts w:ascii="宋体" w:hAnsi="宋体" w:cs="宋体" w:eastAsia="宋体" w:hint="default"/>
          <w:sz w:val="21"/>
          <w:szCs w:val="21"/>
        </w:rPr>
      </w:pPr>
      <w:r>
        <w:rPr>
          <w:rFonts w:ascii="宋体" w:hAnsi="宋体" w:cs="宋体" w:eastAsia="宋体" w:hint="default"/>
          <w:b/>
          <w:bCs/>
          <w:spacing w:val="-1"/>
          <w:sz w:val="21"/>
          <w:szCs w:val="21"/>
        </w:rPr>
        <w:t>（二十四）重要会计政策、会计估计的变更</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04"/>
          <w:sz w:val="21"/>
          <w:szCs w:val="21"/>
        </w:rPr>
        <w:t> </w:t>
      </w:r>
      <w:r>
        <w:rPr>
          <w:rFonts w:ascii="宋体" w:hAnsi="宋体" w:cs="宋体" w:eastAsia="宋体" w:hint="default"/>
          <w:sz w:val="21"/>
          <w:szCs w:val="21"/>
        </w:rPr>
        <w:t>本报告期重要会计政策未变更。</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04"/>
          <w:sz w:val="21"/>
          <w:szCs w:val="21"/>
        </w:rPr>
        <w:t> </w:t>
      </w:r>
      <w:r>
        <w:rPr>
          <w:rFonts w:ascii="宋体" w:hAnsi="宋体" w:cs="宋体" w:eastAsia="宋体" w:hint="default"/>
          <w:sz w:val="21"/>
          <w:szCs w:val="21"/>
        </w:rPr>
        <w:t>本报告期内重要会计估计未发生变更。</w:t>
      </w:r>
    </w:p>
    <w:p>
      <w:pPr>
        <w:spacing w:line="408" w:lineRule="auto" w:before="166"/>
        <w:ind w:left="572" w:right="386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二十五</w:t>
      </w:r>
      <w:r>
        <w:rPr>
          <w:rFonts w:ascii="宋体" w:hAnsi="宋体" w:cs="宋体" w:eastAsia="宋体" w:hint="default"/>
          <w:b/>
          <w:bCs/>
          <w:sz w:val="21"/>
          <w:szCs w:val="21"/>
        </w:rPr>
        <w:t>)</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本报告期未发现采用追溯重述法的前期会计差错。</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本报告期未发现采用未来适用法的前期会计差错。</w:t>
      </w:r>
    </w:p>
    <w:p>
      <w:pPr>
        <w:spacing w:line="240" w:lineRule="auto" w:before="7"/>
        <w:rPr>
          <w:rFonts w:ascii="宋体" w:hAnsi="宋体" w:cs="宋体" w:eastAsia="宋体" w:hint="default"/>
          <w:sz w:val="21"/>
          <w:szCs w:val="21"/>
        </w:rPr>
      </w:pPr>
    </w:p>
    <w:p>
      <w:pPr>
        <w:pStyle w:val="Heading3"/>
        <w:spacing w:line="240" w:lineRule="auto"/>
        <w:ind w:left="575" w:right="106"/>
        <w:jc w:val="left"/>
        <w:rPr>
          <w:b w:val="0"/>
          <w:bCs w:val="0"/>
        </w:rPr>
      </w:pPr>
      <w:r>
        <w:rPr/>
        <w:t>五、税项</w:t>
      </w:r>
      <w:r>
        <w:rPr>
          <w:b w:val="0"/>
          <w:bCs w:val="0"/>
        </w:rPr>
      </w:r>
    </w:p>
    <w:p>
      <w:pPr>
        <w:pStyle w:val="Heading3"/>
        <w:spacing w:line="240" w:lineRule="auto" w:before="37"/>
        <w:ind w:left="469" w:right="106"/>
        <w:jc w:val="left"/>
        <w:rPr>
          <w:b w:val="0"/>
          <w:bCs w:val="0"/>
        </w:rPr>
      </w:pPr>
      <w:r>
        <w:rPr/>
        <w:t>（一）主要适用的税种和税率</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2698"/>
        <w:gridCol w:w="2957"/>
        <w:gridCol w:w="3026"/>
      </w:tblGrid>
      <w:tr>
        <w:trPr>
          <w:trHeight w:val="353" w:hRule="exact"/>
        </w:trPr>
        <w:tc>
          <w:tcPr>
            <w:tcW w:w="26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9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3" w:hRule="exact"/>
        </w:trPr>
        <w:tc>
          <w:tcPr>
            <w:tcW w:w="2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销售货物、应税劳务收入</w:t>
            </w:r>
          </w:p>
        </w:tc>
        <w:tc>
          <w:tcPr>
            <w:tcW w:w="30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17%,13%,6%</w:t>
            </w:r>
          </w:p>
        </w:tc>
      </w:tr>
      <w:tr>
        <w:trPr>
          <w:trHeight w:val="353" w:hRule="exact"/>
        </w:trPr>
        <w:tc>
          <w:tcPr>
            <w:tcW w:w="2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应纳税营业额</w:t>
            </w:r>
          </w:p>
        </w:tc>
        <w:tc>
          <w:tcPr>
            <w:tcW w:w="30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5%</w:t>
            </w:r>
          </w:p>
        </w:tc>
      </w:tr>
      <w:tr>
        <w:trPr>
          <w:trHeight w:val="350" w:hRule="exact"/>
        </w:trPr>
        <w:tc>
          <w:tcPr>
            <w:tcW w:w="2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实缴流转税税额</w:t>
            </w:r>
          </w:p>
        </w:tc>
        <w:tc>
          <w:tcPr>
            <w:tcW w:w="30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7%</w:t>
            </w:r>
          </w:p>
        </w:tc>
      </w:tr>
      <w:tr>
        <w:trPr>
          <w:trHeight w:val="353" w:hRule="exact"/>
        </w:trPr>
        <w:tc>
          <w:tcPr>
            <w:tcW w:w="2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353" w:hRule="exact"/>
        </w:trPr>
        <w:tc>
          <w:tcPr>
            <w:tcW w:w="2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实缴流转税税额</w:t>
            </w:r>
          </w:p>
        </w:tc>
        <w:tc>
          <w:tcPr>
            <w:tcW w:w="30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b/>
          <w:bCs/>
          <w:sz w:val="20"/>
          <w:szCs w:val="20"/>
        </w:rPr>
      </w:pPr>
    </w:p>
    <w:p>
      <w:pPr>
        <w:pStyle w:val="BodyText"/>
        <w:spacing w:line="240" w:lineRule="auto" w:before="36"/>
        <w:ind w:left="572" w:right="106"/>
        <w:jc w:val="left"/>
      </w:pPr>
      <w:r>
        <w:rPr/>
        <w:t>不同纳税主体所得税税率说明：</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4498"/>
        <w:gridCol w:w="4030"/>
      </w:tblGrid>
      <w:tr>
        <w:trPr>
          <w:trHeight w:val="355" w:hRule="exact"/>
        </w:trPr>
        <w:tc>
          <w:tcPr>
            <w:tcW w:w="4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0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50" w:hRule="exact"/>
        </w:trPr>
        <w:tc>
          <w:tcPr>
            <w:tcW w:w="4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15%</w:t>
            </w:r>
          </w:p>
        </w:tc>
      </w:tr>
      <w:tr>
        <w:trPr>
          <w:trHeight w:val="355" w:hRule="exact"/>
        </w:trPr>
        <w:tc>
          <w:tcPr>
            <w:tcW w:w="4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40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20"/>
          <w:szCs w:val="20"/>
        </w:rPr>
      </w:pPr>
    </w:p>
    <w:p>
      <w:pPr>
        <w:pStyle w:val="Heading3"/>
        <w:spacing w:line="240" w:lineRule="auto" w:before="36"/>
        <w:ind w:left="575" w:right="106"/>
        <w:jc w:val="left"/>
        <w:rPr>
          <w:b w:val="0"/>
          <w:bCs w:val="0"/>
        </w:rPr>
      </w:pPr>
      <w:r>
        <w:rPr/>
        <w:t>（二）税收优惠政策及依据</w:t>
      </w:r>
      <w:r>
        <w:rPr>
          <w:b w:val="0"/>
          <w:bCs w:val="0"/>
        </w:rPr>
      </w:r>
    </w:p>
    <w:p>
      <w:pPr>
        <w:pStyle w:val="BodyText"/>
        <w:spacing w:line="321" w:lineRule="auto" w:before="37"/>
        <w:ind w:left="572" w:right="106" w:firstLine="2"/>
        <w:jc w:val="left"/>
      </w:pP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w w:val="100"/>
        </w:rPr>
        <w:t> </w:t>
      </w:r>
      <w:r>
        <w:rPr>
          <w:spacing w:val="-2"/>
        </w:rPr>
        <w:t>根据财政部、国家税务总局《关于宣传文化增值税和营业税优惠政策的通知》（财税</w:t>
      </w:r>
      <w:r>
        <w:rPr>
          <w:rFonts w:ascii="宋体" w:hAnsi="宋体" w:cs="宋体" w:eastAsia="宋体" w:hint="default"/>
          <w:spacing w:val="-2"/>
        </w:rPr>
        <w:t>[2006]153</w:t>
      </w:r>
      <w:r>
        <w:rPr>
          <w:spacing w:val="-2"/>
        </w:rPr>
        <w:t>号）、</w:t>
      </w:r>
      <w:r>
        <w:rPr/>
      </w:r>
    </w:p>
    <w:p>
      <w:pPr>
        <w:pStyle w:val="BodyText"/>
        <w:spacing w:line="408" w:lineRule="auto" w:before="122"/>
        <w:ind w:right="293"/>
        <w:jc w:val="left"/>
      </w:pPr>
      <w:r>
        <w:rPr/>
        <w:t>《财政部、国家税务总局关于部分货物适用增值税低税率和简易办法征收增值税政策的通知》（财税</w:t>
      </w:r>
      <w:r>
        <w:rPr>
          <w:w w:val="100"/>
        </w:rPr>
        <w:t> </w:t>
      </w:r>
      <w:r>
        <w:rPr>
          <w:rFonts w:ascii="宋体" w:hAnsi="宋体" w:cs="宋体" w:eastAsia="宋体" w:hint="default"/>
        </w:rPr>
        <w:t>[2009]9</w:t>
      </w:r>
      <w:r>
        <w:rPr/>
        <w:t>号）的相关规定，自</w:t>
      </w:r>
      <w:r>
        <w:rPr>
          <w:spacing w:val="-14"/>
        </w:rPr>
        <w:t> </w:t>
      </w:r>
      <w:r>
        <w:rPr>
          <w:rFonts w:ascii="宋体" w:hAnsi="宋体" w:cs="宋体" w:eastAsia="宋体" w:hint="default"/>
        </w:rPr>
        <w:t>2007</w:t>
      </w:r>
      <w:r>
        <w:rPr/>
        <w:t>年</w:t>
      </w:r>
      <w:r>
        <w:rPr>
          <w:rFonts w:ascii="宋体" w:hAnsi="宋体" w:cs="宋体" w:eastAsia="宋体" w:hint="default"/>
        </w:rPr>
        <w:t>1</w:t>
      </w:r>
      <w:r>
        <w:rPr/>
        <w:t>月</w:t>
      </w:r>
      <w:r>
        <w:rPr>
          <w:rFonts w:ascii="宋体" w:hAnsi="宋体" w:cs="宋体" w:eastAsia="宋体" w:hint="default"/>
        </w:rPr>
        <w:t>1</w:t>
      </w:r>
      <w:r>
        <w:rPr/>
        <w:t>日起本公司销售自行研发的软件产品（电子出版物）按</w:t>
      </w:r>
      <w:r>
        <w:rPr>
          <w:rFonts w:ascii="宋体" w:hAnsi="宋体" w:cs="宋体" w:eastAsia="宋体" w:hint="default"/>
        </w:rPr>
        <w:t>13%</w:t>
      </w:r>
      <w:r>
        <w:rPr/>
        <w:t>的税</w:t>
      </w:r>
      <w:r>
        <w:rPr>
          <w:spacing w:val="-3"/>
          <w:w w:val="100"/>
        </w:rPr>
        <w:t> </w:t>
      </w:r>
      <w:r>
        <w:rPr/>
        <w:t>率计缴增值税，销售其他产品仍按</w:t>
      </w:r>
      <w:r>
        <w:rPr>
          <w:rFonts w:ascii="宋体" w:hAnsi="宋体" w:cs="宋体" w:eastAsia="宋体" w:hint="default"/>
        </w:rPr>
        <w:t>17%</w:t>
      </w:r>
      <w:r>
        <w:rPr/>
        <w:t>的税率计缴增值税。</w:t>
      </w:r>
    </w:p>
    <w:p>
      <w:pPr>
        <w:spacing w:after="0" w:line="408" w:lineRule="auto"/>
        <w:jc w:val="left"/>
        <w:sectPr>
          <w:pgSz w:w="11910" w:h="16840"/>
          <w:pgMar w:header="990" w:footer="1066" w:top="1220" w:bottom="1260" w:left="980" w:right="920"/>
        </w:sectPr>
      </w:pPr>
    </w:p>
    <w:p>
      <w:pPr>
        <w:spacing w:line="240" w:lineRule="auto" w:before="4"/>
        <w:rPr>
          <w:rFonts w:ascii="宋体" w:hAnsi="宋体" w:cs="宋体" w:eastAsia="宋体" w:hint="default"/>
          <w:sz w:val="16"/>
          <w:szCs w:val="16"/>
        </w:rPr>
      </w:pPr>
    </w:p>
    <w:p>
      <w:pPr>
        <w:pStyle w:val="BodyText"/>
        <w:spacing w:line="408" w:lineRule="auto" w:before="36"/>
        <w:ind w:right="0" w:firstLine="420"/>
        <w:jc w:val="left"/>
      </w:pPr>
      <w:r>
        <w:rPr/>
        <w:t>根据国务院《国务院关于印发进一步鼓励软件企业和集成电路产业发展若干政策的通知》（国发</w:t>
      </w:r>
      <w:r>
        <w:rPr>
          <w:w w:val="100"/>
        </w:rPr>
        <w:t> </w:t>
      </w:r>
      <w:r>
        <w:rPr>
          <w:rFonts w:ascii="宋体" w:hAnsi="宋体" w:cs="宋体" w:eastAsia="宋体" w:hint="default"/>
          <w:spacing w:val="-2"/>
        </w:rPr>
        <w:t>[2011]4</w:t>
      </w:r>
      <w:r>
        <w:rPr>
          <w:spacing w:val="-2"/>
        </w:rPr>
        <w:t>号）和财政部、国家税务总局《关于软件产品增值税政策的通知》（财税</w:t>
      </w:r>
      <w:r>
        <w:rPr>
          <w:rFonts w:ascii="宋体" w:hAnsi="宋体" w:cs="宋体" w:eastAsia="宋体" w:hint="default"/>
          <w:spacing w:val="-2"/>
        </w:rPr>
        <w:t>[2011]100</w:t>
      </w:r>
      <w:r>
        <w:rPr>
          <w:spacing w:val="-2"/>
        </w:rPr>
        <w:t>号）文有关规</w:t>
      </w:r>
      <w:r>
        <w:rPr>
          <w:spacing w:val="-31"/>
        </w:rPr>
        <w:t> </w:t>
      </w:r>
      <w:r>
        <w:rPr>
          <w:spacing w:val="-31"/>
        </w:rPr>
      </w:r>
      <w:r>
        <w:rPr>
          <w:spacing w:val="-2"/>
        </w:rPr>
        <w:t>定，</w:t>
      </w:r>
      <w:r>
        <w:rPr>
          <w:rFonts w:ascii="宋体" w:hAnsi="宋体" w:cs="宋体" w:eastAsia="宋体" w:hint="default"/>
          <w:spacing w:val="-2"/>
        </w:rPr>
        <w:t>2015</w:t>
      </w:r>
      <w:r>
        <w:rPr>
          <w:spacing w:val="-2"/>
        </w:rPr>
        <w:t>年度，本公司自行开发研制软件产品销售收入按法定税率计缴增值税后，对实际税负超过</w:t>
      </w:r>
      <w:r>
        <w:rPr>
          <w:rFonts w:ascii="宋体" w:hAnsi="宋体" w:cs="宋体" w:eastAsia="宋体" w:hint="default"/>
          <w:spacing w:val="-2"/>
        </w:rPr>
        <w:t>3%</w:t>
      </w:r>
      <w:r>
        <w:rPr>
          <w:spacing w:val="-2"/>
        </w:rPr>
        <w:t>的部</w:t>
      </w:r>
      <w:r>
        <w:rPr>
          <w:spacing w:val="-44"/>
        </w:rPr>
        <w:t> </w:t>
      </w:r>
      <w:r>
        <w:rPr/>
        <w:t>分实行即征即退政策。</w:t>
      </w:r>
    </w:p>
    <w:p>
      <w:pPr>
        <w:pStyle w:val="Heading3"/>
        <w:spacing w:line="260" w:lineRule="exact"/>
        <w:ind w:left="575" w:right="0"/>
        <w:jc w:val="left"/>
        <w:rPr>
          <w:b w:val="0"/>
          <w:bCs w:val="0"/>
        </w:rPr>
      </w:pPr>
      <w:r>
        <w:rPr>
          <w:rFonts w:ascii="Times New Roman" w:hAnsi="Times New Roman" w:cs="Times New Roman" w:eastAsia="Times New Roman" w:hint="default"/>
        </w:rPr>
        <w:t>2</w:t>
      </w:r>
      <w:r>
        <w:rPr/>
        <w:t>．企业所得税</w:t>
      </w:r>
      <w:r>
        <w:rPr>
          <w:b w:val="0"/>
          <w:bCs w:val="0"/>
        </w:rPr>
      </w:r>
    </w:p>
    <w:p>
      <w:pPr>
        <w:pStyle w:val="BodyText"/>
        <w:spacing w:line="408" w:lineRule="auto" w:before="98"/>
        <w:ind w:right="230" w:firstLine="420"/>
        <w:jc w:val="both"/>
      </w:pPr>
      <w:r>
        <w:rPr>
          <w:spacing w:val="-2"/>
        </w:rPr>
        <w:t>根据国家税务总局国税函</w:t>
      </w:r>
      <w:r>
        <w:rPr>
          <w:rFonts w:ascii="宋体" w:hAnsi="宋体" w:cs="宋体" w:eastAsia="宋体" w:hint="default"/>
          <w:spacing w:val="-2"/>
        </w:rPr>
        <w:t>[2009]203</w:t>
      </w:r>
      <w:r>
        <w:rPr>
          <w:spacing w:val="-2"/>
        </w:rPr>
        <w:t>号《关于实施高新技术企业所得税优惠有关问题的通知》。</w:t>
      </w:r>
      <w:r>
        <w:rPr>
          <w:rFonts w:ascii="宋体" w:hAnsi="宋体" w:cs="宋体" w:eastAsia="宋体" w:hint="default"/>
          <w:spacing w:val="-2"/>
        </w:rPr>
        <w:t>2015</w:t>
      </w:r>
      <w:r>
        <w:rPr>
          <w:rFonts w:ascii="宋体" w:hAnsi="宋体" w:cs="宋体" w:eastAsia="宋体" w:hint="default"/>
          <w:w w:val="100"/>
        </w:rPr>
        <w:t> </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19</w:t>
      </w:r>
      <w:r>
        <w:rPr>
          <w:spacing w:val="-2"/>
        </w:rPr>
        <w:t>日本公司取得深圳市科技创新委员会、深圳市财政委员会、深圳市国家税务局、深圳市地方税务</w:t>
      </w:r>
      <w:r>
        <w:rPr>
          <w:spacing w:val="-20"/>
        </w:rPr>
        <w:t> </w:t>
      </w:r>
      <w:r>
        <w:rPr>
          <w:spacing w:val="-20"/>
        </w:rPr>
      </w:r>
      <w:r>
        <w:rPr/>
        <w:t>局联合颁发的高新技术企业证书</w:t>
      </w:r>
      <w:r>
        <w:rPr>
          <w:rFonts w:ascii="宋体" w:hAnsi="宋体" w:cs="宋体" w:eastAsia="宋体" w:hint="default"/>
        </w:rPr>
        <w:t>,</w:t>
      </w:r>
      <w:r>
        <w:rPr/>
        <w:t>有效期为三年，</w:t>
      </w:r>
      <w:r>
        <w:rPr>
          <w:rFonts w:ascii="宋体" w:hAnsi="宋体" w:cs="宋体" w:eastAsia="宋体" w:hint="default"/>
        </w:rPr>
        <w:t>2015</w:t>
      </w:r>
      <w:r>
        <w:rPr/>
        <w:t>年度企业所得税优惠税率为</w:t>
      </w:r>
      <w:r>
        <w:rPr>
          <w:rFonts w:ascii="宋体" w:hAnsi="宋体" w:cs="宋体" w:eastAsia="宋体" w:hint="default"/>
        </w:rPr>
        <w:t>15%</w:t>
      </w:r>
      <w:r>
        <w:rPr/>
        <w:t>。</w:t>
      </w:r>
    </w:p>
    <w:p>
      <w:pPr>
        <w:pStyle w:val="BodyText"/>
        <w:spacing w:line="386" w:lineRule="auto"/>
        <w:ind w:left="572" w:right="0" w:firstLine="2"/>
        <w:jc w:val="left"/>
      </w:pPr>
      <w:r>
        <w:rPr>
          <w:rFonts w:ascii="Times New Roman" w:hAnsi="Times New Roman" w:cs="Times New Roman" w:eastAsia="Times New Roman" w:hint="default"/>
          <w:b/>
          <w:bCs/>
        </w:rPr>
        <w:t>3</w:t>
      </w:r>
      <w:r>
        <w:rPr>
          <w:rFonts w:ascii="宋体" w:hAnsi="宋体" w:cs="宋体" w:eastAsia="宋体" w:hint="default"/>
          <w:b/>
          <w:bCs/>
        </w:rPr>
        <w:t>．营业税</w:t>
      </w:r>
      <w:r>
        <w:rPr>
          <w:rFonts w:ascii="宋体" w:hAnsi="宋体" w:cs="宋体" w:eastAsia="宋体" w:hint="default"/>
          <w:b/>
          <w:bCs/>
          <w:w w:val="100"/>
        </w:rPr>
        <w:t> </w:t>
      </w:r>
      <w:r>
        <w:rPr>
          <w:spacing w:val="-2"/>
        </w:rPr>
        <w:t>根据《财政部、国家税务总局关于贯彻落实《中共中央国务院关于加强技术创新，发展高科技，实现</w:t>
      </w:r>
    </w:p>
    <w:p>
      <w:pPr>
        <w:pStyle w:val="BodyText"/>
        <w:spacing w:line="408" w:lineRule="auto" w:before="65"/>
        <w:ind w:right="0"/>
        <w:jc w:val="left"/>
      </w:pPr>
      <w:r>
        <w:rPr>
          <w:spacing w:val="-2"/>
        </w:rPr>
        <w:t>产业化的决定》有关税收问题的通知》（财税字</w:t>
      </w:r>
      <w:r>
        <w:rPr>
          <w:rFonts w:ascii="宋体" w:hAnsi="宋体" w:cs="宋体" w:eastAsia="宋体" w:hint="default"/>
          <w:spacing w:val="-2"/>
        </w:rPr>
        <w:t>[1999]273</w:t>
      </w:r>
      <w:r>
        <w:rPr>
          <w:spacing w:val="-2"/>
        </w:rPr>
        <w:t>号）文有关规定，本公司提供技术开发服务取</w:t>
      </w:r>
      <w:r>
        <w:rPr>
          <w:spacing w:val="-15"/>
        </w:rPr>
        <w:t> </w:t>
      </w:r>
      <w:r>
        <w:rPr>
          <w:spacing w:val="-15"/>
        </w:rPr>
      </w:r>
      <w:r>
        <w:rPr/>
        <w:t>得的收入，在经当地科技主管部门认定和主管税务机关审核同意后，免征营业税。</w:t>
      </w:r>
    </w:p>
    <w:p>
      <w:pPr>
        <w:spacing w:line="240" w:lineRule="auto" w:before="7"/>
        <w:rPr>
          <w:rFonts w:ascii="宋体" w:hAnsi="宋体" w:cs="宋体" w:eastAsia="宋体" w:hint="default"/>
          <w:sz w:val="21"/>
          <w:szCs w:val="21"/>
        </w:rPr>
      </w:pPr>
    </w:p>
    <w:p>
      <w:pPr>
        <w:pStyle w:val="Heading3"/>
        <w:spacing w:line="240" w:lineRule="auto"/>
        <w:ind w:left="575" w:right="0"/>
        <w:jc w:val="left"/>
        <w:rPr>
          <w:b w:val="0"/>
          <w:bCs w:val="0"/>
        </w:rPr>
      </w:pPr>
      <w:r>
        <w:rPr/>
        <w:t>六、合并财务报表主要项目注释</w:t>
      </w:r>
      <w:r>
        <w:rPr>
          <w:b w:val="0"/>
          <w:bCs w:val="0"/>
        </w:rPr>
      </w:r>
    </w:p>
    <w:p>
      <w:pPr>
        <w:pStyle w:val="BodyText"/>
        <w:spacing w:line="240" w:lineRule="auto" w:before="37"/>
        <w:ind w:left="577" w:right="0"/>
        <w:jc w:val="left"/>
      </w:pPr>
      <w:r>
        <w:rPr/>
        <w:t>（以下金额单位若未特别注明者均为人民币元）</w:t>
      </w:r>
    </w:p>
    <w:p>
      <w:pPr>
        <w:pStyle w:val="Heading3"/>
        <w:spacing w:line="240" w:lineRule="auto" w:before="157"/>
        <w:ind w:left="575" w:right="0"/>
        <w:jc w:val="left"/>
        <w:rPr>
          <w:b w:val="0"/>
          <w:bCs w:val="0"/>
        </w:rPr>
      </w:pPr>
      <w:r>
        <w:rPr/>
        <w:t>（一）货币资金</w:t>
      </w:r>
      <w:r>
        <w:rPr>
          <w:b w:val="0"/>
          <w:bCs w:val="0"/>
        </w:rPr>
      </w:r>
    </w:p>
    <w:p>
      <w:pPr>
        <w:pStyle w:val="Heading3"/>
        <w:spacing w:line="240" w:lineRule="auto" w:before="37"/>
        <w:ind w:left="572" w:right="0"/>
        <w:jc w:val="left"/>
        <w:rPr>
          <w:b w:val="0"/>
          <w:bCs w:val="0"/>
        </w:rPr>
      </w:pPr>
      <w:r>
        <w:rPr>
          <w:rFonts w:ascii="Times New Roman" w:hAnsi="Times New Roman" w:cs="Times New Roman" w:eastAsia="Times New Roman" w:hint="default"/>
        </w:rPr>
        <w:t>1</w:t>
      </w:r>
      <w:r>
        <w:rPr/>
        <w:t>、货币资金的分类</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329"/>
        <w:gridCol w:w="2592"/>
        <w:gridCol w:w="2923"/>
      </w:tblGrid>
      <w:tr>
        <w:trPr>
          <w:trHeight w:val="353" w:hRule="exact"/>
        </w:trPr>
        <w:tc>
          <w:tcPr>
            <w:tcW w:w="33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475"/>
              <w:jc w:val="right"/>
              <w:rPr>
                <w:rFonts w:ascii="宋体" w:hAnsi="宋体" w:cs="宋体" w:eastAsia="宋体" w:hint="default"/>
                <w:sz w:val="18"/>
                <w:szCs w:val="18"/>
              </w:rPr>
            </w:pPr>
            <w:r>
              <w:rPr>
                <w:rFonts w:ascii="宋体" w:hAnsi="宋体" w:cs="宋体" w:eastAsia="宋体" w:hint="default"/>
                <w:sz w:val="18"/>
                <w:szCs w:val="18"/>
              </w:rPr>
              <w:t>项目</w:t>
            </w:r>
          </w:p>
        </w:tc>
        <w:tc>
          <w:tcPr>
            <w:tcW w:w="25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3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96,230.63</w:t>
            </w:r>
          </w:p>
        </w:tc>
        <w:tc>
          <w:tcPr>
            <w:tcW w:w="29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131,510.57</w:t>
            </w:r>
          </w:p>
        </w:tc>
      </w:tr>
      <w:tr>
        <w:trPr>
          <w:trHeight w:val="353" w:hRule="exact"/>
        </w:trPr>
        <w:tc>
          <w:tcPr>
            <w:tcW w:w="33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72,763,422.92</w:t>
            </w:r>
          </w:p>
        </w:tc>
        <w:tc>
          <w:tcPr>
            <w:tcW w:w="29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121,168,271.33</w:t>
            </w:r>
            <w:r>
              <w:rPr>
                <w:rFonts w:ascii="Times New Roman"/>
                <w:sz w:val="18"/>
              </w:rPr>
            </w:r>
          </w:p>
        </w:tc>
      </w:tr>
      <w:tr>
        <w:trPr>
          <w:trHeight w:val="353" w:hRule="exact"/>
        </w:trPr>
        <w:tc>
          <w:tcPr>
            <w:tcW w:w="33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475"/>
              <w:jc w:val="right"/>
              <w:rPr>
                <w:rFonts w:ascii="宋体" w:hAnsi="宋体" w:cs="宋体" w:eastAsia="宋体" w:hint="default"/>
                <w:sz w:val="18"/>
                <w:szCs w:val="18"/>
              </w:rPr>
            </w:pPr>
            <w:r>
              <w:rPr>
                <w:rFonts w:ascii="宋体" w:hAnsi="宋体" w:cs="宋体" w:eastAsia="宋体" w:hint="default"/>
                <w:sz w:val="18"/>
                <w:szCs w:val="18"/>
              </w:rPr>
              <w:t>合计</w:t>
            </w:r>
          </w:p>
        </w:tc>
        <w:tc>
          <w:tcPr>
            <w:tcW w:w="2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72,859,653.55</w:t>
            </w:r>
          </w:p>
        </w:tc>
        <w:tc>
          <w:tcPr>
            <w:tcW w:w="29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121,299,781.90</w:t>
            </w:r>
            <w:r>
              <w:rPr>
                <w:rFonts w:ascii="Times New Roman"/>
                <w:sz w:val="18"/>
              </w:rPr>
            </w:r>
          </w:p>
        </w:tc>
      </w:tr>
    </w:tbl>
    <w:p>
      <w:pPr>
        <w:spacing w:line="240" w:lineRule="auto" w:before="6"/>
        <w:rPr>
          <w:rFonts w:ascii="宋体" w:hAnsi="宋体" w:cs="宋体" w:eastAsia="宋体" w:hint="default"/>
          <w:b/>
          <w:bCs/>
          <w:sz w:val="5"/>
          <w:szCs w:val="5"/>
        </w:rPr>
      </w:pPr>
    </w:p>
    <w:p>
      <w:pPr>
        <w:pStyle w:val="Heading3"/>
        <w:spacing w:line="240" w:lineRule="auto" w:before="36"/>
        <w:ind w:left="580" w:right="0"/>
        <w:jc w:val="left"/>
        <w:rPr>
          <w:b w:val="0"/>
          <w:bCs w:val="0"/>
        </w:rPr>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日止，本公司不存在质押、冻结，或有潜在收回风险的款项。</w:t>
      </w:r>
      <w:r>
        <w:rPr>
          <w:b w:val="0"/>
          <w:bCs w:val="0"/>
        </w:rPr>
      </w:r>
    </w:p>
    <w:p>
      <w:pPr>
        <w:pStyle w:val="Heading3"/>
        <w:spacing w:line="240" w:lineRule="auto" w:before="141"/>
        <w:ind w:left="575" w:right="0"/>
        <w:jc w:val="left"/>
        <w:rPr>
          <w:b w:val="0"/>
          <w:bCs w:val="0"/>
        </w:rPr>
      </w:pPr>
      <w:r>
        <w:rPr/>
        <w:t>（二）应收账款</w:t>
      </w:r>
      <w:r>
        <w:rPr>
          <w:b w:val="0"/>
          <w:bCs w:val="0"/>
        </w:rPr>
      </w:r>
    </w:p>
    <w:p>
      <w:pPr>
        <w:pStyle w:val="Heading3"/>
        <w:spacing w:line="240" w:lineRule="auto" w:before="37"/>
        <w:ind w:left="580" w:right="0"/>
        <w:jc w:val="left"/>
        <w:rPr>
          <w:b w:val="0"/>
          <w:bCs w:val="0"/>
        </w:rPr>
      </w:pPr>
      <w:r>
        <w:rPr>
          <w:rFonts w:ascii="Times New Roman" w:hAnsi="Times New Roman" w:cs="Times New Roman" w:eastAsia="Times New Roman" w:hint="default"/>
        </w:rPr>
        <w:t>1</w:t>
      </w:r>
      <w:r>
        <w:rPr/>
        <w:t>、应收账款按种类披露</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376"/>
        <w:gridCol w:w="1442"/>
        <w:gridCol w:w="967"/>
        <w:gridCol w:w="1277"/>
        <w:gridCol w:w="1241"/>
        <w:gridCol w:w="1541"/>
      </w:tblGrid>
      <w:tr>
        <w:trPr>
          <w:trHeight w:val="353" w:hRule="exact"/>
        </w:trPr>
        <w:tc>
          <w:tcPr>
            <w:tcW w:w="2376"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468"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376" w:type="dxa"/>
            <w:vMerge/>
            <w:tcBorders>
              <w:left w:val="single" w:sz="6" w:space="0" w:color="000000"/>
              <w:right w:val="single" w:sz="6" w:space="0" w:color="000000"/>
            </w:tcBorders>
          </w:tcPr>
          <w:p>
            <w:pPr/>
          </w:p>
        </w:tc>
        <w:tc>
          <w:tcPr>
            <w:tcW w:w="241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18"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41" w:type="dxa"/>
            <w:vMerge w:val="restart"/>
            <w:tcBorders>
              <w:top w:val="single" w:sz="12" w:space="0" w:color="000000"/>
              <w:left w:val="single" w:sz="6" w:space="0" w:color="000000"/>
              <w:right w:val="nil" w:sz="6" w:space="0" w:color="auto"/>
            </w:tcBorders>
          </w:tcPr>
          <w:p>
            <w:pPr>
              <w:pStyle w:val="TableParagraph"/>
              <w:spacing w:line="240" w:lineRule="auto" w:before="10"/>
              <w:ind w:left="40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3" w:hRule="exact"/>
        </w:trPr>
        <w:tc>
          <w:tcPr>
            <w:tcW w:w="2376" w:type="dxa"/>
            <w:vMerge/>
            <w:tcBorders>
              <w:left w:val="single" w:sz="6" w:space="0" w:color="000000"/>
              <w:bottom w:val="single" w:sz="12" w:space="0" w:color="000000"/>
              <w:right w:val="single" w:sz="6" w:space="0" w:color="000000"/>
            </w:tcBorders>
          </w:tcPr>
          <w:p>
            <w:pP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541" w:type="dxa"/>
            <w:vMerge/>
            <w:tcBorders>
              <w:left w:val="single" w:sz="6" w:space="0" w:color="000000"/>
              <w:bottom w:val="single" w:sz="12" w:space="0" w:color="000000"/>
              <w:right w:val="nil" w:sz="6" w:space="0" w:color="auto"/>
            </w:tcBorders>
          </w:tcPr>
          <w:p>
            <w:pPr/>
          </w:p>
        </w:tc>
      </w:tr>
      <w:tr>
        <w:trPr>
          <w:trHeight w:val="6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4"/>
              <w:jc w:val="left"/>
              <w:rPr>
                <w:rFonts w:ascii="宋体" w:hAnsi="宋体" w:cs="宋体" w:eastAsia="宋体" w:hint="default"/>
                <w:sz w:val="18"/>
                <w:szCs w:val="18"/>
              </w:rPr>
            </w:pPr>
            <w:r>
              <w:rPr>
                <w:rFonts w:ascii="宋体" w:hAnsi="宋体" w:cs="宋体" w:eastAsia="宋体" w:hint="default"/>
                <w:sz w:val="18"/>
                <w:szCs w:val="18"/>
              </w:rPr>
              <w:t>单项金额重大并单独计提坏账 准备的应收账款</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9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5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65"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4"/>
              <w:jc w:val="left"/>
              <w:rPr>
                <w:rFonts w:ascii="宋体" w:hAnsi="宋体" w:cs="宋体" w:eastAsia="宋体" w:hint="default"/>
                <w:sz w:val="18"/>
                <w:szCs w:val="18"/>
              </w:rPr>
            </w:pPr>
            <w:r>
              <w:rPr>
                <w:rFonts w:ascii="宋体" w:hAnsi="宋体" w:cs="宋体" w:eastAsia="宋体" w:hint="default"/>
                <w:sz w:val="18"/>
                <w:szCs w:val="18"/>
              </w:rPr>
              <w:t>按信用风险特征组合计提坏账 准备的应收账款</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24,852,617.85</w:t>
            </w:r>
          </w:p>
        </w:tc>
        <w:tc>
          <w:tcPr>
            <w:tcW w:w="9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99.95</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893,174.88</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3.59</w:t>
            </w:r>
            <w:r>
              <w:rPr>
                <w:rFonts w:ascii="Times New Roman"/>
                <w:sz w:val="18"/>
              </w:rPr>
            </w:r>
          </w:p>
        </w:tc>
        <w:tc>
          <w:tcPr>
            <w:tcW w:w="15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23,959,442.97</w:t>
            </w:r>
          </w:p>
        </w:tc>
      </w:tr>
      <w:tr>
        <w:trPr>
          <w:trHeight w:val="665"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4"/>
              <w:jc w:val="left"/>
              <w:rPr>
                <w:rFonts w:ascii="宋体" w:hAnsi="宋体" w:cs="宋体" w:eastAsia="宋体" w:hint="default"/>
                <w:sz w:val="18"/>
                <w:szCs w:val="18"/>
              </w:rPr>
            </w:pPr>
            <w:r>
              <w:rPr>
                <w:rFonts w:ascii="宋体" w:hAnsi="宋体" w:cs="宋体" w:eastAsia="宋体" w:hint="default"/>
                <w:sz w:val="18"/>
                <w:szCs w:val="18"/>
              </w:rPr>
              <w:t>单项金额虽不重大但单独计提 坏账准备的应收账款</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12,756.00</w:t>
            </w:r>
          </w:p>
        </w:tc>
        <w:tc>
          <w:tcPr>
            <w:tcW w:w="9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0.05</w:t>
            </w:r>
            <w:r>
              <w:rPr>
                <w:rFonts w:ascii="Times New Roman"/>
                <w:sz w:val="18"/>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5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24,865,373.85</w:t>
            </w:r>
          </w:p>
        </w:tc>
        <w:tc>
          <w:tcPr>
            <w:tcW w:w="9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905,930.88</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3.64</w:t>
            </w:r>
            <w:r>
              <w:rPr>
                <w:rFonts w:ascii="Times New Roman"/>
                <w:sz w:val="18"/>
              </w:rPr>
            </w:r>
          </w:p>
        </w:tc>
        <w:tc>
          <w:tcPr>
            <w:tcW w:w="15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23,959,442.97</w:t>
            </w:r>
          </w:p>
        </w:tc>
      </w:tr>
    </w:tbl>
    <w:p>
      <w:pPr>
        <w:spacing w:line="240" w:lineRule="auto" w:before="6"/>
        <w:rPr>
          <w:rFonts w:ascii="宋体" w:hAnsi="宋体" w:cs="宋体" w:eastAsia="宋体" w:hint="default"/>
          <w:b/>
          <w:bCs/>
          <w:sz w:val="5"/>
          <w:szCs w:val="5"/>
        </w:rPr>
      </w:pPr>
    </w:p>
    <w:p>
      <w:pPr>
        <w:pStyle w:val="BodyText"/>
        <w:spacing w:line="240" w:lineRule="auto" w:before="36"/>
        <w:ind w:left="572" w:right="0"/>
        <w:jc w:val="left"/>
      </w:pPr>
      <w:r>
        <w:rPr/>
        <w:t>（续）</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376"/>
        <w:gridCol w:w="6480"/>
      </w:tblGrid>
      <w:tr>
        <w:trPr>
          <w:trHeight w:val="355"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4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2376"/>
        <w:gridCol w:w="1418"/>
        <w:gridCol w:w="991"/>
        <w:gridCol w:w="1277"/>
        <w:gridCol w:w="1325"/>
        <w:gridCol w:w="1469"/>
      </w:tblGrid>
      <w:tr>
        <w:trPr>
          <w:trHeight w:val="353" w:hRule="exact"/>
        </w:trPr>
        <w:tc>
          <w:tcPr>
            <w:tcW w:w="2376" w:type="dxa"/>
            <w:vMerge w:val="restart"/>
            <w:tcBorders>
              <w:top w:val="single" w:sz="6" w:space="0" w:color="000000"/>
              <w:left w:val="single" w:sz="6" w:space="0" w:color="000000"/>
              <w:right w:val="single" w:sz="6" w:space="0" w:color="000000"/>
            </w:tcBorders>
          </w:tcPr>
          <w:p>
            <w:pPr/>
          </w:p>
        </w:tc>
        <w:tc>
          <w:tcPr>
            <w:tcW w:w="241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0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9" w:type="dxa"/>
            <w:vMerge w:val="restart"/>
            <w:tcBorders>
              <w:top w:val="single" w:sz="6" w:space="0" w:color="000000"/>
              <w:left w:val="single" w:sz="6" w:space="0" w:color="000000"/>
              <w:right w:val="nil" w:sz="6" w:space="0" w:color="auto"/>
            </w:tcBorders>
          </w:tcPr>
          <w:p>
            <w:pPr>
              <w:pStyle w:val="TableParagraph"/>
              <w:spacing w:line="240" w:lineRule="auto" w:before="18"/>
              <w:ind w:left="36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3" w:hRule="exact"/>
        </w:trPr>
        <w:tc>
          <w:tcPr>
            <w:tcW w:w="2376"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3"/>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69" w:type="dxa"/>
            <w:vMerge/>
            <w:tcBorders>
              <w:left w:val="single" w:sz="6" w:space="0" w:color="000000"/>
              <w:bottom w:val="single" w:sz="12" w:space="0" w:color="000000"/>
              <w:right w:val="nil" w:sz="6" w:space="0" w:color="auto"/>
            </w:tcBorders>
          </w:tcPr>
          <w:p>
            <w:pPr/>
          </w:p>
        </w:tc>
      </w:tr>
      <w:tr>
        <w:trPr>
          <w:trHeight w:val="665"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4"/>
              <w:jc w:val="left"/>
              <w:rPr>
                <w:rFonts w:ascii="宋体" w:hAnsi="宋体" w:cs="宋体" w:eastAsia="宋体" w:hint="default"/>
                <w:sz w:val="18"/>
                <w:szCs w:val="18"/>
              </w:rPr>
            </w:pPr>
            <w:r>
              <w:rPr>
                <w:rFonts w:ascii="宋体" w:hAnsi="宋体" w:cs="宋体" w:eastAsia="宋体" w:hint="default"/>
                <w:sz w:val="18"/>
                <w:szCs w:val="18"/>
              </w:rPr>
              <w:t>单项金额重大并单独计提坏账 准备的应收账款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4"/>
              <w:jc w:val="left"/>
              <w:rPr>
                <w:rFonts w:ascii="宋体" w:hAnsi="宋体" w:cs="宋体" w:eastAsia="宋体" w:hint="default"/>
                <w:sz w:val="18"/>
                <w:szCs w:val="18"/>
              </w:rPr>
            </w:pPr>
            <w:r>
              <w:rPr>
                <w:rFonts w:ascii="宋体" w:hAnsi="宋体" w:cs="宋体" w:eastAsia="宋体" w:hint="default"/>
                <w:sz w:val="18"/>
                <w:szCs w:val="18"/>
              </w:rPr>
              <w:t>按信用风险特征组合计提坏账 准备的应收账款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17,245,488.79</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99.93</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496,079.91</w:t>
            </w:r>
          </w:p>
        </w:tc>
        <w:tc>
          <w:tcPr>
            <w:tcW w:w="1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2.88</w:t>
            </w:r>
            <w:r>
              <w:rPr>
                <w:rFonts w:ascii="Times New Roman"/>
                <w:sz w:val="18"/>
              </w:rPr>
            </w:r>
          </w:p>
        </w:tc>
        <w:tc>
          <w:tcPr>
            <w:tcW w:w="14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16,749,408.88</w:t>
            </w:r>
          </w:p>
        </w:tc>
      </w:tr>
      <w:tr>
        <w:trPr>
          <w:trHeight w:val="665"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4"/>
              <w:jc w:val="left"/>
              <w:rPr>
                <w:rFonts w:ascii="宋体" w:hAnsi="宋体" w:cs="宋体" w:eastAsia="宋体" w:hint="default"/>
                <w:sz w:val="18"/>
                <w:szCs w:val="18"/>
              </w:rPr>
            </w:pPr>
            <w:r>
              <w:rPr>
                <w:rFonts w:ascii="宋体" w:hAnsi="宋体" w:cs="宋体" w:eastAsia="宋体" w:hint="default"/>
                <w:sz w:val="18"/>
                <w:szCs w:val="18"/>
              </w:rPr>
              <w:t>单项金额虽不重大但单独计提 坏账准备的应收账款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0.07</w:t>
            </w:r>
            <w:r>
              <w:rPr>
                <w:rFonts w:ascii="Times New Roman"/>
                <w:sz w:val="18"/>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4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17,258,244.79</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508,835.91</w:t>
            </w:r>
          </w:p>
        </w:tc>
        <w:tc>
          <w:tcPr>
            <w:tcW w:w="1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2.95</w:t>
            </w:r>
            <w:r>
              <w:rPr>
                <w:rFonts w:ascii="Times New Roman"/>
                <w:sz w:val="18"/>
              </w:rPr>
            </w:r>
          </w:p>
        </w:tc>
        <w:tc>
          <w:tcPr>
            <w:tcW w:w="14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16,749,408.88</w:t>
            </w:r>
            <w:r>
              <w:rPr>
                <w:rFonts w:ascii="Times New Roman"/>
                <w:sz w:val="18"/>
              </w:rPr>
            </w:r>
          </w:p>
        </w:tc>
      </w:tr>
    </w:tbl>
    <w:p>
      <w:pPr>
        <w:spacing w:line="240" w:lineRule="auto" w:before="2"/>
        <w:rPr>
          <w:rFonts w:ascii="宋体" w:hAnsi="宋体" w:cs="宋体" w:eastAsia="宋体" w:hint="default"/>
          <w:sz w:val="20"/>
          <w:szCs w:val="20"/>
        </w:rPr>
      </w:pPr>
    </w:p>
    <w:p>
      <w:pPr>
        <w:pStyle w:val="BodyText"/>
        <w:spacing w:line="240" w:lineRule="auto" w:before="36"/>
        <w:ind w:left="572" w:right="0"/>
        <w:jc w:val="left"/>
      </w:pPr>
      <w:r>
        <w:rPr/>
        <w:t>应收账款种类的说明：</w:t>
      </w:r>
    </w:p>
    <w:p>
      <w:pPr>
        <w:pStyle w:val="BodyText"/>
        <w:spacing w:line="240" w:lineRule="auto" w:before="37"/>
        <w:ind w:left="572" w:right="0"/>
        <w:jc w:val="left"/>
      </w:pPr>
      <w:r>
        <w:rPr/>
        <w:t>（</w:t>
      </w:r>
      <w:r>
        <w:rPr>
          <w:rFonts w:ascii="Times New Roman" w:hAnsi="Times New Roman" w:cs="Times New Roman" w:eastAsia="Times New Roman" w:hint="default"/>
        </w:rPr>
        <w:t>1</w:t>
      </w:r>
      <w:r>
        <w:rPr/>
        <w:t>）组合中，按账龄分析法计提坏账准备的应收账款</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551"/>
        <w:gridCol w:w="2340"/>
        <w:gridCol w:w="1992"/>
        <w:gridCol w:w="1973"/>
      </w:tblGrid>
      <w:tr>
        <w:trPr>
          <w:trHeight w:val="355" w:hRule="exact"/>
        </w:trPr>
        <w:tc>
          <w:tcPr>
            <w:tcW w:w="2551"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305"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551" w:type="dxa"/>
            <w:vMerge/>
            <w:tcBorders>
              <w:left w:val="single" w:sz="6" w:space="0" w:color="000000"/>
              <w:bottom w:val="single" w:sz="12" w:space="0" w:color="000000"/>
              <w:right w:val="single" w:sz="6" w:space="0" w:color="000000"/>
            </w:tcBorders>
          </w:tcPr>
          <w:p>
            <w:pP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23,694,099.58</w:t>
            </w:r>
          </w:p>
        </w:tc>
        <w:tc>
          <w:tcPr>
            <w:tcW w:w="1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236,941.00</w:t>
            </w:r>
          </w:p>
        </w:tc>
        <w:tc>
          <w:tcPr>
            <w:tcW w:w="19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r>
      <w:tr>
        <w:trPr>
          <w:trHeight w:val="353" w:hRule="exact"/>
        </w:trPr>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558,093.76</w:t>
            </w:r>
          </w:p>
        </w:tc>
        <w:tc>
          <w:tcPr>
            <w:tcW w:w="1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55,809.37</w:t>
            </w:r>
          </w:p>
        </w:tc>
        <w:tc>
          <w:tcPr>
            <w:tcW w:w="19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10.00</w:t>
            </w:r>
          </w:p>
        </w:tc>
      </w:tr>
      <w:tr>
        <w:trPr>
          <w:trHeight w:val="350" w:hRule="exact"/>
        </w:trPr>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600,424.51</w:t>
            </w:r>
          </w:p>
        </w:tc>
        <w:tc>
          <w:tcPr>
            <w:tcW w:w="1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600,424.51</w:t>
            </w:r>
          </w:p>
        </w:tc>
        <w:tc>
          <w:tcPr>
            <w:tcW w:w="19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r>
      <w:tr>
        <w:trPr>
          <w:trHeight w:val="353" w:hRule="exact"/>
        </w:trPr>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24,852,617.85</w:t>
            </w:r>
          </w:p>
        </w:tc>
        <w:tc>
          <w:tcPr>
            <w:tcW w:w="1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893,174.88</w:t>
            </w:r>
          </w:p>
        </w:tc>
        <w:tc>
          <w:tcPr>
            <w:tcW w:w="19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3.59</w:t>
            </w:r>
            <w:r>
              <w:rPr>
                <w:rFonts w:ascii="Times New Roman"/>
                <w:sz w:val="18"/>
              </w:rPr>
            </w:r>
          </w:p>
        </w:tc>
      </w:tr>
    </w:tbl>
    <w:p>
      <w:pPr>
        <w:spacing w:line="240" w:lineRule="auto" w:before="6"/>
        <w:rPr>
          <w:rFonts w:ascii="宋体" w:hAnsi="宋体" w:cs="宋体" w:eastAsia="宋体" w:hint="default"/>
          <w:sz w:val="5"/>
          <w:szCs w:val="5"/>
        </w:rPr>
      </w:pPr>
    </w:p>
    <w:p>
      <w:pPr>
        <w:pStyle w:val="BodyText"/>
        <w:spacing w:line="240" w:lineRule="auto" w:before="36"/>
        <w:ind w:left="932" w:right="0"/>
        <w:jc w:val="left"/>
      </w:pPr>
      <w:r>
        <w:rPr>
          <w:rFonts w:ascii="宋体" w:hAnsi="宋体" w:cs="宋体" w:eastAsia="宋体" w:hint="default"/>
        </w:rPr>
        <w:t>2.</w:t>
      </w:r>
      <w:r>
        <w:rPr>
          <w:rFonts w:ascii="宋体" w:hAnsi="宋体" w:cs="宋体" w:eastAsia="宋体" w:hint="default"/>
          <w:spacing w:val="43"/>
        </w:rPr>
        <w:t> </w:t>
      </w:r>
      <w:r>
        <w:rPr/>
        <w:t>期末单项金额虽不重大但单独计提坏账准备的应收账款</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526"/>
        <w:gridCol w:w="1277"/>
        <w:gridCol w:w="1416"/>
        <w:gridCol w:w="1133"/>
        <w:gridCol w:w="3492"/>
      </w:tblGrid>
      <w:tr>
        <w:trPr>
          <w:trHeight w:val="355" w:hRule="exact"/>
        </w:trPr>
        <w:tc>
          <w:tcPr>
            <w:tcW w:w="1526" w:type="dxa"/>
            <w:vMerge w:val="restart"/>
            <w:tcBorders>
              <w:top w:val="single" w:sz="6" w:space="0" w:color="000000"/>
              <w:left w:val="single" w:sz="6" w:space="0" w:color="000000"/>
              <w:right w:val="single" w:sz="6" w:space="0" w:color="000000"/>
            </w:tcBorders>
          </w:tcPr>
          <w:p>
            <w:pPr>
              <w:pStyle w:val="TableParagraph"/>
              <w:spacing w:line="240" w:lineRule="auto" w:before="20"/>
              <w:ind w:left="3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318"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1526" w:type="dxa"/>
            <w:vMerge/>
            <w:tcBorders>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598" w:hRule="exact"/>
        </w:trPr>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甘肃省外文书店</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3492"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4" w:right="59"/>
              <w:jc w:val="left"/>
              <w:rPr>
                <w:rFonts w:ascii="宋体" w:hAnsi="宋体" w:cs="宋体" w:eastAsia="宋体" w:hint="default"/>
                <w:sz w:val="18"/>
                <w:szCs w:val="18"/>
              </w:rPr>
            </w:pPr>
            <w:r>
              <w:rPr>
                <w:rFonts w:ascii="宋体" w:hAnsi="宋体" w:cs="宋体" w:eastAsia="宋体" w:hint="default"/>
                <w:sz w:val="18"/>
                <w:szCs w:val="18"/>
              </w:rPr>
              <w:t>根据业务持续跟踪反馈，该客户已被甘肃省 省店兼并，但截至目前省店仍无具体人员负 责清理外文书店旧账，只能等待时机。 虽然年限未满三年，但可收回性不大，全额 计提坏账准备。</w:t>
            </w:r>
          </w:p>
        </w:tc>
      </w:tr>
      <w:tr>
        <w:trPr>
          <w:trHeight w:val="353" w:hRule="exact"/>
        </w:trPr>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349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5"/>
          <w:szCs w:val="5"/>
        </w:rPr>
      </w:pPr>
    </w:p>
    <w:p>
      <w:pPr>
        <w:pStyle w:val="Heading3"/>
        <w:spacing w:line="240" w:lineRule="auto" w:before="36"/>
        <w:ind w:left="575" w:right="0"/>
        <w:jc w:val="left"/>
        <w:rPr>
          <w:b w:val="0"/>
          <w:bCs w:val="0"/>
        </w:rPr>
      </w:pPr>
      <w:r>
        <w:rPr>
          <w:rFonts w:ascii="Times New Roman" w:hAnsi="Times New Roman" w:cs="Times New Roman" w:eastAsia="Times New Roman" w:hint="default"/>
        </w:rPr>
        <w:t>2</w:t>
      </w:r>
      <w:r>
        <w:rPr/>
        <w:t>、按欠款方归集的期末余额前五名应收账款</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978"/>
        <w:gridCol w:w="1488"/>
        <w:gridCol w:w="2700"/>
        <w:gridCol w:w="1694"/>
      </w:tblGrid>
      <w:tr>
        <w:trPr>
          <w:trHeight w:val="355" w:hRule="exact"/>
        </w:trPr>
        <w:tc>
          <w:tcPr>
            <w:tcW w:w="29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7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占应收账款期末余额的比例</w:t>
            </w:r>
            <w:r>
              <w:rPr>
                <w:rFonts w:ascii="Times New Roman" w:hAnsi="Times New Roman" w:cs="Times New Roman" w:eastAsia="Times New Roman" w:hint="default"/>
                <w:sz w:val="18"/>
                <w:szCs w:val="18"/>
              </w:rPr>
              <w:t>(%)</w:t>
            </w:r>
          </w:p>
        </w:tc>
        <w:tc>
          <w:tcPr>
            <w:tcW w:w="16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3" w:hRule="exact"/>
        </w:trPr>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3,717,560.00</w:t>
            </w:r>
            <w:r>
              <w:rPr>
                <w:rFonts w:ascii="Times New Roman"/>
                <w:sz w:val="18"/>
              </w:rPr>
            </w:r>
          </w:p>
        </w:tc>
        <w:tc>
          <w:tcPr>
            <w:tcW w:w="2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14.95</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37,175.60</w:t>
            </w:r>
          </w:p>
        </w:tc>
      </w:tr>
      <w:tr>
        <w:trPr>
          <w:trHeight w:val="350" w:hRule="exact"/>
        </w:trPr>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广州市新华书店集团有限公司</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3,533,920.94</w:t>
            </w:r>
            <w:r>
              <w:rPr>
                <w:rFonts w:ascii="Times New Roman"/>
                <w:sz w:val="18"/>
              </w:rPr>
            </w:r>
          </w:p>
        </w:tc>
        <w:tc>
          <w:tcPr>
            <w:tcW w:w="2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14.21</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35,339.21</w:t>
            </w:r>
          </w:p>
        </w:tc>
      </w:tr>
      <w:tr>
        <w:trPr>
          <w:trHeight w:val="353" w:hRule="exact"/>
        </w:trPr>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语文出版社有限公司</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3,280,860.70</w:t>
            </w:r>
            <w:r>
              <w:rPr>
                <w:rFonts w:ascii="Times New Roman"/>
                <w:sz w:val="18"/>
              </w:rPr>
            </w:r>
          </w:p>
        </w:tc>
        <w:tc>
          <w:tcPr>
            <w:tcW w:w="2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13.20</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32,808.61</w:t>
            </w:r>
          </w:p>
        </w:tc>
      </w:tr>
      <w:tr>
        <w:trPr>
          <w:trHeight w:val="353" w:hRule="exact"/>
        </w:trPr>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广东新华发行集团股份有限公司</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2,447,920.00</w:t>
            </w:r>
            <w:r>
              <w:rPr>
                <w:rFonts w:ascii="Times New Roman"/>
                <w:sz w:val="18"/>
              </w:rPr>
            </w:r>
          </w:p>
        </w:tc>
        <w:tc>
          <w:tcPr>
            <w:tcW w:w="2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9.84</w:t>
            </w:r>
            <w:r>
              <w:rPr>
                <w:rFonts w:ascii="Times New Roman"/>
                <w:sz w:val="18"/>
              </w:rPr>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24,479.20</w:t>
            </w:r>
          </w:p>
        </w:tc>
      </w:tr>
      <w:tr>
        <w:trPr>
          <w:trHeight w:val="350" w:hRule="exact"/>
        </w:trPr>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人民教育电子音像出版社有限公司</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2,139,720.00</w:t>
            </w:r>
            <w:r>
              <w:rPr>
                <w:rFonts w:ascii="Times New Roman"/>
                <w:sz w:val="18"/>
              </w:rPr>
            </w:r>
          </w:p>
        </w:tc>
        <w:tc>
          <w:tcPr>
            <w:tcW w:w="2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8.61</w:t>
            </w:r>
            <w:r>
              <w:rPr>
                <w:rFonts w:ascii="Times New Roman"/>
                <w:sz w:val="18"/>
              </w:rPr>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21,397.20</w:t>
            </w:r>
          </w:p>
        </w:tc>
      </w:tr>
      <w:tr>
        <w:trPr>
          <w:trHeight w:val="353" w:hRule="exact"/>
        </w:trPr>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15,119,981.64</w:t>
            </w:r>
          </w:p>
        </w:tc>
        <w:tc>
          <w:tcPr>
            <w:tcW w:w="2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60.81</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151,199.82</w:t>
            </w:r>
          </w:p>
        </w:tc>
      </w:tr>
    </w:tbl>
    <w:p>
      <w:pPr>
        <w:spacing w:line="240" w:lineRule="auto" w:before="6"/>
        <w:rPr>
          <w:rFonts w:ascii="宋体" w:hAnsi="宋体" w:cs="宋体" w:eastAsia="宋体" w:hint="default"/>
          <w:b/>
          <w:bCs/>
          <w:sz w:val="5"/>
          <w:szCs w:val="5"/>
        </w:rPr>
      </w:pPr>
    </w:p>
    <w:p>
      <w:pPr>
        <w:pStyle w:val="Heading3"/>
        <w:spacing w:line="240" w:lineRule="auto" w:before="36"/>
        <w:ind w:left="580" w:right="0"/>
        <w:jc w:val="left"/>
        <w:rPr>
          <w:b w:val="0"/>
          <w:bCs w:val="0"/>
        </w:rPr>
      </w:pPr>
      <w:r>
        <w:rPr>
          <w:rFonts w:ascii="Times New Roman" w:hAnsi="Times New Roman" w:cs="Times New Roman" w:eastAsia="Times New Roman" w:hint="default"/>
        </w:rPr>
        <w:t>3</w:t>
      </w:r>
      <w:r>
        <w:rPr/>
        <w:t>、期末应收账款中无应收持本公司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）表决权股份的股东单位及其他关联方款项。</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65"/>
        <w:ind w:left="575" w:right="0"/>
        <w:jc w:val="left"/>
        <w:rPr>
          <w:b w:val="0"/>
          <w:bCs w:val="0"/>
        </w:rPr>
      </w:pPr>
      <w:r>
        <w:rPr/>
        <w:t>（三）预付款项</w:t>
      </w:r>
      <w:r>
        <w:rPr>
          <w:b w:val="0"/>
          <w:bCs w:val="0"/>
        </w:rPr>
      </w:r>
    </w:p>
    <w:p>
      <w:pPr>
        <w:spacing w:after="0" w:line="240" w:lineRule="auto"/>
        <w:jc w:val="left"/>
        <w:sectPr>
          <w:pgSz w:w="11910" w:h="16840"/>
          <w:pgMar w:header="990" w:footer="1066" w:top="1220" w:bottom="1260" w:left="980" w:right="980"/>
        </w:sectPr>
      </w:pPr>
    </w:p>
    <w:p>
      <w:pPr>
        <w:spacing w:line="240" w:lineRule="auto" w:before="5"/>
        <w:rPr>
          <w:rFonts w:ascii="宋体" w:hAnsi="宋体" w:cs="宋体" w:eastAsia="宋体" w:hint="default"/>
          <w:b/>
          <w:bCs/>
          <w:sz w:val="10"/>
          <w:szCs w:val="10"/>
        </w:rPr>
      </w:pPr>
    </w:p>
    <w:p>
      <w:pPr>
        <w:pStyle w:val="Heading3"/>
        <w:spacing w:line="240" w:lineRule="auto" w:before="36"/>
        <w:ind w:left="580" w:right="106"/>
        <w:jc w:val="left"/>
        <w:rPr>
          <w:b w:val="0"/>
          <w:bCs w:val="0"/>
        </w:rPr>
      </w:pP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956"/>
        <w:gridCol w:w="1985"/>
        <w:gridCol w:w="1558"/>
        <w:gridCol w:w="1702"/>
        <w:gridCol w:w="1661"/>
      </w:tblGrid>
      <w:tr>
        <w:trPr>
          <w:trHeight w:val="353" w:hRule="exact"/>
        </w:trPr>
        <w:tc>
          <w:tcPr>
            <w:tcW w:w="1956"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62"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1956" w:type="dxa"/>
            <w:vMerge/>
            <w:tcBorders>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53" w:hRule="exact"/>
        </w:trPr>
        <w:tc>
          <w:tcPr>
            <w:tcW w:w="1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840,892.74</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49.10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3,231,207.55</w:t>
            </w:r>
            <w:r>
              <w:rPr>
                <w:rFonts w:ascii="Times New Roman"/>
                <w:sz w:val="18"/>
              </w:rPr>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95.92</w:t>
            </w:r>
          </w:p>
        </w:tc>
      </w:tr>
      <w:tr>
        <w:trPr>
          <w:trHeight w:val="350" w:hRule="exact"/>
        </w:trPr>
        <w:tc>
          <w:tcPr>
            <w:tcW w:w="1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764,397.05</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44.63</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137,518.18</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4.08</w:t>
            </w:r>
            <w:r>
              <w:rPr>
                <w:rFonts w:ascii="Times New Roman"/>
                <w:sz w:val="18"/>
              </w:rPr>
            </w:r>
          </w:p>
        </w:tc>
      </w:tr>
      <w:tr>
        <w:trPr>
          <w:trHeight w:val="353" w:hRule="exact"/>
        </w:trPr>
        <w:tc>
          <w:tcPr>
            <w:tcW w:w="1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107,351.48</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6.27</w:t>
            </w:r>
            <w:r>
              <w:rPr>
                <w:rFonts w:ascii="Times New Roman"/>
                <w:sz w:val="18"/>
              </w:rPr>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1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1,712,641.27</w:t>
            </w:r>
            <w:r>
              <w:rPr>
                <w:rFonts w:ascii="Times New Roman"/>
                <w:sz w:val="18"/>
              </w:rPr>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3,368,725.73</w:t>
            </w:r>
            <w:r>
              <w:rPr>
                <w:rFonts w:ascii="Times New Roman"/>
                <w:sz w:val="18"/>
              </w:rPr>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r>
    </w:tbl>
    <w:p>
      <w:pPr>
        <w:spacing w:line="240" w:lineRule="auto" w:before="6"/>
        <w:rPr>
          <w:rFonts w:ascii="宋体" w:hAnsi="宋体" w:cs="宋体" w:eastAsia="宋体" w:hint="default"/>
          <w:b/>
          <w:bCs/>
          <w:sz w:val="5"/>
          <w:szCs w:val="5"/>
        </w:rPr>
      </w:pPr>
    </w:p>
    <w:p>
      <w:pPr>
        <w:pStyle w:val="Heading3"/>
        <w:spacing w:line="240" w:lineRule="auto" w:before="36"/>
        <w:ind w:left="580" w:right="106"/>
        <w:jc w:val="left"/>
        <w:rPr>
          <w:b w:val="0"/>
          <w:bCs w:val="0"/>
        </w:rPr>
      </w:pPr>
      <w:r>
        <w:rPr>
          <w:rFonts w:ascii="Times New Roman" w:hAnsi="Times New Roman" w:cs="Times New Roman" w:eastAsia="Times New Roman" w:hint="default"/>
        </w:rPr>
        <w:t>2</w:t>
      </w:r>
      <w:r>
        <w:rPr/>
        <w:t>、期末预付款项中无预付持本公司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）表决权股份的股东单位及其他关联方的款项。</w:t>
      </w:r>
      <w:r>
        <w:rPr>
          <w:b w:val="0"/>
          <w:bCs w:val="0"/>
        </w:rPr>
      </w:r>
    </w:p>
    <w:p>
      <w:pPr>
        <w:pStyle w:val="Heading3"/>
        <w:spacing w:line="240" w:lineRule="auto" w:before="21"/>
        <w:ind w:left="580" w:right="106"/>
        <w:jc w:val="left"/>
        <w:rPr>
          <w:b w:val="0"/>
          <w:bCs w:val="0"/>
        </w:rPr>
      </w:pPr>
      <w:r>
        <w:rPr>
          <w:rFonts w:ascii="Times New Roman" w:hAnsi="Times New Roman" w:cs="Times New Roman" w:eastAsia="Times New Roman" w:hint="default"/>
        </w:rPr>
        <w:t>3</w:t>
      </w:r>
      <w:r>
        <w:rPr/>
        <w:t>、按预付对象归集的期末余额前五名的预付款项情况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4080"/>
        <w:gridCol w:w="2268"/>
        <w:gridCol w:w="2513"/>
      </w:tblGrid>
      <w:tr>
        <w:trPr>
          <w:trHeight w:val="355" w:hRule="exact"/>
        </w:trPr>
        <w:tc>
          <w:tcPr>
            <w:tcW w:w="4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5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占预付款项总额的比例</w:t>
            </w:r>
            <w:r>
              <w:rPr>
                <w:rFonts w:ascii="Times New Roman" w:hAnsi="Times New Roman" w:cs="Times New Roman" w:eastAsia="Times New Roman" w:hint="default"/>
                <w:sz w:val="18"/>
                <w:szCs w:val="18"/>
              </w:rPr>
              <w:t>(%)</w:t>
            </w:r>
          </w:p>
        </w:tc>
      </w:tr>
      <w:tr>
        <w:trPr>
          <w:trHeight w:val="350" w:hRule="exact"/>
        </w:trPr>
        <w:tc>
          <w:tcPr>
            <w:tcW w:w="4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广州市世纪华恩文化传播有限公司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632,365.05</w:t>
            </w:r>
          </w:p>
        </w:tc>
        <w:tc>
          <w:tcPr>
            <w:tcW w:w="25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36.92</w:t>
            </w:r>
          </w:p>
        </w:tc>
      </w:tr>
      <w:tr>
        <w:trPr>
          <w:trHeight w:val="353" w:hRule="exact"/>
        </w:trPr>
        <w:tc>
          <w:tcPr>
            <w:tcW w:w="4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中通信息服务有限公司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256,604.74</w:t>
            </w:r>
          </w:p>
        </w:tc>
        <w:tc>
          <w:tcPr>
            <w:tcW w:w="25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14.98</w:t>
            </w:r>
          </w:p>
        </w:tc>
      </w:tr>
      <w:tr>
        <w:trPr>
          <w:trHeight w:val="353" w:hRule="exact"/>
        </w:trPr>
        <w:tc>
          <w:tcPr>
            <w:tcW w:w="4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上海世纪出版股份有限公司外语教育图书分公司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132,000.00</w:t>
            </w:r>
          </w:p>
        </w:tc>
        <w:tc>
          <w:tcPr>
            <w:tcW w:w="25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7.71</w:t>
            </w:r>
            <w:r>
              <w:rPr>
                <w:rFonts w:ascii="Times New Roman"/>
                <w:sz w:val="18"/>
              </w:rPr>
            </w:r>
          </w:p>
        </w:tc>
      </w:tr>
      <w:tr>
        <w:trPr>
          <w:trHeight w:val="350" w:hRule="exact"/>
        </w:trPr>
        <w:tc>
          <w:tcPr>
            <w:tcW w:w="4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国家超级计算深圳中心（深圳云计算中心）</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106,851.48</w:t>
            </w:r>
          </w:p>
        </w:tc>
        <w:tc>
          <w:tcPr>
            <w:tcW w:w="25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6.24</w:t>
            </w:r>
            <w:r>
              <w:rPr>
                <w:rFonts w:ascii="Times New Roman"/>
                <w:sz w:val="18"/>
              </w:rPr>
            </w:r>
          </w:p>
        </w:tc>
      </w:tr>
      <w:tr>
        <w:trPr>
          <w:trHeight w:val="353" w:hRule="exact"/>
        </w:trPr>
        <w:tc>
          <w:tcPr>
            <w:tcW w:w="4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于晓菲</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100,000.00</w:t>
            </w:r>
          </w:p>
        </w:tc>
        <w:tc>
          <w:tcPr>
            <w:tcW w:w="25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5.84</w:t>
            </w:r>
            <w:r>
              <w:rPr>
                <w:rFonts w:ascii="Times New Roman"/>
                <w:sz w:val="18"/>
              </w:rPr>
            </w:r>
          </w:p>
        </w:tc>
      </w:tr>
      <w:tr>
        <w:trPr>
          <w:trHeight w:val="353" w:hRule="exact"/>
        </w:trPr>
        <w:tc>
          <w:tcPr>
            <w:tcW w:w="4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1,227,821.27</w:t>
            </w:r>
            <w:r>
              <w:rPr>
                <w:rFonts w:ascii="Times New Roman"/>
                <w:sz w:val="18"/>
              </w:rPr>
            </w:r>
          </w:p>
        </w:tc>
        <w:tc>
          <w:tcPr>
            <w:tcW w:w="25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71.69</w:t>
            </w:r>
          </w:p>
        </w:tc>
      </w:tr>
    </w:tbl>
    <w:p>
      <w:pPr>
        <w:spacing w:line="240" w:lineRule="auto" w:before="6"/>
        <w:rPr>
          <w:rFonts w:ascii="宋体" w:hAnsi="宋体" w:cs="宋体" w:eastAsia="宋体" w:hint="default"/>
          <w:b/>
          <w:bCs/>
          <w:sz w:val="5"/>
          <w:szCs w:val="5"/>
        </w:rPr>
      </w:pPr>
    </w:p>
    <w:p>
      <w:pPr>
        <w:pStyle w:val="Heading3"/>
        <w:spacing w:line="256" w:lineRule="auto" w:before="36"/>
        <w:ind w:right="106" w:firstLine="422"/>
        <w:jc w:val="left"/>
        <w:rPr>
          <w:b w:val="0"/>
          <w:bCs w:val="0"/>
        </w:rPr>
      </w:pPr>
      <w:r>
        <w:rPr>
          <w:rFonts w:ascii="Times New Roman" w:hAnsi="Times New Roman" w:cs="Times New Roman" w:eastAsia="Times New Roman" w:hint="default"/>
          <w:spacing w:val="-2"/>
        </w:rPr>
        <w:t>4</w:t>
      </w:r>
      <w:r>
        <w:rPr>
          <w:spacing w:val="-2"/>
        </w:rPr>
        <w:t>、预付款项期末余额较期初减少</w:t>
      </w:r>
      <w:r>
        <w:rPr>
          <w:rFonts w:ascii="Times New Roman" w:hAnsi="Times New Roman" w:cs="Times New Roman" w:eastAsia="Times New Roman" w:hint="default"/>
          <w:spacing w:val="-2"/>
        </w:rPr>
        <w:t>1,656,084.46</w:t>
      </w:r>
      <w:r>
        <w:rPr>
          <w:spacing w:val="-2"/>
        </w:rPr>
        <w:t>元，减幅为</w:t>
      </w:r>
      <w:r>
        <w:rPr>
          <w:rFonts w:ascii="Times New Roman" w:hAnsi="Times New Roman" w:cs="Times New Roman" w:eastAsia="Times New Roman" w:hint="default"/>
          <w:spacing w:val="-2"/>
        </w:rPr>
        <w:t>49.16%</w:t>
      </w:r>
      <w:r>
        <w:rPr>
          <w:spacing w:val="-2"/>
        </w:rPr>
        <w:t>，主要系上期预付教学软件款及版权</w:t>
      </w:r>
      <w:r>
        <w:rPr>
          <w:w w:val="100"/>
        </w:rPr>
        <w:t> </w:t>
      </w:r>
      <w:r>
        <w:rPr/>
        <w:t>费本期摊销所致。</w:t>
      </w:r>
      <w:r>
        <w:rPr>
          <w:b w:val="0"/>
          <w:bCs w:val="0"/>
        </w:rPr>
      </w:r>
    </w:p>
    <w:p>
      <w:pPr>
        <w:pStyle w:val="Heading3"/>
        <w:spacing w:line="240" w:lineRule="auto" w:before="142"/>
        <w:ind w:left="575" w:right="106"/>
        <w:jc w:val="left"/>
        <w:rPr>
          <w:b w:val="0"/>
          <w:bCs w:val="0"/>
        </w:rPr>
      </w:pPr>
      <w:r>
        <w:rPr/>
        <w:t>（四）应收利息</w:t>
      </w:r>
      <w:r>
        <w:rPr>
          <w:b w:val="0"/>
          <w:bCs w:val="0"/>
        </w:rPr>
      </w:r>
    </w:p>
    <w:p>
      <w:pPr>
        <w:pStyle w:val="Heading3"/>
        <w:spacing w:line="240" w:lineRule="auto" w:before="37"/>
        <w:ind w:right="106"/>
        <w:jc w:val="left"/>
        <w:rPr>
          <w:b w:val="0"/>
          <w:bCs w:val="0"/>
        </w:rPr>
      </w:pPr>
      <w:r>
        <w:rPr>
          <w:rFonts w:ascii="宋体" w:hAnsi="宋体" w:cs="宋体" w:eastAsia="宋体" w:hint="default"/>
        </w:rPr>
        <w:t>1.</w:t>
      </w:r>
      <w:r>
        <w:rPr>
          <w:rFonts w:ascii="宋体" w:hAnsi="宋体" w:cs="宋体" w:eastAsia="宋体" w:hint="default"/>
          <w:spacing w:val="43"/>
        </w:rPr>
        <w:t> </w:t>
      </w:r>
      <w:r>
        <w:rPr/>
        <w:t>应收利息分类</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271"/>
        <w:gridCol w:w="2729"/>
        <w:gridCol w:w="2786"/>
      </w:tblGrid>
      <w:tr>
        <w:trPr>
          <w:trHeight w:val="355" w:hRule="exact"/>
        </w:trPr>
        <w:tc>
          <w:tcPr>
            <w:tcW w:w="32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445"/>
              <w:jc w:val="right"/>
              <w:rPr>
                <w:rFonts w:ascii="宋体" w:hAnsi="宋体" w:cs="宋体" w:eastAsia="宋体" w:hint="default"/>
                <w:sz w:val="18"/>
                <w:szCs w:val="18"/>
              </w:rPr>
            </w:pPr>
            <w:r>
              <w:rPr>
                <w:rFonts w:ascii="宋体" w:hAnsi="宋体" w:cs="宋体" w:eastAsia="宋体" w:hint="default"/>
                <w:sz w:val="18"/>
                <w:szCs w:val="18"/>
              </w:rPr>
              <w:t>项目</w:t>
            </w:r>
          </w:p>
        </w:tc>
        <w:tc>
          <w:tcPr>
            <w:tcW w:w="27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2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4,027.40</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288,233.55</w:t>
            </w:r>
          </w:p>
        </w:tc>
      </w:tr>
      <w:tr>
        <w:trPr>
          <w:trHeight w:val="350" w:hRule="exact"/>
        </w:trPr>
        <w:tc>
          <w:tcPr>
            <w:tcW w:w="32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449,315.07</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1,340,575.34</w:t>
            </w:r>
          </w:p>
        </w:tc>
      </w:tr>
      <w:tr>
        <w:trPr>
          <w:trHeight w:val="353" w:hRule="exact"/>
        </w:trPr>
        <w:tc>
          <w:tcPr>
            <w:tcW w:w="32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45"/>
              <w:jc w:val="right"/>
              <w:rPr>
                <w:rFonts w:ascii="宋体" w:hAnsi="宋体" w:cs="宋体" w:eastAsia="宋体" w:hint="default"/>
                <w:sz w:val="18"/>
                <w:szCs w:val="18"/>
              </w:rPr>
            </w:pPr>
            <w:r>
              <w:rPr>
                <w:rFonts w:ascii="宋体" w:hAnsi="宋体" w:cs="宋体" w:eastAsia="宋体" w:hint="default"/>
                <w:sz w:val="18"/>
                <w:szCs w:val="18"/>
              </w:rPr>
              <w:t>合计</w:t>
            </w:r>
          </w:p>
        </w:tc>
        <w:tc>
          <w:tcPr>
            <w:tcW w:w="2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453,342.47</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1,628,808.89</w:t>
            </w:r>
          </w:p>
        </w:tc>
      </w:tr>
    </w:tbl>
    <w:p>
      <w:pPr>
        <w:spacing w:line="240" w:lineRule="auto" w:before="6"/>
        <w:rPr>
          <w:rFonts w:ascii="宋体" w:hAnsi="宋体" w:cs="宋体" w:eastAsia="宋体" w:hint="default"/>
          <w:b/>
          <w:bCs/>
          <w:sz w:val="5"/>
          <w:szCs w:val="5"/>
        </w:rPr>
      </w:pPr>
    </w:p>
    <w:p>
      <w:pPr>
        <w:pStyle w:val="Heading3"/>
        <w:spacing w:line="240" w:lineRule="auto" w:before="36"/>
        <w:ind w:left="575" w:right="106"/>
        <w:jc w:val="left"/>
        <w:rPr>
          <w:b w:val="0"/>
          <w:bCs w:val="0"/>
        </w:rPr>
      </w:pPr>
      <w:r>
        <w:rPr>
          <w:rFonts w:ascii="Times New Roman" w:hAnsi="Times New Roman" w:cs="Times New Roman" w:eastAsia="Times New Roman" w:hint="default"/>
          <w:spacing w:val="-4"/>
        </w:rPr>
        <w:t>2</w:t>
      </w:r>
      <w:r>
        <w:rPr>
          <w:spacing w:val="-4"/>
        </w:rPr>
        <w:t>、应收利息期末余额较期初减少</w:t>
      </w:r>
      <w:r>
        <w:rPr>
          <w:rFonts w:ascii="Times New Roman" w:hAnsi="Times New Roman" w:cs="Times New Roman" w:eastAsia="Times New Roman" w:hint="default"/>
          <w:spacing w:val="-4"/>
        </w:rPr>
        <w:t>1,175,466.42</w:t>
      </w:r>
      <w:r>
        <w:rPr>
          <w:spacing w:val="-4"/>
        </w:rPr>
        <w:t>元，减幅为</w:t>
      </w:r>
      <w:r>
        <w:rPr>
          <w:rFonts w:ascii="Times New Roman" w:hAnsi="Times New Roman" w:cs="Times New Roman" w:eastAsia="Times New Roman" w:hint="default"/>
          <w:spacing w:val="-4"/>
        </w:rPr>
        <w:t>72.17%</w:t>
      </w:r>
      <w:r>
        <w:rPr>
          <w:spacing w:val="-4"/>
        </w:rPr>
        <w:t>，主要系理财产品应收利息减少所致。</w:t>
      </w:r>
      <w:r>
        <w:rPr>
          <w:b w:val="0"/>
          <w:bCs w:val="0"/>
          <w:spacing w:val="-4"/>
        </w:rPr>
      </w:r>
    </w:p>
    <w:p>
      <w:pPr>
        <w:pStyle w:val="Heading3"/>
        <w:spacing w:line="240" w:lineRule="auto" w:before="141"/>
        <w:ind w:left="575" w:right="106"/>
        <w:jc w:val="left"/>
        <w:rPr>
          <w:b w:val="0"/>
          <w:bCs w:val="0"/>
        </w:rPr>
      </w:pPr>
      <w:r>
        <w:rPr/>
        <w:t>（五）其他应收款</w:t>
      </w:r>
      <w:r>
        <w:rPr>
          <w:b w:val="0"/>
          <w:bCs w:val="0"/>
        </w:rPr>
      </w:r>
    </w:p>
    <w:p>
      <w:pPr>
        <w:pStyle w:val="Heading3"/>
        <w:spacing w:line="240" w:lineRule="auto" w:before="37"/>
        <w:ind w:left="575" w:right="106"/>
        <w:jc w:val="left"/>
        <w:rPr>
          <w:b w:val="0"/>
          <w:bCs w:val="0"/>
        </w:rPr>
      </w:pPr>
      <w:r>
        <w:rPr>
          <w:rFonts w:ascii="Times New Roman" w:hAnsi="Times New Roman" w:cs="Times New Roman" w:eastAsia="Times New Roman" w:hint="default"/>
        </w:rPr>
        <w:t>1</w:t>
      </w:r>
      <w:r>
        <w:rPr/>
        <w:t>、其他应收款按种类披露：</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395"/>
        <w:gridCol w:w="1404"/>
        <w:gridCol w:w="876"/>
        <w:gridCol w:w="1284"/>
        <w:gridCol w:w="1241"/>
        <w:gridCol w:w="1591"/>
      </w:tblGrid>
      <w:tr>
        <w:trPr>
          <w:trHeight w:val="355" w:hRule="exact"/>
        </w:trPr>
        <w:tc>
          <w:tcPr>
            <w:tcW w:w="2395"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396"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395" w:type="dxa"/>
            <w:vMerge/>
            <w:tcBorders>
              <w:left w:val="single" w:sz="6" w:space="0" w:color="000000"/>
              <w:right w:val="single" w:sz="6" w:space="0" w:color="000000"/>
            </w:tcBorders>
          </w:tcPr>
          <w:p>
            <w:pPr/>
          </w:p>
        </w:tc>
        <w:tc>
          <w:tcPr>
            <w:tcW w:w="228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25"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91" w:type="dxa"/>
            <w:vMerge w:val="restart"/>
            <w:tcBorders>
              <w:top w:val="single" w:sz="12" w:space="0" w:color="000000"/>
              <w:left w:val="single" w:sz="6" w:space="0" w:color="000000"/>
              <w:right w:val="nil" w:sz="6" w:space="0" w:color="auto"/>
            </w:tcBorders>
          </w:tcPr>
          <w:p>
            <w:pPr>
              <w:pStyle w:val="TableParagraph"/>
              <w:spacing w:line="240" w:lineRule="auto" w:before="8"/>
              <w:ind w:left="42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2395" w:type="dxa"/>
            <w:vMerge/>
            <w:tcBorders>
              <w:left w:val="single" w:sz="6" w:space="0" w:color="000000"/>
              <w:bottom w:val="single" w:sz="12" w:space="0" w:color="000000"/>
              <w:right w:val="single" w:sz="6" w:space="0" w:color="000000"/>
            </w:tcBorders>
          </w:tcPr>
          <w:p>
            <w:pP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0"/>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591" w:type="dxa"/>
            <w:vMerge/>
            <w:tcBorders>
              <w:left w:val="single" w:sz="6" w:space="0" w:color="000000"/>
              <w:bottom w:val="single" w:sz="12" w:space="0" w:color="000000"/>
              <w:right w:val="nil" w:sz="6" w:space="0" w:color="auto"/>
            </w:tcBorders>
          </w:tcPr>
          <w:p>
            <w:pPr/>
          </w:p>
        </w:tc>
      </w:tr>
      <w:tr>
        <w:trPr>
          <w:trHeight w:val="665"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35"/>
              <w:jc w:val="left"/>
              <w:rPr>
                <w:rFonts w:ascii="宋体" w:hAnsi="宋体" w:cs="宋体" w:eastAsia="宋体" w:hint="default"/>
                <w:sz w:val="18"/>
                <w:szCs w:val="18"/>
              </w:rPr>
            </w:pPr>
            <w:r>
              <w:rPr>
                <w:rFonts w:ascii="宋体" w:hAnsi="宋体" w:cs="宋体" w:eastAsia="宋体" w:hint="default"/>
                <w:sz w:val="18"/>
                <w:szCs w:val="18"/>
              </w:rPr>
              <w:t>单项金额重大并单独计提坏账 准备的其他应收款</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2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5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65"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35"/>
              <w:jc w:val="left"/>
              <w:rPr>
                <w:rFonts w:ascii="宋体" w:hAnsi="宋体" w:cs="宋体" w:eastAsia="宋体" w:hint="default"/>
                <w:sz w:val="18"/>
                <w:szCs w:val="18"/>
              </w:rPr>
            </w:pPr>
            <w:r>
              <w:rPr>
                <w:rFonts w:ascii="宋体" w:hAnsi="宋体" w:cs="宋体" w:eastAsia="宋体" w:hint="default"/>
                <w:sz w:val="18"/>
                <w:szCs w:val="18"/>
              </w:rPr>
              <w:t>按信用风险特征组合计提坏账 准备的其他应收款</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917,735.00</w:t>
            </w:r>
          </w:p>
        </w:tc>
        <w:tc>
          <w:tcPr>
            <w:tcW w:w="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74.21</w:t>
            </w:r>
          </w:p>
        </w:tc>
        <w:tc>
          <w:tcPr>
            <w:tcW w:w="12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323,425.02</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35.24</w:t>
            </w:r>
          </w:p>
        </w:tc>
        <w:tc>
          <w:tcPr>
            <w:tcW w:w="15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594,309.98</w:t>
            </w:r>
          </w:p>
        </w:tc>
      </w:tr>
      <w:tr>
        <w:trPr>
          <w:trHeight w:val="662"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35"/>
              <w:jc w:val="left"/>
              <w:rPr>
                <w:rFonts w:ascii="宋体" w:hAnsi="宋体" w:cs="宋体" w:eastAsia="宋体" w:hint="default"/>
                <w:sz w:val="18"/>
                <w:szCs w:val="18"/>
              </w:rPr>
            </w:pPr>
            <w:r>
              <w:rPr>
                <w:rFonts w:ascii="宋体" w:hAnsi="宋体" w:cs="宋体" w:eastAsia="宋体" w:hint="default"/>
                <w:sz w:val="18"/>
                <w:szCs w:val="18"/>
              </w:rPr>
              <w:t>单项金额虽不重大但单独计提 坏账准备的其他应收款</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319,000.00</w:t>
            </w:r>
          </w:p>
        </w:tc>
        <w:tc>
          <w:tcPr>
            <w:tcW w:w="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25.79</w:t>
            </w:r>
          </w:p>
        </w:tc>
        <w:tc>
          <w:tcPr>
            <w:tcW w:w="12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319,000.00</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5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1,236,735.00</w:t>
            </w:r>
            <w:r>
              <w:rPr>
                <w:rFonts w:ascii="Times New Roman"/>
                <w:sz w:val="18"/>
              </w:rPr>
            </w:r>
          </w:p>
        </w:tc>
        <w:tc>
          <w:tcPr>
            <w:tcW w:w="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2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642,425.02</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51.95</w:t>
            </w:r>
          </w:p>
        </w:tc>
        <w:tc>
          <w:tcPr>
            <w:tcW w:w="15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594,309.98</w:t>
            </w:r>
          </w:p>
        </w:tc>
      </w:tr>
    </w:tbl>
    <w:p>
      <w:pPr>
        <w:spacing w:line="240" w:lineRule="auto" w:before="6"/>
        <w:rPr>
          <w:rFonts w:ascii="宋体" w:hAnsi="宋体" w:cs="宋体" w:eastAsia="宋体" w:hint="default"/>
          <w:b/>
          <w:bCs/>
          <w:sz w:val="5"/>
          <w:szCs w:val="5"/>
        </w:rPr>
      </w:pPr>
    </w:p>
    <w:p>
      <w:pPr>
        <w:pStyle w:val="BodyText"/>
        <w:spacing w:line="240" w:lineRule="auto" w:before="36"/>
        <w:ind w:left="572" w:right="106"/>
        <w:jc w:val="left"/>
      </w:pPr>
      <w:r>
        <w:rPr/>
        <w:t>（续）</w:t>
      </w:r>
    </w:p>
    <w:p>
      <w:pPr>
        <w:spacing w:after="0" w:line="240" w:lineRule="auto"/>
        <w:jc w:val="left"/>
        <w:sectPr>
          <w:pgSz w:w="11910" w:h="16840"/>
          <w:pgMar w:header="990" w:footer="1066" w:top="1220" w:bottom="1260" w:left="980" w:right="920"/>
        </w:sectPr>
      </w:pPr>
    </w:p>
    <w:p>
      <w:pPr>
        <w:spacing w:line="240" w:lineRule="auto" w:before="2"/>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2395"/>
        <w:gridCol w:w="1404"/>
        <w:gridCol w:w="876"/>
        <w:gridCol w:w="1248"/>
        <w:gridCol w:w="1277"/>
        <w:gridCol w:w="1591"/>
      </w:tblGrid>
      <w:tr>
        <w:trPr>
          <w:trHeight w:val="353" w:hRule="exact"/>
        </w:trPr>
        <w:tc>
          <w:tcPr>
            <w:tcW w:w="2395" w:type="dxa"/>
            <w:vMerge w:val="restart"/>
            <w:tcBorders>
              <w:top w:val="single" w:sz="6" w:space="0" w:color="000000"/>
              <w:left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396"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2395" w:type="dxa"/>
            <w:vMerge/>
            <w:tcBorders>
              <w:left w:val="single" w:sz="6" w:space="0" w:color="000000"/>
              <w:right w:val="single" w:sz="6" w:space="0" w:color="000000"/>
            </w:tcBorders>
          </w:tcPr>
          <w:p>
            <w:pPr/>
          </w:p>
        </w:tc>
        <w:tc>
          <w:tcPr>
            <w:tcW w:w="228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25"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91" w:type="dxa"/>
            <w:vMerge w:val="restart"/>
            <w:tcBorders>
              <w:top w:val="single" w:sz="12" w:space="0" w:color="000000"/>
              <w:left w:val="single" w:sz="6" w:space="0" w:color="000000"/>
              <w:right w:val="nil" w:sz="6" w:space="0" w:color="auto"/>
            </w:tcBorders>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3" w:hRule="exact"/>
        </w:trPr>
        <w:tc>
          <w:tcPr>
            <w:tcW w:w="2395" w:type="dxa"/>
            <w:vMerge/>
            <w:tcBorders>
              <w:left w:val="single" w:sz="6" w:space="0" w:color="000000"/>
              <w:bottom w:val="single" w:sz="12" w:space="0" w:color="000000"/>
              <w:right w:val="single" w:sz="6" w:space="0" w:color="000000"/>
            </w:tcBorders>
          </w:tcPr>
          <w:p>
            <w:pP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591" w:type="dxa"/>
            <w:vMerge/>
            <w:tcBorders>
              <w:left w:val="single" w:sz="6" w:space="0" w:color="000000"/>
              <w:bottom w:val="single" w:sz="12" w:space="0" w:color="000000"/>
              <w:right w:val="nil" w:sz="6" w:space="0" w:color="auto"/>
            </w:tcBorders>
          </w:tcPr>
          <w:p>
            <w:pPr/>
          </w:p>
        </w:tc>
      </w:tr>
      <w:tr>
        <w:trPr>
          <w:trHeight w:val="662"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35"/>
              <w:jc w:val="left"/>
              <w:rPr>
                <w:rFonts w:ascii="宋体" w:hAnsi="宋体" w:cs="宋体" w:eastAsia="宋体" w:hint="default"/>
                <w:sz w:val="18"/>
                <w:szCs w:val="18"/>
              </w:rPr>
            </w:pPr>
            <w:r>
              <w:rPr>
                <w:rFonts w:ascii="宋体" w:hAnsi="宋体" w:cs="宋体" w:eastAsia="宋体" w:hint="default"/>
                <w:sz w:val="18"/>
                <w:szCs w:val="18"/>
              </w:rPr>
              <w:t>单项金额重大并单独计提坏账 准备的其他应收款</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5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65"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35"/>
              <w:jc w:val="left"/>
              <w:rPr>
                <w:rFonts w:ascii="宋体" w:hAnsi="宋体" w:cs="宋体" w:eastAsia="宋体" w:hint="default"/>
                <w:sz w:val="18"/>
                <w:szCs w:val="18"/>
              </w:rPr>
            </w:pPr>
            <w:r>
              <w:rPr>
                <w:rFonts w:ascii="宋体" w:hAnsi="宋体" w:cs="宋体" w:eastAsia="宋体" w:hint="default"/>
                <w:sz w:val="18"/>
                <w:szCs w:val="18"/>
              </w:rPr>
              <w:t>按信用风险特征组合计提坏账 准备的其他应收款</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1,478,884.36</w:t>
            </w:r>
            <w:r>
              <w:rPr>
                <w:rFonts w:ascii="Times New Roman"/>
                <w:sz w:val="18"/>
              </w:rPr>
            </w:r>
          </w:p>
        </w:tc>
        <w:tc>
          <w:tcPr>
            <w:tcW w:w="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340,694.27</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23.04</w:t>
            </w:r>
          </w:p>
        </w:tc>
        <w:tc>
          <w:tcPr>
            <w:tcW w:w="15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1,138,190.09</w:t>
            </w:r>
            <w:r>
              <w:rPr>
                <w:rFonts w:ascii="Times New Roman"/>
                <w:sz w:val="18"/>
              </w:rPr>
            </w:r>
          </w:p>
        </w:tc>
      </w:tr>
      <w:tr>
        <w:trPr>
          <w:trHeight w:val="665"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35"/>
              <w:jc w:val="left"/>
              <w:rPr>
                <w:rFonts w:ascii="宋体" w:hAnsi="宋体" w:cs="宋体" w:eastAsia="宋体" w:hint="default"/>
                <w:sz w:val="18"/>
                <w:szCs w:val="18"/>
              </w:rPr>
            </w:pPr>
            <w:r>
              <w:rPr>
                <w:rFonts w:ascii="宋体" w:hAnsi="宋体" w:cs="宋体" w:eastAsia="宋体" w:hint="default"/>
                <w:sz w:val="18"/>
                <w:szCs w:val="18"/>
              </w:rPr>
              <w:t>单项金额虽不重大但单独计提 坏账准备的其他应收款</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5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1,478,884.36</w:t>
            </w:r>
            <w:r>
              <w:rPr>
                <w:rFonts w:ascii="Times New Roman"/>
                <w:sz w:val="18"/>
              </w:rPr>
            </w:r>
          </w:p>
        </w:tc>
        <w:tc>
          <w:tcPr>
            <w:tcW w:w="8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340,694.27</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23.04</w:t>
            </w:r>
          </w:p>
        </w:tc>
        <w:tc>
          <w:tcPr>
            <w:tcW w:w="15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1,138,190.09</w:t>
            </w:r>
            <w:r>
              <w:rPr>
                <w:rFonts w:ascii="Times New Roman"/>
                <w:sz w:val="18"/>
              </w:rPr>
            </w:r>
          </w:p>
        </w:tc>
      </w:tr>
    </w:tbl>
    <w:p>
      <w:pPr>
        <w:spacing w:line="240" w:lineRule="auto" w:before="6"/>
        <w:rPr>
          <w:rFonts w:ascii="宋体" w:hAnsi="宋体" w:cs="宋体" w:eastAsia="宋体" w:hint="default"/>
          <w:sz w:val="5"/>
          <w:szCs w:val="5"/>
        </w:rPr>
      </w:pPr>
    </w:p>
    <w:p>
      <w:pPr>
        <w:pStyle w:val="Heading3"/>
        <w:spacing w:line="240" w:lineRule="auto" w:before="36"/>
        <w:ind w:left="575" w:right="0"/>
        <w:jc w:val="left"/>
        <w:rPr>
          <w:b w:val="0"/>
          <w:bCs w:val="0"/>
        </w:rPr>
      </w:pPr>
      <w:r>
        <w:rPr>
          <w:rFonts w:ascii="Times New Roman" w:hAnsi="Times New Roman" w:cs="Times New Roman" w:eastAsia="Times New Roman" w:hint="default"/>
        </w:rPr>
        <w:t>2</w:t>
      </w:r>
      <w:r>
        <w:rPr/>
        <w:t>、其他应收款种类的说明：</w:t>
      </w:r>
      <w:r>
        <w:rPr>
          <w:b w:val="0"/>
          <w:bCs w:val="0"/>
        </w:rPr>
      </w:r>
    </w:p>
    <w:p>
      <w:pPr>
        <w:pStyle w:val="Heading3"/>
        <w:spacing w:line="240" w:lineRule="auto" w:before="141"/>
        <w:ind w:left="572" w:right="0"/>
        <w:jc w:val="left"/>
        <w:rPr>
          <w:b w:val="0"/>
          <w:bCs w:val="0"/>
        </w:rPr>
      </w:pPr>
      <w:r>
        <w:rPr>
          <w:rFonts w:ascii="宋体" w:hAnsi="宋体" w:cs="宋体" w:eastAsia="宋体" w:hint="default"/>
          <w:b w:val="0"/>
          <w:bCs w:val="0"/>
        </w:rPr>
        <w:t>（</w:t>
      </w:r>
      <w:r>
        <w:rPr>
          <w:rFonts w:ascii="Times New Roman" w:hAnsi="Times New Roman" w:cs="Times New Roman" w:eastAsia="Times New Roman" w:hint="default"/>
          <w:b w:val="0"/>
          <w:bCs w:val="0"/>
        </w:rPr>
        <w:t>1</w:t>
      </w:r>
      <w:r>
        <w:rPr>
          <w:rFonts w:ascii="宋体" w:hAnsi="宋体" w:cs="宋体" w:eastAsia="宋体" w:hint="default"/>
          <w:b w:val="0"/>
          <w:bCs w:val="0"/>
        </w:rPr>
        <w:t>）</w:t>
      </w:r>
      <w:r>
        <w:rPr/>
        <w:t>组合中，按账龄分析法计提坏账准备的其他应收款</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482"/>
        <w:gridCol w:w="1934"/>
        <w:gridCol w:w="2016"/>
        <w:gridCol w:w="2345"/>
      </w:tblGrid>
      <w:tr>
        <w:trPr>
          <w:trHeight w:val="353" w:hRule="exact"/>
        </w:trPr>
        <w:tc>
          <w:tcPr>
            <w:tcW w:w="2482"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295"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482" w:type="dxa"/>
            <w:vMerge/>
            <w:tcBorders>
              <w:left w:val="single" w:sz="6" w:space="0" w:color="000000"/>
              <w:bottom w:val="single" w:sz="12" w:space="0" w:color="000000"/>
              <w:right w:val="single" w:sz="6" w:space="0" w:color="000000"/>
            </w:tcBorders>
          </w:tcPr>
          <w:p>
            <w:pPr/>
          </w:p>
        </w:tc>
        <w:tc>
          <w:tcPr>
            <w:tcW w:w="1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4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24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360,698.82</w:t>
            </w:r>
          </w:p>
        </w:tc>
        <w:tc>
          <w:tcPr>
            <w:tcW w:w="20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3,606.99</w:t>
            </w:r>
          </w:p>
        </w:tc>
        <w:tc>
          <w:tcPr>
            <w:tcW w:w="23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r>
      <w:tr>
        <w:trPr>
          <w:trHeight w:val="350" w:hRule="exact"/>
        </w:trPr>
        <w:tc>
          <w:tcPr>
            <w:tcW w:w="24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185,797.94</w:t>
            </w:r>
          </w:p>
        </w:tc>
        <w:tc>
          <w:tcPr>
            <w:tcW w:w="20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18,579.79</w:t>
            </w:r>
          </w:p>
        </w:tc>
        <w:tc>
          <w:tcPr>
            <w:tcW w:w="23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10.00</w:t>
            </w:r>
          </w:p>
        </w:tc>
      </w:tr>
      <w:tr>
        <w:trPr>
          <w:trHeight w:val="353" w:hRule="exact"/>
        </w:trPr>
        <w:tc>
          <w:tcPr>
            <w:tcW w:w="24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100,000.00</w:t>
            </w:r>
          </w:p>
        </w:tc>
        <w:tc>
          <w:tcPr>
            <w:tcW w:w="20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30,000.00</w:t>
            </w:r>
          </w:p>
        </w:tc>
        <w:tc>
          <w:tcPr>
            <w:tcW w:w="23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z w:val="18"/>
              </w:rPr>
              <w:t>30.00</w:t>
            </w:r>
          </w:p>
        </w:tc>
      </w:tr>
      <w:tr>
        <w:trPr>
          <w:trHeight w:val="353" w:hRule="exact"/>
        </w:trPr>
        <w:tc>
          <w:tcPr>
            <w:tcW w:w="24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271,238.24</w:t>
            </w:r>
          </w:p>
        </w:tc>
        <w:tc>
          <w:tcPr>
            <w:tcW w:w="20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271,238.24</w:t>
            </w:r>
          </w:p>
        </w:tc>
        <w:tc>
          <w:tcPr>
            <w:tcW w:w="23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r>
      <w:tr>
        <w:trPr>
          <w:trHeight w:val="353" w:hRule="exact"/>
        </w:trPr>
        <w:tc>
          <w:tcPr>
            <w:tcW w:w="24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917,735.00</w:t>
            </w:r>
          </w:p>
        </w:tc>
        <w:tc>
          <w:tcPr>
            <w:tcW w:w="20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323,425.02</w:t>
            </w:r>
          </w:p>
        </w:tc>
        <w:tc>
          <w:tcPr>
            <w:tcW w:w="23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35.24</w:t>
            </w:r>
          </w:p>
        </w:tc>
      </w:tr>
    </w:tbl>
    <w:p>
      <w:pPr>
        <w:spacing w:line="240" w:lineRule="auto" w:before="6"/>
        <w:rPr>
          <w:rFonts w:ascii="宋体" w:hAnsi="宋体" w:cs="宋体" w:eastAsia="宋体" w:hint="default"/>
          <w:b/>
          <w:bCs/>
          <w:sz w:val="5"/>
          <w:szCs w:val="5"/>
        </w:rPr>
      </w:pPr>
    </w:p>
    <w:p>
      <w:pPr>
        <w:pStyle w:val="BodyText"/>
        <w:spacing w:line="240" w:lineRule="auto" w:before="36"/>
        <w:ind w:left="932" w:right="0"/>
        <w:jc w:val="left"/>
      </w:pPr>
      <w:r>
        <w:rPr>
          <w:rFonts w:ascii="宋体" w:hAnsi="宋体" w:cs="宋体" w:eastAsia="宋体" w:hint="default"/>
        </w:rPr>
        <w:t>2.</w:t>
      </w:r>
      <w:r>
        <w:rPr>
          <w:rFonts w:ascii="宋体" w:hAnsi="宋体" w:cs="宋体" w:eastAsia="宋体" w:hint="default"/>
          <w:spacing w:val="44"/>
        </w:rPr>
        <w:t> </w:t>
      </w:r>
      <w:r>
        <w:rPr/>
        <w:t>期末单项金额虽不重大但单独计提坏账准备的其他应收款</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526"/>
        <w:gridCol w:w="1277"/>
        <w:gridCol w:w="1416"/>
        <w:gridCol w:w="1133"/>
        <w:gridCol w:w="3492"/>
      </w:tblGrid>
      <w:tr>
        <w:trPr>
          <w:trHeight w:val="355" w:hRule="exact"/>
        </w:trPr>
        <w:tc>
          <w:tcPr>
            <w:tcW w:w="1526" w:type="dxa"/>
            <w:vMerge w:val="restart"/>
            <w:tcBorders>
              <w:top w:val="single" w:sz="6" w:space="0" w:color="000000"/>
              <w:left w:val="single" w:sz="6" w:space="0" w:color="000000"/>
              <w:right w:val="single" w:sz="6" w:space="0" w:color="000000"/>
            </w:tcBorders>
          </w:tcPr>
          <w:p>
            <w:pPr>
              <w:pStyle w:val="TableParagraph"/>
              <w:spacing w:line="240" w:lineRule="auto" w:before="17"/>
              <w:ind w:left="3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318"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2" w:hRule="exact"/>
        </w:trPr>
        <w:tc>
          <w:tcPr>
            <w:tcW w:w="1526" w:type="dxa"/>
            <w:vMerge/>
            <w:tcBorders>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665" w:hRule="exact"/>
        </w:trPr>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65"/>
              <w:jc w:val="left"/>
              <w:rPr>
                <w:rFonts w:ascii="宋体" w:hAnsi="宋体" w:cs="宋体" w:eastAsia="宋体" w:hint="default"/>
                <w:sz w:val="18"/>
                <w:szCs w:val="18"/>
              </w:rPr>
            </w:pPr>
            <w:r>
              <w:rPr>
                <w:rFonts w:ascii="宋体" w:hAnsi="宋体" w:cs="宋体" w:eastAsia="宋体" w:hint="default"/>
                <w:sz w:val="18"/>
                <w:szCs w:val="18"/>
              </w:rPr>
              <w:t>北京惟德基业科技 有限公司</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319,000.00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319,000.00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3492"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4" w:right="59"/>
              <w:jc w:val="left"/>
              <w:rPr>
                <w:rFonts w:ascii="宋体" w:hAnsi="宋体" w:cs="宋体" w:eastAsia="宋体" w:hint="default"/>
                <w:sz w:val="18"/>
                <w:szCs w:val="18"/>
              </w:rPr>
            </w:pPr>
            <w:r>
              <w:rPr>
                <w:rFonts w:ascii="宋体" w:hAnsi="宋体" w:cs="宋体" w:eastAsia="宋体" w:hint="default"/>
                <w:sz w:val="18"/>
                <w:szCs w:val="18"/>
              </w:rPr>
              <w:t>该企业工商信息显示经营异常，可收回性不 大，全额计提坏账准备。</w:t>
            </w:r>
          </w:p>
        </w:tc>
      </w:tr>
      <w:tr>
        <w:trPr>
          <w:trHeight w:val="353" w:hRule="exact"/>
        </w:trPr>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319,000.00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319,000.00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349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5"/>
          <w:szCs w:val="5"/>
        </w:rPr>
      </w:pPr>
    </w:p>
    <w:p>
      <w:pPr>
        <w:pStyle w:val="Heading3"/>
        <w:spacing w:line="240" w:lineRule="auto" w:before="36"/>
        <w:ind w:left="575" w:right="0"/>
        <w:jc w:val="left"/>
        <w:rPr>
          <w:b w:val="0"/>
          <w:bCs w:val="0"/>
        </w:rPr>
      </w:pPr>
      <w:r>
        <w:rPr>
          <w:rFonts w:ascii="Times New Roman" w:hAnsi="Times New Roman" w:cs="Times New Roman" w:eastAsia="Times New Roman" w:hint="default"/>
        </w:rPr>
        <w:t>3</w:t>
      </w:r>
      <w:r>
        <w:rPr/>
        <w:t>、期末其他应收款中无应收持本公司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）表决权股份的股东及其他关联方的款项。</w:t>
      </w:r>
      <w:r>
        <w:rPr>
          <w:b w:val="0"/>
          <w:bCs w:val="0"/>
        </w:rPr>
      </w:r>
    </w:p>
    <w:p>
      <w:pPr>
        <w:pStyle w:val="Heading3"/>
        <w:spacing w:line="240" w:lineRule="auto" w:before="141"/>
        <w:ind w:left="575" w:right="0"/>
        <w:jc w:val="left"/>
        <w:rPr>
          <w:b w:val="0"/>
          <w:bCs w:val="0"/>
        </w:rPr>
      </w:pPr>
      <w:r>
        <w:rPr>
          <w:rFonts w:ascii="Times New Roman" w:hAnsi="Times New Roman" w:cs="Times New Roman" w:eastAsia="Times New Roman" w:hint="default"/>
        </w:rPr>
        <w:t>4</w:t>
      </w:r>
      <w:r>
        <w:rPr/>
        <w:t>、其他应收款按款项性质分类情况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765"/>
        <w:gridCol w:w="2762"/>
        <w:gridCol w:w="3247"/>
      </w:tblGrid>
      <w:tr>
        <w:trPr>
          <w:trHeight w:val="355" w:hRule="exact"/>
        </w:trPr>
        <w:tc>
          <w:tcPr>
            <w:tcW w:w="27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193"/>
              <w:jc w:val="right"/>
              <w:rPr>
                <w:rFonts w:ascii="宋体" w:hAnsi="宋体" w:cs="宋体" w:eastAsia="宋体" w:hint="default"/>
                <w:sz w:val="18"/>
                <w:szCs w:val="18"/>
              </w:rPr>
            </w:pPr>
            <w:r>
              <w:rPr>
                <w:rFonts w:ascii="宋体" w:hAnsi="宋体" w:cs="宋体" w:eastAsia="宋体" w:hint="default"/>
                <w:sz w:val="18"/>
                <w:szCs w:val="18"/>
              </w:rPr>
              <w:t>项目</w:t>
            </w:r>
          </w:p>
        </w:tc>
        <w:tc>
          <w:tcPr>
            <w:tcW w:w="2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2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802,378.21</w:t>
            </w:r>
          </w:p>
        </w:tc>
        <w:tc>
          <w:tcPr>
            <w:tcW w:w="32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821,036.18</w:t>
            </w:r>
          </w:p>
        </w:tc>
      </w:tr>
      <w:tr>
        <w:trPr>
          <w:trHeight w:val="353" w:hRule="exact"/>
        </w:trPr>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105,056.79</w:t>
            </w:r>
          </w:p>
        </w:tc>
        <w:tc>
          <w:tcPr>
            <w:tcW w:w="32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328,848.18</w:t>
            </w:r>
          </w:p>
        </w:tc>
      </w:tr>
      <w:tr>
        <w:trPr>
          <w:trHeight w:val="353" w:hRule="exact"/>
        </w:trPr>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2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329,300.00</w:t>
            </w:r>
          </w:p>
        </w:tc>
        <w:tc>
          <w:tcPr>
            <w:tcW w:w="32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329,000.00</w:t>
            </w:r>
          </w:p>
        </w:tc>
      </w:tr>
      <w:tr>
        <w:trPr>
          <w:trHeight w:val="353" w:hRule="exact"/>
        </w:trPr>
        <w:tc>
          <w:tcPr>
            <w:tcW w:w="2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193"/>
              <w:jc w:val="right"/>
              <w:rPr>
                <w:rFonts w:ascii="宋体" w:hAnsi="宋体" w:cs="宋体" w:eastAsia="宋体" w:hint="default"/>
                <w:sz w:val="18"/>
                <w:szCs w:val="18"/>
              </w:rPr>
            </w:pPr>
            <w:r>
              <w:rPr>
                <w:rFonts w:ascii="宋体" w:hAnsi="宋体" w:cs="宋体" w:eastAsia="宋体" w:hint="default"/>
                <w:sz w:val="18"/>
                <w:szCs w:val="18"/>
              </w:rPr>
              <w:t>合计</w:t>
            </w:r>
          </w:p>
        </w:tc>
        <w:tc>
          <w:tcPr>
            <w:tcW w:w="2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1,236,735.00</w:t>
            </w:r>
            <w:r>
              <w:rPr>
                <w:rFonts w:ascii="Times New Roman"/>
                <w:sz w:val="18"/>
              </w:rPr>
            </w:r>
          </w:p>
        </w:tc>
        <w:tc>
          <w:tcPr>
            <w:tcW w:w="32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1,478,884.36</w:t>
            </w:r>
            <w:r>
              <w:rPr>
                <w:rFonts w:ascii="Times New Roman"/>
                <w:sz w:val="18"/>
              </w:rPr>
            </w:r>
          </w:p>
        </w:tc>
      </w:tr>
    </w:tbl>
    <w:p>
      <w:pPr>
        <w:spacing w:line="240" w:lineRule="auto" w:before="8"/>
        <w:rPr>
          <w:rFonts w:ascii="宋体" w:hAnsi="宋体" w:cs="宋体" w:eastAsia="宋体" w:hint="default"/>
          <w:b/>
          <w:bCs/>
          <w:sz w:val="14"/>
          <w:szCs w:val="14"/>
        </w:rPr>
      </w:pPr>
    </w:p>
    <w:p>
      <w:pPr>
        <w:pStyle w:val="Heading3"/>
        <w:spacing w:line="240" w:lineRule="auto" w:before="36"/>
        <w:ind w:left="580"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541"/>
        <w:gridCol w:w="950"/>
        <w:gridCol w:w="1274"/>
        <w:gridCol w:w="2239"/>
        <w:gridCol w:w="1625"/>
        <w:gridCol w:w="1147"/>
      </w:tblGrid>
      <w:tr>
        <w:trPr>
          <w:trHeight w:val="665" w:hRule="exact"/>
        </w:trPr>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2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220" w:right="8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占其他应收款期末 余额的比例</w:t>
            </w:r>
            <w:r>
              <w:rPr>
                <w:rFonts w:ascii="Times New Roman" w:hAnsi="Times New Roman" w:cs="Times New Roman" w:eastAsia="Times New Roman" w:hint="default"/>
                <w:sz w:val="18"/>
                <w:szCs w:val="18"/>
              </w:rPr>
              <w:t>(%)</w:t>
            </w:r>
          </w:p>
        </w:tc>
        <w:tc>
          <w:tcPr>
            <w:tcW w:w="1147"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206" w:right="211"/>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667" w:hRule="exact"/>
        </w:trPr>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3"/>
              <w:jc w:val="left"/>
              <w:rPr>
                <w:rFonts w:ascii="宋体" w:hAnsi="宋体" w:cs="宋体" w:eastAsia="宋体" w:hint="default"/>
                <w:sz w:val="18"/>
                <w:szCs w:val="18"/>
              </w:rPr>
            </w:pPr>
            <w:r>
              <w:rPr>
                <w:rFonts w:ascii="宋体" w:hAnsi="宋体" w:cs="宋体" w:eastAsia="宋体" w:hint="default"/>
                <w:spacing w:val="11"/>
                <w:sz w:val="18"/>
                <w:szCs w:val="18"/>
              </w:rPr>
              <w:t>北京惟德基业科技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9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46" w:right="-1"/>
              <w:jc w:val="left"/>
              <w:rPr>
                <w:rFonts w:ascii="Times New Roman" w:hAnsi="Times New Roman" w:cs="Times New Roman" w:eastAsia="Times New Roman" w:hint="default"/>
                <w:sz w:val="18"/>
                <w:szCs w:val="18"/>
              </w:rPr>
            </w:pPr>
            <w:r>
              <w:rPr>
                <w:rFonts w:ascii="Times New Roman"/>
                <w:sz w:val="18"/>
              </w:rPr>
              <w:t>319,000.00</w:t>
            </w:r>
          </w:p>
        </w:tc>
        <w:tc>
          <w:tcPr>
            <w:tcW w:w="22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25.79</w:t>
            </w:r>
          </w:p>
        </w:tc>
        <w:tc>
          <w:tcPr>
            <w:tcW w:w="11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316" w:right="0"/>
              <w:jc w:val="left"/>
              <w:rPr>
                <w:rFonts w:ascii="Times New Roman" w:hAnsi="Times New Roman" w:cs="Times New Roman" w:eastAsia="Times New Roman" w:hint="default"/>
                <w:sz w:val="18"/>
                <w:szCs w:val="18"/>
              </w:rPr>
            </w:pPr>
            <w:r>
              <w:rPr>
                <w:rFonts w:ascii="Times New Roman"/>
                <w:sz w:val="18"/>
              </w:rPr>
              <w:t>319,000.00</w:t>
            </w:r>
          </w:p>
        </w:tc>
      </w:tr>
    </w:tbl>
    <w:p>
      <w:pPr>
        <w:spacing w:after="0" w:line="240" w:lineRule="auto"/>
        <w:jc w:val="lef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1541"/>
        <w:gridCol w:w="950"/>
        <w:gridCol w:w="1274"/>
        <w:gridCol w:w="2239"/>
        <w:gridCol w:w="1625"/>
        <w:gridCol w:w="1147"/>
      </w:tblGrid>
      <w:tr>
        <w:trPr>
          <w:trHeight w:val="977" w:hRule="exact"/>
        </w:trPr>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4" w:right="-13"/>
              <w:jc w:val="left"/>
              <w:rPr>
                <w:rFonts w:ascii="宋体" w:hAnsi="宋体" w:cs="宋体" w:eastAsia="宋体" w:hint="default"/>
                <w:sz w:val="18"/>
                <w:szCs w:val="18"/>
              </w:rPr>
            </w:pPr>
            <w:r>
              <w:rPr>
                <w:rFonts w:ascii="宋体" w:hAnsi="宋体" w:cs="宋体" w:eastAsia="宋体" w:hint="default"/>
                <w:spacing w:val="11"/>
                <w:sz w:val="18"/>
                <w:szCs w:val="18"/>
              </w:rPr>
              <w:t>深圳市昱为科技有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198,142.00</w:t>
            </w:r>
          </w:p>
        </w:tc>
        <w:tc>
          <w:tcPr>
            <w:tcW w:w="22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3,154.00</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p>
            <w:pPr>
              <w:pStyle w:val="TableParagraph"/>
              <w:spacing w:line="240" w:lineRule="auto" w:before="62"/>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52,988.00</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p>
            <w:pPr>
              <w:pStyle w:val="TableParagraph"/>
              <w:spacing w:line="240" w:lineRule="auto" w:before="62"/>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142,000.00</w:t>
            </w:r>
            <w:r>
              <w:rPr>
                <w:rFonts w:ascii="宋体" w:hAnsi="宋体" w:cs="宋体" w:eastAsia="宋体" w:hint="default"/>
                <w:sz w:val="18"/>
                <w:szCs w:val="18"/>
              </w:rPr>
              <w:t>元</w:t>
            </w:r>
          </w:p>
        </w:tc>
        <w:tc>
          <w:tcPr>
            <w:tcW w:w="16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16.02</w:t>
            </w:r>
          </w:p>
        </w:tc>
        <w:tc>
          <w:tcPr>
            <w:tcW w:w="11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147,330.34</w:t>
            </w:r>
          </w:p>
        </w:tc>
      </w:tr>
      <w:tr>
        <w:trPr>
          <w:trHeight w:val="977" w:hRule="exact"/>
        </w:trPr>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3"/>
              <w:jc w:val="left"/>
              <w:rPr>
                <w:rFonts w:ascii="宋体" w:hAnsi="宋体" w:cs="宋体" w:eastAsia="宋体" w:hint="default"/>
                <w:sz w:val="18"/>
                <w:szCs w:val="18"/>
              </w:rPr>
            </w:pPr>
            <w:r>
              <w:rPr>
                <w:rFonts w:ascii="宋体" w:hAnsi="宋体" w:cs="宋体" w:eastAsia="宋体" w:hint="default"/>
                <w:spacing w:val="11"/>
                <w:sz w:val="18"/>
                <w:szCs w:val="18"/>
              </w:rPr>
              <w:t>浙江天猫技术有限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9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170,000.00</w:t>
            </w:r>
          </w:p>
        </w:tc>
        <w:tc>
          <w:tcPr>
            <w:tcW w:w="2239"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48"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30,000.00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宋体" w:hAnsi="宋体" w:cs="宋体" w:eastAsia="宋体" w:hint="default"/>
                <w:sz w:val="18"/>
                <w:szCs w:val="18"/>
              </w:rPr>
              <w:t>年 以内</w:t>
            </w:r>
            <w:r>
              <w:rPr>
                <w:rFonts w:ascii="Times New Roman" w:hAnsi="Times New Roman" w:cs="Times New Roman" w:eastAsia="Times New Roman" w:hint="default"/>
                <w:sz w:val="18"/>
                <w:szCs w:val="18"/>
              </w:rPr>
              <w:t>40,000.00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宋体" w:hAnsi="宋体" w:cs="宋体" w:eastAsia="宋体" w:hint="default"/>
                <w:sz w:val="18"/>
                <w:szCs w:val="18"/>
              </w:rPr>
              <w:t>年 </w:t>
            </w:r>
            <w:r>
              <w:rPr>
                <w:rFonts w:ascii="Times New Roman" w:hAnsi="Times New Roman" w:cs="Times New Roman" w:eastAsia="Times New Roman" w:hint="default"/>
                <w:sz w:val="18"/>
                <w:szCs w:val="18"/>
              </w:rPr>
              <w:t>100,000.00</w:t>
            </w:r>
            <w:r>
              <w:rPr>
                <w:rFonts w:ascii="宋体" w:hAnsi="宋体" w:cs="宋体" w:eastAsia="宋体" w:hint="default"/>
                <w:sz w:val="18"/>
                <w:szCs w:val="18"/>
              </w:rPr>
              <w:t>元</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13.75</w:t>
            </w:r>
          </w:p>
        </w:tc>
        <w:tc>
          <w:tcPr>
            <w:tcW w:w="11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34,300.00</w:t>
            </w:r>
          </w:p>
        </w:tc>
      </w:tr>
      <w:tr>
        <w:trPr>
          <w:trHeight w:val="977" w:hRule="exact"/>
        </w:trPr>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3"/>
              <w:jc w:val="left"/>
              <w:rPr>
                <w:rFonts w:ascii="宋体" w:hAnsi="宋体" w:cs="宋体" w:eastAsia="宋体" w:hint="default"/>
                <w:sz w:val="18"/>
                <w:szCs w:val="18"/>
              </w:rPr>
            </w:pPr>
            <w:r>
              <w:rPr>
                <w:rFonts w:ascii="宋体" w:hAnsi="宋体" w:cs="宋体" w:eastAsia="宋体" w:hint="default"/>
                <w:spacing w:val="11"/>
                <w:sz w:val="18"/>
                <w:szCs w:val="18"/>
              </w:rPr>
              <w:t>深圳市高新区开发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建设公司</w:t>
            </w:r>
          </w:p>
        </w:tc>
        <w:tc>
          <w:tcPr>
            <w:tcW w:w="9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127,116.27</w:t>
            </w:r>
          </w:p>
        </w:tc>
        <w:tc>
          <w:tcPr>
            <w:tcW w:w="2239"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4"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6,044.13</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宋体" w:hAnsi="宋体" w:cs="宋体" w:eastAsia="宋体" w:hint="default"/>
                <w:sz w:val="18"/>
                <w:szCs w:val="18"/>
              </w:rPr>
              <w:t>年以 内</w:t>
            </w:r>
            <w:r>
              <w:rPr>
                <w:rFonts w:ascii="Times New Roman" w:hAnsi="Times New Roman" w:cs="Times New Roman" w:eastAsia="Times New Roman" w:hint="default"/>
                <w:sz w:val="18"/>
                <w:szCs w:val="18"/>
              </w:rPr>
              <w:t>44,200.94</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宋体" w:hAnsi="宋体" w:cs="宋体" w:eastAsia="宋体" w:hint="default"/>
                <w:sz w:val="18"/>
                <w:szCs w:val="18"/>
              </w:rPr>
              <w:t>年以上 </w:t>
            </w:r>
            <w:r>
              <w:rPr>
                <w:rFonts w:ascii="Times New Roman" w:hAnsi="Times New Roman" w:cs="Times New Roman" w:eastAsia="Times New Roman" w:hint="default"/>
                <w:sz w:val="18"/>
                <w:szCs w:val="18"/>
              </w:rPr>
              <w:t>76,871.20</w:t>
            </w:r>
            <w:r>
              <w:rPr>
                <w:rFonts w:ascii="宋体" w:hAnsi="宋体" w:cs="宋体" w:eastAsia="宋体" w:hint="default"/>
                <w:sz w:val="18"/>
                <w:szCs w:val="18"/>
              </w:rPr>
              <w:t>元</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10.28</w:t>
            </w:r>
          </w:p>
        </w:tc>
        <w:tc>
          <w:tcPr>
            <w:tcW w:w="11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81,351.74</w:t>
            </w:r>
          </w:p>
        </w:tc>
      </w:tr>
      <w:tr>
        <w:trPr>
          <w:trHeight w:val="662" w:hRule="exact"/>
        </w:trPr>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3"/>
              <w:jc w:val="left"/>
              <w:rPr>
                <w:rFonts w:ascii="宋体" w:hAnsi="宋体" w:cs="宋体" w:eastAsia="宋体" w:hint="default"/>
                <w:sz w:val="18"/>
                <w:szCs w:val="18"/>
              </w:rPr>
            </w:pPr>
            <w:r>
              <w:rPr>
                <w:rFonts w:ascii="宋体" w:hAnsi="宋体" w:cs="宋体" w:eastAsia="宋体" w:hint="default"/>
                <w:spacing w:val="11"/>
                <w:sz w:val="18"/>
                <w:szCs w:val="18"/>
              </w:rPr>
              <w:t>北京当当科文电子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商务有限公司</w:t>
            </w:r>
          </w:p>
        </w:tc>
        <w:tc>
          <w:tcPr>
            <w:tcW w:w="9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100,000.00</w:t>
            </w:r>
          </w:p>
        </w:tc>
        <w:tc>
          <w:tcPr>
            <w:tcW w:w="22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8.09</w:t>
            </w:r>
            <w:r>
              <w:rPr>
                <w:rFonts w:ascii="Times New Roman"/>
                <w:sz w:val="18"/>
              </w:rPr>
            </w:r>
          </w:p>
        </w:tc>
        <w:tc>
          <w:tcPr>
            <w:tcW w:w="11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1,000.00</w:t>
            </w:r>
          </w:p>
        </w:tc>
      </w:tr>
      <w:tr>
        <w:trPr>
          <w:trHeight w:val="355" w:hRule="exact"/>
        </w:trPr>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50" w:type="dxa"/>
            <w:tcBorders>
              <w:top w:val="single" w:sz="12" w:space="0" w:color="000000"/>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914,258.27</w:t>
            </w:r>
          </w:p>
        </w:tc>
        <w:tc>
          <w:tcPr>
            <w:tcW w:w="2239" w:type="dxa"/>
            <w:tcBorders>
              <w:top w:val="single" w:sz="12" w:space="0" w:color="000000"/>
              <w:left w:val="single" w:sz="6" w:space="0" w:color="000000"/>
              <w:bottom w:val="single" w:sz="12" w:space="0" w:color="000000"/>
              <w:right w:val="single" w:sz="6" w:space="0" w:color="000000"/>
            </w:tcBorders>
          </w:tcPr>
          <w:p>
            <w:pP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73.93</w:t>
            </w:r>
          </w:p>
        </w:tc>
        <w:tc>
          <w:tcPr>
            <w:tcW w:w="11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582,982.08</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3"/>
        <w:spacing w:line="240" w:lineRule="auto" w:before="36"/>
        <w:ind w:left="575" w:right="0"/>
        <w:jc w:val="left"/>
        <w:rPr>
          <w:b w:val="0"/>
          <w:bCs w:val="0"/>
        </w:rPr>
      </w:pPr>
      <w:r>
        <w:rPr/>
        <w:t>（六）存货</w:t>
      </w:r>
      <w:r>
        <w:rPr>
          <w:b w:val="0"/>
          <w:bCs w:val="0"/>
        </w:rPr>
      </w:r>
    </w:p>
    <w:p>
      <w:pPr>
        <w:pStyle w:val="Heading3"/>
        <w:spacing w:line="240" w:lineRule="auto" w:before="37"/>
        <w:ind w:left="580" w:right="0"/>
        <w:jc w:val="left"/>
        <w:rPr>
          <w:b w:val="0"/>
          <w:bCs w:val="0"/>
        </w:rPr>
      </w:pP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948"/>
        <w:gridCol w:w="1296"/>
        <w:gridCol w:w="1116"/>
        <w:gridCol w:w="1296"/>
        <w:gridCol w:w="1442"/>
        <w:gridCol w:w="1289"/>
        <w:gridCol w:w="1387"/>
      </w:tblGrid>
      <w:tr>
        <w:trPr>
          <w:trHeight w:val="353" w:hRule="exact"/>
        </w:trPr>
        <w:tc>
          <w:tcPr>
            <w:tcW w:w="948" w:type="dxa"/>
            <w:vMerge w:val="restart"/>
            <w:tcBorders>
              <w:top w:val="single" w:sz="6" w:space="0" w:color="000000"/>
              <w:left w:val="single" w:sz="6" w:space="0" w:color="000000"/>
              <w:right w:val="single" w:sz="6" w:space="0" w:color="000000"/>
            </w:tcBorders>
          </w:tcPr>
          <w:p>
            <w:pPr>
              <w:pStyle w:val="TableParagraph"/>
              <w:spacing w:line="240" w:lineRule="auto" w:before="17"/>
              <w:ind w:left="28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708"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18"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948" w:type="dxa"/>
            <w:vMerge/>
            <w:tcBorders>
              <w:left w:val="single" w:sz="6" w:space="0" w:color="000000"/>
              <w:bottom w:val="single" w:sz="12" w:space="0" w:color="000000"/>
              <w:right w:val="single" w:sz="6" w:space="0" w:color="000000"/>
            </w:tcBorders>
          </w:tcPr>
          <w:p>
            <w:pP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9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33" w:right="-1"/>
              <w:jc w:val="left"/>
              <w:rPr>
                <w:rFonts w:ascii="Times New Roman" w:hAnsi="Times New Roman" w:cs="Times New Roman" w:eastAsia="Times New Roman" w:hint="default"/>
                <w:sz w:val="18"/>
                <w:szCs w:val="18"/>
              </w:rPr>
            </w:pPr>
            <w:r>
              <w:rPr>
                <w:rFonts w:ascii="Times New Roman"/>
                <w:sz w:val="18"/>
              </w:rPr>
              <w:t>7,694,863.08</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774,820.21</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36" w:right="-3"/>
              <w:jc w:val="left"/>
              <w:rPr>
                <w:rFonts w:ascii="Times New Roman" w:hAnsi="Times New Roman" w:cs="Times New Roman" w:eastAsia="Times New Roman" w:hint="default"/>
                <w:sz w:val="18"/>
                <w:szCs w:val="18"/>
              </w:rPr>
            </w:pPr>
            <w:r>
              <w:rPr>
                <w:rFonts w:ascii="Times New Roman"/>
                <w:sz w:val="18"/>
              </w:rPr>
              <w:t>6,920,042.87</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4,959,212.75</w:t>
            </w:r>
            <w:r>
              <w:rPr>
                <w:rFonts w:ascii="Times New Roman"/>
                <w:sz w:val="18"/>
              </w:rPr>
            </w:r>
          </w:p>
        </w:tc>
        <w:tc>
          <w:tcPr>
            <w:tcW w:w="12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789,537.49</w:t>
            </w:r>
          </w:p>
        </w:tc>
        <w:tc>
          <w:tcPr>
            <w:tcW w:w="13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4,169,675.26</w:t>
            </w:r>
            <w:r>
              <w:rPr>
                <w:rFonts w:ascii="Times New Roman"/>
                <w:sz w:val="18"/>
              </w:rPr>
            </w:r>
          </w:p>
        </w:tc>
      </w:tr>
      <w:tr>
        <w:trPr>
          <w:trHeight w:val="353" w:hRule="exact"/>
        </w:trPr>
        <w:tc>
          <w:tcPr>
            <w:tcW w:w="9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33" w:right="-1"/>
              <w:jc w:val="left"/>
              <w:rPr>
                <w:rFonts w:ascii="Times New Roman" w:hAnsi="Times New Roman" w:cs="Times New Roman" w:eastAsia="Times New Roman" w:hint="default"/>
                <w:sz w:val="18"/>
                <w:szCs w:val="18"/>
              </w:rPr>
            </w:pPr>
            <w:r>
              <w:rPr>
                <w:rFonts w:ascii="Times New Roman"/>
                <w:sz w:val="18"/>
              </w:rPr>
              <w:t>1,757,046.95</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148,757.24</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36" w:right="-3"/>
              <w:jc w:val="left"/>
              <w:rPr>
                <w:rFonts w:ascii="Times New Roman" w:hAnsi="Times New Roman" w:cs="Times New Roman" w:eastAsia="Times New Roman" w:hint="default"/>
                <w:sz w:val="18"/>
                <w:szCs w:val="18"/>
              </w:rPr>
            </w:pPr>
            <w:r>
              <w:rPr>
                <w:rFonts w:ascii="Times New Roman"/>
                <w:sz w:val="18"/>
              </w:rPr>
              <w:t>1,608,289.71</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1,176,973.52</w:t>
            </w:r>
            <w:r>
              <w:rPr>
                <w:rFonts w:ascii="Times New Roman"/>
                <w:sz w:val="18"/>
              </w:rPr>
            </w:r>
          </w:p>
        </w:tc>
        <w:tc>
          <w:tcPr>
            <w:tcW w:w="12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208,767.21</w:t>
            </w:r>
          </w:p>
        </w:tc>
        <w:tc>
          <w:tcPr>
            <w:tcW w:w="13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968,206.31</w:t>
            </w:r>
          </w:p>
        </w:tc>
      </w:tr>
      <w:tr>
        <w:trPr>
          <w:trHeight w:val="353" w:hRule="exact"/>
        </w:trPr>
        <w:tc>
          <w:tcPr>
            <w:tcW w:w="9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33" w:right="-1"/>
              <w:jc w:val="left"/>
              <w:rPr>
                <w:rFonts w:ascii="Times New Roman" w:hAnsi="Times New Roman" w:cs="Times New Roman" w:eastAsia="Times New Roman" w:hint="default"/>
                <w:sz w:val="18"/>
                <w:szCs w:val="18"/>
              </w:rPr>
            </w:pPr>
            <w:r>
              <w:rPr>
                <w:rFonts w:ascii="Times New Roman"/>
                <w:sz w:val="18"/>
              </w:rPr>
              <w:t>9,451,910.03</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923,577.45</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36" w:right="-3"/>
              <w:jc w:val="left"/>
              <w:rPr>
                <w:rFonts w:ascii="Times New Roman" w:hAnsi="Times New Roman" w:cs="Times New Roman" w:eastAsia="Times New Roman" w:hint="default"/>
                <w:sz w:val="18"/>
                <w:szCs w:val="18"/>
              </w:rPr>
            </w:pPr>
            <w:r>
              <w:rPr>
                <w:rFonts w:ascii="Times New Roman"/>
                <w:sz w:val="18"/>
              </w:rPr>
              <w:t>8,528,332.58</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6,136,186.27</w:t>
            </w:r>
            <w:r>
              <w:rPr>
                <w:rFonts w:ascii="Times New Roman"/>
                <w:sz w:val="18"/>
              </w:rPr>
            </w:r>
          </w:p>
        </w:tc>
        <w:tc>
          <w:tcPr>
            <w:tcW w:w="12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998,304.70</w:t>
            </w:r>
          </w:p>
        </w:tc>
        <w:tc>
          <w:tcPr>
            <w:tcW w:w="13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5,137,881.57</w:t>
            </w:r>
            <w:r>
              <w:rPr>
                <w:rFonts w:ascii="Times New Roman"/>
                <w:sz w:val="18"/>
              </w:rPr>
            </w:r>
          </w:p>
        </w:tc>
      </w:tr>
    </w:tbl>
    <w:p>
      <w:pPr>
        <w:spacing w:line="240" w:lineRule="auto" w:before="6"/>
        <w:rPr>
          <w:rFonts w:ascii="宋体" w:hAnsi="宋体" w:cs="宋体" w:eastAsia="宋体" w:hint="default"/>
          <w:b/>
          <w:bCs/>
          <w:sz w:val="5"/>
          <w:szCs w:val="5"/>
        </w:rPr>
      </w:pPr>
    </w:p>
    <w:p>
      <w:pPr>
        <w:pStyle w:val="Heading3"/>
        <w:spacing w:line="240" w:lineRule="auto" w:before="36"/>
        <w:ind w:left="575" w:right="0"/>
        <w:jc w:val="left"/>
        <w:rPr>
          <w:b w:val="0"/>
          <w:bCs w:val="0"/>
        </w:rPr>
      </w:pP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668"/>
        <w:gridCol w:w="1632"/>
        <w:gridCol w:w="1399"/>
        <w:gridCol w:w="1222"/>
        <w:gridCol w:w="1418"/>
        <w:gridCol w:w="1447"/>
      </w:tblGrid>
      <w:tr>
        <w:trPr>
          <w:trHeight w:val="355" w:hRule="exact"/>
        </w:trPr>
        <w:tc>
          <w:tcPr>
            <w:tcW w:w="1668" w:type="dxa"/>
            <w:vMerge w:val="restart"/>
            <w:tcBorders>
              <w:top w:val="single" w:sz="6" w:space="0" w:color="000000"/>
              <w:left w:val="single" w:sz="6" w:space="0" w:color="000000"/>
              <w:right w:val="single" w:sz="6" w:space="0" w:color="000000"/>
            </w:tcBorders>
          </w:tcPr>
          <w:p>
            <w:pPr>
              <w:pStyle w:val="TableParagraph"/>
              <w:spacing w:line="240" w:lineRule="auto" w:before="20"/>
              <w:ind w:left="468"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32" w:type="dxa"/>
            <w:vMerge w:val="restart"/>
            <w:tcBorders>
              <w:top w:val="single" w:sz="6" w:space="0" w:color="000000"/>
              <w:left w:val="single" w:sz="6"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99" w:type="dxa"/>
            <w:vMerge w:val="restart"/>
            <w:tcBorders>
              <w:top w:val="single" w:sz="6" w:space="0" w:color="000000"/>
              <w:left w:val="single" w:sz="6" w:space="0" w:color="000000"/>
              <w:right w:val="single" w:sz="6" w:space="0" w:color="000000"/>
            </w:tcBorders>
          </w:tcPr>
          <w:p>
            <w:pPr>
              <w:pStyle w:val="TableParagraph"/>
              <w:spacing w:line="240" w:lineRule="auto" w:before="20"/>
              <w:ind w:left="244"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64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63"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447" w:type="dxa"/>
            <w:vMerge w:val="restart"/>
            <w:tcBorders>
              <w:top w:val="single" w:sz="6" w:space="0" w:color="000000"/>
              <w:left w:val="single" w:sz="6" w:space="0" w:color="000000"/>
              <w:right w:val="nil" w:sz="6" w:space="0" w:color="auto"/>
            </w:tcBorders>
          </w:tcPr>
          <w:p>
            <w:pPr>
              <w:pStyle w:val="TableParagraph"/>
              <w:spacing w:line="240" w:lineRule="auto" w:before="20"/>
              <w:ind w:left="1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53" w:hRule="exact"/>
        </w:trPr>
        <w:tc>
          <w:tcPr>
            <w:tcW w:w="1668" w:type="dxa"/>
            <w:vMerge/>
            <w:tcBorders>
              <w:left w:val="single" w:sz="6" w:space="0" w:color="000000"/>
              <w:bottom w:val="single" w:sz="12" w:space="0" w:color="000000"/>
              <w:right w:val="single" w:sz="6" w:space="0" w:color="000000"/>
            </w:tcBorders>
          </w:tcPr>
          <w:p>
            <w:pPr/>
          </w:p>
        </w:tc>
        <w:tc>
          <w:tcPr>
            <w:tcW w:w="1632" w:type="dxa"/>
            <w:vMerge/>
            <w:tcBorders>
              <w:left w:val="single" w:sz="6" w:space="0" w:color="000000"/>
              <w:bottom w:val="single" w:sz="12" w:space="0" w:color="000000"/>
              <w:right w:val="single" w:sz="6" w:space="0" w:color="000000"/>
            </w:tcBorders>
          </w:tcPr>
          <w:p>
            <w:pPr/>
          </w:p>
        </w:tc>
        <w:tc>
          <w:tcPr>
            <w:tcW w:w="1399" w:type="dxa"/>
            <w:vMerge/>
            <w:tcBorders>
              <w:left w:val="single" w:sz="6" w:space="0" w:color="000000"/>
              <w:bottom w:val="single" w:sz="12"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47" w:type="dxa"/>
            <w:vMerge/>
            <w:tcBorders>
              <w:left w:val="single" w:sz="6" w:space="0" w:color="000000"/>
              <w:bottom w:val="single" w:sz="12" w:space="0" w:color="000000"/>
              <w:right w:val="nil" w:sz="6" w:space="0" w:color="auto"/>
            </w:tcBorders>
          </w:tcPr>
          <w:p>
            <w:pPr/>
          </w:p>
        </w:tc>
      </w:tr>
      <w:tr>
        <w:trPr>
          <w:trHeight w:val="350" w:hRule="exact"/>
        </w:trPr>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789,537.49</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322,935.40</w:t>
            </w: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10,522.29</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327,130.39</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774,820.21</w:t>
            </w:r>
          </w:p>
        </w:tc>
      </w:tr>
      <w:tr>
        <w:trPr>
          <w:trHeight w:val="353" w:hRule="exact"/>
        </w:trPr>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208,767.21</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92,270.55</w:t>
            </w: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574.20</w:t>
            </w:r>
            <w:r>
              <w:rPr>
                <w:rFonts w:ascii="Times New Roman"/>
                <w:sz w:val="18"/>
              </w:rPr>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151,706.32</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148,757.24</w:t>
            </w:r>
          </w:p>
        </w:tc>
      </w:tr>
      <w:tr>
        <w:trPr>
          <w:trHeight w:val="353" w:hRule="exact"/>
        </w:trPr>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998,304.70</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415,205.95</w:t>
            </w: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11,096.49</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478,836.71</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923,577.45</w:t>
            </w:r>
          </w:p>
        </w:tc>
      </w:tr>
    </w:tbl>
    <w:p>
      <w:pPr>
        <w:spacing w:line="240" w:lineRule="auto" w:before="6"/>
        <w:rPr>
          <w:rFonts w:ascii="宋体" w:hAnsi="宋体" w:cs="宋体" w:eastAsia="宋体" w:hint="default"/>
          <w:b/>
          <w:bCs/>
          <w:sz w:val="5"/>
          <w:szCs w:val="5"/>
        </w:rPr>
      </w:pPr>
    </w:p>
    <w:p>
      <w:pPr>
        <w:pStyle w:val="Heading3"/>
        <w:spacing w:line="240" w:lineRule="auto" w:before="36"/>
        <w:ind w:left="575" w:right="0"/>
        <w:jc w:val="left"/>
        <w:rPr>
          <w:b w:val="0"/>
          <w:bCs w:val="0"/>
        </w:rPr>
      </w:pPr>
      <w:r>
        <w:rPr/>
        <w:t>（七）其他流动资产</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259"/>
        <w:gridCol w:w="3050"/>
        <w:gridCol w:w="2465"/>
      </w:tblGrid>
      <w:tr>
        <w:trPr>
          <w:trHeight w:val="355" w:hRule="exact"/>
        </w:trPr>
        <w:tc>
          <w:tcPr>
            <w:tcW w:w="32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440"/>
              <w:jc w:val="right"/>
              <w:rPr>
                <w:rFonts w:ascii="宋体" w:hAnsi="宋体" w:cs="宋体" w:eastAsia="宋体" w:hint="default"/>
                <w:sz w:val="18"/>
                <w:szCs w:val="18"/>
              </w:rPr>
            </w:pPr>
            <w:r>
              <w:rPr>
                <w:rFonts w:ascii="宋体" w:hAnsi="宋体" w:cs="宋体" w:eastAsia="宋体" w:hint="default"/>
                <w:sz w:val="18"/>
                <w:szCs w:val="18"/>
              </w:rPr>
              <w:t>项目</w:t>
            </w:r>
          </w:p>
        </w:tc>
        <w:tc>
          <w:tcPr>
            <w:tcW w:w="30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2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0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152,000,000.00</w:t>
            </w:r>
            <w:r>
              <w:rPr>
                <w:rFonts w:ascii="Times New Roman"/>
                <w:sz w:val="18"/>
              </w:rPr>
            </w:r>
          </w:p>
        </w:tc>
        <w:tc>
          <w:tcPr>
            <w:tcW w:w="24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r>
      <w:tr>
        <w:trPr>
          <w:trHeight w:val="353" w:hRule="exact"/>
        </w:trPr>
        <w:tc>
          <w:tcPr>
            <w:tcW w:w="32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40"/>
              <w:jc w:val="right"/>
              <w:rPr>
                <w:rFonts w:ascii="宋体" w:hAnsi="宋体" w:cs="宋体" w:eastAsia="宋体" w:hint="default"/>
                <w:sz w:val="18"/>
                <w:szCs w:val="18"/>
              </w:rPr>
            </w:pPr>
            <w:r>
              <w:rPr>
                <w:rFonts w:ascii="宋体" w:hAnsi="宋体" w:cs="宋体" w:eastAsia="宋体" w:hint="default"/>
                <w:sz w:val="18"/>
                <w:szCs w:val="18"/>
              </w:rPr>
              <w:t>合计</w:t>
            </w:r>
          </w:p>
        </w:tc>
        <w:tc>
          <w:tcPr>
            <w:tcW w:w="30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152,000,000.00</w:t>
            </w:r>
          </w:p>
        </w:tc>
        <w:tc>
          <w:tcPr>
            <w:tcW w:w="24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r>
    </w:tbl>
    <w:p>
      <w:pPr>
        <w:spacing w:line="240" w:lineRule="auto" w:before="6"/>
        <w:rPr>
          <w:rFonts w:ascii="宋体" w:hAnsi="宋体" w:cs="宋体" w:eastAsia="宋体" w:hint="default"/>
          <w:b/>
          <w:bCs/>
          <w:sz w:val="20"/>
          <w:szCs w:val="20"/>
        </w:rPr>
      </w:pPr>
    </w:p>
    <w:p>
      <w:pPr>
        <w:pStyle w:val="BodyText"/>
        <w:spacing w:line="408" w:lineRule="auto" w:before="36"/>
        <w:ind w:right="150" w:firstLine="516"/>
        <w:jc w:val="both"/>
      </w:pPr>
      <w:r>
        <w:rPr>
          <w:spacing w:val="-2"/>
        </w:rPr>
        <w:t>其他流动资产为广发银行的薪加薪</w:t>
      </w:r>
      <w:r>
        <w:rPr>
          <w:rFonts w:ascii="宋体" w:hAnsi="宋体" w:cs="宋体" w:eastAsia="宋体" w:hint="default"/>
          <w:spacing w:val="-2"/>
        </w:rPr>
        <w:t>16</w:t>
      </w:r>
      <w:r>
        <w:rPr>
          <w:spacing w:val="-2"/>
        </w:rPr>
        <w:t>号理财产品人民币</w:t>
      </w:r>
      <w:r>
        <w:rPr>
          <w:rFonts w:ascii="宋体" w:hAnsi="宋体" w:cs="宋体" w:eastAsia="宋体" w:hint="default"/>
          <w:spacing w:val="-2"/>
        </w:rPr>
        <w:t>30,000,000.00</w:t>
      </w:r>
      <w:r>
        <w:rPr>
          <w:spacing w:val="-2"/>
        </w:rPr>
        <w:t>元；包商银行的企业佳赢理财</w:t>
      </w:r>
      <w:r>
        <w:rPr>
          <w:w w:val="100"/>
        </w:rPr>
        <w:t> </w:t>
      </w:r>
      <w:r>
        <w:rPr>
          <w:spacing w:val="-2"/>
        </w:rPr>
        <w:t>产品人民币</w:t>
      </w:r>
      <w:r>
        <w:rPr>
          <w:rFonts w:ascii="宋体" w:hAnsi="宋体" w:cs="宋体" w:eastAsia="宋体" w:hint="default"/>
          <w:spacing w:val="-2"/>
        </w:rPr>
        <w:t>30,000,000.00</w:t>
      </w:r>
      <w:r>
        <w:rPr>
          <w:spacing w:val="-2"/>
        </w:rPr>
        <w:t>元；宁波银行的启盈智能理财产品人民币</w:t>
      </w:r>
      <w:r>
        <w:rPr>
          <w:rFonts w:ascii="宋体" w:hAnsi="宋体" w:cs="宋体" w:eastAsia="宋体" w:hint="default"/>
          <w:spacing w:val="-2"/>
        </w:rPr>
        <w:t>10,000,000.00</w:t>
      </w:r>
      <w:r>
        <w:rPr>
          <w:spacing w:val="-2"/>
        </w:rPr>
        <w:t>元；浦发银行的利多多</w:t>
      </w:r>
      <w:r>
        <w:rPr>
          <w:spacing w:val="-24"/>
        </w:rPr>
        <w:t> </w:t>
      </w:r>
      <w:r>
        <w:rPr>
          <w:spacing w:val="-24"/>
        </w:rPr>
      </w:r>
      <w:r>
        <w:rPr/>
        <w:t>理财产品人民币</w:t>
      </w:r>
      <w:r>
        <w:rPr>
          <w:rFonts w:ascii="宋体" w:hAnsi="宋体" w:cs="宋体" w:eastAsia="宋体" w:hint="default"/>
        </w:rPr>
        <w:t>82,000,000.00</w:t>
      </w:r>
      <w:r>
        <w:rPr/>
        <w:t>元。</w:t>
      </w:r>
    </w:p>
    <w:p>
      <w:pPr>
        <w:pStyle w:val="Heading3"/>
        <w:spacing w:line="240" w:lineRule="auto" w:before="89"/>
        <w:ind w:left="575" w:right="0"/>
        <w:jc w:val="left"/>
        <w:rPr>
          <w:b w:val="0"/>
          <w:bCs w:val="0"/>
        </w:rPr>
      </w:pPr>
      <w:r>
        <w:rPr/>
        <w:t>（八）可供出售金融资产</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3"/>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42"/>
        </w:rPr>
        <w:t> </w:t>
      </w:r>
      <w:r>
        <w:rPr/>
        <w:t>可供出售金融资产情况</w:t>
      </w:r>
      <w:r>
        <w:rPr>
          <w:b w:val="0"/>
          <w:bCs w:val="0"/>
        </w:rPr>
      </w:r>
    </w:p>
    <w:p>
      <w:pPr>
        <w:spacing w:after="0" w:line="240" w:lineRule="auto"/>
        <w:jc w:val="left"/>
        <w:sectPr>
          <w:pgSz w:w="11910" w:h="16840"/>
          <w:pgMar w:header="990" w:footer="1066" w:top="1220" w:bottom="1260" w:left="980" w:right="980"/>
        </w:sectPr>
      </w:pPr>
    </w:p>
    <w:p>
      <w:pPr>
        <w:spacing w:line="240" w:lineRule="auto" w:before="2"/>
        <w:rPr>
          <w:rFonts w:ascii="宋体" w:hAnsi="宋体" w:cs="宋体" w:eastAsia="宋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1666"/>
        <w:gridCol w:w="1416"/>
        <w:gridCol w:w="718"/>
        <w:gridCol w:w="1416"/>
        <w:gridCol w:w="1418"/>
        <w:gridCol w:w="708"/>
        <w:gridCol w:w="1435"/>
      </w:tblGrid>
      <w:tr>
        <w:trPr>
          <w:trHeight w:val="353" w:hRule="exact"/>
        </w:trPr>
        <w:tc>
          <w:tcPr>
            <w:tcW w:w="1666" w:type="dxa"/>
            <w:vMerge w:val="restart"/>
            <w:tcBorders>
              <w:top w:val="single" w:sz="6" w:space="0" w:color="000000"/>
              <w:left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50"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6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65" w:hRule="exact"/>
        </w:trPr>
        <w:tc>
          <w:tcPr>
            <w:tcW w:w="1666" w:type="dxa"/>
            <w:vMerge/>
            <w:tcBorders>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1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70" w:right="170"/>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56" w:right="74"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14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5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3"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按公允价值计量</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按成本计量</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r>
      <w:tr>
        <w:trPr>
          <w:trHeight w:val="353"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r>
    </w:tbl>
    <w:p>
      <w:pPr>
        <w:spacing w:line="240" w:lineRule="auto" w:before="8"/>
        <w:rPr>
          <w:rFonts w:ascii="宋体" w:hAnsi="宋体" w:cs="宋体" w:eastAsia="宋体" w:hint="default"/>
          <w:b/>
          <w:bCs/>
          <w:sz w:val="14"/>
          <w:szCs w:val="14"/>
        </w:rPr>
      </w:pPr>
    </w:p>
    <w:p>
      <w:pPr>
        <w:pStyle w:val="Heading3"/>
        <w:spacing w:line="240" w:lineRule="auto" w:before="36"/>
        <w:ind w:right="0"/>
        <w:jc w:val="left"/>
        <w:rPr>
          <w:b w:val="0"/>
          <w:bCs w:val="0"/>
        </w:rPr>
      </w:pPr>
      <w:r>
        <w:rPr>
          <w:rFonts w:ascii="宋体" w:hAnsi="宋体" w:cs="宋体" w:eastAsia="宋体" w:hint="default"/>
        </w:rPr>
        <w:t>1.</w:t>
      </w:r>
      <w:r>
        <w:rPr>
          <w:rFonts w:ascii="宋体" w:hAnsi="宋体" w:cs="宋体" w:eastAsia="宋体" w:hint="default"/>
          <w:spacing w:val="40"/>
        </w:rPr>
        <w:t> </w:t>
      </w:r>
      <w:r>
        <w:rPr/>
        <w:t>期末按成本计量的权益工具</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2604"/>
        <w:gridCol w:w="1339"/>
        <w:gridCol w:w="1409"/>
        <w:gridCol w:w="953"/>
        <w:gridCol w:w="1054"/>
        <w:gridCol w:w="1416"/>
      </w:tblGrid>
      <w:tr>
        <w:trPr>
          <w:trHeight w:val="355" w:hRule="exact"/>
        </w:trPr>
        <w:tc>
          <w:tcPr>
            <w:tcW w:w="2604" w:type="dxa"/>
            <w:vMerge w:val="restart"/>
            <w:tcBorders>
              <w:top w:val="single" w:sz="6" w:space="0" w:color="000000"/>
              <w:left w:val="single" w:sz="6" w:space="0" w:color="000000"/>
              <w:right w:val="single" w:sz="6" w:space="0" w:color="000000"/>
            </w:tcBorders>
          </w:tcPr>
          <w:p>
            <w:pPr>
              <w:pStyle w:val="TableParagraph"/>
              <w:spacing w:line="240" w:lineRule="auto" w:before="20"/>
              <w:ind w:left="84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9" w:type="dxa"/>
            <w:vMerge w:val="restart"/>
            <w:tcBorders>
              <w:top w:val="single" w:sz="6" w:space="0" w:color="000000"/>
              <w:left w:val="single" w:sz="6" w:space="0" w:color="000000"/>
              <w:right w:val="single" w:sz="6" w:space="0" w:color="000000"/>
            </w:tcBorders>
          </w:tcPr>
          <w:p>
            <w:pPr>
              <w:pStyle w:val="TableParagraph"/>
              <w:spacing w:line="316" w:lineRule="auto" w:before="20"/>
              <w:ind w:left="256" w:right="31"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在被投资单位持 股比例</w:t>
            </w:r>
            <w:r>
              <w:rPr>
                <w:rFonts w:ascii="Times New Roman" w:hAnsi="Times New Roman" w:cs="Times New Roman" w:eastAsia="Times New Roman" w:hint="default"/>
                <w:sz w:val="18"/>
                <w:szCs w:val="18"/>
              </w:rPr>
              <w:t>(%)</w:t>
            </w:r>
          </w:p>
        </w:tc>
        <w:tc>
          <w:tcPr>
            <w:tcW w:w="4831"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53" w:hRule="exact"/>
        </w:trPr>
        <w:tc>
          <w:tcPr>
            <w:tcW w:w="2604" w:type="dxa"/>
            <w:vMerge/>
            <w:tcBorders>
              <w:left w:val="single" w:sz="6" w:space="0" w:color="000000"/>
              <w:bottom w:val="single" w:sz="12" w:space="0" w:color="000000"/>
              <w:right w:val="single" w:sz="6" w:space="0" w:color="000000"/>
            </w:tcBorders>
          </w:tcPr>
          <w:p>
            <w:pPr/>
          </w:p>
        </w:tc>
        <w:tc>
          <w:tcPr>
            <w:tcW w:w="1339" w:type="dxa"/>
            <w:vMerge/>
            <w:tcBorders>
              <w:left w:val="single" w:sz="6" w:space="0" w:color="000000"/>
              <w:bottom w:val="single" w:sz="12" w:space="0" w:color="000000"/>
              <w:right w:val="single" w:sz="6" w:space="0" w:color="000000"/>
            </w:tcBorders>
          </w:tcPr>
          <w:p>
            <w:pPr/>
          </w:p>
        </w:tc>
        <w:tc>
          <w:tcPr>
            <w:tcW w:w="14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深圳市科葩信息技术有限公司</w:t>
            </w:r>
          </w:p>
        </w:tc>
        <w:tc>
          <w:tcPr>
            <w:tcW w:w="1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w:t>
            </w:r>
          </w:p>
        </w:tc>
        <w:tc>
          <w:tcPr>
            <w:tcW w:w="14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9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0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r>
      <w:tr>
        <w:trPr>
          <w:trHeight w:val="353" w:hRule="exact"/>
        </w:trPr>
        <w:tc>
          <w:tcPr>
            <w:tcW w:w="2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12" w:space="0" w:color="000000"/>
              <w:left w:val="single" w:sz="6" w:space="0" w:color="000000"/>
              <w:bottom w:val="single" w:sz="12" w:space="0" w:color="000000"/>
              <w:right w:val="single" w:sz="6" w:space="0" w:color="000000"/>
            </w:tcBorders>
          </w:tcPr>
          <w:p>
            <w:pPr/>
          </w:p>
        </w:tc>
        <w:tc>
          <w:tcPr>
            <w:tcW w:w="14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9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r>
    </w:tbl>
    <w:p>
      <w:pPr>
        <w:spacing w:line="240" w:lineRule="auto" w:before="6"/>
        <w:rPr>
          <w:rFonts w:ascii="宋体" w:hAnsi="宋体" w:cs="宋体" w:eastAsia="宋体" w:hint="default"/>
          <w:b/>
          <w:bCs/>
          <w:sz w:val="5"/>
          <w:szCs w:val="5"/>
        </w:rPr>
      </w:pPr>
    </w:p>
    <w:p>
      <w:pPr>
        <w:pStyle w:val="BodyText"/>
        <w:spacing w:line="240" w:lineRule="auto" w:before="36"/>
        <w:ind w:left="572" w:right="0"/>
        <w:jc w:val="left"/>
      </w:pPr>
      <w:r>
        <w:rPr/>
        <w:t>续：</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602"/>
        <w:gridCol w:w="1342"/>
        <w:gridCol w:w="1402"/>
        <w:gridCol w:w="965"/>
        <w:gridCol w:w="1049"/>
        <w:gridCol w:w="1416"/>
      </w:tblGrid>
      <w:tr>
        <w:trPr>
          <w:trHeight w:val="355" w:hRule="exact"/>
        </w:trPr>
        <w:tc>
          <w:tcPr>
            <w:tcW w:w="2602" w:type="dxa"/>
            <w:vMerge w:val="restart"/>
            <w:tcBorders>
              <w:top w:val="single" w:sz="6" w:space="0" w:color="000000"/>
              <w:left w:val="single" w:sz="6" w:space="0" w:color="000000"/>
              <w:right w:val="single" w:sz="6" w:space="0" w:color="000000"/>
            </w:tcBorders>
          </w:tcPr>
          <w:p>
            <w:pPr>
              <w:pStyle w:val="TableParagraph"/>
              <w:spacing w:line="240" w:lineRule="auto" w:before="20"/>
              <w:ind w:left="84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757" w:type="dxa"/>
            <w:gridSpan w:val="4"/>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vMerge w:val="restart"/>
            <w:tcBorders>
              <w:top w:val="single" w:sz="6" w:space="0" w:color="000000"/>
              <w:left w:val="single" w:sz="6" w:space="0" w:color="000000"/>
              <w:right w:val="nil" w:sz="6" w:space="0" w:color="auto"/>
            </w:tcBorders>
          </w:tcPr>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53" w:hRule="exact"/>
        </w:trPr>
        <w:tc>
          <w:tcPr>
            <w:tcW w:w="2602" w:type="dxa"/>
            <w:vMerge/>
            <w:tcBorders>
              <w:left w:val="single" w:sz="6" w:space="0" w:color="000000"/>
              <w:bottom w:val="single" w:sz="12" w:space="0" w:color="000000"/>
              <w:right w:val="single" w:sz="6" w:space="0" w:color="000000"/>
            </w:tcBorders>
          </w:tcPr>
          <w:p>
            <w:pP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6" w:type="dxa"/>
            <w:vMerge/>
            <w:tcBorders>
              <w:left w:val="single" w:sz="6" w:space="0" w:color="000000"/>
              <w:bottom w:val="single" w:sz="12" w:space="0" w:color="000000"/>
              <w:right w:val="nil" w:sz="6" w:space="0" w:color="auto"/>
            </w:tcBorders>
          </w:tcPr>
          <w:p>
            <w:pPr/>
          </w:p>
        </w:tc>
      </w:tr>
      <w:tr>
        <w:trPr>
          <w:trHeight w:val="350" w:hRule="exact"/>
        </w:trPr>
        <w:tc>
          <w:tcPr>
            <w:tcW w:w="2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深圳市科葩信息技术有限公司</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2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9"/>
          <w:szCs w:val="29"/>
        </w:rPr>
      </w:pPr>
    </w:p>
    <w:p>
      <w:pPr>
        <w:pStyle w:val="Heading3"/>
        <w:spacing w:line="240" w:lineRule="auto" w:before="36"/>
        <w:ind w:left="575" w:right="0"/>
        <w:jc w:val="left"/>
        <w:rPr>
          <w:b w:val="0"/>
          <w:bCs w:val="0"/>
        </w:rPr>
      </w:pPr>
      <w:r>
        <w:rPr/>
        <w:t>（九）固定资产</w:t>
      </w:r>
      <w:r>
        <w:rPr>
          <w:b w:val="0"/>
          <w:bCs w:val="0"/>
        </w:rPr>
      </w:r>
    </w:p>
    <w:p>
      <w:pPr>
        <w:pStyle w:val="Heading3"/>
        <w:spacing w:line="240" w:lineRule="auto" w:before="37"/>
        <w:ind w:left="575" w:right="0"/>
        <w:jc w:val="left"/>
        <w:rPr>
          <w:b w:val="0"/>
          <w:bCs w:val="0"/>
        </w:rPr>
      </w:pP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757"/>
        <w:gridCol w:w="1476"/>
        <w:gridCol w:w="1351"/>
        <w:gridCol w:w="1385"/>
        <w:gridCol w:w="1363"/>
        <w:gridCol w:w="1397"/>
      </w:tblGrid>
      <w:tr>
        <w:trPr>
          <w:trHeight w:val="355" w:hRule="exact"/>
        </w:trPr>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0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2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9"/>
                <w:sz w:val="18"/>
                <w:szCs w:val="18"/>
              </w:rPr>
              <w:t> </w:t>
            </w:r>
            <w:r>
              <w:rPr>
                <w:rFonts w:ascii="宋体" w:hAnsi="宋体" w:cs="宋体" w:eastAsia="宋体" w:hint="default"/>
                <w:sz w:val="18"/>
                <w:szCs w:val="18"/>
              </w:rPr>
              <w:t>账面原值合计</w:t>
            </w:r>
          </w:p>
        </w:tc>
        <w:tc>
          <w:tcPr>
            <w:tcW w:w="1476" w:type="dxa"/>
            <w:tcBorders>
              <w:top w:val="single" w:sz="12" w:space="0" w:color="000000"/>
              <w:left w:val="single" w:sz="6" w:space="0" w:color="000000"/>
              <w:bottom w:val="single" w:sz="12" w:space="0" w:color="000000"/>
              <w:right w:val="single" w:sz="6" w:space="0" w:color="000000"/>
            </w:tcBorders>
          </w:tcPr>
          <w:p>
            <w:pPr/>
          </w:p>
        </w:tc>
        <w:tc>
          <w:tcPr>
            <w:tcW w:w="1351" w:type="dxa"/>
            <w:tcBorders>
              <w:top w:val="single" w:sz="12" w:space="0" w:color="000000"/>
              <w:left w:val="single" w:sz="6" w:space="0" w:color="000000"/>
              <w:bottom w:val="single" w:sz="12" w:space="0" w:color="000000"/>
              <w:right w:val="single" w:sz="6" w:space="0" w:color="000000"/>
            </w:tcBorders>
          </w:tcPr>
          <w:p>
            <w:pPr/>
          </w:p>
        </w:tc>
        <w:tc>
          <w:tcPr>
            <w:tcW w:w="1385" w:type="dxa"/>
            <w:tcBorders>
              <w:top w:val="single" w:sz="12" w:space="0" w:color="000000"/>
              <w:left w:val="single" w:sz="6" w:space="0" w:color="000000"/>
              <w:bottom w:val="single" w:sz="12" w:space="0" w:color="000000"/>
              <w:right w:val="single" w:sz="6" w:space="0" w:color="000000"/>
            </w:tcBorders>
          </w:tcPr>
          <w:p>
            <w:pPr/>
          </w:p>
        </w:tc>
        <w:tc>
          <w:tcPr>
            <w:tcW w:w="1363"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9"/>
                <w:sz w:val="18"/>
                <w:szCs w:val="18"/>
              </w:rPr>
              <w:t> </w:t>
            </w:r>
            <w:r>
              <w:rPr>
                <w:rFonts w:ascii="宋体" w:hAnsi="宋体" w:cs="宋体" w:eastAsia="宋体" w:hint="default"/>
                <w:sz w:val="18"/>
                <w:szCs w:val="18"/>
              </w:rPr>
              <w:t>期初余额</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15,840,463.91</w:t>
            </w:r>
            <w:r>
              <w:rPr>
                <w:rFonts w:ascii="Times New Roman"/>
                <w:sz w:val="18"/>
              </w:rPr>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2,710,035.00</w:t>
            </w:r>
            <w:r>
              <w:rPr>
                <w:rFonts w:ascii="Times New Roman"/>
                <w:sz w:val="18"/>
              </w:rPr>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2,798,263.56</w:t>
            </w:r>
            <w:r>
              <w:rPr>
                <w:rFonts w:ascii="Times New Roman"/>
                <w:sz w:val="18"/>
              </w:rPr>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1,108,577.02</w:t>
            </w:r>
            <w:r>
              <w:rPr>
                <w:rFonts w:ascii="Times New Roman"/>
                <w:sz w:val="18"/>
              </w:rPr>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22,457,339.49</w:t>
            </w: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9"/>
                <w:sz w:val="18"/>
                <w:szCs w:val="18"/>
              </w:rPr>
              <w:t> </w:t>
            </w:r>
            <w:r>
              <w:rPr>
                <w:rFonts w:ascii="宋体" w:hAnsi="宋体" w:cs="宋体" w:eastAsia="宋体" w:hint="default"/>
                <w:sz w:val="18"/>
                <w:szCs w:val="18"/>
              </w:rPr>
              <w:t>本期增加金额</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3,290,128.33</w:t>
            </w:r>
            <w:r>
              <w:rPr>
                <w:rFonts w:ascii="Times New Roman"/>
                <w:sz w:val="18"/>
              </w:rPr>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18,547.55</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3,308,675.88</w:t>
            </w:r>
            <w:r>
              <w:rPr>
                <w:rFonts w:ascii="Times New Roman"/>
                <w:sz w:val="18"/>
              </w:rPr>
            </w: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3,290,128.33</w:t>
            </w:r>
            <w:r>
              <w:rPr>
                <w:rFonts w:ascii="Times New Roman"/>
                <w:sz w:val="18"/>
              </w:rPr>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18,547.55</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3,308,675.88</w:t>
            </w:r>
            <w:r>
              <w:rPr>
                <w:rFonts w:ascii="Times New Roman"/>
                <w:sz w:val="18"/>
              </w:rPr>
            </w:r>
          </w:p>
        </w:tc>
      </w:tr>
      <w:tr>
        <w:trPr>
          <w:trHeight w:val="350"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9"/>
                <w:sz w:val="18"/>
                <w:szCs w:val="18"/>
              </w:rPr>
              <w:t> </w:t>
            </w:r>
            <w:r>
              <w:rPr>
                <w:rFonts w:ascii="宋体" w:hAnsi="宋体" w:cs="宋体" w:eastAsia="宋体" w:hint="default"/>
                <w:sz w:val="18"/>
                <w:szCs w:val="18"/>
              </w:rPr>
              <w:t>本期减少金额</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239,358.50</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12,266.35</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251,624.85</w:t>
            </w: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239,358.50</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12,266.35</w:t>
            </w:r>
            <w:r>
              <w:rPr>
                <w:rFonts w:ascii="Times New Roman"/>
                <w:sz w:val="18"/>
              </w:rPr>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251,624.85</w:t>
            </w: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9"/>
                <w:sz w:val="18"/>
                <w:szCs w:val="18"/>
              </w:rPr>
              <w:t> </w:t>
            </w:r>
            <w:r>
              <w:rPr>
                <w:rFonts w:ascii="宋体" w:hAnsi="宋体" w:cs="宋体" w:eastAsia="宋体" w:hint="default"/>
                <w:sz w:val="18"/>
                <w:szCs w:val="18"/>
              </w:rPr>
              <w:t>期末余额</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15,840,463.91</w:t>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2,710,035.00</w:t>
            </w:r>
            <w:r>
              <w:rPr>
                <w:rFonts w:ascii="Times New Roman"/>
                <w:sz w:val="18"/>
              </w:rPr>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5,849,033.39</w:t>
            </w:r>
            <w:r>
              <w:rPr>
                <w:rFonts w:ascii="Times New Roman"/>
                <w:sz w:val="18"/>
              </w:rPr>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1,114,858.22</w:t>
            </w:r>
            <w:r>
              <w:rPr>
                <w:rFonts w:ascii="Times New Roman"/>
                <w:sz w:val="18"/>
              </w:rPr>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25,514,390.52</w:t>
            </w:r>
          </w:p>
        </w:tc>
      </w:tr>
      <w:tr>
        <w:trPr>
          <w:trHeight w:val="350"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9"/>
                <w:sz w:val="18"/>
                <w:szCs w:val="18"/>
              </w:rPr>
              <w:t> </w:t>
            </w:r>
            <w:r>
              <w:rPr>
                <w:rFonts w:ascii="宋体" w:hAnsi="宋体" w:cs="宋体" w:eastAsia="宋体" w:hint="default"/>
                <w:sz w:val="18"/>
                <w:szCs w:val="18"/>
              </w:rPr>
              <w:t>累计折旧</w:t>
            </w:r>
          </w:p>
        </w:tc>
        <w:tc>
          <w:tcPr>
            <w:tcW w:w="1476" w:type="dxa"/>
            <w:tcBorders>
              <w:top w:val="single" w:sz="12" w:space="0" w:color="000000"/>
              <w:left w:val="single" w:sz="6" w:space="0" w:color="000000"/>
              <w:bottom w:val="single" w:sz="12" w:space="0" w:color="000000"/>
              <w:right w:val="single" w:sz="6" w:space="0" w:color="000000"/>
            </w:tcBorders>
          </w:tcPr>
          <w:p>
            <w:pPr/>
          </w:p>
        </w:tc>
        <w:tc>
          <w:tcPr>
            <w:tcW w:w="1351" w:type="dxa"/>
            <w:tcBorders>
              <w:top w:val="single" w:sz="12" w:space="0" w:color="000000"/>
              <w:left w:val="single" w:sz="6" w:space="0" w:color="000000"/>
              <w:bottom w:val="single" w:sz="12" w:space="0" w:color="000000"/>
              <w:right w:val="single" w:sz="6" w:space="0" w:color="000000"/>
            </w:tcBorders>
          </w:tcPr>
          <w:p>
            <w:pPr/>
          </w:p>
        </w:tc>
        <w:tc>
          <w:tcPr>
            <w:tcW w:w="1385" w:type="dxa"/>
            <w:tcBorders>
              <w:top w:val="single" w:sz="12" w:space="0" w:color="000000"/>
              <w:left w:val="single" w:sz="6" w:space="0" w:color="000000"/>
              <w:bottom w:val="single" w:sz="12" w:space="0" w:color="000000"/>
              <w:right w:val="single" w:sz="6" w:space="0" w:color="000000"/>
            </w:tcBorders>
          </w:tcPr>
          <w:p>
            <w:pPr/>
          </w:p>
        </w:tc>
        <w:tc>
          <w:tcPr>
            <w:tcW w:w="1363"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9"/>
                <w:sz w:val="18"/>
                <w:szCs w:val="18"/>
              </w:rPr>
              <w:t> </w:t>
            </w:r>
            <w:r>
              <w:rPr>
                <w:rFonts w:ascii="宋体" w:hAnsi="宋体" w:cs="宋体" w:eastAsia="宋体" w:hint="default"/>
                <w:sz w:val="18"/>
                <w:szCs w:val="18"/>
              </w:rPr>
              <w:t>期初余额</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558,874.88</w:t>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1,217,155.91</w:t>
            </w:r>
            <w:r>
              <w:rPr>
                <w:rFonts w:ascii="Times New Roman"/>
                <w:sz w:val="18"/>
              </w:rPr>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1,409,447.81</w:t>
            </w:r>
            <w:r>
              <w:rPr>
                <w:rFonts w:ascii="Times New Roman"/>
                <w:sz w:val="18"/>
              </w:rPr>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422,781.27</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3,608,259.87</w:t>
            </w:r>
            <w:r>
              <w:rPr>
                <w:rFonts w:ascii="Times New Roman"/>
                <w:sz w:val="18"/>
              </w:rPr>
            </w: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89"/>
                <w:sz w:val="18"/>
                <w:szCs w:val="18"/>
              </w:rPr>
              <w:t> </w:t>
            </w:r>
            <w:r>
              <w:rPr>
                <w:rFonts w:ascii="宋体" w:hAnsi="宋体" w:cs="宋体" w:eastAsia="宋体" w:hint="default"/>
                <w:sz w:val="18"/>
                <w:szCs w:val="18"/>
              </w:rPr>
              <w:t>本期增加金额</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564,459.72</w:t>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382,837.72</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644,847.55</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111,292.86</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1,703,437.85</w:t>
            </w:r>
            <w:r>
              <w:rPr>
                <w:rFonts w:ascii="Times New Roman"/>
                <w:sz w:val="18"/>
              </w:rPr>
            </w:r>
          </w:p>
        </w:tc>
      </w:tr>
      <w:tr>
        <w:trPr>
          <w:trHeight w:val="350"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564,459.72</w:t>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382,837.72</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644,847.55</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111,292.86</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1,703,437.85</w:t>
            </w:r>
            <w:r>
              <w:rPr>
                <w:rFonts w:ascii="Times New Roman"/>
                <w:sz w:val="18"/>
              </w:rPr>
            </w: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9"/>
                <w:sz w:val="18"/>
                <w:szCs w:val="18"/>
              </w:rPr>
              <w:t> </w:t>
            </w:r>
            <w:r>
              <w:rPr>
                <w:rFonts w:ascii="宋体" w:hAnsi="宋体" w:cs="宋体" w:eastAsia="宋体" w:hint="default"/>
                <w:sz w:val="18"/>
                <w:szCs w:val="18"/>
              </w:rPr>
              <w:t>本期减少金额</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227,390.97</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11,653.03</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239,044.00</w:t>
            </w: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227,390.97</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11,653.03</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239,044.00</w:t>
            </w:r>
          </w:p>
        </w:tc>
      </w:tr>
      <w:tr>
        <w:trPr>
          <w:trHeight w:val="350"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9"/>
                <w:sz w:val="18"/>
                <w:szCs w:val="18"/>
              </w:rPr>
              <w:t> </w:t>
            </w:r>
            <w:r>
              <w:rPr>
                <w:rFonts w:ascii="宋体" w:hAnsi="宋体" w:cs="宋体" w:eastAsia="宋体" w:hint="default"/>
                <w:sz w:val="18"/>
                <w:szCs w:val="18"/>
              </w:rPr>
              <w:t>期末余额</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1,123,334.60</w:t>
            </w:r>
            <w:r>
              <w:rPr>
                <w:rFonts w:ascii="Times New Roman"/>
                <w:sz w:val="18"/>
              </w:rPr>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1,599,993.63</w:t>
            </w:r>
            <w:r>
              <w:rPr>
                <w:rFonts w:ascii="Times New Roman"/>
                <w:sz w:val="18"/>
              </w:rPr>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1,826,904.39</w:t>
            </w:r>
            <w:r>
              <w:rPr>
                <w:rFonts w:ascii="Times New Roman"/>
                <w:sz w:val="18"/>
              </w:rPr>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522,421.10</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5,072,653.72</w:t>
            </w:r>
            <w:r>
              <w:rPr>
                <w:rFonts w:ascii="Times New Roman"/>
                <w:sz w:val="18"/>
              </w:rPr>
            </w: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9"/>
                <w:sz w:val="18"/>
                <w:szCs w:val="18"/>
              </w:rPr>
              <w:t> </w:t>
            </w:r>
            <w:r>
              <w:rPr>
                <w:rFonts w:ascii="宋体" w:hAnsi="宋体" w:cs="宋体" w:eastAsia="宋体" w:hint="default"/>
                <w:sz w:val="18"/>
                <w:szCs w:val="18"/>
              </w:rPr>
              <w:t>减值准备</w:t>
            </w:r>
          </w:p>
        </w:tc>
        <w:tc>
          <w:tcPr>
            <w:tcW w:w="1476" w:type="dxa"/>
            <w:tcBorders>
              <w:top w:val="single" w:sz="12" w:space="0" w:color="000000"/>
              <w:left w:val="single" w:sz="6" w:space="0" w:color="000000"/>
              <w:bottom w:val="single" w:sz="12" w:space="0" w:color="000000"/>
              <w:right w:val="single" w:sz="6" w:space="0" w:color="000000"/>
            </w:tcBorders>
          </w:tcPr>
          <w:p>
            <w:pPr/>
          </w:p>
        </w:tc>
        <w:tc>
          <w:tcPr>
            <w:tcW w:w="1351" w:type="dxa"/>
            <w:tcBorders>
              <w:top w:val="single" w:sz="12" w:space="0" w:color="000000"/>
              <w:left w:val="single" w:sz="6" w:space="0" w:color="000000"/>
              <w:bottom w:val="single" w:sz="12" w:space="0" w:color="000000"/>
              <w:right w:val="single" w:sz="6" w:space="0" w:color="000000"/>
            </w:tcBorders>
          </w:tcPr>
          <w:p>
            <w:pPr/>
          </w:p>
        </w:tc>
        <w:tc>
          <w:tcPr>
            <w:tcW w:w="1385" w:type="dxa"/>
            <w:tcBorders>
              <w:top w:val="single" w:sz="12" w:space="0" w:color="000000"/>
              <w:left w:val="single" w:sz="6" w:space="0" w:color="000000"/>
              <w:bottom w:val="single" w:sz="12" w:space="0" w:color="000000"/>
              <w:right w:val="single" w:sz="6" w:space="0" w:color="000000"/>
            </w:tcBorders>
          </w:tcPr>
          <w:p>
            <w:pPr/>
          </w:p>
        </w:tc>
        <w:tc>
          <w:tcPr>
            <w:tcW w:w="1363"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9"/>
                <w:sz w:val="18"/>
                <w:szCs w:val="18"/>
              </w:rPr>
              <w:t> </w:t>
            </w:r>
            <w:r>
              <w:rPr>
                <w:rFonts w:ascii="宋体" w:hAnsi="宋体" w:cs="宋体" w:eastAsia="宋体" w:hint="default"/>
                <w:sz w:val="18"/>
                <w:szCs w:val="18"/>
              </w:rPr>
              <w:t>期初余额</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89"/>
                <w:sz w:val="18"/>
                <w:szCs w:val="18"/>
              </w:rPr>
              <w:t> </w:t>
            </w:r>
            <w:r>
              <w:rPr>
                <w:rFonts w:ascii="宋体" w:hAnsi="宋体" w:cs="宋体" w:eastAsia="宋体" w:hint="default"/>
                <w:sz w:val="18"/>
                <w:szCs w:val="18"/>
              </w:rPr>
              <w:t>本期增加金额</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footerReference w:type="default" r:id="rId52"/>
          <w:pgSz w:w="11910" w:h="16840"/>
          <w:pgMar w:footer="1066" w:header="990" w:top="1220" w:bottom="1260" w:left="980" w:right="980"/>
          <w:pgNumType w:start="120"/>
        </w:sectPr>
      </w:pPr>
    </w:p>
    <w:p>
      <w:pPr>
        <w:spacing w:line="240" w:lineRule="auto" w:before="2"/>
        <w:rPr>
          <w:rFonts w:ascii="宋体" w:hAnsi="宋体" w:cs="宋体" w:eastAsia="宋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1757"/>
        <w:gridCol w:w="1476"/>
        <w:gridCol w:w="1351"/>
        <w:gridCol w:w="1385"/>
        <w:gridCol w:w="1363"/>
        <w:gridCol w:w="1397"/>
      </w:tblGrid>
      <w:tr>
        <w:trPr>
          <w:trHeight w:val="353" w:hRule="exact"/>
        </w:trPr>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89"/>
                <w:sz w:val="18"/>
                <w:szCs w:val="18"/>
              </w:rPr>
              <w:t> </w:t>
            </w:r>
            <w:r>
              <w:rPr>
                <w:rFonts w:ascii="宋体" w:hAnsi="宋体" w:cs="宋体" w:eastAsia="宋体" w:hint="default"/>
                <w:sz w:val="18"/>
                <w:szCs w:val="18"/>
              </w:rPr>
              <w:t>本期减少金额</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89"/>
                <w:sz w:val="18"/>
                <w:szCs w:val="18"/>
              </w:rPr>
              <w:t> </w:t>
            </w:r>
            <w:r>
              <w:rPr>
                <w:rFonts w:ascii="宋体" w:hAnsi="宋体" w:cs="宋体" w:eastAsia="宋体" w:hint="default"/>
                <w:sz w:val="18"/>
                <w:szCs w:val="18"/>
              </w:rPr>
              <w:t>期末余额</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89"/>
                <w:sz w:val="18"/>
                <w:szCs w:val="18"/>
              </w:rPr>
              <w:t> </w:t>
            </w:r>
            <w:r>
              <w:rPr>
                <w:rFonts w:ascii="宋体" w:hAnsi="宋体" w:cs="宋体" w:eastAsia="宋体" w:hint="default"/>
                <w:sz w:val="18"/>
                <w:szCs w:val="18"/>
              </w:rPr>
              <w:t>账面价值合计</w:t>
            </w:r>
          </w:p>
        </w:tc>
        <w:tc>
          <w:tcPr>
            <w:tcW w:w="1476" w:type="dxa"/>
            <w:tcBorders>
              <w:top w:val="single" w:sz="12" w:space="0" w:color="000000"/>
              <w:left w:val="single" w:sz="6" w:space="0" w:color="000000"/>
              <w:bottom w:val="single" w:sz="12" w:space="0" w:color="000000"/>
              <w:right w:val="single" w:sz="6" w:space="0" w:color="000000"/>
            </w:tcBorders>
          </w:tcPr>
          <w:p>
            <w:pPr/>
          </w:p>
        </w:tc>
        <w:tc>
          <w:tcPr>
            <w:tcW w:w="1351" w:type="dxa"/>
            <w:tcBorders>
              <w:top w:val="single" w:sz="12" w:space="0" w:color="000000"/>
              <w:left w:val="single" w:sz="6" w:space="0" w:color="000000"/>
              <w:bottom w:val="single" w:sz="12" w:space="0" w:color="000000"/>
              <w:right w:val="single" w:sz="6" w:space="0" w:color="000000"/>
            </w:tcBorders>
          </w:tcPr>
          <w:p>
            <w:pPr/>
          </w:p>
        </w:tc>
        <w:tc>
          <w:tcPr>
            <w:tcW w:w="1385" w:type="dxa"/>
            <w:tcBorders>
              <w:top w:val="single" w:sz="12" w:space="0" w:color="000000"/>
              <w:left w:val="single" w:sz="6" w:space="0" w:color="000000"/>
              <w:bottom w:val="single" w:sz="12" w:space="0" w:color="000000"/>
              <w:right w:val="single" w:sz="6" w:space="0" w:color="000000"/>
            </w:tcBorders>
          </w:tcPr>
          <w:p>
            <w:pPr/>
          </w:p>
        </w:tc>
        <w:tc>
          <w:tcPr>
            <w:tcW w:w="1363"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89"/>
                <w:sz w:val="18"/>
                <w:szCs w:val="18"/>
              </w:rPr>
              <w:t> </w:t>
            </w:r>
            <w:r>
              <w:rPr>
                <w:rFonts w:ascii="宋体" w:hAnsi="宋体" w:cs="宋体" w:eastAsia="宋体" w:hint="default"/>
                <w:sz w:val="18"/>
                <w:szCs w:val="18"/>
              </w:rPr>
              <w:t>期末账面价值</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14,717,129.31</w:t>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1,110,041.37</w:t>
            </w:r>
            <w:r>
              <w:rPr>
                <w:rFonts w:ascii="Times New Roman"/>
                <w:sz w:val="18"/>
              </w:rPr>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4,022,129.00</w:t>
            </w:r>
            <w:r>
              <w:rPr>
                <w:rFonts w:ascii="Times New Roman"/>
                <w:sz w:val="18"/>
              </w:rPr>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592,437.12</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20,441,736.80</w:t>
            </w:r>
          </w:p>
        </w:tc>
      </w:tr>
      <w:tr>
        <w:trPr>
          <w:trHeight w:val="355" w:hRule="exact"/>
        </w:trPr>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89"/>
                <w:sz w:val="18"/>
                <w:szCs w:val="18"/>
              </w:rPr>
              <w:t> </w:t>
            </w:r>
            <w:r>
              <w:rPr>
                <w:rFonts w:ascii="宋体" w:hAnsi="宋体" w:cs="宋体" w:eastAsia="宋体" w:hint="default"/>
                <w:sz w:val="18"/>
                <w:szCs w:val="18"/>
              </w:rPr>
              <w:t>期初账面价值</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15,281,589.03</w:t>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1,492,879.09</w:t>
            </w:r>
            <w:r>
              <w:rPr>
                <w:rFonts w:ascii="Times New Roman"/>
                <w:sz w:val="18"/>
              </w:rPr>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1,388,815.75</w:t>
            </w:r>
            <w:r>
              <w:rPr>
                <w:rFonts w:ascii="Times New Roman"/>
                <w:sz w:val="18"/>
              </w:rPr>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685,795.75</w:t>
            </w:r>
          </w:p>
        </w:tc>
        <w:tc>
          <w:tcPr>
            <w:tcW w:w="13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18,849,079.62</w:t>
            </w:r>
          </w:p>
        </w:tc>
      </w:tr>
    </w:tbl>
    <w:p>
      <w:pPr>
        <w:spacing w:line="240" w:lineRule="auto" w:before="4"/>
        <w:rPr>
          <w:rFonts w:ascii="宋体" w:hAnsi="宋体" w:cs="宋体" w:eastAsia="宋体" w:hint="default"/>
          <w:b/>
          <w:bCs/>
          <w:sz w:val="11"/>
          <w:szCs w:val="11"/>
        </w:rPr>
      </w:pPr>
    </w:p>
    <w:p>
      <w:pPr>
        <w:pStyle w:val="Heading3"/>
        <w:spacing w:line="240" w:lineRule="auto" w:before="36"/>
        <w:ind w:left="359" w:right="0"/>
        <w:jc w:val="left"/>
        <w:rPr>
          <w:b w:val="0"/>
          <w:bCs w:val="0"/>
        </w:rPr>
      </w:pPr>
      <w:r>
        <w:rPr>
          <w:rFonts w:ascii="Times New Roman" w:hAnsi="Times New Roman" w:cs="Times New Roman" w:eastAsia="Times New Roman" w:hint="default"/>
        </w:rPr>
        <w:t>2</w:t>
      </w:r>
      <w:r>
        <w:rPr/>
        <w:t>、本公司认为期末固定资产不存在账面价值高于可收回金额的情况，故未计提固定资产减值准备。</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359" w:right="0"/>
        <w:jc w:val="left"/>
        <w:rPr>
          <w:b w:val="0"/>
          <w:bCs w:val="0"/>
        </w:rPr>
      </w:pPr>
      <w:r>
        <w:rPr>
          <w:rFonts w:ascii="Times New Roman" w:hAnsi="Times New Roman" w:cs="Times New Roman" w:eastAsia="Times New Roman" w:hint="default"/>
        </w:rPr>
        <w:t>3.</w:t>
      </w:r>
      <w:r>
        <w:rPr/>
        <w:t>本公司期末固定资产不存在抵押情况。</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575" w:right="0"/>
        <w:jc w:val="left"/>
        <w:rPr>
          <w:b w:val="0"/>
          <w:bCs w:val="0"/>
        </w:rPr>
      </w:pPr>
      <w:r>
        <w:rPr/>
        <w:t>（十）无形资产</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575" w:right="0"/>
        <w:jc w:val="left"/>
        <w:rPr>
          <w:b w:val="0"/>
          <w:bCs w:val="0"/>
        </w:rPr>
      </w:pP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8"/>
          <w:szCs w:val="8"/>
        </w:rPr>
      </w:pPr>
    </w:p>
    <w:tbl>
      <w:tblPr>
        <w:tblW w:w="0" w:type="auto"/>
        <w:jc w:val="left"/>
        <w:tblInd w:w="145" w:type="dxa"/>
        <w:tblLayout w:type="fixed"/>
        <w:tblCellMar>
          <w:top w:w="0" w:type="dxa"/>
          <w:left w:w="0" w:type="dxa"/>
          <w:bottom w:w="0" w:type="dxa"/>
          <w:right w:w="0" w:type="dxa"/>
        </w:tblCellMar>
        <w:tblLook w:val="01E0"/>
      </w:tblPr>
      <w:tblGrid>
        <w:gridCol w:w="1524"/>
        <w:gridCol w:w="1320"/>
        <w:gridCol w:w="1188"/>
        <w:gridCol w:w="1356"/>
        <w:gridCol w:w="1178"/>
        <w:gridCol w:w="1116"/>
        <w:gridCol w:w="1190"/>
      </w:tblGrid>
      <w:tr>
        <w:trPr>
          <w:trHeight w:val="977" w:hRule="exact"/>
        </w:trPr>
        <w:tc>
          <w:tcPr>
            <w:tcW w:w="1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7"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360" w:lineRule="auto" w:before="43"/>
              <w:ind w:left="204" w:right="21" w:hanging="176"/>
              <w:jc w:val="left"/>
              <w:rPr>
                <w:rFonts w:ascii="宋体" w:hAnsi="宋体" w:cs="宋体" w:eastAsia="宋体" w:hint="default"/>
                <w:sz w:val="15"/>
                <w:szCs w:val="15"/>
              </w:rPr>
            </w:pPr>
            <w:r>
              <w:rPr>
                <w:rFonts w:ascii="宋体" w:hAnsi="宋体" w:cs="宋体" w:eastAsia="宋体" w:hint="default"/>
                <w:sz w:val="15"/>
                <w:szCs w:val="15"/>
              </w:rPr>
              <w:t>自行开发软件</w:t>
            </w:r>
            <w:r>
              <w:rPr>
                <w:rFonts w:ascii="Times New Roman" w:hAnsi="Times New Roman" w:cs="Times New Roman" w:eastAsia="Times New Roman" w:hint="default"/>
                <w:sz w:val="15"/>
                <w:szCs w:val="15"/>
              </w:rPr>
              <w:t>-</w:t>
            </w:r>
            <w:r>
              <w:rPr>
                <w:rFonts w:ascii="宋体" w:hAnsi="宋体" w:cs="宋体" w:eastAsia="宋体" w:hint="default"/>
                <w:sz w:val="15"/>
                <w:szCs w:val="15"/>
              </w:rPr>
              <w:t>同步</w:t>
            </w:r>
            <w:r>
              <w:rPr>
                <w:rFonts w:ascii="宋体" w:hAnsi="宋体" w:cs="宋体" w:eastAsia="宋体" w:hint="default"/>
                <w:w w:val="100"/>
                <w:sz w:val="15"/>
                <w:szCs w:val="15"/>
              </w:rPr>
              <w:t> </w:t>
            </w:r>
            <w:r>
              <w:rPr>
                <w:rFonts w:ascii="宋体" w:hAnsi="宋体" w:cs="宋体" w:eastAsia="宋体" w:hint="default"/>
                <w:sz w:val="15"/>
                <w:szCs w:val="15"/>
              </w:rPr>
              <w:t>课堂网络平台</w:t>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360" w:lineRule="auto" w:before="43"/>
              <w:ind w:left="288" w:right="31" w:hanging="250"/>
              <w:jc w:val="left"/>
              <w:rPr>
                <w:rFonts w:ascii="宋体" w:hAnsi="宋体" w:cs="宋体" w:eastAsia="宋体" w:hint="default"/>
                <w:sz w:val="15"/>
                <w:szCs w:val="15"/>
              </w:rPr>
            </w:pPr>
            <w:r>
              <w:rPr>
                <w:rFonts w:ascii="宋体" w:hAnsi="宋体" w:cs="宋体" w:eastAsia="宋体" w:hint="default"/>
                <w:sz w:val="15"/>
                <w:szCs w:val="15"/>
              </w:rPr>
              <w:t>自行开发软件</w:t>
            </w:r>
            <w:r>
              <w:rPr>
                <w:rFonts w:ascii="Times New Roman" w:hAnsi="Times New Roman" w:cs="Times New Roman" w:eastAsia="Times New Roman" w:hint="default"/>
                <w:sz w:val="15"/>
                <w:szCs w:val="15"/>
              </w:rPr>
              <w:t>-</w:t>
            </w:r>
            <w:r>
              <w:rPr>
                <w:rFonts w:ascii="宋体" w:hAnsi="宋体" w:cs="宋体" w:eastAsia="宋体" w:hint="default"/>
                <w:sz w:val="15"/>
                <w:szCs w:val="15"/>
              </w:rPr>
              <w:t>分</w:t>
            </w:r>
            <w:r>
              <w:rPr>
                <w:rFonts w:ascii="宋体" w:hAnsi="宋体" w:cs="宋体" w:eastAsia="宋体" w:hint="default"/>
                <w:w w:val="100"/>
                <w:sz w:val="15"/>
                <w:szCs w:val="15"/>
              </w:rPr>
              <w:t> </w:t>
            </w:r>
            <w:r>
              <w:rPr>
                <w:rFonts w:ascii="宋体" w:hAnsi="宋体" w:cs="宋体" w:eastAsia="宋体" w:hint="default"/>
                <w:sz w:val="15"/>
                <w:szCs w:val="15"/>
              </w:rPr>
              <w:t>站式项目</w:t>
            </w:r>
          </w:p>
        </w:tc>
        <w:tc>
          <w:tcPr>
            <w:tcW w:w="1356" w:type="dxa"/>
            <w:tcBorders>
              <w:top w:val="single" w:sz="6" w:space="0" w:color="000000"/>
              <w:left w:val="single" w:sz="6" w:space="0" w:color="000000"/>
              <w:bottom w:val="single" w:sz="12" w:space="0" w:color="000000"/>
              <w:right w:val="single" w:sz="6" w:space="0" w:color="000000"/>
            </w:tcBorders>
          </w:tcPr>
          <w:p>
            <w:pPr>
              <w:pStyle w:val="TableParagraph"/>
              <w:spacing w:line="360" w:lineRule="auto" w:before="43"/>
              <w:ind w:left="144" w:right="41" w:hanging="99"/>
              <w:jc w:val="left"/>
              <w:rPr>
                <w:rFonts w:ascii="宋体" w:hAnsi="宋体" w:cs="宋体" w:eastAsia="宋体" w:hint="default"/>
                <w:sz w:val="15"/>
                <w:szCs w:val="15"/>
              </w:rPr>
            </w:pPr>
            <w:r>
              <w:rPr>
                <w:rFonts w:ascii="宋体" w:hAnsi="宋体" w:cs="宋体" w:eastAsia="宋体" w:hint="default"/>
                <w:sz w:val="15"/>
                <w:szCs w:val="15"/>
              </w:rPr>
              <w:t>自行开发软件</w:t>
            </w:r>
            <w:r>
              <w:rPr>
                <w:rFonts w:ascii="Times New Roman" w:hAnsi="Times New Roman" w:cs="Times New Roman" w:eastAsia="Times New Roman" w:hint="default"/>
                <w:sz w:val="15"/>
                <w:szCs w:val="15"/>
              </w:rPr>
              <w:t>-</w:t>
            </w:r>
            <w:r>
              <w:rPr>
                <w:rFonts w:ascii="宋体" w:hAnsi="宋体" w:cs="宋体" w:eastAsia="宋体" w:hint="default"/>
                <w:sz w:val="15"/>
                <w:szCs w:val="15"/>
              </w:rPr>
              <w:t>中小</w:t>
            </w:r>
            <w:r>
              <w:rPr>
                <w:rFonts w:ascii="宋体" w:hAnsi="宋体" w:cs="宋体" w:eastAsia="宋体" w:hint="default"/>
                <w:w w:val="100"/>
                <w:sz w:val="15"/>
                <w:szCs w:val="15"/>
              </w:rPr>
              <w:t> </w:t>
            </w:r>
            <w:r>
              <w:rPr>
                <w:rFonts w:ascii="宋体" w:hAnsi="宋体" w:cs="宋体" w:eastAsia="宋体" w:hint="default"/>
                <w:sz w:val="15"/>
                <w:szCs w:val="15"/>
              </w:rPr>
              <w:t>学教材同步辅导</w:t>
            </w:r>
          </w:p>
        </w:tc>
        <w:tc>
          <w:tcPr>
            <w:tcW w:w="1178" w:type="dxa"/>
            <w:tcBorders>
              <w:top w:val="single" w:sz="6" w:space="0" w:color="000000"/>
              <w:left w:val="single" w:sz="6" w:space="0" w:color="000000"/>
              <w:bottom w:val="single" w:sz="12" w:space="0" w:color="000000"/>
              <w:right w:val="single" w:sz="6" w:space="0" w:color="000000"/>
            </w:tcBorders>
          </w:tcPr>
          <w:p>
            <w:pPr>
              <w:pStyle w:val="TableParagraph"/>
              <w:spacing w:line="372" w:lineRule="auto" w:before="43"/>
              <w:ind w:left="33" w:right="26"/>
              <w:jc w:val="center"/>
              <w:rPr>
                <w:rFonts w:ascii="宋体" w:hAnsi="宋体" w:cs="宋体" w:eastAsia="宋体" w:hint="default"/>
                <w:sz w:val="15"/>
                <w:szCs w:val="15"/>
              </w:rPr>
            </w:pPr>
            <w:r>
              <w:rPr>
                <w:rFonts w:ascii="宋体" w:hAnsi="宋体" w:cs="宋体" w:eastAsia="宋体" w:hint="default"/>
                <w:spacing w:val="-2"/>
                <w:sz w:val="15"/>
                <w:szCs w:val="15"/>
              </w:rPr>
              <w:t>自行开发软件</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金</w:t>
            </w:r>
            <w:r>
              <w:rPr>
                <w:rFonts w:ascii="宋体" w:hAnsi="宋体" w:cs="宋体" w:eastAsia="宋体" w:hint="default"/>
                <w:spacing w:val="-69"/>
                <w:sz w:val="15"/>
                <w:szCs w:val="15"/>
              </w:rPr>
              <w:t> </w:t>
            </w:r>
            <w:r>
              <w:rPr>
                <w:rFonts w:ascii="宋体" w:hAnsi="宋体" w:cs="宋体" w:eastAsia="宋体" w:hint="default"/>
                <w:sz w:val="15"/>
                <w:szCs w:val="15"/>
              </w:rPr>
              <w:t>太阳练习测评管</w:t>
            </w:r>
            <w:r>
              <w:rPr>
                <w:rFonts w:ascii="宋体" w:hAnsi="宋体" w:cs="宋体" w:eastAsia="宋体" w:hint="default"/>
                <w:w w:val="100"/>
                <w:sz w:val="15"/>
                <w:szCs w:val="15"/>
              </w:rPr>
              <w:t> </w:t>
            </w:r>
            <w:r>
              <w:rPr>
                <w:rFonts w:ascii="宋体" w:hAnsi="宋体" w:cs="宋体" w:eastAsia="宋体" w:hint="default"/>
                <w:sz w:val="15"/>
                <w:szCs w:val="15"/>
              </w:rPr>
              <w:t>理系统</w:t>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252" w:right="0"/>
              <w:jc w:val="left"/>
              <w:rPr>
                <w:rFonts w:ascii="宋体" w:hAnsi="宋体" w:cs="宋体" w:eastAsia="宋体" w:hint="default"/>
                <w:sz w:val="15"/>
                <w:szCs w:val="15"/>
              </w:rPr>
            </w:pPr>
            <w:r>
              <w:rPr>
                <w:rFonts w:ascii="宋体" w:hAnsi="宋体" w:cs="宋体" w:eastAsia="宋体" w:hint="default"/>
                <w:sz w:val="15"/>
                <w:szCs w:val="15"/>
              </w:rPr>
              <w:t>外购软件</w:t>
            </w:r>
          </w:p>
        </w:tc>
        <w:tc>
          <w:tcPr>
            <w:tcW w:w="11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53"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1.</w:t>
              <w:tab/>
            </w:r>
            <w:r>
              <w:rPr>
                <w:rFonts w:ascii="宋体" w:hAnsi="宋体" w:cs="宋体" w:eastAsia="宋体" w:hint="default"/>
                <w:sz w:val="15"/>
                <w:szCs w:val="15"/>
              </w:rPr>
              <w:t>账面原值合计</w:t>
            </w:r>
          </w:p>
        </w:tc>
        <w:tc>
          <w:tcPr>
            <w:tcW w:w="1320" w:type="dxa"/>
            <w:tcBorders>
              <w:top w:val="single" w:sz="12" w:space="0" w:color="000000"/>
              <w:left w:val="single" w:sz="6" w:space="0" w:color="000000"/>
              <w:bottom w:val="single" w:sz="12" w:space="0" w:color="000000"/>
              <w:right w:val="single" w:sz="6" w:space="0" w:color="000000"/>
            </w:tcBorders>
          </w:tcPr>
          <w:p>
            <w:pPr/>
          </w:p>
        </w:tc>
        <w:tc>
          <w:tcPr>
            <w:tcW w:w="1188" w:type="dxa"/>
            <w:tcBorders>
              <w:top w:val="single" w:sz="12" w:space="0" w:color="000000"/>
              <w:left w:val="single" w:sz="6" w:space="0" w:color="000000"/>
              <w:bottom w:val="single" w:sz="12" w:space="0" w:color="000000"/>
              <w:right w:val="single" w:sz="6" w:space="0" w:color="000000"/>
            </w:tcBorders>
          </w:tcPr>
          <w:p>
            <w:pPr/>
          </w:p>
        </w:tc>
        <w:tc>
          <w:tcPr>
            <w:tcW w:w="1356" w:type="dxa"/>
            <w:tcBorders>
              <w:top w:val="single" w:sz="12" w:space="0" w:color="000000"/>
              <w:left w:val="single" w:sz="6" w:space="0" w:color="000000"/>
              <w:bottom w:val="single" w:sz="12" w:space="0" w:color="000000"/>
              <w:right w:val="single" w:sz="6" w:space="0" w:color="000000"/>
            </w:tcBorders>
          </w:tcPr>
          <w:p>
            <w:pPr/>
          </w:p>
        </w:tc>
        <w:tc>
          <w:tcPr>
            <w:tcW w:w="1178"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single" w:sz="6" w:space="0" w:color="000000"/>
            </w:tcBorders>
          </w:tcPr>
          <w:p>
            <w:pPr/>
          </w:p>
        </w:tc>
        <w:tc>
          <w:tcPr>
            <w:tcW w:w="1190"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2.</w:t>
              <w:tab/>
            </w:r>
            <w:r>
              <w:rPr>
                <w:rFonts w:ascii="宋体" w:hAnsi="宋体" w:cs="宋体" w:eastAsia="宋体" w:hint="default"/>
                <w:sz w:val="15"/>
                <w:szCs w:val="15"/>
              </w:rPr>
              <w:t>期初余额</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2"/>
                <w:sz w:val="15"/>
              </w:rPr>
              <w:t>1,017,166.92</w:t>
            </w:r>
            <w:r>
              <w:rPr>
                <w:rFonts w:ascii="Times New Roman"/>
                <w:sz w:val="15"/>
              </w:rPr>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2"/>
                <w:sz w:val="15"/>
              </w:rPr>
              <w:t>121,757.76</w:t>
            </w:r>
            <w:r>
              <w:rPr>
                <w:rFonts w:ascii="Times New Roman"/>
                <w:sz w:val="15"/>
              </w:rPr>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2"/>
                <w:sz w:val="15"/>
              </w:rPr>
              <w:t>7,233,324.35</w:t>
            </w:r>
            <w:r>
              <w:rPr>
                <w:rFonts w:ascii="Times New Roman"/>
                <w:sz w:val="15"/>
              </w:rPr>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2"/>
                <w:sz w:val="15"/>
              </w:rPr>
              <w:t>829,475.71</w:t>
            </w:r>
            <w:r>
              <w:rPr>
                <w:rFonts w:ascii="Times New Roman"/>
                <w:sz w:val="15"/>
              </w:rPr>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2"/>
                <w:sz w:val="15"/>
              </w:rPr>
              <w:t>648,465.75</w:t>
            </w:r>
            <w:r>
              <w:rPr>
                <w:rFonts w:ascii="Times New Roman"/>
                <w:sz w:val="15"/>
              </w:rPr>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7"/>
              <w:jc w:val="right"/>
              <w:rPr>
                <w:rFonts w:ascii="Times New Roman" w:hAnsi="Times New Roman" w:cs="Times New Roman" w:eastAsia="Times New Roman" w:hint="default"/>
                <w:sz w:val="15"/>
                <w:szCs w:val="15"/>
              </w:rPr>
            </w:pPr>
            <w:r>
              <w:rPr>
                <w:rFonts w:ascii="Times New Roman"/>
                <w:spacing w:val="-2"/>
                <w:sz w:val="15"/>
              </w:rPr>
              <w:t>9,850,190.49</w:t>
            </w:r>
            <w:r>
              <w:rPr>
                <w:rFonts w:ascii="Times New Roman"/>
                <w:sz w:val="15"/>
              </w:rPr>
            </w:r>
          </w:p>
        </w:tc>
      </w:tr>
      <w:tr>
        <w:trPr>
          <w:trHeight w:val="353"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3.</w:t>
              <w:tab/>
            </w:r>
            <w:r>
              <w:rPr>
                <w:rFonts w:ascii="宋体" w:hAnsi="宋体" w:cs="宋体" w:eastAsia="宋体" w:hint="default"/>
                <w:sz w:val="15"/>
                <w:szCs w:val="15"/>
              </w:rPr>
              <w:t>本期增加金额</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1,535,787.36</w:t>
            </w:r>
            <w:r>
              <w:rPr>
                <w:rFonts w:ascii="Times New Roman"/>
                <w:sz w:val="15"/>
              </w:rPr>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432,510.02</w:t>
            </w:r>
            <w:r>
              <w:rPr>
                <w:rFonts w:ascii="Times New Roman"/>
                <w:sz w:val="15"/>
              </w:rPr>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5"/>
              <w:jc w:val="right"/>
              <w:rPr>
                <w:rFonts w:ascii="Times New Roman" w:hAnsi="Times New Roman" w:cs="Times New Roman" w:eastAsia="Times New Roman" w:hint="default"/>
                <w:sz w:val="15"/>
                <w:szCs w:val="15"/>
              </w:rPr>
            </w:pPr>
            <w:r>
              <w:rPr>
                <w:rFonts w:ascii="Times New Roman"/>
                <w:spacing w:val="-2"/>
                <w:sz w:val="15"/>
              </w:rPr>
              <w:t>1,968,297.38</w:t>
            </w:r>
            <w:r>
              <w:rPr>
                <w:rFonts w:ascii="Times New Roman"/>
                <w:sz w:val="15"/>
              </w:rPr>
            </w:r>
          </w:p>
        </w:tc>
      </w:tr>
      <w:tr>
        <w:trPr>
          <w:trHeight w:val="353"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244" w:right="0"/>
              <w:jc w:val="left"/>
              <w:rPr>
                <w:rFonts w:ascii="宋体" w:hAnsi="宋体" w:cs="宋体" w:eastAsia="宋体" w:hint="default"/>
                <w:sz w:val="15"/>
                <w:szCs w:val="15"/>
              </w:rPr>
            </w:pPr>
            <w:r>
              <w:rPr>
                <w:rFonts w:ascii="宋体" w:hAnsi="宋体" w:cs="宋体" w:eastAsia="宋体" w:hint="default"/>
                <w:sz w:val="15"/>
                <w:szCs w:val="15"/>
              </w:rPr>
              <w:t>购置</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7,600.00</w:t>
            </w:r>
            <w:r>
              <w:rPr>
                <w:rFonts w:ascii="Times New Roman"/>
                <w:sz w:val="15"/>
              </w:rPr>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432,510.02</w:t>
            </w:r>
            <w:r>
              <w:rPr>
                <w:rFonts w:ascii="Times New Roman"/>
                <w:sz w:val="15"/>
              </w:rPr>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5"/>
              <w:jc w:val="right"/>
              <w:rPr>
                <w:rFonts w:ascii="Times New Roman" w:hAnsi="Times New Roman" w:cs="Times New Roman" w:eastAsia="Times New Roman" w:hint="default"/>
                <w:sz w:val="15"/>
                <w:szCs w:val="15"/>
              </w:rPr>
            </w:pPr>
            <w:r>
              <w:rPr>
                <w:rFonts w:ascii="Times New Roman"/>
                <w:spacing w:val="-2"/>
                <w:sz w:val="15"/>
              </w:rPr>
              <w:t>440,110.02</w:t>
            </w:r>
            <w:r>
              <w:rPr>
                <w:rFonts w:ascii="Times New Roman"/>
                <w:sz w:val="15"/>
              </w:rPr>
            </w:r>
          </w:p>
        </w:tc>
      </w:tr>
      <w:tr>
        <w:trPr>
          <w:trHeight w:val="350"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44" w:right="0"/>
              <w:jc w:val="left"/>
              <w:rPr>
                <w:rFonts w:ascii="宋体" w:hAnsi="宋体" w:cs="宋体" w:eastAsia="宋体" w:hint="default"/>
                <w:sz w:val="15"/>
                <w:szCs w:val="15"/>
              </w:rPr>
            </w:pPr>
            <w:r>
              <w:rPr>
                <w:rFonts w:ascii="宋体" w:hAnsi="宋体" w:cs="宋体" w:eastAsia="宋体" w:hint="default"/>
                <w:sz w:val="15"/>
                <w:szCs w:val="15"/>
              </w:rPr>
              <w:t>其他转入</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w:t>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2"/>
                <w:sz w:val="15"/>
              </w:rPr>
              <w:t>1,528,187.36</w:t>
            </w:r>
            <w:r>
              <w:rPr>
                <w:rFonts w:ascii="Times New Roman"/>
                <w:sz w:val="15"/>
              </w:rPr>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3"/>
              <w:jc w:val="right"/>
              <w:rPr>
                <w:rFonts w:ascii="Times New Roman" w:hAnsi="Times New Roman" w:cs="Times New Roman" w:eastAsia="Times New Roman" w:hint="default"/>
                <w:sz w:val="15"/>
                <w:szCs w:val="15"/>
              </w:rPr>
            </w:pPr>
            <w:r>
              <w:rPr>
                <w:rFonts w:ascii="Times New Roman"/>
                <w:spacing w:val="-1"/>
                <w:sz w:val="15"/>
              </w:rPr>
              <w:t>---</w:t>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7"/>
              <w:jc w:val="right"/>
              <w:rPr>
                <w:rFonts w:ascii="Times New Roman" w:hAnsi="Times New Roman" w:cs="Times New Roman" w:eastAsia="Times New Roman" w:hint="default"/>
                <w:sz w:val="15"/>
                <w:szCs w:val="15"/>
              </w:rPr>
            </w:pPr>
            <w:r>
              <w:rPr>
                <w:rFonts w:ascii="Times New Roman"/>
                <w:spacing w:val="-2"/>
                <w:sz w:val="15"/>
              </w:rPr>
              <w:t>1,528,187.36</w:t>
            </w:r>
            <w:r>
              <w:rPr>
                <w:rFonts w:ascii="Times New Roman"/>
                <w:sz w:val="15"/>
              </w:rPr>
            </w:r>
          </w:p>
        </w:tc>
      </w:tr>
      <w:tr>
        <w:trPr>
          <w:trHeight w:val="353"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1.</w:t>
              <w:tab/>
            </w:r>
            <w:r>
              <w:rPr>
                <w:rFonts w:ascii="宋体" w:hAnsi="宋体" w:cs="宋体" w:eastAsia="宋体" w:hint="default"/>
                <w:sz w:val="15"/>
                <w:szCs w:val="15"/>
              </w:rPr>
              <w:t>本期减少金额</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spacing w:val="-1"/>
                <w:sz w:val="15"/>
              </w:rPr>
              <w:t>---</w:t>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w:t>
            </w:r>
          </w:p>
        </w:tc>
      </w:tr>
      <w:tr>
        <w:trPr>
          <w:trHeight w:val="353"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2.</w:t>
              <w:tab/>
            </w:r>
            <w:r>
              <w:rPr>
                <w:rFonts w:ascii="宋体" w:hAnsi="宋体" w:cs="宋体" w:eastAsia="宋体" w:hint="default"/>
                <w:sz w:val="15"/>
                <w:szCs w:val="15"/>
              </w:rPr>
              <w:t>期末余额</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2"/>
                <w:sz w:val="15"/>
              </w:rPr>
              <w:t>1,017,166.92</w:t>
            </w:r>
            <w:r>
              <w:rPr>
                <w:rFonts w:ascii="Times New Roman"/>
                <w:sz w:val="15"/>
              </w:rPr>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2"/>
                <w:sz w:val="15"/>
              </w:rPr>
              <w:t>121,757.76</w:t>
            </w:r>
            <w:r>
              <w:rPr>
                <w:rFonts w:ascii="Times New Roman"/>
                <w:sz w:val="15"/>
              </w:rPr>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8,769,111.71</w:t>
            </w:r>
            <w:r>
              <w:rPr>
                <w:rFonts w:ascii="Times New Roman"/>
                <w:sz w:val="15"/>
              </w:rPr>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2"/>
                <w:sz w:val="15"/>
              </w:rPr>
              <w:t>829,475.71</w:t>
            </w:r>
            <w:r>
              <w:rPr>
                <w:rFonts w:ascii="Times New Roman"/>
                <w:sz w:val="15"/>
              </w:rPr>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1,080,975.77</w:t>
            </w:r>
            <w:r>
              <w:rPr>
                <w:rFonts w:ascii="Times New Roman"/>
                <w:sz w:val="15"/>
              </w:rPr>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5"/>
              <w:jc w:val="right"/>
              <w:rPr>
                <w:rFonts w:ascii="Times New Roman" w:hAnsi="Times New Roman" w:cs="Times New Roman" w:eastAsia="Times New Roman" w:hint="default"/>
                <w:sz w:val="15"/>
                <w:szCs w:val="15"/>
              </w:rPr>
            </w:pPr>
            <w:r>
              <w:rPr>
                <w:rFonts w:ascii="Times New Roman"/>
                <w:spacing w:val="-2"/>
                <w:sz w:val="15"/>
              </w:rPr>
              <w:t>11,818,487.87</w:t>
            </w:r>
            <w:r>
              <w:rPr>
                <w:rFonts w:ascii="Times New Roman"/>
                <w:sz w:val="15"/>
              </w:rPr>
            </w:r>
          </w:p>
        </w:tc>
      </w:tr>
      <w:tr>
        <w:trPr>
          <w:trHeight w:val="350"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3.</w:t>
              <w:tab/>
            </w:r>
            <w:r>
              <w:rPr>
                <w:rFonts w:ascii="宋体" w:hAnsi="宋体" w:cs="宋体" w:eastAsia="宋体" w:hint="default"/>
                <w:sz w:val="15"/>
                <w:szCs w:val="15"/>
              </w:rPr>
              <w:t>累计摊销</w:t>
            </w:r>
          </w:p>
        </w:tc>
        <w:tc>
          <w:tcPr>
            <w:tcW w:w="1320" w:type="dxa"/>
            <w:tcBorders>
              <w:top w:val="single" w:sz="12" w:space="0" w:color="000000"/>
              <w:left w:val="single" w:sz="6" w:space="0" w:color="000000"/>
              <w:bottom w:val="single" w:sz="12" w:space="0" w:color="000000"/>
              <w:right w:val="single" w:sz="6" w:space="0" w:color="000000"/>
            </w:tcBorders>
          </w:tcPr>
          <w:p>
            <w:pPr/>
          </w:p>
        </w:tc>
        <w:tc>
          <w:tcPr>
            <w:tcW w:w="1188" w:type="dxa"/>
            <w:tcBorders>
              <w:top w:val="single" w:sz="12" w:space="0" w:color="000000"/>
              <w:left w:val="single" w:sz="6" w:space="0" w:color="000000"/>
              <w:bottom w:val="single" w:sz="12" w:space="0" w:color="000000"/>
              <w:right w:val="single" w:sz="6" w:space="0" w:color="000000"/>
            </w:tcBorders>
          </w:tcPr>
          <w:p>
            <w:pPr/>
          </w:p>
        </w:tc>
        <w:tc>
          <w:tcPr>
            <w:tcW w:w="1356" w:type="dxa"/>
            <w:tcBorders>
              <w:top w:val="single" w:sz="12" w:space="0" w:color="000000"/>
              <w:left w:val="single" w:sz="6" w:space="0" w:color="000000"/>
              <w:bottom w:val="single" w:sz="12" w:space="0" w:color="000000"/>
              <w:right w:val="single" w:sz="6" w:space="0" w:color="000000"/>
            </w:tcBorders>
          </w:tcPr>
          <w:p>
            <w:pPr/>
          </w:p>
        </w:tc>
        <w:tc>
          <w:tcPr>
            <w:tcW w:w="1178"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single" w:sz="6" w:space="0" w:color="000000"/>
            </w:tcBorders>
          </w:tcPr>
          <w:p>
            <w:pPr/>
          </w:p>
        </w:tc>
        <w:tc>
          <w:tcPr>
            <w:tcW w:w="119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4.</w:t>
              <w:tab/>
            </w:r>
            <w:r>
              <w:rPr>
                <w:rFonts w:ascii="宋体" w:hAnsi="宋体" w:cs="宋体" w:eastAsia="宋体" w:hint="default"/>
                <w:sz w:val="15"/>
                <w:szCs w:val="15"/>
              </w:rPr>
              <w:t>期初余额</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2"/>
                <w:sz w:val="15"/>
              </w:rPr>
              <w:t>1,017,166.85</w:t>
            </w:r>
            <w:r>
              <w:rPr>
                <w:rFonts w:ascii="Times New Roman"/>
                <w:sz w:val="15"/>
              </w:rPr>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2"/>
                <w:sz w:val="15"/>
              </w:rPr>
              <w:t>117,699.37</w:t>
            </w:r>
            <w:r>
              <w:rPr>
                <w:rFonts w:ascii="Times New Roman"/>
                <w:sz w:val="15"/>
              </w:rPr>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2"/>
                <w:sz w:val="15"/>
              </w:rPr>
              <w:t>4,244,343.69</w:t>
            </w:r>
            <w:r>
              <w:rPr>
                <w:rFonts w:ascii="Times New Roman"/>
                <w:sz w:val="15"/>
              </w:rPr>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2"/>
                <w:sz w:val="15"/>
              </w:rPr>
              <w:t>511,510.14</w:t>
            </w:r>
            <w:r>
              <w:rPr>
                <w:rFonts w:ascii="Times New Roman"/>
                <w:sz w:val="15"/>
              </w:rPr>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281,170.57</w:t>
            </w:r>
            <w:r>
              <w:rPr>
                <w:rFonts w:ascii="Times New Roman"/>
                <w:sz w:val="15"/>
              </w:rPr>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7"/>
              <w:jc w:val="right"/>
              <w:rPr>
                <w:rFonts w:ascii="Times New Roman" w:hAnsi="Times New Roman" w:cs="Times New Roman" w:eastAsia="Times New Roman" w:hint="default"/>
                <w:sz w:val="15"/>
                <w:szCs w:val="15"/>
              </w:rPr>
            </w:pPr>
            <w:r>
              <w:rPr>
                <w:rFonts w:ascii="Times New Roman"/>
                <w:spacing w:val="-2"/>
                <w:sz w:val="15"/>
              </w:rPr>
              <w:t>6,171,890.62</w:t>
            </w:r>
            <w:r>
              <w:rPr>
                <w:rFonts w:ascii="Times New Roman"/>
                <w:sz w:val="15"/>
              </w:rPr>
            </w:r>
          </w:p>
        </w:tc>
      </w:tr>
      <w:tr>
        <w:trPr>
          <w:trHeight w:val="353"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5.</w:t>
              <w:tab/>
            </w:r>
            <w:r>
              <w:rPr>
                <w:rFonts w:ascii="宋体" w:hAnsi="宋体" w:cs="宋体" w:eastAsia="宋体" w:hint="default"/>
                <w:sz w:val="15"/>
                <w:szCs w:val="15"/>
              </w:rPr>
              <w:t>本期增加金额</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0.07</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4,058.39</w:t>
            </w:r>
            <w:r>
              <w:rPr>
                <w:rFonts w:ascii="Times New Roman"/>
                <w:sz w:val="15"/>
              </w:rPr>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1,144,917.37</w:t>
            </w:r>
            <w:r>
              <w:rPr>
                <w:rFonts w:ascii="Times New Roman"/>
                <w:sz w:val="15"/>
              </w:rPr>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165,895.20</w:t>
            </w:r>
            <w:r>
              <w:rPr>
                <w:rFonts w:ascii="Times New Roman"/>
                <w:sz w:val="15"/>
              </w:rPr>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224,656.08</w:t>
            </w:r>
            <w:r>
              <w:rPr>
                <w:rFonts w:ascii="Times New Roman"/>
                <w:sz w:val="15"/>
              </w:rPr>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5"/>
              <w:jc w:val="right"/>
              <w:rPr>
                <w:rFonts w:ascii="Times New Roman" w:hAnsi="Times New Roman" w:cs="Times New Roman" w:eastAsia="Times New Roman" w:hint="default"/>
                <w:sz w:val="15"/>
                <w:szCs w:val="15"/>
              </w:rPr>
            </w:pPr>
            <w:r>
              <w:rPr>
                <w:rFonts w:ascii="Times New Roman"/>
                <w:spacing w:val="-2"/>
                <w:sz w:val="15"/>
              </w:rPr>
              <w:t>1,539,527.11</w:t>
            </w:r>
            <w:r>
              <w:rPr>
                <w:rFonts w:ascii="Times New Roman"/>
                <w:sz w:val="15"/>
              </w:rPr>
            </w:r>
          </w:p>
        </w:tc>
      </w:tr>
      <w:tr>
        <w:trPr>
          <w:trHeight w:val="350"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44" w:right="0"/>
              <w:jc w:val="left"/>
              <w:rPr>
                <w:rFonts w:ascii="宋体" w:hAnsi="宋体" w:cs="宋体" w:eastAsia="宋体" w:hint="default"/>
                <w:sz w:val="15"/>
                <w:szCs w:val="15"/>
              </w:rPr>
            </w:pPr>
            <w:r>
              <w:rPr>
                <w:rFonts w:ascii="宋体" w:hAnsi="宋体" w:cs="宋体" w:eastAsia="宋体" w:hint="default"/>
                <w:sz w:val="15"/>
                <w:szCs w:val="15"/>
              </w:rPr>
              <w:t>计提</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0.07</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4,058.39</w:t>
            </w:r>
            <w:r>
              <w:rPr>
                <w:rFonts w:ascii="Times New Roman"/>
                <w:sz w:val="15"/>
              </w:rPr>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1,144,917.37</w:t>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2"/>
                <w:sz w:val="15"/>
              </w:rPr>
              <w:t>165,895.20</w:t>
            </w:r>
            <w:r>
              <w:rPr>
                <w:rFonts w:ascii="Times New Roman"/>
                <w:sz w:val="15"/>
              </w:rPr>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2"/>
                <w:sz w:val="15"/>
              </w:rPr>
              <w:t>224,656.08</w:t>
            </w:r>
            <w:r>
              <w:rPr>
                <w:rFonts w:ascii="Times New Roman"/>
                <w:sz w:val="15"/>
              </w:rPr>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5"/>
              <w:jc w:val="right"/>
              <w:rPr>
                <w:rFonts w:ascii="Times New Roman" w:hAnsi="Times New Roman" w:cs="Times New Roman" w:eastAsia="Times New Roman" w:hint="default"/>
                <w:sz w:val="15"/>
                <w:szCs w:val="15"/>
              </w:rPr>
            </w:pPr>
            <w:r>
              <w:rPr>
                <w:rFonts w:ascii="Times New Roman"/>
                <w:spacing w:val="-2"/>
                <w:sz w:val="15"/>
              </w:rPr>
              <w:t>1,539,527.11</w:t>
            </w:r>
            <w:r>
              <w:rPr>
                <w:rFonts w:ascii="Times New Roman"/>
                <w:sz w:val="15"/>
              </w:rPr>
            </w:r>
          </w:p>
        </w:tc>
      </w:tr>
      <w:tr>
        <w:trPr>
          <w:trHeight w:val="353"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1.</w:t>
              <w:tab/>
            </w:r>
            <w:r>
              <w:rPr>
                <w:rFonts w:ascii="宋体" w:hAnsi="宋体" w:cs="宋体" w:eastAsia="宋体" w:hint="default"/>
                <w:sz w:val="15"/>
                <w:szCs w:val="15"/>
              </w:rPr>
              <w:t>本期减少金额</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spacing w:val="-1"/>
                <w:sz w:val="15"/>
              </w:rPr>
              <w:t>---</w:t>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w:t>
            </w:r>
          </w:p>
        </w:tc>
      </w:tr>
      <w:tr>
        <w:trPr>
          <w:trHeight w:val="353"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2.</w:t>
              <w:tab/>
            </w:r>
            <w:r>
              <w:rPr>
                <w:rFonts w:ascii="宋体" w:hAnsi="宋体" w:cs="宋体" w:eastAsia="宋体" w:hint="default"/>
                <w:sz w:val="15"/>
                <w:szCs w:val="15"/>
              </w:rPr>
              <w:t>期末余额</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1,017,166.92</w:t>
            </w:r>
            <w:r>
              <w:rPr>
                <w:rFonts w:ascii="Times New Roman"/>
                <w:sz w:val="15"/>
              </w:rPr>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121,757.76</w:t>
            </w:r>
            <w:r>
              <w:rPr>
                <w:rFonts w:ascii="Times New Roman"/>
                <w:sz w:val="15"/>
              </w:rPr>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5,389,261.06</w:t>
            </w:r>
            <w:r>
              <w:rPr>
                <w:rFonts w:ascii="Times New Roman"/>
                <w:sz w:val="15"/>
              </w:rPr>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677,405.34</w:t>
            </w:r>
            <w:r>
              <w:rPr>
                <w:rFonts w:ascii="Times New Roman"/>
                <w:sz w:val="15"/>
              </w:rPr>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505,826.65</w:t>
            </w:r>
            <w:r>
              <w:rPr>
                <w:rFonts w:ascii="Times New Roman"/>
                <w:sz w:val="15"/>
              </w:rPr>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5"/>
              <w:jc w:val="right"/>
              <w:rPr>
                <w:rFonts w:ascii="Times New Roman" w:hAnsi="Times New Roman" w:cs="Times New Roman" w:eastAsia="Times New Roman" w:hint="default"/>
                <w:sz w:val="15"/>
                <w:szCs w:val="15"/>
              </w:rPr>
            </w:pPr>
            <w:r>
              <w:rPr>
                <w:rFonts w:ascii="Times New Roman"/>
                <w:spacing w:val="-2"/>
                <w:sz w:val="15"/>
              </w:rPr>
              <w:t>7,711,417.73</w:t>
            </w:r>
            <w:r>
              <w:rPr>
                <w:rFonts w:ascii="Times New Roman"/>
                <w:sz w:val="15"/>
              </w:rPr>
            </w:r>
          </w:p>
        </w:tc>
      </w:tr>
      <w:tr>
        <w:trPr>
          <w:trHeight w:val="350"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3.</w:t>
              <w:tab/>
            </w:r>
            <w:r>
              <w:rPr>
                <w:rFonts w:ascii="宋体" w:hAnsi="宋体" w:cs="宋体" w:eastAsia="宋体" w:hint="default"/>
                <w:sz w:val="15"/>
                <w:szCs w:val="15"/>
              </w:rPr>
              <w:t>减值准备</w:t>
            </w:r>
          </w:p>
        </w:tc>
        <w:tc>
          <w:tcPr>
            <w:tcW w:w="1320" w:type="dxa"/>
            <w:tcBorders>
              <w:top w:val="single" w:sz="12" w:space="0" w:color="000000"/>
              <w:left w:val="single" w:sz="6" w:space="0" w:color="000000"/>
              <w:bottom w:val="single" w:sz="12" w:space="0" w:color="000000"/>
              <w:right w:val="single" w:sz="6" w:space="0" w:color="000000"/>
            </w:tcBorders>
          </w:tcPr>
          <w:p>
            <w:pPr/>
          </w:p>
        </w:tc>
        <w:tc>
          <w:tcPr>
            <w:tcW w:w="1188" w:type="dxa"/>
            <w:tcBorders>
              <w:top w:val="single" w:sz="12" w:space="0" w:color="000000"/>
              <w:left w:val="single" w:sz="6" w:space="0" w:color="000000"/>
              <w:bottom w:val="single" w:sz="12" w:space="0" w:color="000000"/>
              <w:right w:val="single" w:sz="6" w:space="0" w:color="000000"/>
            </w:tcBorders>
          </w:tcPr>
          <w:p>
            <w:pPr/>
          </w:p>
        </w:tc>
        <w:tc>
          <w:tcPr>
            <w:tcW w:w="1356" w:type="dxa"/>
            <w:tcBorders>
              <w:top w:val="single" w:sz="12" w:space="0" w:color="000000"/>
              <w:left w:val="single" w:sz="6" w:space="0" w:color="000000"/>
              <w:bottom w:val="single" w:sz="12" w:space="0" w:color="000000"/>
              <w:right w:val="single" w:sz="6" w:space="0" w:color="000000"/>
            </w:tcBorders>
          </w:tcPr>
          <w:p>
            <w:pPr/>
          </w:p>
        </w:tc>
        <w:tc>
          <w:tcPr>
            <w:tcW w:w="1178"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single" w:sz="6" w:space="0" w:color="000000"/>
            </w:tcBorders>
          </w:tcPr>
          <w:p>
            <w:pPr/>
          </w:p>
        </w:tc>
        <w:tc>
          <w:tcPr>
            <w:tcW w:w="119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4.</w:t>
              <w:tab/>
            </w:r>
            <w:r>
              <w:rPr>
                <w:rFonts w:ascii="宋体" w:hAnsi="宋体" w:cs="宋体" w:eastAsia="宋体" w:hint="default"/>
                <w:sz w:val="15"/>
                <w:szCs w:val="15"/>
              </w:rPr>
              <w:t>期初余额</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spacing w:val="-1"/>
                <w:sz w:val="15"/>
              </w:rPr>
              <w:t>---</w:t>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w:t>
            </w:r>
          </w:p>
        </w:tc>
      </w:tr>
      <w:tr>
        <w:trPr>
          <w:trHeight w:val="353"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5.</w:t>
              <w:tab/>
            </w:r>
            <w:r>
              <w:rPr>
                <w:rFonts w:ascii="宋体" w:hAnsi="宋体" w:cs="宋体" w:eastAsia="宋体" w:hint="default"/>
                <w:sz w:val="15"/>
                <w:szCs w:val="15"/>
              </w:rPr>
              <w:t>本期增加金额</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spacing w:val="-1"/>
                <w:sz w:val="15"/>
              </w:rPr>
              <w:t>---</w:t>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w:t>
            </w:r>
          </w:p>
        </w:tc>
      </w:tr>
      <w:tr>
        <w:trPr>
          <w:trHeight w:val="350"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6.</w:t>
              <w:tab/>
            </w:r>
            <w:r>
              <w:rPr>
                <w:rFonts w:ascii="宋体" w:hAnsi="宋体" w:cs="宋体" w:eastAsia="宋体" w:hint="default"/>
                <w:sz w:val="15"/>
                <w:szCs w:val="15"/>
              </w:rPr>
              <w:t>本期减少金额</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w:t>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w:t>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3"/>
              <w:jc w:val="right"/>
              <w:rPr>
                <w:rFonts w:ascii="Times New Roman" w:hAnsi="Times New Roman" w:cs="Times New Roman" w:eastAsia="Times New Roman" w:hint="default"/>
                <w:sz w:val="15"/>
                <w:szCs w:val="15"/>
              </w:rPr>
            </w:pPr>
            <w:r>
              <w:rPr>
                <w:rFonts w:ascii="Times New Roman"/>
                <w:spacing w:val="-1"/>
                <w:sz w:val="15"/>
              </w:rPr>
              <w:t>---</w:t>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w:t>
            </w:r>
          </w:p>
        </w:tc>
      </w:tr>
      <w:tr>
        <w:trPr>
          <w:trHeight w:val="353"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7.</w:t>
              <w:tab/>
            </w:r>
            <w:r>
              <w:rPr>
                <w:rFonts w:ascii="宋体" w:hAnsi="宋体" w:cs="宋体" w:eastAsia="宋体" w:hint="default"/>
                <w:sz w:val="15"/>
                <w:szCs w:val="15"/>
              </w:rPr>
              <w:t>期末余额</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spacing w:val="-1"/>
                <w:sz w:val="15"/>
              </w:rPr>
              <w:t>---</w:t>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w:t>
            </w:r>
          </w:p>
        </w:tc>
      </w:tr>
      <w:tr>
        <w:trPr>
          <w:trHeight w:val="353"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8.</w:t>
              <w:tab/>
            </w:r>
            <w:r>
              <w:rPr>
                <w:rFonts w:ascii="宋体" w:hAnsi="宋体" w:cs="宋体" w:eastAsia="宋体" w:hint="default"/>
                <w:sz w:val="15"/>
                <w:szCs w:val="15"/>
              </w:rPr>
              <w:t>账面价值合计</w:t>
            </w:r>
          </w:p>
        </w:tc>
        <w:tc>
          <w:tcPr>
            <w:tcW w:w="1320" w:type="dxa"/>
            <w:tcBorders>
              <w:top w:val="single" w:sz="12" w:space="0" w:color="000000"/>
              <w:left w:val="single" w:sz="6" w:space="0" w:color="000000"/>
              <w:bottom w:val="single" w:sz="12" w:space="0" w:color="000000"/>
              <w:right w:val="single" w:sz="6" w:space="0" w:color="000000"/>
            </w:tcBorders>
          </w:tcPr>
          <w:p>
            <w:pPr/>
          </w:p>
        </w:tc>
        <w:tc>
          <w:tcPr>
            <w:tcW w:w="1188" w:type="dxa"/>
            <w:tcBorders>
              <w:top w:val="single" w:sz="12" w:space="0" w:color="000000"/>
              <w:left w:val="single" w:sz="6" w:space="0" w:color="000000"/>
              <w:bottom w:val="single" w:sz="12" w:space="0" w:color="000000"/>
              <w:right w:val="single" w:sz="6" w:space="0" w:color="000000"/>
            </w:tcBorders>
          </w:tcPr>
          <w:p>
            <w:pPr/>
          </w:p>
        </w:tc>
        <w:tc>
          <w:tcPr>
            <w:tcW w:w="1356" w:type="dxa"/>
            <w:tcBorders>
              <w:top w:val="single" w:sz="12" w:space="0" w:color="000000"/>
              <w:left w:val="single" w:sz="6" w:space="0" w:color="000000"/>
              <w:bottom w:val="single" w:sz="12" w:space="0" w:color="000000"/>
              <w:right w:val="single" w:sz="6" w:space="0" w:color="000000"/>
            </w:tcBorders>
          </w:tcPr>
          <w:p>
            <w:pPr/>
          </w:p>
        </w:tc>
        <w:tc>
          <w:tcPr>
            <w:tcW w:w="1178"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single" w:sz="6" w:space="0" w:color="000000"/>
            </w:tcBorders>
          </w:tcPr>
          <w:p>
            <w:pPr/>
          </w:p>
        </w:tc>
        <w:tc>
          <w:tcPr>
            <w:tcW w:w="1190"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9.</w:t>
              <w:tab/>
            </w:r>
            <w:r>
              <w:rPr>
                <w:rFonts w:ascii="宋体" w:hAnsi="宋体" w:cs="宋体" w:eastAsia="宋体" w:hint="default"/>
                <w:sz w:val="15"/>
                <w:szCs w:val="15"/>
              </w:rPr>
              <w:t>期末账面价值</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w:t>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2"/>
                <w:sz w:val="15"/>
              </w:rPr>
              <w:t>3,379,850.65</w:t>
            </w:r>
            <w:r>
              <w:rPr>
                <w:rFonts w:ascii="Times New Roman"/>
                <w:sz w:val="15"/>
              </w:rPr>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2"/>
                <w:sz w:val="15"/>
              </w:rPr>
              <w:t>152,070.37</w:t>
            </w:r>
            <w:r>
              <w:rPr>
                <w:rFonts w:ascii="Times New Roman"/>
                <w:sz w:val="15"/>
              </w:rPr>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2"/>
                <w:sz w:val="15"/>
              </w:rPr>
              <w:t>575,149.12</w:t>
            </w:r>
            <w:r>
              <w:rPr>
                <w:rFonts w:ascii="Times New Roman"/>
                <w:sz w:val="15"/>
              </w:rPr>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5"/>
              <w:jc w:val="right"/>
              <w:rPr>
                <w:rFonts w:ascii="Times New Roman" w:hAnsi="Times New Roman" w:cs="Times New Roman" w:eastAsia="Times New Roman" w:hint="default"/>
                <w:sz w:val="15"/>
                <w:szCs w:val="15"/>
              </w:rPr>
            </w:pPr>
            <w:r>
              <w:rPr>
                <w:rFonts w:ascii="Times New Roman"/>
                <w:spacing w:val="-2"/>
                <w:sz w:val="15"/>
              </w:rPr>
              <w:t>4,107,070.14</w:t>
            </w:r>
            <w:r>
              <w:rPr>
                <w:rFonts w:ascii="Times New Roman"/>
                <w:sz w:val="15"/>
              </w:rPr>
            </w:r>
          </w:p>
        </w:tc>
      </w:tr>
      <w:tr>
        <w:trPr>
          <w:trHeight w:val="355" w:hRule="exact"/>
        </w:trPr>
        <w:tc>
          <w:tcPr>
            <w:tcW w:w="1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10.</w:t>
            </w:r>
            <w:r>
              <w:rPr>
                <w:rFonts w:ascii="宋体" w:hAnsi="宋体" w:cs="宋体" w:eastAsia="宋体" w:hint="default"/>
                <w:spacing w:val="60"/>
                <w:sz w:val="15"/>
                <w:szCs w:val="15"/>
              </w:rPr>
              <w:t> </w:t>
            </w:r>
            <w:r>
              <w:rPr>
                <w:rFonts w:ascii="宋体" w:hAnsi="宋体" w:cs="宋体" w:eastAsia="宋体" w:hint="default"/>
                <w:sz w:val="15"/>
                <w:szCs w:val="15"/>
              </w:rPr>
              <w:t>期初账面价值</w:t>
            </w: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0.07</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4,058.39</w:t>
            </w:r>
            <w:r>
              <w:rPr>
                <w:rFonts w:ascii="Times New Roman"/>
                <w:sz w:val="15"/>
              </w:rPr>
            </w:r>
          </w:p>
        </w:tc>
        <w:tc>
          <w:tcPr>
            <w:tcW w:w="1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2"/>
                <w:sz w:val="15"/>
              </w:rPr>
              <w:t>2,988,980.66</w:t>
            </w:r>
            <w:r>
              <w:rPr>
                <w:rFonts w:ascii="Times New Roman"/>
                <w:sz w:val="15"/>
              </w:rPr>
            </w:r>
          </w:p>
        </w:tc>
        <w:tc>
          <w:tcPr>
            <w:tcW w:w="1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2"/>
                <w:sz w:val="15"/>
              </w:rPr>
              <w:t>317,965.57</w:t>
            </w:r>
            <w:r>
              <w:rPr>
                <w:rFonts w:ascii="Times New Roman"/>
                <w:sz w:val="15"/>
              </w:rPr>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2"/>
                <w:sz w:val="15"/>
              </w:rPr>
              <w:t>367,295.18</w:t>
            </w:r>
            <w:r>
              <w:rPr>
                <w:rFonts w:ascii="Times New Roman"/>
                <w:sz w:val="15"/>
              </w:rPr>
            </w:r>
          </w:p>
        </w:tc>
        <w:tc>
          <w:tcPr>
            <w:tcW w:w="11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7"/>
              <w:jc w:val="right"/>
              <w:rPr>
                <w:rFonts w:ascii="Times New Roman" w:hAnsi="Times New Roman" w:cs="Times New Roman" w:eastAsia="Times New Roman" w:hint="default"/>
                <w:sz w:val="15"/>
                <w:szCs w:val="15"/>
              </w:rPr>
            </w:pPr>
            <w:r>
              <w:rPr>
                <w:rFonts w:ascii="Times New Roman"/>
                <w:spacing w:val="-2"/>
                <w:sz w:val="15"/>
              </w:rPr>
              <w:t>3,678,299.87</w:t>
            </w:r>
            <w:r>
              <w:rPr>
                <w:rFonts w:ascii="Times New Roman"/>
                <w:sz w:val="15"/>
              </w:rPr>
            </w:r>
          </w:p>
        </w:tc>
      </w:tr>
    </w:tbl>
    <w:p>
      <w:pPr>
        <w:spacing w:line="240" w:lineRule="auto" w:before="6"/>
        <w:rPr>
          <w:rFonts w:ascii="宋体" w:hAnsi="宋体" w:cs="宋体" w:eastAsia="宋体" w:hint="default"/>
          <w:b/>
          <w:bCs/>
          <w:sz w:val="20"/>
          <w:szCs w:val="20"/>
        </w:rPr>
      </w:pPr>
    </w:p>
    <w:p>
      <w:pPr>
        <w:pStyle w:val="Heading3"/>
        <w:spacing w:line="240" w:lineRule="auto" w:before="36"/>
        <w:ind w:left="575" w:right="0"/>
        <w:jc w:val="left"/>
        <w:rPr>
          <w:b w:val="0"/>
          <w:bCs w:val="0"/>
        </w:rPr>
      </w:pPr>
      <w:r>
        <w:rPr>
          <w:rFonts w:ascii="Times New Roman" w:hAnsi="Times New Roman" w:cs="Times New Roman" w:eastAsia="Times New Roman" w:hint="default"/>
        </w:rPr>
        <w:t>2.</w:t>
      </w:r>
      <w:r>
        <w:rPr/>
        <w:t>本公司认为期末无形资产未出现可收回金额低于账面价值的情形，故未计提无形资产减值准备。</w:t>
      </w:r>
      <w:r>
        <w:rPr>
          <w:b w:val="0"/>
          <w:bCs w:val="0"/>
        </w:rPr>
      </w:r>
    </w:p>
    <w:p>
      <w:pPr>
        <w:pStyle w:val="Heading3"/>
        <w:spacing w:line="240" w:lineRule="auto" w:before="177"/>
        <w:ind w:left="575" w:right="0"/>
        <w:jc w:val="left"/>
        <w:rPr>
          <w:b w:val="0"/>
          <w:bCs w:val="0"/>
        </w:rPr>
      </w:pPr>
      <w:r>
        <w:rPr>
          <w:rFonts w:ascii="Times New Roman" w:hAnsi="Times New Roman" w:cs="Times New Roman" w:eastAsia="Times New Roman" w:hint="default"/>
        </w:rPr>
        <w:t>3</w:t>
      </w:r>
      <w:r>
        <w:rPr/>
        <w:t>．本公司期末无形资产不存在抵押情况。</w:t>
      </w:r>
      <w:r>
        <w:rPr>
          <w:b w:val="0"/>
          <w:bCs w:val="0"/>
        </w:rPr>
      </w:r>
    </w:p>
    <w:p>
      <w:pPr>
        <w:spacing w:after="0" w:line="240" w:lineRule="auto"/>
        <w:jc w:val="left"/>
        <w:sectPr>
          <w:pgSz w:w="11910" w:h="16840"/>
          <w:pgMar w:header="990" w:footer="1066" w:top="1220" w:bottom="1260" w:left="980" w:right="980"/>
        </w:sectPr>
      </w:pPr>
    </w:p>
    <w:p>
      <w:pPr>
        <w:spacing w:line="240" w:lineRule="auto" w:before="5"/>
        <w:rPr>
          <w:rFonts w:ascii="宋体" w:hAnsi="宋体" w:cs="宋体" w:eastAsia="宋体" w:hint="default"/>
          <w:b/>
          <w:bCs/>
          <w:sz w:val="10"/>
          <w:szCs w:val="10"/>
        </w:rPr>
      </w:pPr>
    </w:p>
    <w:p>
      <w:pPr>
        <w:pStyle w:val="Heading3"/>
        <w:spacing w:line="240" w:lineRule="auto" w:before="36"/>
        <w:ind w:left="575" w:right="0"/>
        <w:jc w:val="left"/>
        <w:rPr>
          <w:b w:val="0"/>
          <w:bCs w:val="0"/>
        </w:rPr>
      </w:pPr>
      <w:r>
        <w:rPr/>
        <w:t>（十一）开发支出</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1843"/>
        <w:gridCol w:w="1416"/>
        <w:gridCol w:w="1334"/>
        <w:gridCol w:w="600"/>
        <w:gridCol w:w="994"/>
        <w:gridCol w:w="1373"/>
        <w:gridCol w:w="1301"/>
      </w:tblGrid>
      <w:tr>
        <w:trPr>
          <w:trHeight w:val="353" w:hRule="exact"/>
        </w:trPr>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727" w:right="0"/>
              <w:jc w:val="left"/>
              <w:rPr>
                <w:rFonts w:ascii="宋体" w:hAnsi="宋体" w:cs="宋体" w:eastAsia="宋体" w:hint="default"/>
                <w:sz w:val="18"/>
                <w:szCs w:val="18"/>
              </w:rPr>
            </w:pPr>
            <w:r>
              <w:rPr>
                <w:rFonts w:ascii="宋体" w:hAnsi="宋体" w:cs="宋体" w:eastAsia="宋体" w:hint="default"/>
                <w:sz w:val="18"/>
                <w:szCs w:val="18"/>
              </w:rPr>
              <w:t>本期转出数</w:t>
            </w:r>
          </w:p>
        </w:tc>
        <w:tc>
          <w:tcPr>
            <w:tcW w:w="1301" w:type="dxa"/>
            <w:vMerge w:val="restart"/>
            <w:tcBorders>
              <w:top w:val="single" w:sz="6" w:space="0" w:color="000000"/>
              <w:left w:val="single" w:sz="6" w:space="0" w:color="000000"/>
              <w:right w:val="nil" w:sz="6" w:space="0" w:color="auto"/>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1843" w:type="dxa"/>
            <w:vMerge/>
            <w:tcBorders>
              <w:left w:val="single" w:sz="6" w:space="0" w:color="000000"/>
              <w:bottom w:val="single" w:sz="12" w:space="0" w:color="000000"/>
              <w:right w:val="single" w:sz="6" w:space="0" w:color="000000"/>
            </w:tcBorders>
          </w:tcPr>
          <w:p>
            <w:pPr/>
          </w:p>
        </w:tc>
        <w:tc>
          <w:tcPr>
            <w:tcW w:w="1416" w:type="dxa"/>
            <w:vMerge/>
            <w:tcBorders>
              <w:left w:val="single" w:sz="6" w:space="0" w:color="000000"/>
              <w:bottom w:val="single" w:sz="12" w:space="0" w:color="000000"/>
              <w:right w:val="single" w:sz="6" w:space="0" w:color="000000"/>
            </w:tcBorders>
          </w:tcPr>
          <w:p>
            <w:pP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29" w:right="127" w:firstLine="180"/>
              <w:jc w:val="left"/>
              <w:rPr>
                <w:rFonts w:ascii="宋体" w:hAnsi="宋体" w:cs="宋体" w:eastAsia="宋体" w:hint="default"/>
                <w:sz w:val="18"/>
                <w:szCs w:val="18"/>
              </w:rPr>
            </w:pPr>
            <w:r>
              <w:rPr>
                <w:rFonts w:ascii="宋体" w:hAnsi="宋体" w:cs="宋体" w:eastAsia="宋体" w:hint="default"/>
                <w:sz w:val="18"/>
                <w:szCs w:val="18"/>
              </w:rPr>
              <w:t>计入 当期损益</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19" w:right="317" w:firstLine="91"/>
              <w:jc w:val="left"/>
              <w:rPr>
                <w:rFonts w:ascii="宋体" w:hAnsi="宋体" w:cs="宋体" w:eastAsia="宋体" w:hint="default"/>
                <w:sz w:val="18"/>
                <w:szCs w:val="18"/>
              </w:rPr>
            </w:pPr>
            <w:r>
              <w:rPr>
                <w:rFonts w:ascii="宋体" w:hAnsi="宋体" w:cs="宋体" w:eastAsia="宋体" w:hint="default"/>
                <w:sz w:val="18"/>
                <w:szCs w:val="18"/>
              </w:rPr>
              <w:t>确认为 无形资产</w:t>
            </w:r>
          </w:p>
        </w:tc>
        <w:tc>
          <w:tcPr>
            <w:tcW w:w="1301" w:type="dxa"/>
            <w:vMerge/>
            <w:tcBorders>
              <w:left w:val="single" w:sz="6" w:space="0" w:color="000000"/>
              <w:bottom w:val="single" w:sz="12" w:space="0" w:color="000000"/>
              <w:right w:val="nil" w:sz="6" w:space="0" w:color="auto"/>
            </w:tcBorders>
          </w:tcPr>
          <w:p>
            <w:pPr/>
          </w:p>
        </w:tc>
      </w:tr>
      <w:tr>
        <w:trPr>
          <w:trHeight w:val="353"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中小学教材同步辅导</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2,421,278.60</w:t>
            </w:r>
            <w:r>
              <w:rPr>
                <w:rFonts w:ascii="Times New Roman"/>
                <w:sz w:val="18"/>
              </w:rPr>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1,402,663.92</w:t>
            </w:r>
            <w:r>
              <w:rPr>
                <w:rFonts w:ascii="Times New Roman"/>
                <w:sz w:val="18"/>
              </w:rPr>
            </w:r>
          </w:p>
        </w:tc>
        <w:tc>
          <w:tcPr>
            <w:tcW w:w="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1,528,187.36</w:t>
            </w:r>
            <w:r>
              <w:rPr>
                <w:rFonts w:ascii="Times New Roman"/>
                <w:sz w:val="18"/>
              </w:rPr>
            </w:r>
          </w:p>
        </w:tc>
        <w:tc>
          <w:tcPr>
            <w:tcW w:w="13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2,295,755.16</w:t>
            </w:r>
            <w:r>
              <w:rPr>
                <w:rFonts w:ascii="Times New Roman"/>
                <w:sz w:val="18"/>
              </w:rPr>
            </w:r>
          </w:p>
        </w:tc>
      </w:tr>
      <w:tr>
        <w:trPr>
          <w:trHeight w:val="353"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2,421,278.60</w:t>
            </w:r>
            <w:r>
              <w:rPr>
                <w:rFonts w:ascii="Times New Roman"/>
                <w:sz w:val="18"/>
              </w:rPr>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1,402,663.92</w:t>
            </w:r>
            <w:r>
              <w:rPr>
                <w:rFonts w:ascii="Times New Roman"/>
                <w:sz w:val="18"/>
              </w:rPr>
            </w:r>
          </w:p>
        </w:tc>
        <w:tc>
          <w:tcPr>
            <w:tcW w:w="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1,528,187.36</w:t>
            </w:r>
            <w:r>
              <w:rPr>
                <w:rFonts w:ascii="Times New Roman"/>
                <w:sz w:val="18"/>
              </w:rPr>
            </w:r>
          </w:p>
        </w:tc>
        <w:tc>
          <w:tcPr>
            <w:tcW w:w="13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2,295,755.16</w:t>
            </w:r>
            <w:r>
              <w:rPr>
                <w:rFonts w:ascii="Times New Roman"/>
                <w:sz w:val="18"/>
              </w:rPr>
            </w:r>
          </w:p>
        </w:tc>
      </w:tr>
    </w:tbl>
    <w:p>
      <w:pPr>
        <w:spacing w:line="240" w:lineRule="auto" w:before="6"/>
        <w:rPr>
          <w:rFonts w:ascii="宋体" w:hAnsi="宋体" w:cs="宋体" w:eastAsia="宋体" w:hint="default"/>
          <w:b/>
          <w:bCs/>
          <w:sz w:val="20"/>
          <w:szCs w:val="20"/>
        </w:rPr>
      </w:pPr>
    </w:p>
    <w:p>
      <w:pPr>
        <w:pStyle w:val="BodyText"/>
        <w:spacing w:line="408" w:lineRule="auto" w:before="36"/>
        <w:ind w:right="0" w:firstLine="422"/>
        <w:jc w:val="left"/>
      </w:pPr>
      <w:r>
        <w:rPr>
          <w:spacing w:val="-2"/>
        </w:rPr>
        <w:t>中小学教材同步辅导项目是按新课标开发中小学英语及其他学科教材多版本同步辅导软件，本期增加</w:t>
      </w:r>
      <w:r>
        <w:rPr>
          <w:w w:val="100"/>
        </w:rPr>
        <w:t> </w:t>
      </w:r>
      <w:r>
        <w:rPr/>
        <w:t>为开发该项目所发生的人力及其他支出。</w:t>
      </w:r>
    </w:p>
    <w:p>
      <w:pPr>
        <w:spacing w:line="240" w:lineRule="auto" w:before="0"/>
        <w:rPr>
          <w:rFonts w:ascii="宋体" w:hAnsi="宋体" w:cs="宋体" w:eastAsia="宋体" w:hint="default"/>
          <w:sz w:val="20"/>
          <w:szCs w:val="20"/>
        </w:rPr>
      </w:pPr>
    </w:p>
    <w:p>
      <w:pPr>
        <w:pStyle w:val="Heading3"/>
        <w:spacing w:line="240" w:lineRule="auto" w:before="139"/>
        <w:ind w:left="575" w:right="0"/>
        <w:jc w:val="left"/>
        <w:rPr>
          <w:b w:val="0"/>
          <w:bCs w:val="0"/>
        </w:rPr>
      </w:pPr>
      <w:r>
        <w:rPr/>
        <w:t>（十二）商誉</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2938"/>
        <w:gridCol w:w="1248"/>
        <w:gridCol w:w="1135"/>
        <w:gridCol w:w="1063"/>
        <w:gridCol w:w="1176"/>
        <w:gridCol w:w="1008"/>
      </w:tblGrid>
      <w:tr>
        <w:trPr>
          <w:trHeight w:val="665" w:hRule="exact"/>
        </w:trPr>
        <w:tc>
          <w:tcPr>
            <w:tcW w:w="2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8"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405" w:right="53" w:hanging="360"/>
              <w:jc w:val="left"/>
              <w:rPr>
                <w:rFonts w:ascii="宋体" w:hAnsi="宋体" w:cs="宋体" w:eastAsia="宋体" w:hint="default"/>
                <w:sz w:val="18"/>
                <w:szCs w:val="18"/>
              </w:rPr>
            </w:pPr>
            <w:r>
              <w:rPr>
                <w:rFonts w:ascii="宋体" w:hAnsi="宋体" w:cs="宋体" w:eastAsia="宋体" w:hint="default"/>
                <w:sz w:val="18"/>
                <w:szCs w:val="18"/>
              </w:rPr>
              <w:t>期末减值准 备</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83,940.16</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83,940.16</w:t>
            </w:r>
          </w:p>
        </w:tc>
        <w:tc>
          <w:tcPr>
            <w:tcW w:w="10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83,940.16</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83,940.16</w:t>
            </w:r>
          </w:p>
        </w:tc>
        <w:tc>
          <w:tcPr>
            <w:tcW w:w="10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b/>
          <w:bCs/>
          <w:sz w:val="11"/>
          <w:szCs w:val="11"/>
        </w:rPr>
      </w:pPr>
    </w:p>
    <w:p>
      <w:pPr>
        <w:pStyle w:val="BodyText"/>
        <w:spacing w:line="240" w:lineRule="auto" w:before="36"/>
        <w:ind w:left="575" w:right="0"/>
        <w:jc w:val="left"/>
      </w:pPr>
      <w:r>
        <w:rPr/>
        <w:t>期末商誉不存在减值的迹象，故未计提商誉减值准备。</w:t>
      </w:r>
    </w:p>
    <w:p>
      <w:pPr>
        <w:spacing w:line="240" w:lineRule="auto" w:before="1"/>
        <w:rPr>
          <w:rFonts w:ascii="宋体" w:hAnsi="宋体" w:cs="宋体" w:eastAsia="宋体" w:hint="default"/>
          <w:sz w:val="18"/>
          <w:szCs w:val="18"/>
        </w:rPr>
      </w:pPr>
    </w:p>
    <w:p>
      <w:pPr>
        <w:pStyle w:val="Heading3"/>
        <w:spacing w:line="240" w:lineRule="auto"/>
        <w:ind w:left="575" w:right="0"/>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长期待摊费用</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344"/>
        <w:gridCol w:w="1121"/>
        <w:gridCol w:w="1176"/>
        <w:gridCol w:w="1370"/>
        <w:gridCol w:w="1106"/>
        <w:gridCol w:w="1147"/>
        <w:gridCol w:w="1289"/>
      </w:tblGrid>
      <w:tr>
        <w:trPr>
          <w:trHeight w:val="667" w:hRule="exact"/>
        </w:trPr>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309" w:right="310" w:firstLine="91"/>
              <w:jc w:val="left"/>
              <w:rPr>
                <w:rFonts w:ascii="宋体" w:hAnsi="宋体" w:cs="宋体" w:eastAsia="宋体" w:hint="default"/>
                <w:sz w:val="18"/>
                <w:szCs w:val="18"/>
              </w:rPr>
            </w:pPr>
            <w:r>
              <w:rPr>
                <w:rFonts w:ascii="宋体" w:hAnsi="宋体" w:cs="宋体" w:eastAsia="宋体" w:hint="default"/>
                <w:sz w:val="18"/>
                <w:szCs w:val="18"/>
              </w:rPr>
              <w:t>本期 增加额</w:t>
            </w:r>
          </w:p>
        </w:tc>
        <w:tc>
          <w:tcPr>
            <w:tcW w:w="1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1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12"/>
              <w:jc w:val="righ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353" w:hRule="exact"/>
        </w:trPr>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仓库装修费</w:t>
            </w:r>
          </w:p>
        </w:tc>
        <w:tc>
          <w:tcPr>
            <w:tcW w:w="11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13,059.39</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150,480.80</w:t>
            </w:r>
          </w:p>
        </w:tc>
        <w:tc>
          <w:tcPr>
            <w:tcW w:w="1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38,139.50</w:t>
            </w:r>
          </w:p>
        </w:tc>
        <w:tc>
          <w:tcPr>
            <w:tcW w:w="11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125,400.69</w:t>
            </w:r>
          </w:p>
        </w:tc>
        <w:tc>
          <w:tcPr>
            <w:tcW w:w="12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z w:val="18"/>
                <w:szCs w:val="18"/>
              </w:rPr>
              <w:t>QQ</w:t>
            </w:r>
            <w:r>
              <w:rPr>
                <w:rFonts w:ascii="宋体" w:hAnsi="宋体" w:cs="宋体" w:eastAsia="宋体" w:hint="default"/>
                <w:sz w:val="18"/>
                <w:szCs w:val="18"/>
              </w:rPr>
              <w:t>服务费</w:t>
            </w:r>
          </w:p>
        </w:tc>
        <w:tc>
          <w:tcPr>
            <w:tcW w:w="11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18,944.62</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6,686.28</w:t>
            </w:r>
          </w:p>
        </w:tc>
        <w:tc>
          <w:tcPr>
            <w:tcW w:w="11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12,258.34</w:t>
            </w:r>
          </w:p>
        </w:tc>
        <w:tc>
          <w:tcPr>
            <w:tcW w:w="12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32,004.01</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150,480.80</w:t>
            </w:r>
          </w:p>
        </w:tc>
        <w:tc>
          <w:tcPr>
            <w:tcW w:w="1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44,825.78</w:t>
            </w:r>
          </w:p>
        </w:tc>
        <w:tc>
          <w:tcPr>
            <w:tcW w:w="11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1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137,659.03</w:t>
            </w:r>
          </w:p>
        </w:tc>
        <w:tc>
          <w:tcPr>
            <w:tcW w:w="12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b/>
          <w:bCs/>
          <w:sz w:val="11"/>
          <w:szCs w:val="11"/>
        </w:rPr>
      </w:pPr>
    </w:p>
    <w:p>
      <w:pPr>
        <w:pStyle w:val="BodyText"/>
        <w:spacing w:line="240" w:lineRule="auto" w:before="36"/>
        <w:ind w:left="575" w:right="0"/>
        <w:jc w:val="left"/>
      </w:pPr>
      <w:r>
        <w:rPr/>
        <w:t>长期待摊费用期末余额较期初增加</w:t>
      </w:r>
      <w:r>
        <w:rPr>
          <w:rFonts w:ascii="Times New Roman" w:hAnsi="Times New Roman" w:cs="Times New Roman" w:eastAsia="Times New Roman" w:hint="default"/>
        </w:rPr>
        <w:t>105,655.02</w:t>
      </w:r>
      <w:r>
        <w:rPr/>
        <w:t>元，增幅为</w:t>
      </w:r>
      <w:r>
        <w:rPr>
          <w:rFonts w:ascii="Times New Roman" w:hAnsi="Times New Roman" w:cs="Times New Roman" w:eastAsia="Times New Roman" w:hint="default"/>
        </w:rPr>
        <w:t>330.13%</w:t>
      </w:r>
      <w:r>
        <w:rPr/>
        <w:t>，主要系本期仓库装修费增加所致。</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Heading3"/>
        <w:spacing w:line="240" w:lineRule="auto"/>
        <w:ind w:left="575" w:right="0"/>
        <w:jc w:val="left"/>
        <w:rPr>
          <w:b w:val="0"/>
          <w:bCs w:val="0"/>
        </w:rPr>
      </w:pPr>
      <w:r>
        <w:rPr/>
        <w:t>（十四）递延所得税资产和递延所得税负债</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572" w:right="0"/>
        <w:jc w:val="left"/>
        <w:rPr>
          <w:b w:val="0"/>
          <w:bCs w:val="0"/>
        </w:rPr>
      </w:pP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8"/>
          <w:szCs w:val="8"/>
        </w:rPr>
      </w:pPr>
    </w:p>
    <w:tbl>
      <w:tblPr>
        <w:tblW w:w="0" w:type="auto"/>
        <w:jc w:val="left"/>
        <w:tblInd w:w="145" w:type="dxa"/>
        <w:tblLayout w:type="fixed"/>
        <w:tblCellMar>
          <w:top w:w="0" w:type="dxa"/>
          <w:left w:w="0" w:type="dxa"/>
          <w:bottom w:w="0" w:type="dxa"/>
          <w:right w:w="0" w:type="dxa"/>
        </w:tblCellMar>
        <w:tblLook w:val="01E0"/>
      </w:tblPr>
      <w:tblGrid>
        <w:gridCol w:w="1610"/>
        <w:gridCol w:w="1750"/>
        <w:gridCol w:w="1807"/>
        <w:gridCol w:w="1874"/>
        <w:gridCol w:w="1538"/>
      </w:tblGrid>
      <w:tr>
        <w:trPr>
          <w:trHeight w:val="355" w:hRule="exact"/>
        </w:trPr>
        <w:tc>
          <w:tcPr>
            <w:tcW w:w="1610"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5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13"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1610" w:type="dxa"/>
            <w:vMerge/>
            <w:tcBorders>
              <w:left w:val="single" w:sz="6" w:space="0" w:color="000000"/>
              <w:bottom w:val="single" w:sz="12" w:space="0" w:color="000000"/>
              <w:right w:val="single" w:sz="6" w:space="0" w:color="000000"/>
            </w:tcBorders>
          </w:tcPr>
          <w:p>
            <w:pPr/>
          </w:p>
        </w:tc>
        <w:tc>
          <w:tcPr>
            <w:tcW w:w="1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4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13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50" w:hRule="exact"/>
        </w:trPr>
        <w:tc>
          <w:tcPr>
            <w:tcW w:w="16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1,548,355.90</w:t>
            </w:r>
            <w:r>
              <w:rPr>
                <w:rFonts w:ascii="Times New Roman"/>
                <w:sz w:val="18"/>
              </w:rPr>
            </w: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324,568.08</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849,530.18</w:t>
            </w:r>
          </w:p>
        </w:tc>
        <w:tc>
          <w:tcPr>
            <w:tcW w:w="15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155,951.96</w:t>
            </w:r>
          </w:p>
        </w:tc>
      </w:tr>
      <w:tr>
        <w:trPr>
          <w:trHeight w:val="353" w:hRule="exact"/>
        </w:trPr>
        <w:tc>
          <w:tcPr>
            <w:tcW w:w="16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923,577.45</w:t>
            </w: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143,733.93</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998,304.70</w:t>
            </w:r>
          </w:p>
        </w:tc>
        <w:tc>
          <w:tcPr>
            <w:tcW w:w="15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154,943.02</w:t>
            </w:r>
          </w:p>
        </w:tc>
      </w:tr>
      <w:tr>
        <w:trPr>
          <w:trHeight w:val="353" w:hRule="exact"/>
        </w:trPr>
        <w:tc>
          <w:tcPr>
            <w:tcW w:w="16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2,471,933.35</w:t>
            </w:r>
            <w:r>
              <w:rPr>
                <w:rFonts w:ascii="Times New Roman"/>
                <w:sz w:val="18"/>
              </w:rPr>
            </w: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468,302.01</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1,847,834.88</w:t>
            </w:r>
            <w:r>
              <w:rPr>
                <w:rFonts w:ascii="Times New Roman"/>
                <w:sz w:val="18"/>
              </w:rPr>
            </w:r>
          </w:p>
        </w:tc>
        <w:tc>
          <w:tcPr>
            <w:tcW w:w="15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310,894.98</w:t>
            </w:r>
          </w:p>
        </w:tc>
      </w:tr>
    </w:tbl>
    <w:p>
      <w:pPr>
        <w:spacing w:line="240" w:lineRule="auto" w:before="4"/>
        <w:rPr>
          <w:rFonts w:ascii="宋体" w:hAnsi="宋体" w:cs="宋体" w:eastAsia="宋体" w:hint="default"/>
          <w:b/>
          <w:bCs/>
          <w:sz w:val="11"/>
          <w:szCs w:val="11"/>
        </w:rPr>
      </w:pPr>
    </w:p>
    <w:p>
      <w:pPr>
        <w:pStyle w:val="Heading3"/>
        <w:spacing w:line="240" w:lineRule="auto" w:before="36"/>
        <w:ind w:left="572" w:right="0"/>
        <w:jc w:val="left"/>
        <w:rPr>
          <w:b w:val="0"/>
          <w:bCs w:val="0"/>
        </w:rPr>
      </w:pP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8"/>
          <w:szCs w:val="8"/>
        </w:rPr>
      </w:pPr>
    </w:p>
    <w:tbl>
      <w:tblPr>
        <w:tblW w:w="0" w:type="auto"/>
        <w:jc w:val="left"/>
        <w:tblInd w:w="145" w:type="dxa"/>
        <w:tblLayout w:type="fixed"/>
        <w:tblCellMar>
          <w:top w:w="0" w:type="dxa"/>
          <w:left w:w="0" w:type="dxa"/>
          <w:bottom w:w="0" w:type="dxa"/>
          <w:right w:w="0" w:type="dxa"/>
        </w:tblCellMar>
        <w:tblLook w:val="01E0"/>
      </w:tblPr>
      <w:tblGrid>
        <w:gridCol w:w="1596"/>
        <w:gridCol w:w="1807"/>
        <w:gridCol w:w="1764"/>
        <w:gridCol w:w="1860"/>
        <w:gridCol w:w="1553"/>
      </w:tblGrid>
      <w:tr>
        <w:trPr>
          <w:trHeight w:val="355" w:hRule="exact"/>
        </w:trPr>
        <w:tc>
          <w:tcPr>
            <w:tcW w:w="1596"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71"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13"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1596" w:type="dxa"/>
            <w:vMerge/>
            <w:tcBorders>
              <w:left w:val="single" w:sz="6" w:space="0" w:color="000000"/>
              <w:bottom w:val="single" w:sz="12" w:space="0" w:color="000000"/>
              <w:right w:val="single" w:sz="6" w:space="0" w:color="000000"/>
            </w:tcBorders>
          </w:tcPr>
          <w:p>
            <w:pP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4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14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353" w:hRule="exact"/>
        </w:trPr>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2,775,231.19</w:t>
            </w:r>
            <w:r>
              <w:rPr>
                <w:rFonts w:ascii="Times New Roman"/>
                <w:sz w:val="18"/>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416,284.68</w:t>
            </w:r>
          </w:p>
        </w:tc>
        <w:tc>
          <w:tcPr>
            <w:tcW w:w="18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1,308,229.47</w:t>
            </w:r>
            <w:r>
              <w:rPr>
                <w:rFonts w:ascii="Times New Roman"/>
                <w:sz w:val="18"/>
              </w:rPr>
            </w:r>
          </w:p>
        </w:tc>
        <w:tc>
          <w:tcPr>
            <w:tcW w:w="15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196,234.42</w:t>
            </w:r>
          </w:p>
        </w:tc>
      </w:tr>
      <w:tr>
        <w:trPr>
          <w:trHeight w:val="353" w:hRule="exact"/>
        </w:trPr>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2,775,231.19</w:t>
            </w:r>
            <w:r>
              <w:rPr>
                <w:rFonts w:ascii="Times New Roman"/>
                <w:sz w:val="18"/>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416,284.68</w:t>
            </w:r>
          </w:p>
        </w:tc>
        <w:tc>
          <w:tcPr>
            <w:tcW w:w="18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1,308,229.47</w:t>
            </w:r>
            <w:r>
              <w:rPr>
                <w:rFonts w:ascii="Times New Roman"/>
                <w:sz w:val="18"/>
              </w:rPr>
            </w:r>
          </w:p>
        </w:tc>
        <w:tc>
          <w:tcPr>
            <w:tcW w:w="15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196,234.42</w:t>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pStyle w:val="Heading3"/>
        <w:spacing w:line="240" w:lineRule="auto" w:before="36"/>
        <w:ind w:left="575" w:right="0"/>
        <w:jc w:val="left"/>
        <w:rPr>
          <w:b w:val="0"/>
          <w:bCs w:val="0"/>
        </w:rPr>
      </w:pPr>
      <w:r>
        <w:rPr/>
        <w:t>（十五）其他非流动资产</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151"/>
        <w:gridCol w:w="2741"/>
        <w:gridCol w:w="2676"/>
      </w:tblGrid>
      <w:tr>
        <w:trPr>
          <w:trHeight w:val="353" w:hRule="exact"/>
        </w:trPr>
        <w:tc>
          <w:tcPr>
            <w:tcW w:w="31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385"/>
              <w:jc w:val="right"/>
              <w:rPr>
                <w:rFonts w:ascii="宋体" w:hAnsi="宋体" w:cs="宋体" w:eastAsia="宋体" w:hint="default"/>
                <w:sz w:val="18"/>
                <w:szCs w:val="18"/>
              </w:rPr>
            </w:pPr>
            <w:r>
              <w:rPr>
                <w:rFonts w:ascii="宋体" w:hAnsi="宋体" w:cs="宋体" w:eastAsia="宋体" w:hint="default"/>
                <w:sz w:val="18"/>
                <w:szCs w:val="18"/>
              </w:rPr>
              <w:t>项目</w:t>
            </w:r>
          </w:p>
        </w:tc>
        <w:tc>
          <w:tcPr>
            <w:tcW w:w="27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74,053,557.00</w:t>
            </w:r>
          </w:p>
        </w:tc>
        <w:tc>
          <w:tcPr>
            <w:tcW w:w="26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74,053,557.00</w:t>
            </w:r>
          </w:p>
        </w:tc>
      </w:tr>
      <w:tr>
        <w:trPr>
          <w:trHeight w:val="353" w:hRule="exact"/>
        </w:trPr>
        <w:tc>
          <w:tcPr>
            <w:tcW w:w="3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385"/>
              <w:jc w:val="right"/>
              <w:rPr>
                <w:rFonts w:ascii="宋体" w:hAnsi="宋体" w:cs="宋体" w:eastAsia="宋体" w:hint="default"/>
                <w:sz w:val="18"/>
                <w:szCs w:val="18"/>
              </w:rPr>
            </w:pPr>
            <w:r>
              <w:rPr>
                <w:rFonts w:ascii="宋体" w:hAnsi="宋体" w:cs="宋体" w:eastAsia="宋体" w:hint="default"/>
                <w:sz w:val="18"/>
                <w:szCs w:val="18"/>
              </w:rPr>
              <w:t>合计</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74,053,557.00</w:t>
            </w:r>
          </w:p>
        </w:tc>
        <w:tc>
          <w:tcPr>
            <w:tcW w:w="26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74,053,557.00</w:t>
            </w:r>
          </w:p>
        </w:tc>
      </w:tr>
    </w:tbl>
    <w:p>
      <w:pPr>
        <w:spacing w:line="240" w:lineRule="auto" w:before="6"/>
        <w:rPr>
          <w:rFonts w:ascii="宋体" w:hAnsi="宋体" w:cs="宋体" w:eastAsia="宋体" w:hint="default"/>
          <w:b/>
          <w:bCs/>
          <w:sz w:val="20"/>
          <w:szCs w:val="20"/>
        </w:rPr>
      </w:pPr>
    </w:p>
    <w:p>
      <w:pPr>
        <w:pStyle w:val="BodyText"/>
        <w:spacing w:line="386" w:lineRule="auto" w:before="36"/>
        <w:ind w:right="0" w:firstLine="515"/>
        <w:jc w:val="left"/>
      </w:pPr>
      <w:r>
        <w:rPr>
          <w:spacing w:val="-2"/>
        </w:rPr>
        <w:t>其他非流动资产期末余额</w:t>
      </w:r>
      <w:r>
        <w:rPr>
          <w:rFonts w:ascii="Times New Roman" w:hAnsi="Times New Roman" w:cs="Times New Roman" w:eastAsia="Times New Roman" w:hint="default"/>
          <w:spacing w:val="-2"/>
        </w:rPr>
        <w:t>74,053,557.00</w:t>
      </w:r>
      <w:r>
        <w:rPr>
          <w:spacing w:val="-2"/>
        </w:rPr>
        <w:t>元系本公司向深圳市大沙河创新走廊建设投资管理有限公司</w:t>
      </w:r>
      <w:r>
        <w:rPr>
          <w:w w:val="100"/>
        </w:rPr>
        <w:t> </w:t>
      </w:r>
      <w:r>
        <w:rPr/>
        <w:t>支付的购房款。</w:t>
      </w:r>
    </w:p>
    <w:p>
      <w:pPr>
        <w:pStyle w:val="Heading3"/>
        <w:spacing w:line="240" w:lineRule="auto" w:before="108"/>
        <w:ind w:left="575" w:right="0"/>
        <w:jc w:val="left"/>
        <w:rPr>
          <w:b w:val="0"/>
          <w:bCs w:val="0"/>
        </w:rPr>
      </w:pPr>
      <w:r>
        <w:rPr/>
        <w:t>（十六）应付账款</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053"/>
        <w:gridCol w:w="2729"/>
        <w:gridCol w:w="2724"/>
      </w:tblGrid>
      <w:tr>
        <w:trPr>
          <w:trHeight w:val="355" w:hRule="exact"/>
        </w:trPr>
        <w:tc>
          <w:tcPr>
            <w:tcW w:w="30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337"/>
              <w:jc w:val="right"/>
              <w:rPr>
                <w:rFonts w:ascii="宋体" w:hAnsi="宋体" w:cs="宋体" w:eastAsia="宋体" w:hint="default"/>
                <w:sz w:val="18"/>
                <w:szCs w:val="18"/>
              </w:rPr>
            </w:pPr>
            <w:r>
              <w:rPr>
                <w:rFonts w:ascii="宋体" w:hAnsi="宋体" w:cs="宋体" w:eastAsia="宋体" w:hint="default"/>
                <w:sz w:val="18"/>
                <w:szCs w:val="18"/>
              </w:rPr>
              <w:t>项目</w:t>
            </w:r>
          </w:p>
        </w:tc>
        <w:tc>
          <w:tcPr>
            <w:tcW w:w="27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15,260,182.61</w:t>
            </w:r>
          </w:p>
        </w:tc>
        <w:tc>
          <w:tcPr>
            <w:tcW w:w="27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5,948,432.34</w:t>
            </w:r>
            <w:r>
              <w:rPr>
                <w:rFonts w:ascii="Times New Roman"/>
                <w:sz w:val="18"/>
              </w:rPr>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800.00</w:t>
            </w:r>
            <w:r>
              <w:rPr>
                <w:rFonts w:ascii="Times New Roman"/>
                <w:sz w:val="18"/>
              </w:rPr>
            </w:r>
          </w:p>
        </w:tc>
        <w:tc>
          <w:tcPr>
            <w:tcW w:w="27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1,557.21</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382.00</w:t>
            </w:r>
            <w:r>
              <w:rPr>
                <w:rFonts w:ascii="Times New Roman"/>
                <w:sz w:val="18"/>
              </w:rPr>
            </w:r>
          </w:p>
        </w:tc>
        <w:tc>
          <w:tcPr>
            <w:tcW w:w="27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337"/>
              <w:jc w:val="right"/>
              <w:rPr>
                <w:rFonts w:ascii="宋体" w:hAnsi="宋体" w:cs="宋体" w:eastAsia="宋体" w:hint="default"/>
                <w:sz w:val="18"/>
                <w:szCs w:val="18"/>
              </w:rPr>
            </w:pPr>
            <w:r>
              <w:rPr>
                <w:rFonts w:ascii="宋体" w:hAnsi="宋体" w:cs="宋体" w:eastAsia="宋体" w:hint="default"/>
                <w:sz w:val="18"/>
                <w:szCs w:val="18"/>
              </w:rPr>
              <w:t>合计</w:t>
            </w:r>
          </w:p>
        </w:tc>
        <w:tc>
          <w:tcPr>
            <w:tcW w:w="2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15,261,364.61</w:t>
            </w:r>
          </w:p>
        </w:tc>
        <w:tc>
          <w:tcPr>
            <w:tcW w:w="27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5,949,989.55</w:t>
            </w:r>
            <w:r>
              <w:rPr>
                <w:rFonts w:ascii="Times New Roman"/>
                <w:sz w:val="18"/>
              </w:rPr>
            </w:r>
          </w:p>
        </w:tc>
      </w:tr>
    </w:tbl>
    <w:p>
      <w:pPr>
        <w:spacing w:line="240" w:lineRule="auto" w:before="4"/>
        <w:rPr>
          <w:rFonts w:ascii="宋体" w:hAnsi="宋体" w:cs="宋体" w:eastAsia="宋体" w:hint="default"/>
          <w:b/>
          <w:bCs/>
          <w:sz w:val="11"/>
          <w:szCs w:val="11"/>
        </w:rPr>
      </w:pPr>
    </w:p>
    <w:p>
      <w:pPr>
        <w:pStyle w:val="BodyText"/>
        <w:spacing w:line="240" w:lineRule="auto" w:before="36"/>
        <w:ind w:left="572" w:right="0"/>
        <w:jc w:val="left"/>
      </w:pPr>
      <w:r>
        <w:rPr>
          <w:rFonts w:ascii="Times New Roman" w:hAnsi="Times New Roman" w:cs="Times New Roman" w:eastAsia="Times New Roman" w:hint="default"/>
        </w:rPr>
        <w:t>1</w:t>
      </w:r>
      <w:r>
        <w:rPr/>
        <w:t>、期末无账龄超过一年的重要应付账款。</w:t>
      </w:r>
    </w:p>
    <w:p>
      <w:pPr>
        <w:spacing w:line="240" w:lineRule="auto" w:before="9"/>
        <w:rPr>
          <w:rFonts w:ascii="宋体" w:hAnsi="宋体" w:cs="宋体" w:eastAsia="宋体" w:hint="default"/>
          <w:sz w:val="22"/>
          <w:szCs w:val="22"/>
        </w:rPr>
      </w:pPr>
    </w:p>
    <w:p>
      <w:pPr>
        <w:pStyle w:val="BodyText"/>
        <w:spacing w:line="240" w:lineRule="auto" w:before="0"/>
        <w:ind w:left="575" w:right="0"/>
        <w:jc w:val="left"/>
      </w:pPr>
      <w:r>
        <w:rPr>
          <w:rFonts w:ascii="Times New Roman" w:hAnsi="Times New Roman" w:cs="Times New Roman" w:eastAsia="Times New Roman" w:hint="default"/>
        </w:rPr>
        <w:t>2</w:t>
      </w:r>
      <w:r>
        <w:rPr/>
        <w:t>、期末余额中无应付持本公司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）表决权股份的股东单位及其他关联方的款项。</w:t>
      </w:r>
    </w:p>
    <w:p>
      <w:pPr>
        <w:spacing w:line="240" w:lineRule="auto" w:before="9"/>
        <w:rPr>
          <w:rFonts w:ascii="宋体" w:hAnsi="宋体" w:cs="宋体" w:eastAsia="宋体" w:hint="default"/>
          <w:sz w:val="22"/>
          <w:szCs w:val="22"/>
        </w:rPr>
      </w:pPr>
    </w:p>
    <w:p>
      <w:pPr>
        <w:pStyle w:val="BodyText"/>
        <w:spacing w:line="386" w:lineRule="auto" w:before="0"/>
        <w:ind w:right="0" w:firstLine="422"/>
        <w:jc w:val="left"/>
      </w:pPr>
      <w:r>
        <w:rPr>
          <w:rFonts w:ascii="Times New Roman" w:hAnsi="Times New Roman" w:cs="Times New Roman" w:eastAsia="Times New Roman" w:hint="default"/>
          <w:spacing w:val="-3"/>
        </w:rPr>
        <w:t>3</w:t>
      </w:r>
      <w:r>
        <w:rPr>
          <w:spacing w:val="-3"/>
        </w:rPr>
        <w:t>、应付账款期末余额较期初增加</w:t>
      </w:r>
      <w:r>
        <w:rPr>
          <w:rFonts w:ascii="Times New Roman" w:hAnsi="Times New Roman" w:cs="Times New Roman" w:eastAsia="Times New Roman" w:hint="default"/>
          <w:spacing w:val="-3"/>
        </w:rPr>
        <w:t>9,311,375.06</w:t>
      </w:r>
      <w:r>
        <w:rPr>
          <w:spacing w:val="-3"/>
        </w:rPr>
        <w:t>元，增幅为</w:t>
      </w:r>
      <w:r>
        <w:rPr>
          <w:rFonts w:ascii="Times New Roman" w:hAnsi="Times New Roman" w:cs="Times New Roman" w:eastAsia="Times New Roman" w:hint="default"/>
          <w:spacing w:val="-3"/>
        </w:rPr>
        <w:t>156.49%</w:t>
      </w:r>
      <w:r>
        <w:rPr>
          <w:spacing w:val="-3"/>
        </w:rPr>
        <w:t>，主要系由于邮件安全业务增加导致</w:t>
      </w:r>
      <w:r>
        <w:rPr>
          <w:w w:val="100"/>
        </w:rPr>
        <w:t> </w:t>
      </w:r>
      <w:r>
        <w:rPr/>
        <w:t>采购增加所致。</w:t>
      </w:r>
    </w:p>
    <w:p>
      <w:pPr>
        <w:spacing w:line="240" w:lineRule="auto" w:before="0"/>
        <w:rPr>
          <w:rFonts w:ascii="宋体" w:hAnsi="宋体" w:cs="宋体" w:eastAsia="宋体" w:hint="default"/>
          <w:sz w:val="20"/>
          <w:szCs w:val="20"/>
        </w:rPr>
      </w:pPr>
    </w:p>
    <w:p>
      <w:pPr>
        <w:pStyle w:val="Heading3"/>
        <w:spacing w:line="240" w:lineRule="auto" w:before="158"/>
        <w:ind w:left="575" w:right="0"/>
        <w:jc w:val="left"/>
        <w:rPr>
          <w:b w:val="0"/>
          <w:bCs w:val="0"/>
        </w:rPr>
      </w:pPr>
      <w:r>
        <w:rPr/>
        <w:t>（十七）预收款项</w:t>
      </w:r>
      <w:r>
        <w:rPr>
          <w:b w:val="0"/>
          <w:bCs w:val="0"/>
        </w:rPr>
      </w:r>
    </w:p>
    <w:p>
      <w:pPr>
        <w:spacing w:line="240" w:lineRule="auto" w:before="10"/>
        <w:rPr>
          <w:rFonts w:ascii="宋体" w:hAnsi="宋体" w:cs="宋体" w:eastAsia="宋体" w:hint="default"/>
          <w:b/>
          <w:bCs/>
          <w:sz w:val="3"/>
          <w:szCs w:val="3"/>
        </w:rPr>
      </w:pPr>
    </w:p>
    <w:tbl>
      <w:tblPr>
        <w:tblW w:w="0" w:type="auto"/>
        <w:jc w:val="left"/>
        <w:tblInd w:w="160" w:type="dxa"/>
        <w:tblLayout w:type="fixed"/>
        <w:tblCellMar>
          <w:top w:w="0" w:type="dxa"/>
          <w:left w:w="0" w:type="dxa"/>
          <w:bottom w:w="0" w:type="dxa"/>
          <w:right w:w="0" w:type="dxa"/>
        </w:tblCellMar>
        <w:tblLook w:val="01E0"/>
      </w:tblPr>
      <w:tblGrid>
        <w:gridCol w:w="2969"/>
        <w:gridCol w:w="2825"/>
        <w:gridCol w:w="2698"/>
      </w:tblGrid>
      <w:tr>
        <w:trPr>
          <w:trHeight w:val="355" w:hRule="exact"/>
        </w:trPr>
        <w:tc>
          <w:tcPr>
            <w:tcW w:w="29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296"/>
              <w:jc w:val="righ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2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648,664.88</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1,184,014.22</w:t>
            </w:r>
          </w:p>
        </w:tc>
      </w:tr>
      <w:tr>
        <w:trPr>
          <w:trHeight w:val="353" w:hRule="exact"/>
        </w:trPr>
        <w:tc>
          <w:tcPr>
            <w:tcW w:w="2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192,857.93</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34,387.70</w:t>
            </w:r>
          </w:p>
        </w:tc>
      </w:tr>
      <w:tr>
        <w:trPr>
          <w:trHeight w:val="353" w:hRule="exact"/>
        </w:trPr>
        <w:tc>
          <w:tcPr>
            <w:tcW w:w="2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5,875.60</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197.90</w:t>
            </w:r>
          </w:p>
        </w:tc>
      </w:tr>
      <w:tr>
        <w:trPr>
          <w:trHeight w:val="350" w:hRule="exact"/>
        </w:trPr>
        <w:tc>
          <w:tcPr>
            <w:tcW w:w="2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0.56</w:t>
            </w:r>
            <w:r>
              <w:rPr>
                <w:rFonts w:ascii="Times New Roman"/>
                <w:sz w:val="18"/>
              </w:rPr>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296"/>
              <w:jc w:val="righ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847,398.97</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1,218,599.82</w:t>
            </w:r>
          </w:p>
        </w:tc>
      </w:tr>
    </w:tbl>
    <w:p>
      <w:pPr>
        <w:spacing w:line="240" w:lineRule="auto" w:before="13"/>
        <w:rPr>
          <w:rFonts w:ascii="宋体" w:hAnsi="宋体" w:cs="宋体" w:eastAsia="宋体" w:hint="default"/>
          <w:b/>
          <w:bCs/>
          <w:sz w:val="25"/>
          <w:szCs w:val="25"/>
        </w:rPr>
      </w:pPr>
    </w:p>
    <w:p>
      <w:pPr>
        <w:pStyle w:val="BodyText"/>
        <w:spacing w:line="240" w:lineRule="auto" w:before="36"/>
        <w:ind w:left="575" w:right="0"/>
        <w:jc w:val="left"/>
      </w:pPr>
      <w:r>
        <w:rPr>
          <w:rFonts w:ascii="Times New Roman" w:hAnsi="Times New Roman" w:cs="Times New Roman" w:eastAsia="Times New Roman" w:hint="default"/>
        </w:rPr>
        <w:t>1</w:t>
      </w:r>
      <w:r>
        <w:rPr/>
        <w:t>、期末余额中无预收持本公司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）表决权股份的股东单位及其他关联方的款项。</w:t>
      </w:r>
    </w:p>
    <w:p>
      <w:pPr>
        <w:pStyle w:val="BodyText"/>
        <w:spacing w:line="386" w:lineRule="auto" w:before="177"/>
        <w:ind w:left="153" w:right="0" w:firstLine="422"/>
        <w:jc w:val="left"/>
        <w:rPr>
          <w:rFonts w:ascii="宋体" w:hAnsi="宋体" w:cs="宋体" w:eastAsia="宋体" w:hint="default"/>
        </w:rPr>
      </w:pPr>
      <w:r>
        <w:rPr>
          <w:rFonts w:ascii="Times New Roman" w:hAnsi="Times New Roman" w:cs="Times New Roman" w:eastAsia="Times New Roman" w:hint="default"/>
          <w:spacing w:val="-2"/>
        </w:rPr>
        <w:t>2</w:t>
      </w:r>
      <w:r>
        <w:rPr>
          <w:spacing w:val="-2"/>
        </w:rPr>
        <w:t>、预收款项期末余额较期初减少</w:t>
      </w:r>
      <w:r>
        <w:rPr>
          <w:rFonts w:ascii="Times New Roman" w:hAnsi="Times New Roman" w:cs="Times New Roman" w:eastAsia="Times New Roman" w:hint="default"/>
          <w:spacing w:val="-2"/>
        </w:rPr>
        <w:t>371,200.85</w:t>
      </w:r>
      <w:r>
        <w:rPr>
          <w:spacing w:val="-2"/>
        </w:rPr>
        <w:t>元，减幅为</w:t>
      </w:r>
      <w:r>
        <w:rPr>
          <w:rFonts w:ascii="Times New Roman" w:hAnsi="Times New Roman" w:cs="Times New Roman" w:eastAsia="Times New Roman" w:hint="default"/>
          <w:spacing w:val="-2"/>
        </w:rPr>
        <w:t>30.46%</w:t>
      </w:r>
      <w:r>
        <w:rPr>
          <w:spacing w:val="-2"/>
        </w:rPr>
        <w:t>，主要系本期预收的非征订业务货款减</w:t>
      </w:r>
      <w:r>
        <w:rPr>
          <w:w w:val="100"/>
        </w:rPr>
        <w:t> </w:t>
      </w:r>
      <w:r>
        <w:rPr/>
        <w:t>少所致</w:t>
      </w:r>
      <w:r>
        <w:rPr>
          <w:rFonts w:ascii="宋体" w:hAnsi="宋体" w:cs="宋体" w:eastAsia="宋体" w:hint="default"/>
          <w:b/>
          <w:bCs/>
        </w:rPr>
        <w:t>。</w:t>
      </w:r>
      <w:r>
        <w:rPr>
          <w:rFonts w:ascii="宋体" w:hAnsi="宋体" w:cs="宋体" w:eastAsia="宋体" w:hint="default"/>
        </w:rPr>
      </w:r>
    </w:p>
    <w:p>
      <w:pPr>
        <w:spacing w:line="240" w:lineRule="auto" w:before="0"/>
        <w:rPr>
          <w:rFonts w:ascii="宋体" w:hAnsi="宋体" w:cs="宋体" w:eastAsia="宋体" w:hint="default"/>
          <w:b/>
          <w:bCs/>
          <w:sz w:val="20"/>
          <w:szCs w:val="20"/>
        </w:rPr>
      </w:pPr>
    </w:p>
    <w:p>
      <w:pPr>
        <w:pStyle w:val="Heading3"/>
        <w:spacing w:line="240" w:lineRule="auto" w:before="158"/>
        <w:ind w:left="575" w:right="0"/>
        <w:jc w:val="left"/>
        <w:rPr>
          <w:b w:val="0"/>
          <w:bCs w:val="0"/>
        </w:rPr>
      </w:pPr>
      <w:r>
        <w:rPr/>
        <w:t>（十八）应付职工薪酬</w:t>
      </w:r>
      <w:r>
        <w:rPr>
          <w:b w:val="0"/>
          <w:bCs w:val="0"/>
        </w:rPr>
      </w:r>
    </w:p>
    <w:p>
      <w:pPr>
        <w:pStyle w:val="Heading3"/>
        <w:spacing w:line="240" w:lineRule="auto" w:before="37"/>
        <w:ind w:left="575" w:right="0"/>
        <w:jc w:val="left"/>
        <w:rPr>
          <w:b w:val="0"/>
          <w:bCs w:val="0"/>
        </w:rPr>
      </w:pPr>
      <w:r>
        <w:rPr>
          <w:rFonts w:ascii="Times New Roman" w:hAnsi="Times New Roman" w:cs="Times New Roman" w:eastAsia="Times New Roman" w:hint="default"/>
        </w:rPr>
        <w:t>1</w:t>
      </w:r>
      <w:r>
        <w:rPr/>
        <w:t>、应付职工薪酬列示</w:t>
      </w:r>
      <w:r>
        <w:rPr>
          <w:b w:val="0"/>
          <w:bCs w:val="0"/>
        </w:rPr>
      </w:r>
    </w:p>
    <w:p>
      <w:pPr>
        <w:spacing w:line="240" w:lineRule="auto" w:before="8"/>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2381"/>
        <w:gridCol w:w="1538"/>
        <w:gridCol w:w="1538"/>
        <w:gridCol w:w="1536"/>
        <w:gridCol w:w="1534"/>
      </w:tblGrid>
      <w:tr>
        <w:trPr>
          <w:trHeight w:val="355" w:hRule="exact"/>
        </w:trPr>
        <w:tc>
          <w:tcPr>
            <w:tcW w:w="23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08" w:right="0"/>
              <w:jc w:val="left"/>
              <w:rPr>
                <w:rFonts w:ascii="Times New Roman" w:hAnsi="Times New Roman" w:cs="Times New Roman" w:eastAsia="Times New Roman" w:hint="default"/>
                <w:sz w:val="18"/>
                <w:szCs w:val="18"/>
              </w:rPr>
            </w:pPr>
            <w:r>
              <w:rPr>
                <w:rFonts w:ascii="Times New Roman"/>
                <w:sz w:val="18"/>
              </w:rPr>
              <w:t>833,936.88</w:t>
            </w:r>
          </w:p>
        </w:tc>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84" w:right="0"/>
              <w:jc w:val="left"/>
              <w:rPr>
                <w:rFonts w:ascii="Times New Roman" w:hAnsi="Times New Roman" w:cs="Times New Roman" w:eastAsia="Times New Roman" w:hint="default"/>
                <w:sz w:val="18"/>
                <w:szCs w:val="18"/>
              </w:rPr>
            </w:pPr>
            <w:r>
              <w:rPr>
                <w:rFonts w:ascii="Times New Roman"/>
                <w:sz w:val="18"/>
              </w:rPr>
              <w:t>26,520,165.49</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84" w:right="0"/>
              <w:jc w:val="left"/>
              <w:rPr>
                <w:rFonts w:ascii="Times New Roman" w:hAnsi="Times New Roman" w:cs="Times New Roman" w:eastAsia="Times New Roman" w:hint="default"/>
                <w:sz w:val="18"/>
                <w:szCs w:val="18"/>
              </w:rPr>
            </w:pPr>
            <w:r>
              <w:rPr>
                <w:rFonts w:ascii="Times New Roman"/>
                <w:sz w:val="18"/>
              </w:rPr>
              <w:t>25,767,403.50</w:t>
            </w:r>
          </w:p>
        </w:tc>
        <w:tc>
          <w:tcPr>
            <w:tcW w:w="15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571" w:right="0"/>
              <w:jc w:val="left"/>
              <w:rPr>
                <w:rFonts w:ascii="Times New Roman" w:hAnsi="Times New Roman" w:cs="Times New Roman" w:eastAsia="Times New Roman" w:hint="default"/>
                <w:sz w:val="18"/>
                <w:szCs w:val="18"/>
              </w:rPr>
            </w:pPr>
            <w:r>
              <w:rPr>
                <w:rFonts w:ascii="Times New Roman"/>
                <w:sz w:val="18"/>
              </w:rPr>
              <w:t>1,586,698.87</w:t>
            </w:r>
          </w:p>
        </w:tc>
      </w:tr>
    </w:tbl>
    <w:p>
      <w:pPr>
        <w:spacing w:after="0" w:line="240" w:lineRule="auto"/>
        <w:jc w:val="lef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2381"/>
        <w:gridCol w:w="1538"/>
        <w:gridCol w:w="1538"/>
        <w:gridCol w:w="1536"/>
        <w:gridCol w:w="1534"/>
      </w:tblGrid>
      <w:tr>
        <w:trPr>
          <w:trHeight w:val="353" w:hRule="exact"/>
        </w:trPr>
        <w:tc>
          <w:tcPr>
            <w:tcW w:w="23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1,653,380.74</w:t>
            </w:r>
            <w:r>
              <w:rPr>
                <w:rFonts w:ascii="Times New Roman"/>
                <w:sz w:val="18"/>
              </w:rPr>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1,653,380.74</w:t>
            </w:r>
            <w:r>
              <w:rPr>
                <w:rFonts w:ascii="Times New Roman"/>
                <w:sz w:val="18"/>
              </w:rPr>
            </w:r>
          </w:p>
        </w:tc>
        <w:tc>
          <w:tcPr>
            <w:tcW w:w="15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5" w:hRule="exact"/>
        </w:trPr>
        <w:tc>
          <w:tcPr>
            <w:tcW w:w="2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833,936.88</w:t>
            </w:r>
          </w:p>
        </w:tc>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28,173,546.23</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27,420,784.24</w:t>
            </w:r>
          </w:p>
        </w:tc>
        <w:tc>
          <w:tcPr>
            <w:tcW w:w="15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1,586,698.87</w:t>
            </w:r>
            <w:r>
              <w:rPr>
                <w:rFonts w:ascii="Times New Roman"/>
                <w:sz w:val="18"/>
              </w:rPr>
            </w:r>
          </w:p>
        </w:tc>
      </w:tr>
    </w:tbl>
    <w:p>
      <w:pPr>
        <w:spacing w:line="240" w:lineRule="auto" w:before="6"/>
        <w:rPr>
          <w:rFonts w:ascii="宋体" w:hAnsi="宋体" w:cs="宋体" w:eastAsia="宋体" w:hint="default"/>
          <w:b/>
          <w:bCs/>
          <w:sz w:val="5"/>
          <w:szCs w:val="5"/>
        </w:rPr>
      </w:pPr>
    </w:p>
    <w:p>
      <w:pPr>
        <w:pStyle w:val="Heading3"/>
        <w:spacing w:line="240" w:lineRule="auto" w:before="36"/>
        <w:ind w:left="565" w:right="0"/>
        <w:jc w:val="left"/>
        <w:rPr>
          <w:b w:val="0"/>
          <w:bCs w:val="0"/>
        </w:rPr>
      </w:pPr>
      <w:r>
        <w:rPr>
          <w:rFonts w:ascii="Times New Roman" w:hAnsi="Times New Roman" w:cs="Times New Roman" w:eastAsia="Times New Roman" w:hint="default"/>
        </w:rPr>
        <w:t>2</w:t>
      </w:r>
      <w:r>
        <w:rPr/>
        <w:t>、短期薪酬列示</w:t>
      </w:r>
      <w:r>
        <w:rPr>
          <w:b w:val="0"/>
          <w:bCs w:val="0"/>
        </w:rPr>
      </w:r>
    </w:p>
    <w:p>
      <w:pPr>
        <w:spacing w:line="240" w:lineRule="auto" w:before="8"/>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2395"/>
        <w:gridCol w:w="1594"/>
        <w:gridCol w:w="1483"/>
        <w:gridCol w:w="1541"/>
        <w:gridCol w:w="1514"/>
      </w:tblGrid>
      <w:tr>
        <w:trPr>
          <w:trHeight w:val="353" w:hRule="exact"/>
        </w:trPr>
        <w:tc>
          <w:tcPr>
            <w:tcW w:w="23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0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38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833,936.88</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24,220,045.10</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23,467,283.11</w:t>
            </w:r>
          </w:p>
        </w:tc>
        <w:tc>
          <w:tcPr>
            <w:tcW w:w="15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1,586,698.87</w:t>
            </w:r>
            <w:r>
              <w:rPr>
                <w:rFonts w:ascii="Times New Roman"/>
                <w:sz w:val="18"/>
              </w:rPr>
            </w:r>
          </w:p>
        </w:tc>
      </w:tr>
      <w:tr>
        <w:trPr>
          <w:trHeight w:val="350"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1,262,394.03</w:t>
            </w:r>
            <w:r>
              <w:rPr>
                <w:rFonts w:ascii="Times New Roman"/>
                <w:sz w:val="18"/>
              </w:rPr>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1,262,394.03</w:t>
            </w:r>
            <w:r>
              <w:rPr>
                <w:rFonts w:ascii="Times New Roman"/>
                <w:sz w:val="18"/>
              </w:rPr>
            </w:r>
          </w:p>
        </w:tc>
        <w:tc>
          <w:tcPr>
            <w:tcW w:w="15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637,287.73</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637,287.73</w:t>
            </w:r>
          </w:p>
        </w:tc>
        <w:tc>
          <w:tcPr>
            <w:tcW w:w="15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其中：基本医疗保险费</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525,050.91</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525,050.91</w:t>
            </w:r>
          </w:p>
        </w:tc>
        <w:tc>
          <w:tcPr>
            <w:tcW w:w="15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4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27,888.71</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27,888.71</w:t>
            </w:r>
          </w:p>
        </w:tc>
        <w:tc>
          <w:tcPr>
            <w:tcW w:w="15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84,348.11</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84,348.11</w:t>
            </w:r>
          </w:p>
        </w:tc>
        <w:tc>
          <w:tcPr>
            <w:tcW w:w="15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400,438.63</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400,438.63</w:t>
            </w:r>
          </w:p>
        </w:tc>
        <w:tc>
          <w:tcPr>
            <w:tcW w:w="15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833,936.88</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26,520,165.49</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25,767,403.50</w:t>
            </w:r>
          </w:p>
        </w:tc>
        <w:tc>
          <w:tcPr>
            <w:tcW w:w="15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1,586,698.87</w:t>
            </w:r>
            <w:r>
              <w:rPr>
                <w:rFonts w:ascii="Times New Roman"/>
                <w:sz w:val="18"/>
              </w:rPr>
            </w:r>
          </w:p>
        </w:tc>
      </w:tr>
    </w:tbl>
    <w:p>
      <w:pPr>
        <w:spacing w:line="240" w:lineRule="auto" w:before="6"/>
        <w:rPr>
          <w:rFonts w:ascii="宋体" w:hAnsi="宋体" w:cs="宋体" w:eastAsia="宋体" w:hint="default"/>
          <w:b/>
          <w:bCs/>
          <w:sz w:val="5"/>
          <w:szCs w:val="5"/>
        </w:rPr>
      </w:pPr>
    </w:p>
    <w:p>
      <w:pPr>
        <w:pStyle w:val="Heading3"/>
        <w:spacing w:line="240" w:lineRule="auto" w:before="36"/>
        <w:ind w:left="565" w:right="0"/>
        <w:jc w:val="left"/>
        <w:rPr>
          <w:b w:val="0"/>
          <w:bCs w:val="0"/>
        </w:rPr>
      </w:pPr>
      <w:r>
        <w:rPr>
          <w:rFonts w:ascii="Times New Roman" w:hAnsi="Times New Roman" w:cs="Times New Roman" w:eastAsia="Times New Roman" w:hint="default"/>
        </w:rPr>
        <w:t>3</w:t>
      </w:r>
      <w:r>
        <w:rPr/>
        <w:t>、设定提存计划列示</w:t>
      </w:r>
      <w:r>
        <w:rPr>
          <w:b w:val="0"/>
          <w:bCs w:val="0"/>
        </w:rPr>
      </w:r>
    </w:p>
    <w:p>
      <w:pPr>
        <w:spacing w:line="240" w:lineRule="auto" w:before="8"/>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2381"/>
        <w:gridCol w:w="1538"/>
        <w:gridCol w:w="1538"/>
        <w:gridCol w:w="1536"/>
        <w:gridCol w:w="1534"/>
      </w:tblGrid>
      <w:tr>
        <w:trPr>
          <w:trHeight w:val="355" w:hRule="exact"/>
        </w:trPr>
        <w:tc>
          <w:tcPr>
            <w:tcW w:w="23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003"/>
              <w:jc w:val="right"/>
              <w:rPr>
                <w:rFonts w:ascii="宋体" w:hAnsi="宋体" w:cs="宋体" w:eastAsia="宋体" w:hint="default"/>
                <w:sz w:val="18"/>
                <w:szCs w:val="18"/>
              </w:rPr>
            </w:pPr>
            <w:r>
              <w:rPr>
                <w:rFonts w:ascii="宋体" w:hAnsi="宋体" w:cs="宋体" w:eastAsia="宋体" w:hint="default"/>
                <w:sz w:val="18"/>
                <w:szCs w:val="18"/>
              </w:rPr>
              <w:t>项目</w:t>
            </w:r>
          </w:p>
        </w:tc>
        <w:tc>
          <w:tcPr>
            <w:tcW w:w="15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4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1,555,547.98</w:t>
            </w:r>
            <w:r>
              <w:rPr>
                <w:rFonts w:ascii="Times New Roman"/>
                <w:sz w:val="18"/>
              </w:rPr>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1,555,547.98</w:t>
            </w:r>
            <w:r>
              <w:rPr>
                <w:rFonts w:ascii="Times New Roman"/>
                <w:sz w:val="18"/>
              </w:rPr>
            </w:r>
          </w:p>
        </w:tc>
        <w:tc>
          <w:tcPr>
            <w:tcW w:w="15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97,832.76</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97,832.76</w:t>
            </w:r>
          </w:p>
        </w:tc>
        <w:tc>
          <w:tcPr>
            <w:tcW w:w="15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003"/>
              <w:jc w:val="righ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1,653,380.74</w:t>
            </w:r>
            <w:r>
              <w:rPr>
                <w:rFonts w:ascii="Times New Roman"/>
                <w:sz w:val="18"/>
              </w:rPr>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1,653,380.74</w:t>
            </w:r>
            <w:r>
              <w:rPr>
                <w:rFonts w:ascii="Times New Roman"/>
                <w:sz w:val="18"/>
              </w:rPr>
            </w:r>
          </w:p>
        </w:tc>
        <w:tc>
          <w:tcPr>
            <w:tcW w:w="15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pStyle w:val="BodyText"/>
        <w:spacing w:line="386" w:lineRule="auto" w:before="64"/>
        <w:ind w:left="153" w:right="0" w:firstLine="422"/>
        <w:jc w:val="left"/>
      </w:pPr>
      <w:r>
        <w:rPr>
          <w:rFonts w:ascii="Times New Roman" w:hAnsi="Times New Roman" w:cs="Times New Roman" w:eastAsia="Times New Roman" w:hint="default"/>
          <w:spacing w:val="-2"/>
        </w:rPr>
        <w:t>4</w:t>
      </w:r>
      <w:r>
        <w:rPr>
          <w:spacing w:val="-2"/>
        </w:rPr>
        <w:t>、应付职工薪酬期末余额较期初增加</w:t>
      </w:r>
      <w:r>
        <w:rPr>
          <w:rFonts w:ascii="Times New Roman" w:hAnsi="Times New Roman" w:cs="Times New Roman" w:eastAsia="Times New Roman" w:hint="default"/>
          <w:spacing w:val="-2"/>
        </w:rPr>
        <w:t>752,761.99</w:t>
      </w:r>
      <w:r>
        <w:rPr>
          <w:spacing w:val="-2"/>
        </w:rPr>
        <w:t>元，增幅为</w:t>
      </w:r>
      <w:r>
        <w:rPr>
          <w:rFonts w:ascii="Times New Roman" w:hAnsi="Times New Roman" w:cs="Times New Roman" w:eastAsia="Times New Roman" w:hint="default"/>
          <w:spacing w:val="-2"/>
        </w:rPr>
        <w:t>90.27%</w:t>
      </w:r>
      <w:r>
        <w:rPr>
          <w:spacing w:val="-2"/>
        </w:rPr>
        <w:t>，主要系本期人力成本增加，期末</w:t>
      </w:r>
      <w:r>
        <w:rPr>
          <w:w w:val="100"/>
        </w:rPr>
        <w:t> </w:t>
      </w:r>
      <w:r>
        <w:rPr/>
        <w:t>计提工资、奖金较上期增加所致。</w:t>
      </w:r>
    </w:p>
    <w:p>
      <w:pPr>
        <w:spacing w:line="240" w:lineRule="auto" w:before="0"/>
        <w:rPr>
          <w:rFonts w:ascii="宋体" w:hAnsi="宋体" w:cs="宋体" w:eastAsia="宋体" w:hint="default"/>
          <w:sz w:val="20"/>
          <w:szCs w:val="20"/>
        </w:rPr>
      </w:pPr>
    </w:p>
    <w:p>
      <w:pPr>
        <w:pStyle w:val="Heading3"/>
        <w:spacing w:line="240" w:lineRule="auto" w:before="158"/>
        <w:ind w:left="575" w:right="0"/>
        <w:jc w:val="left"/>
        <w:rPr>
          <w:b w:val="0"/>
          <w:bCs w:val="0"/>
        </w:rPr>
      </w:pPr>
      <w:r>
        <w:rPr/>
        <w:t>（十九）应交税费</w:t>
      </w:r>
      <w:r>
        <w:rPr>
          <w:b w:val="0"/>
          <w:bCs w:val="0"/>
        </w:rPr>
      </w:r>
    </w:p>
    <w:p>
      <w:pPr>
        <w:spacing w:line="240" w:lineRule="auto" w:before="10"/>
        <w:rPr>
          <w:rFonts w:ascii="宋体" w:hAnsi="宋体" w:cs="宋体" w:eastAsia="宋体" w:hint="default"/>
          <w:b/>
          <w:bCs/>
          <w:sz w:val="3"/>
          <w:szCs w:val="3"/>
        </w:rPr>
      </w:pPr>
    </w:p>
    <w:tbl>
      <w:tblPr>
        <w:tblW w:w="0" w:type="auto"/>
        <w:jc w:val="left"/>
        <w:tblInd w:w="160" w:type="dxa"/>
        <w:tblLayout w:type="fixed"/>
        <w:tblCellMar>
          <w:top w:w="0" w:type="dxa"/>
          <w:left w:w="0" w:type="dxa"/>
          <w:bottom w:w="0" w:type="dxa"/>
          <w:right w:w="0" w:type="dxa"/>
        </w:tblCellMar>
        <w:tblLook w:val="01E0"/>
      </w:tblPr>
      <w:tblGrid>
        <w:gridCol w:w="3065"/>
        <w:gridCol w:w="2911"/>
        <w:gridCol w:w="2563"/>
      </w:tblGrid>
      <w:tr>
        <w:trPr>
          <w:trHeight w:val="355" w:hRule="exact"/>
        </w:trPr>
        <w:tc>
          <w:tcPr>
            <w:tcW w:w="30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税费项目</w:t>
            </w:r>
          </w:p>
        </w:tc>
        <w:tc>
          <w:tcPr>
            <w:tcW w:w="29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126,992.20</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94,556.42</w:t>
            </w:r>
          </w:p>
        </w:tc>
      </w:tr>
      <w:tr>
        <w:trPr>
          <w:trHeight w:val="353"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26,511.06</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27,289.44</w:t>
            </w:r>
          </w:p>
        </w:tc>
      </w:tr>
      <w:tr>
        <w:trPr>
          <w:trHeight w:val="353"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30,394.26</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29,856.67</w:t>
            </w:r>
          </w:p>
        </w:tc>
      </w:tr>
      <w:tr>
        <w:trPr>
          <w:trHeight w:val="350"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67,844.92</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65,264.80</w:t>
            </w:r>
          </w:p>
        </w:tc>
      </w:tr>
      <w:tr>
        <w:trPr>
          <w:trHeight w:val="353"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198,454.93</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186,235.06</w:t>
            </w:r>
          </w:p>
        </w:tc>
      </w:tr>
      <w:tr>
        <w:trPr>
          <w:trHeight w:val="353"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21,710.17</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21,326.19</w:t>
            </w:r>
          </w:p>
        </w:tc>
      </w:tr>
      <w:tr>
        <w:trPr>
          <w:trHeight w:val="353"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471,907.54</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424,528.58</w:t>
            </w:r>
          </w:p>
        </w:tc>
      </w:tr>
    </w:tbl>
    <w:p>
      <w:pPr>
        <w:spacing w:line="240" w:lineRule="auto" w:before="4"/>
        <w:rPr>
          <w:rFonts w:ascii="宋体" w:hAnsi="宋体" w:cs="宋体" w:eastAsia="宋体" w:hint="default"/>
          <w:b/>
          <w:bCs/>
          <w:sz w:val="29"/>
          <w:szCs w:val="29"/>
        </w:rPr>
      </w:pPr>
    </w:p>
    <w:p>
      <w:pPr>
        <w:pStyle w:val="Heading3"/>
        <w:spacing w:line="240" w:lineRule="auto" w:before="36"/>
        <w:ind w:left="575" w:right="0"/>
        <w:jc w:val="left"/>
        <w:rPr>
          <w:b w:val="0"/>
          <w:bCs w:val="0"/>
        </w:rPr>
      </w:pPr>
      <w:r>
        <w:rPr/>
        <w:t>（二十）其他应付款</w:t>
      </w:r>
      <w:r>
        <w:rPr>
          <w:b w:val="0"/>
          <w:bCs w:val="0"/>
        </w:rPr>
      </w:r>
    </w:p>
    <w:p>
      <w:pPr>
        <w:pStyle w:val="Heading3"/>
        <w:spacing w:line="240" w:lineRule="auto" w:before="37"/>
        <w:ind w:left="572" w:right="0"/>
        <w:jc w:val="left"/>
        <w:rPr>
          <w:b w:val="0"/>
          <w:bCs w:val="0"/>
        </w:rPr>
      </w:pPr>
      <w:r>
        <w:rPr>
          <w:rFonts w:ascii="Times New Roman" w:hAnsi="Times New Roman" w:cs="Times New Roman" w:eastAsia="Times New Roman" w:hint="default"/>
        </w:rPr>
        <w:t>1</w:t>
      </w:r>
      <w:r>
        <w:rPr/>
        <w:t>、按款项性质列示的其他应付款</w:t>
      </w:r>
      <w:r>
        <w:rPr>
          <w:b w:val="0"/>
          <w:bCs w:val="0"/>
        </w:rPr>
      </w:r>
    </w:p>
    <w:p>
      <w:pPr>
        <w:spacing w:line="240" w:lineRule="auto" w:before="8"/>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3065"/>
        <w:gridCol w:w="2911"/>
        <w:gridCol w:w="2551"/>
      </w:tblGrid>
      <w:tr>
        <w:trPr>
          <w:trHeight w:val="353" w:hRule="exact"/>
        </w:trPr>
        <w:tc>
          <w:tcPr>
            <w:tcW w:w="30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9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68,469.98</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127,022.77</w:t>
            </w:r>
          </w:p>
        </w:tc>
      </w:tr>
      <w:tr>
        <w:trPr>
          <w:trHeight w:val="353"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版权费</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1,184,581.52</w:t>
            </w:r>
            <w:r>
              <w:rPr>
                <w:rFonts w:ascii="Times New Roman"/>
                <w:sz w:val="18"/>
              </w:rPr>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926,481.00</w:t>
            </w:r>
          </w:p>
        </w:tc>
      </w:tr>
      <w:tr>
        <w:trPr>
          <w:trHeight w:val="350"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r>
      <w:tr>
        <w:trPr>
          <w:trHeight w:val="353"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南山区财政局个人住房补助</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200,000.00</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400,000.00</w:t>
            </w:r>
          </w:p>
        </w:tc>
      </w:tr>
      <w:tr>
        <w:trPr>
          <w:trHeight w:val="353"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332,782.76</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25,373.48</w:t>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3065"/>
        <w:gridCol w:w="2911"/>
        <w:gridCol w:w="2551"/>
      </w:tblGrid>
      <w:tr>
        <w:trPr>
          <w:trHeight w:val="355" w:hRule="exact"/>
        </w:trPr>
        <w:tc>
          <w:tcPr>
            <w:tcW w:w="30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1,785,834.26</w:t>
            </w:r>
            <w:r>
              <w:rPr>
                <w:rFonts w:ascii="Times New Roman"/>
                <w:sz w:val="18"/>
              </w:rPr>
            </w:r>
          </w:p>
        </w:tc>
        <w:tc>
          <w:tcPr>
            <w:tcW w:w="25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left="1588" w:right="0"/>
              <w:jc w:val="left"/>
              <w:rPr>
                <w:rFonts w:ascii="Times New Roman" w:hAnsi="Times New Roman" w:cs="Times New Roman" w:eastAsia="Times New Roman" w:hint="default"/>
                <w:sz w:val="18"/>
                <w:szCs w:val="18"/>
              </w:rPr>
            </w:pPr>
            <w:r>
              <w:rPr>
                <w:rFonts w:ascii="Times New Roman"/>
                <w:sz w:val="18"/>
              </w:rPr>
              <w:t>4,478,877.25</w:t>
            </w:r>
          </w:p>
        </w:tc>
      </w:tr>
    </w:tbl>
    <w:p>
      <w:pPr>
        <w:pStyle w:val="BodyText"/>
        <w:spacing w:line="240" w:lineRule="auto" w:before="64"/>
        <w:ind w:left="575" w:right="0"/>
        <w:jc w:val="left"/>
      </w:pPr>
      <w:r>
        <w:rPr>
          <w:rFonts w:ascii="Times New Roman" w:hAnsi="Times New Roman" w:cs="Times New Roman" w:eastAsia="Times New Roman" w:hint="default"/>
        </w:rPr>
        <w:t>2</w:t>
      </w:r>
      <w:r>
        <w:rPr/>
        <w:t>、期末无账龄超过一年的重要其他应付款。</w:t>
      </w:r>
    </w:p>
    <w:p>
      <w:pPr>
        <w:pStyle w:val="BodyText"/>
        <w:spacing w:line="240" w:lineRule="auto" w:before="177"/>
        <w:ind w:left="575" w:right="0"/>
        <w:jc w:val="left"/>
      </w:pPr>
      <w:r>
        <w:rPr>
          <w:rFonts w:ascii="Times New Roman" w:hAnsi="Times New Roman" w:cs="Times New Roman" w:eastAsia="Times New Roman" w:hint="default"/>
        </w:rPr>
        <w:t>3</w:t>
      </w:r>
      <w:r>
        <w:rPr/>
        <w:t>、期末余额中无应付本公司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）表决权股份的股东单位及其他关联方的款项。</w:t>
      </w:r>
    </w:p>
    <w:p>
      <w:pPr>
        <w:pStyle w:val="BodyText"/>
        <w:spacing w:line="240" w:lineRule="auto" w:before="177"/>
        <w:ind w:left="570" w:right="0"/>
        <w:jc w:val="left"/>
      </w:pPr>
      <w:r>
        <w:rPr>
          <w:rFonts w:ascii="Times New Roman" w:hAnsi="Times New Roman" w:cs="Times New Roman" w:eastAsia="Times New Roman" w:hint="default"/>
        </w:rPr>
        <w:t>4</w:t>
      </w:r>
      <w:r>
        <w:rPr/>
        <w:t>、其他应付款期末余额较期初减少</w:t>
      </w:r>
      <w:r>
        <w:rPr>
          <w:rFonts w:ascii="Times New Roman" w:hAnsi="Times New Roman" w:cs="Times New Roman" w:eastAsia="Times New Roman" w:hint="default"/>
        </w:rPr>
        <w:t>2,693,042.99</w:t>
      </w:r>
      <w:r>
        <w:rPr/>
        <w:t>元，减幅为</w:t>
      </w:r>
      <w:r>
        <w:rPr>
          <w:rFonts w:ascii="Times New Roman" w:hAnsi="Times New Roman" w:cs="Times New Roman" w:eastAsia="Times New Roman" w:hint="default"/>
        </w:rPr>
        <w:t>60.13%</w:t>
      </w:r>
      <w:r>
        <w:rPr/>
        <w:t>，主要系投资款支付所致。</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8"/>
          <w:szCs w:val="18"/>
        </w:rPr>
      </w:pPr>
    </w:p>
    <w:p>
      <w:pPr>
        <w:pStyle w:val="Heading3"/>
        <w:spacing w:line="240" w:lineRule="auto"/>
        <w:ind w:left="575" w:right="0"/>
        <w:jc w:val="left"/>
        <w:rPr>
          <w:b w:val="0"/>
          <w:bCs w:val="0"/>
        </w:rPr>
      </w:pPr>
      <w:r>
        <w:rPr/>
        <w:t>（二十一）递延收益</w:t>
      </w:r>
      <w:r>
        <w:rPr>
          <w:b w:val="0"/>
          <w:bCs w:val="0"/>
        </w:rPr>
      </w:r>
    </w:p>
    <w:p>
      <w:pPr>
        <w:pStyle w:val="Heading3"/>
        <w:spacing w:line="240" w:lineRule="auto" w:before="37"/>
        <w:ind w:left="714" w:right="0"/>
        <w:jc w:val="left"/>
        <w:rPr>
          <w:b w:val="0"/>
          <w:bCs w:val="0"/>
        </w:rPr>
      </w:pPr>
      <w:r>
        <w:rPr>
          <w:rFonts w:ascii="Times New Roman" w:hAnsi="Times New Roman" w:cs="Times New Roman" w:eastAsia="Times New Roman" w:hint="default"/>
        </w:rPr>
        <w:t>1</w:t>
      </w:r>
      <w:r>
        <w:rPr/>
        <w:t>、递延收益情况如下：</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725"/>
        <w:gridCol w:w="3163"/>
        <w:gridCol w:w="2407"/>
      </w:tblGrid>
      <w:tr>
        <w:trPr>
          <w:trHeight w:val="353" w:hRule="exact"/>
        </w:trPr>
        <w:tc>
          <w:tcPr>
            <w:tcW w:w="3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03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65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53" w:hRule="exact"/>
        </w:trPr>
        <w:tc>
          <w:tcPr>
            <w:tcW w:w="3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4,158,532.56</w:t>
            </w:r>
            <w:r>
              <w:rPr>
                <w:rFonts w:ascii="Times New Roman"/>
                <w:sz w:val="18"/>
              </w:rPr>
            </w:r>
          </w:p>
        </w:tc>
        <w:tc>
          <w:tcPr>
            <w:tcW w:w="2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5,184,433.36</w:t>
            </w:r>
            <w:r>
              <w:rPr>
                <w:rFonts w:ascii="Times New Roman"/>
                <w:sz w:val="18"/>
              </w:rPr>
            </w:r>
          </w:p>
        </w:tc>
      </w:tr>
      <w:tr>
        <w:trPr>
          <w:trHeight w:val="353" w:hRule="exact"/>
        </w:trPr>
        <w:tc>
          <w:tcPr>
            <w:tcW w:w="3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在线培训递延收益（金太阳口语专家）</w:t>
            </w:r>
          </w:p>
        </w:tc>
        <w:tc>
          <w:tcPr>
            <w:tcW w:w="31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535,765.61</w:t>
            </w:r>
          </w:p>
        </w:tc>
        <w:tc>
          <w:tcPr>
            <w:tcW w:w="2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221,368.00</w:t>
            </w:r>
          </w:p>
        </w:tc>
      </w:tr>
      <w:tr>
        <w:trPr>
          <w:trHeight w:val="353" w:hRule="exact"/>
        </w:trPr>
        <w:tc>
          <w:tcPr>
            <w:tcW w:w="3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4,694,298.17</w:t>
            </w:r>
            <w:r>
              <w:rPr>
                <w:rFonts w:ascii="Times New Roman"/>
                <w:sz w:val="18"/>
              </w:rPr>
            </w:r>
          </w:p>
        </w:tc>
        <w:tc>
          <w:tcPr>
            <w:tcW w:w="2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5,405,801.36</w:t>
            </w:r>
            <w:r>
              <w:rPr>
                <w:rFonts w:ascii="Times New Roman"/>
                <w:sz w:val="18"/>
              </w:rPr>
            </w:r>
          </w:p>
        </w:tc>
      </w:tr>
    </w:tbl>
    <w:p>
      <w:pPr>
        <w:spacing w:line="240" w:lineRule="auto" w:before="2"/>
        <w:rPr>
          <w:rFonts w:ascii="宋体" w:hAnsi="宋体" w:cs="宋体" w:eastAsia="宋体" w:hint="default"/>
          <w:b/>
          <w:bCs/>
          <w:sz w:val="20"/>
          <w:szCs w:val="20"/>
        </w:rPr>
      </w:pPr>
    </w:p>
    <w:p>
      <w:pPr>
        <w:pStyle w:val="Heading3"/>
        <w:spacing w:line="240" w:lineRule="auto" w:before="36"/>
        <w:ind w:left="678" w:right="0"/>
        <w:jc w:val="left"/>
        <w:rPr>
          <w:b w:val="0"/>
          <w:bCs w:val="0"/>
        </w:rPr>
      </w:pPr>
      <w:r>
        <w:rPr>
          <w:rFonts w:ascii="Times New Roman" w:hAnsi="Times New Roman" w:cs="Times New Roman" w:eastAsia="Times New Roman" w:hint="default"/>
        </w:rPr>
        <w:t>2</w:t>
      </w:r>
      <w:r>
        <w:rPr/>
        <w:t>、本期政府补助变动情况如下：</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633"/>
        <w:gridCol w:w="1274"/>
        <w:gridCol w:w="1135"/>
        <w:gridCol w:w="1277"/>
        <w:gridCol w:w="581"/>
        <w:gridCol w:w="1248"/>
        <w:gridCol w:w="1118"/>
      </w:tblGrid>
      <w:tr>
        <w:trPr>
          <w:trHeight w:val="667" w:hRule="exact"/>
        </w:trPr>
        <w:tc>
          <w:tcPr>
            <w:tcW w:w="26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201" w:right="197"/>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182" w:right="89" w:hanging="92"/>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58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103" w:right="101"/>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4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436" w:right="434"/>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118" w:type="dxa"/>
            <w:tcBorders>
              <w:top w:val="single" w:sz="6" w:space="0" w:color="000000"/>
              <w:left w:val="single" w:sz="6" w:space="0" w:color="000000"/>
              <w:bottom w:val="single" w:sz="12" w:space="0" w:color="000000"/>
              <w:right w:val="nil" w:sz="6" w:space="0" w:color="auto"/>
            </w:tcBorders>
          </w:tcPr>
          <w:p>
            <w:pPr>
              <w:pStyle w:val="TableParagraph"/>
              <w:spacing w:line="300" w:lineRule="auto" w:before="17"/>
              <w:ind w:left="100" w:right="82"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662"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）基于互联网的中小学英语在 线智能记忆平台</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51,248.70</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19,996.56</w:t>
            </w:r>
          </w:p>
        </w:tc>
        <w:tc>
          <w:tcPr>
            <w:tcW w:w="5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31,252.14</w:t>
            </w:r>
          </w:p>
        </w:tc>
        <w:tc>
          <w:tcPr>
            <w:tcW w:w="11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65"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）基于云计算的教育质量监测 与评价系统</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272,036.42</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69,999.96</w:t>
            </w:r>
          </w:p>
        </w:tc>
        <w:tc>
          <w:tcPr>
            <w:tcW w:w="5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202,036.46</w:t>
            </w:r>
          </w:p>
        </w:tc>
        <w:tc>
          <w:tcPr>
            <w:tcW w:w="11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）外语互动学习平台创新</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247,861.28</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42,864.09</w:t>
            </w:r>
          </w:p>
        </w:tc>
        <w:tc>
          <w:tcPr>
            <w:tcW w:w="5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204,997.19</w:t>
            </w:r>
          </w:p>
        </w:tc>
        <w:tc>
          <w:tcPr>
            <w:tcW w:w="11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0" w:hRule="exact"/>
        </w:trPr>
        <w:tc>
          <w:tcPr>
            <w:tcW w:w="2633" w:type="dxa"/>
            <w:vMerge w:val="restart"/>
            <w:tcBorders>
              <w:top w:val="single" w:sz="12" w:space="0" w:color="000000"/>
              <w:left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）中小学教育游戏平台</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240,043.81</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49,182.00</w:t>
            </w:r>
          </w:p>
        </w:tc>
        <w:tc>
          <w:tcPr>
            <w:tcW w:w="5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190,861.81</w:t>
            </w:r>
          </w:p>
        </w:tc>
        <w:tc>
          <w:tcPr>
            <w:tcW w:w="11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2633" w:type="dxa"/>
            <w:vMerge/>
            <w:tcBorders>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73,243.15</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73,243.15</w:t>
            </w:r>
          </w:p>
        </w:tc>
        <w:tc>
          <w:tcPr>
            <w:tcW w:w="5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1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2633" w:type="dxa"/>
            <w:vMerge w:val="restart"/>
            <w:tcBorders>
              <w:top w:val="single" w:sz="12" w:space="0" w:color="000000"/>
              <w:left w:val="single" w:sz="6" w:space="0" w:color="000000"/>
              <w:right w:val="single" w:sz="6" w:space="0" w:color="000000"/>
            </w:tcBorders>
          </w:tcPr>
          <w:p>
            <w:pPr>
              <w:pStyle w:val="TableParagraph"/>
              <w:spacing w:line="30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）基于移动平台的小学英语同 步课程资源系统</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500,000.00</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82,999.98</w:t>
            </w:r>
          </w:p>
        </w:tc>
        <w:tc>
          <w:tcPr>
            <w:tcW w:w="5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417,000.02</w:t>
            </w:r>
          </w:p>
        </w:tc>
        <w:tc>
          <w:tcPr>
            <w:tcW w:w="11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0" w:hRule="exact"/>
        </w:trPr>
        <w:tc>
          <w:tcPr>
            <w:tcW w:w="2633" w:type="dxa"/>
            <w:vMerge/>
            <w:tcBorders>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500,000.00</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94,281.74</w:t>
            </w:r>
          </w:p>
        </w:tc>
        <w:tc>
          <w:tcPr>
            <w:tcW w:w="5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405,718.26</w:t>
            </w:r>
          </w:p>
        </w:tc>
        <w:tc>
          <w:tcPr>
            <w:tcW w:w="11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）青少年书法多媒体学习软件</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400,000.00</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400,000.00</w:t>
            </w:r>
          </w:p>
        </w:tc>
        <w:tc>
          <w:tcPr>
            <w:tcW w:w="5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1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65"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81" w:hanging="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）基于</w:t>
            </w:r>
            <w:r>
              <w:rPr>
                <w:rFonts w:ascii="Times New Roman" w:hAnsi="Times New Roman" w:cs="Times New Roman" w:eastAsia="Times New Roman" w:hint="default"/>
                <w:sz w:val="18"/>
                <w:szCs w:val="18"/>
              </w:rPr>
              <w:t>SAAS</w:t>
            </w:r>
            <w:r>
              <w:rPr>
                <w:rFonts w:ascii="宋体" w:hAnsi="宋体" w:cs="宋体" w:eastAsia="宋体" w:hint="default"/>
                <w:sz w:val="18"/>
                <w:szCs w:val="18"/>
              </w:rPr>
              <w:t>的云智能个性化 教育综合互动平台</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2,900,000.00</w:t>
            </w:r>
            <w:r>
              <w:rPr>
                <w:rFonts w:ascii="Times New Roman"/>
                <w:sz w:val="18"/>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193,333.32</w:t>
            </w:r>
          </w:p>
        </w:tc>
        <w:tc>
          <w:tcPr>
            <w:tcW w:w="5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2,706,666.68</w:t>
            </w:r>
            <w:r>
              <w:rPr>
                <w:rFonts w:ascii="Times New Roman"/>
                <w:sz w:val="18"/>
              </w:rPr>
            </w:r>
          </w:p>
        </w:tc>
        <w:tc>
          <w:tcPr>
            <w:tcW w:w="11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5,184,433.36</w:t>
            </w:r>
            <w:r>
              <w:rPr>
                <w:rFonts w:ascii="Times New Roman"/>
                <w:sz w:val="18"/>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1,025,900.80</w:t>
            </w:r>
            <w:r>
              <w:rPr>
                <w:rFonts w:ascii="Times New Roman"/>
                <w:sz w:val="18"/>
              </w:rPr>
            </w:r>
          </w:p>
        </w:tc>
        <w:tc>
          <w:tcPr>
            <w:tcW w:w="5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4,158,532.56</w:t>
            </w:r>
            <w:r>
              <w:rPr>
                <w:rFonts w:ascii="Times New Roman"/>
                <w:sz w:val="18"/>
              </w:rPr>
            </w:r>
          </w:p>
        </w:tc>
        <w:tc>
          <w:tcPr>
            <w:tcW w:w="1118"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4"/>
        <w:rPr>
          <w:rFonts w:ascii="宋体" w:hAnsi="宋体" w:cs="宋体" w:eastAsia="宋体" w:hint="default"/>
          <w:b/>
          <w:bCs/>
          <w:sz w:val="11"/>
          <w:szCs w:val="11"/>
        </w:rPr>
      </w:pPr>
    </w:p>
    <w:p>
      <w:pPr>
        <w:pStyle w:val="BodyText"/>
        <w:spacing w:line="408" w:lineRule="auto" w:before="36"/>
        <w:ind w:right="146" w:firstLine="422"/>
        <w:jc w:val="both"/>
      </w:pPr>
      <w:r>
        <w:rPr/>
        <w:t>（</w:t>
      </w:r>
      <w:r>
        <w:rPr>
          <w:rFonts w:ascii="宋体" w:hAnsi="宋体" w:cs="宋体" w:eastAsia="宋体" w:hint="default"/>
        </w:rPr>
        <w:t>1</w:t>
      </w:r>
      <w:r>
        <w:rPr/>
        <w:t>）根据深圳市发展与改革委员会的深发改</w:t>
      </w:r>
      <w:r>
        <w:rPr>
          <w:rFonts w:ascii="宋体" w:hAnsi="宋体" w:cs="宋体" w:eastAsia="宋体" w:hint="default"/>
        </w:rPr>
        <w:t>[2011]1673</w:t>
      </w:r>
      <w:r>
        <w:rPr/>
        <w:t>号文件相关规定，本公司获得深圳市科技工</w:t>
      </w:r>
      <w:r>
        <w:rPr>
          <w:w w:val="100"/>
        </w:rPr>
        <w:t> </w:t>
      </w:r>
      <w:r>
        <w:rPr>
          <w:spacing w:val="-2"/>
        </w:rPr>
        <w:t>贸和信息化委员会的深圳市生物、互联网、新能源产业发展专项基金项目基于互联网的中小学英语在线智</w:t>
      </w:r>
      <w:r>
        <w:rPr>
          <w:spacing w:val="-43"/>
        </w:rPr>
        <w:t> </w:t>
      </w:r>
      <w:r>
        <w:rPr>
          <w:spacing w:val="-43"/>
        </w:rPr>
      </w:r>
      <w:r>
        <w:rPr/>
        <w:t>能记忆平台无偿资助款</w:t>
      </w:r>
      <w:r>
        <w:rPr>
          <w:rFonts w:ascii="宋体" w:hAnsi="宋体" w:cs="宋体" w:eastAsia="宋体" w:hint="default"/>
        </w:rPr>
        <w:t>80</w:t>
      </w:r>
      <w:r>
        <w:rPr/>
        <w:t>万元。截止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日，该项目已使用</w:t>
      </w:r>
      <w:r>
        <w:rPr>
          <w:rFonts w:ascii="宋体" w:hAnsi="宋体" w:cs="宋体" w:eastAsia="宋体" w:hint="default"/>
        </w:rPr>
        <w:t>768,747.86</w:t>
      </w:r>
      <w:r>
        <w:rPr/>
        <w:t>元。</w:t>
      </w:r>
    </w:p>
    <w:p>
      <w:pPr>
        <w:pStyle w:val="BodyText"/>
        <w:spacing w:line="408" w:lineRule="auto"/>
        <w:ind w:left="153" w:right="150" w:firstLine="422"/>
        <w:jc w:val="both"/>
      </w:pPr>
      <w:r>
        <w:rPr/>
        <w:t>（</w:t>
      </w:r>
      <w:r>
        <w:rPr>
          <w:rFonts w:ascii="宋体" w:hAnsi="宋体" w:cs="宋体" w:eastAsia="宋体" w:hint="default"/>
        </w:rPr>
        <w:t>2</w:t>
      </w:r>
      <w:r>
        <w:rPr/>
        <w:t>）根据深圳市发展与改革委员会的深发改</w:t>
      </w:r>
      <w:r>
        <w:rPr>
          <w:rFonts w:ascii="宋体" w:hAnsi="宋体" w:cs="宋体" w:eastAsia="宋体" w:hint="default"/>
        </w:rPr>
        <w:t>[2012]1241</w:t>
      </w:r>
      <w:r>
        <w:rPr/>
        <w:t>号文件相关规定，本公司获得深圳市科技创</w:t>
      </w:r>
      <w:r>
        <w:rPr>
          <w:w w:val="100"/>
        </w:rPr>
        <w:t> </w:t>
      </w:r>
      <w:r>
        <w:rPr>
          <w:spacing w:val="2"/>
        </w:rPr>
        <w:t>新委员会的深圳市战略性新兴产业发展专项资金项目基于云计算的教育质量监测与评价系统无偿资助款</w:t>
      </w:r>
      <w:r>
        <w:rPr>
          <w:spacing w:val="-28"/>
        </w:rPr>
        <w:t> </w:t>
      </w:r>
      <w:r>
        <w:rPr>
          <w:spacing w:val="-28"/>
        </w:rPr>
      </w:r>
      <w:r>
        <w:rPr>
          <w:rFonts w:ascii="宋体" w:hAnsi="宋体" w:cs="宋体" w:eastAsia="宋体" w:hint="default"/>
        </w:rPr>
        <w:t>200</w:t>
      </w:r>
      <w:r>
        <w:rPr/>
        <w:t>万元。截止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日，该项目资金补助已使用</w:t>
      </w:r>
      <w:r>
        <w:rPr>
          <w:rFonts w:ascii="宋体" w:hAnsi="宋体" w:cs="宋体" w:eastAsia="宋体" w:hint="default"/>
        </w:rPr>
        <w:t>1,797,963.54</w:t>
      </w:r>
      <w:r>
        <w:rPr/>
        <w:t>元。</w:t>
      </w:r>
    </w:p>
    <w:p>
      <w:pPr>
        <w:pStyle w:val="BodyText"/>
        <w:spacing w:line="408" w:lineRule="auto"/>
        <w:ind w:left="153" w:right="145" w:firstLine="422"/>
        <w:jc w:val="both"/>
      </w:pPr>
      <w:r>
        <w:rPr>
          <w:spacing w:val="-2"/>
        </w:rPr>
        <w:t>（</w:t>
      </w:r>
      <w:r>
        <w:rPr>
          <w:rFonts w:ascii="宋体" w:hAnsi="宋体" w:cs="宋体" w:eastAsia="宋体" w:hint="default"/>
          <w:spacing w:val="-2"/>
        </w:rPr>
        <w:t>3</w:t>
      </w:r>
      <w:r>
        <w:rPr>
          <w:spacing w:val="-2"/>
        </w:rPr>
        <w:t>）根据深圳市发展与改革委员会深发改</w:t>
      </w:r>
      <w:r>
        <w:rPr>
          <w:rFonts w:ascii="宋体" w:hAnsi="宋体" w:cs="宋体" w:eastAsia="宋体" w:hint="default"/>
          <w:spacing w:val="-2"/>
        </w:rPr>
        <w:t>[2013]535</w:t>
      </w:r>
      <w:r>
        <w:rPr>
          <w:spacing w:val="-2"/>
        </w:rPr>
        <w:t>号文件相关规定，本公司获得深圳市经济贸易和</w:t>
      </w:r>
      <w:r>
        <w:rPr>
          <w:w w:val="100"/>
        </w:rPr>
        <w:t> </w:t>
      </w:r>
      <w:r>
        <w:rPr>
          <w:spacing w:val="6"/>
        </w:rPr>
        <w:t>信息化委员会的外语互动学习平台创新项目无偿资助款</w:t>
      </w:r>
      <w:r>
        <w:rPr>
          <w:rFonts w:ascii="宋体" w:hAnsi="宋体" w:cs="宋体" w:eastAsia="宋体" w:hint="default"/>
          <w:spacing w:val="6"/>
        </w:rPr>
        <w:t>80</w:t>
      </w:r>
      <w:r>
        <w:rPr>
          <w:spacing w:val="6"/>
        </w:rPr>
        <w:t>万元。截止</w:t>
      </w:r>
      <w:r>
        <w:rPr>
          <w:rFonts w:ascii="宋体" w:hAnsi="宋体" w:cs="宋体" w:eastAsia="宋体" w:hint="default"/>
          <w:spacing w:val="6"/>
        </w:rPr>
        <w:t>2015</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日，该项目已使用</w:t>
      </w:r>
      <w:r>
        <w:rPr/>
      </w:r>
    </w:p>
    <w:p>
      <w:pPr>
        <w:spacing w:after="0" w:line="408" w:lineRule="auto"/>
        <w:jc w:val="both"/>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240" w:lineRule="auto" w:before="36"/>
        <w:ind w:right="0"/>
        <w:jc w:val="left"/>
      </w:pPr>
      <w:r>
        <w:rPr>
          <w:rFonts w:ascii="宋体" w:hAnsi="宋体" w:cs="宋体" w:eastAsia="宋体" w:hint="default"/>
        </w:rPr>
        <w:t>595,002.81</w:t>
      </w:r>
      <w:r>
        <w:rPr/>
        <w:t>元。</w:t>
      </w:r>
    </w:p>
    <w:p>
      <w:pPr>
        <w:spacing w:line="240" w:lineRule="auto" w:before="10"/>
        <w:rPr>
          <w:rFonts w:ascii="宋体" w:hAnsi="宋体" w:cs="宋体" w:eastAsia="宋体" w:hint="default"/>
          <w:sz w:val="14"/>
          <w:szCs w:val="14"/>
        </w:rPr>
      </w:pPr>
    </w:p>
    <w:p>
      <w:pPr>
        <w:pStyle w:val="BodyText"/>
        <w:spacing w:line="408" w:lineRule="auto" w:before="0"/>
        <w:ind w:right="150" w:firstLine="422"/>
        <w:jc w:val="both"/>
      </w:pPr>
      <w:r>
        <w:rPr/>
        <w:t>（</w:t>
      </w:r>
      <w:r>
        <w:rPr>
          <w:rFonts w:ascii="宋体" w:hAnsi="宋体" w:cs="宋体" w:eastAsia="宋体" w:hint="default"/>
        </w:rPr>
        <w:t>4</w:t>
      </w:r>
      <w:r>
        <w:rPr/>
        <w:t>）为落实《深圳市文化创意产业发展专项资金管理办法》所规定的优惠政策，本公司获得深圳市</w:t>
      </w:r>
      <w:r>
        <w:rPr>
          <w:w w:val="100"/>
        </w:rPr>
        <w:t> </w:t>
      </w:r>
      <w:r>
        <w:rPr>
          <w:spacing w:val="17"/>
        </w:rPr>
        <w:t>文体旅游局的中小学教育游戏平台项目无偿资助款</w:t>
      </w:r>
      <w:r>
        <w:rPr>
          <w:spacing w:val="-76"/>
        </w:rPr>
        <w:t> </w:t>
      </w:r>
      <w:r>
        <w:rPr>
          <w:rFonts w:ascii="宋体" w:hAnsi="宋体" w:cs="宋体" w:eastAsia="宋体" w:hint="default"/>
        </w:rPr>
        <w:t>91</w:t>
      </w:r>
      <w:r>
        <w:rPr>
          <w:rFonts w:ascii="宋体" w:hAnsi="宋体" w:cs="宋体" w:eastAsia="宋体" w:hint="default"/>
          <w:spacing w:val="-78"/>
        </w:rPr>
        <w:t> </w:t>
      </w:r>
      <w:r>
        <w:rPr>
          <w:spacing w:val="14"/>
        </w:rPr>
        <w:t>万元。截止</w:t>
      </w:r>
      <w:r>
        <w:rPr>
          <w:spacing w:val="-76"/>
        </w:rPr>
        <w:t> </w:t>
      </w:r>
      <w:r>
        <w:rPr>
          <w:rFonts w:ascii="宋体" w:hAnsi="宋体" w:cs="宋体" w:eastAsia="宋体" w:hint="default"/>
        </w:rPr>
        <w:t>2015</w:t>
      </w:r>
      <w:r>
        <w:rPr>
          <w:rFonts w:ascii="宋体" w:hAnsi="宋体" w:cs="宋体" w:eastAsia="宋体" w:hint="default"/>
          <w:spacing w:val="-78"/>
        </w:rPr>
        <w:t> </w:t>
      </w:r>
      <w:r>
        <w:rPr/>
        <w:t>年</w:t>
      </w:r>
      <w:r>
        <w:rPr>
          <w:spacing w:val="-76"/>
        </w:rPr>
        <w:t> </w:t>
      </w:r>
      <w:r>
        <w:rPr>
          <w:rFonts w:ascii="宋体" w:hAnsi="宋体" w:cs="宋体" w:eastAsia="宋体" w:hint="default"/>
        </w:rPr>
        <w:t>12</w:t>
      </w:r>
      <w:r>
        <w:rPr>
          <w:rFonts w:ascii="宋体" w:hAnsi="宋体" w:cs="宋体" w:eastAsia="宋体" w:hint="default"/>
          <w:spacing w:val="-78"/>
        </w:rPr>
        <w:t> </w:t>
      </w:r>
      <w:r>
        <w:rPr/>
        <w:t>月</w:t>
      </w:r>
      <w:r>
        <w:rPr>
          <w:spacing w:val="-76"/>
        </w:rPr>
        <w:t> </w:t>
      </w:r>
      <w:r>
        <w:rPr>
          <w:rFonts w:ascii="宋体" w:hAnsi="宋体" w:cs="宋体" w:eastAsia="宋体" w:hint="default"/>
        </w:rPr>
        <w:t>31</w:t>
      </w:r>
      <w:r>
        <w:rPr>
          <w:rFonts w:ascii="宋体" w:hAnsi="宋体" w:cs="宋体" w:eastAsia="宋体" w:hint="default"/>
          <w:spacing w:val="-78"/>
        </w:rPr>
        <w:t> </w:t>
      </w:r>
      <w:r>
        <w:rPr>
          <w:spacing w:val="16"/>
        </w:rPr>
        <w:t>日，该项目已使用</w:t>
      </w:r>
      <w:r>
        <w:rPr>
          <w:spacing w:val="-97"/>
        </w:rPr>
        <w:t> </w:t>
      </w:r>
      <w:r>
        <w:rPr>
          <w:spacing w:val="-97"/>
        </w:rPr>
      </w:r>
      <w:r>
        <w:rPr>
          <w:rFonts w:ascii="宋体" w:hAnsi="宋体" w:cs="宋体" w:eastAsia="宋体" w:hint="default"/>
        </w:rPr>
        <w:t>719,138.19</w:t>
      </w:r>
      <w:r>
        <w:rPr/>
        <w:t>元。</w:t>
      </w:r>
    </w:p>
    <w:p>
      <w:pPr>
        <w:pStyle w:val="BodyText"/>
        <w:spacing w:line="408" w:lineRule="auto"/>
        <w:ind w:right="149" w:firstLine="422"/>
        <w:jc w:val="both"/>
      </w:pPr>
      <w:r>
        <w:rPr>
          <w:spacing w:val="-2"/>
        </w:rPr>
        <w:t>（</w:t>
      </w:r>
      <w:r>
        <w:rPr>
          <w:rFonts w:ascii="宋体" w:hAnsi="宋体" w:cs="宋体" w:eastAsia="宋体" w:hint="default"/>
          <w:spacing w:val="-2"/>
        </w:rPr>
        <w:t>5</w:t>
      </w:r>
      <w:r>
        <w:rPr>
          <w:spacing w:val="-2"/>
        </w:rPr>
        <w:t>）为落实深圳市发展与改革委员会的深发改</w:t>
      </w:r>
      <w:r>
        <w:rPr>
          <w:rFonts w:ascii="宋体" w:hAnsi="宋体" w:cs="宋体" w:eastAsia="宋体" w:hint="default"/>
          <w:spacing w:val="-2"/>
        </w:rPr>
        <w:t>[2014]939</w:t>
      </w:r>
      <w:r>
        <w:rPr>
          <w:spacing w:val="-2"/>
        </w:rPr>
        <w:t>号文件相关规定，本公司获得深圳市科技创</w:t>
      </w:r>
      <w:r>
        <w:rPr>
          <w:w w:val="100"/>
        </w:rPr>
        <w:t> </w:t>
      </w:r>
      <w:r>
        <w:rPr/>
        <w:t>新委员会的基于移动平台的小学英语同步课程资源系统无偿资助款</w:t>
      </w:r>
      <w:r>
        <w:rPr>
          <w:rFonts w:ascii="宋体" w:hAnsi="宋体" w:cs="宋体" w:eastAsia="宋体" w:hint="default"/>
        </w:rPr>
        <w:t>100</w:t>
      </w:r>
      <w:r>
        <w:rPr/>
        <w:t>万元。截止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日，该项</w:t>
      </w:r>
      <w:r>
        <w:rPr>
          <w:spacing w:val="-30"/>
        </w:rPr>
        <w:t> </w:t>
      </w:r>
      <w:r>
        <w:rPr>
          <w:spacing w:val="-30"/>
        </w:rPr>
      </w:r>
      <w:r>
        <w:rPr/>
        <w:t>目已使用</w:t>
      </w:r>
      <w:r>
        <w:rPr>
          <w:rFonts w:ascii="宋体" w:hAnsi="宋体" w:cs="宋体" w:eastAsia="宋体" w:hint="default"/>
        </w:rPr>
        <w:t>177,281.72</w:t>
      </w:r>
      <w:r>
        <w:rPr/>
        <w:t>元。</w:t>
      </w:r>
    </w:p>
    <w:p>
      <w:pPr>
        <w:pStyle w:val="BodyText"/>
        <w:spacing w:line="408" w:lineRule="auto"/>
        <w:ind w:left="153" w:right="149" w:firstLine="422"/>
        <w:jc w:val="both"/>
      </w:pPr>
      <w:r>
        <w:rPr/>
        <w:t>（</w:t>
      </w:r>
      <w:r>
        <w:rPr>
          <w:rFonts w:ascii="宋体" w:hAnsi="宋体" w:cs="宋体" w:eastAsia="宋体" w:hint="default"/>
        </w:rPr>
        <w:t>6</w:t>
      </w:r>
      <w:r>
        <w:rPr/>
        <w:t>）根据《南山区文化产业发展专项资金管理暂行办会》的规定，本公司获得深圳市南山区人民政</w:t>
      </w:r>
      <w:r>
        <w:rPr>
          <w:w w:val="100"/>
        </w:rPr>
        <w:t> </w:t>
      </w:r>
      <w:r>
        <w:rPr>
          <w:spacing w:val="-2"/>
        </w:rPr>
        <w:t>府文化产业发展办公室的青少年书法多媒体学习软件项目无偿资助款</w:t>
      </w:r>
      <w:r>
        <w:rPr>
          <w:rFonts w:ascii="宋体" w:hAnsi="宋体" w:cs="宋体" w:eastAsia="宋体" w:hint="default"/>
          <w:spacing w:val="-2"/>
        </w:rPr>
        <w:t>40</w:t>
      </w:r>
      <w:r>
        <w:rPr>
          <w:spacing w:val="-2"/>
        </w:rPr>
        <w:t>万元。截止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日，该项</w:t>
      </w:r>
      <w:r>
        <w:rPr>
          <w:spacing w:val="-34"/>
        </w:rPr>
        <w:t> </w:t>
      </w:r>
      <w:r>
        <w:rPr>
          <w:spacing w:val="-34"/>
        </w:rPr>
      </w:r>
      <w:r>
        <w:rPr/>
        <w:t>目资金已全部使用。</w:t>
      </w:r>
    </w:p>
    <w:p>
      <w:pPr>
        <w:pStyle w:val="BodyText"/>
        <w:spacing w:line="408" w:lineRule="auto"/>
        <w:ind w:left="153" w:right="146" w:firstLine="422"/>
        <w:jc w:val="both"/>
      </w:pPr>
      <w:r>
        <w:rPr>
          <w:spacing w:val="-2"/>
        </w:rPr>
        <w:t>（</w:t>
      </w:r>
      <w:r>
        <w:rPr>
          <w:rFonts w:ascii="宋体" w:hAnsi="宋体" w:cs="宋体" w:eastAsia="宋体" w:hint="default"/>
          <w:spacing w:val="-2"/>
        </w:rPr>
        <w:t>7</w:t>
      </w:r>
      <w:r>
        <w:rPr>
          <w:spacing w:val="-2"/>
        </w:rPr>
        <w:t>）根据深发改</w:t>
      </w:r>
      <w:r>
        <w:rPr>
          <w:rFonts w:ascii="宋体" w:hAnsi="宋体" w:cs="宋体" w:eastAsia="宋体" w:hint="default"/>
          <w:spacing w:val="-2"/>
        </w:rPr>
        <w:t>[2013]535</w:t>
      </w:r>
      <w:r>
        <w:rPr>
          <w:spacing w:val="-2"/>
        </w:rPr>
        <w:t>号文件相关规定，本公司获得深圳市发展改革委员会、深圳市经济贸易和</w:t>
      </w:r>
      <w:r>
        <w:rPr>
          <w:w w:val="100"/>
        </w:rPr>
        <w:t> </w:t>
      </w:r>
      <w:r>
        <w:rPr>
          <w:spacing w:val="-2"/>
        </w:rPr>
        <w:t>信息化委员会、深圳市科技创新委员会、深圳市财政委员会文件的深圳市战略性新兴产业发展专项资金项</w:t>
      </w:r>
      <w:r>
        <w:rPr>
          <w:spacing w:val="-42"/>
        </w:rPr>
        <w:t> </w:t>
      </w:r>
      <w:r>
        <w:rPr>
          <w:spacing w:val="-42"/>
        </w:rPr>
      </w:r>
      <w:r>
        <w:rPr>
          <w:spacing w:val="3"/>
        </w:rPr>
        <w:t>目基于</w:t>
      </w:r>
      <w:r>
        <w:rPr>
          <w:rFonts w:ascii="宋体" w:hAnsi="宋体" w:cs="宋体" w:eastAsia="宋体" w:hint="default"/>
          <w:spacing w:val="3"/>
        </w:rPr>
        <w:t>SAAS</w:t>
      </w:r>
      <w:r>
        <w:rPr>
          <w:spacing w:val="3"/>
        </w:rPr>
        <w:t>的云智能个性化教育综合互动平台无偿资助</w:t>
      </w:r>
      <w:r>
        <w:rPr>
          <w:rFonts w:ascii="宋体" w:hAnsi="宋体" w:cs="宋体" w:eastAsia="宋体" w:hint="default"/>
          <w:spacing w:val="3"/>
        </w:rPr>
        <w:t>290</w:t>
      </w:r>
      <w:r>
        <w:rPr>
          <w:spacing w:val="3"/>
        </w:rPr>
        <w:t>万元。截止</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日，该项目已使用</w:t>
      </w:r>
      <w:r>
        <w:rPr>
          <w:spacing w:val="11"/>
        </w:rPr>
        <w:t> </w:t>
      </w:r>
      <w:r>
        <w:rPr>
          <w:spacing w:val="11"/>
        </w:rPr>
      </w:r>
      <w:r>
        <w:rPr>
          <w:rFonts w:ascii="宋体" w:hAnsi="宋体" w:cs="宋体" w:eastAsia="宋体" w:hint="default"/>
        </w:rPr>
        <w:t>193,333.32</w:t>
      </w:r>
      <w:r>
        <w:rPr/>
        <w:t>元。</w:t>
      </w:r>
    </w:p>
    <w:p>
      <w:pPr>
        <w:spacing w:line="240" w:lineRule="auto" w:before="0"/>
        <w:rPr>
          <w:rFonts w:ascii="宋体" w:hAnsi="宋体" w:cs="宋体" w:eastAsia="宋体" w:hint="default"/>
          <w:sz w:val="20"/>
          <w:szCs w:val="20"/>
        </w:rPr>
      </w:pPr>
    </w:p>
    <w:p>
      <w:pPr>
        <w:pStyle w:val="Heading3"/>
        <w:spacing w:line="240" w:lineRule="auto" w:before="139"/>
        <w:ind w:left="575" w:right="0"/>
        <w:jc w:val="left"/>
        <w:rPr>
          <w:b w:val="0"/>
          <w:bCs w:val="0"/>
        </w:rPr>
      </w:pPr>
      <w:r>
        <w:rPr/>
        <w:t>（二十二）股本</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895"/>
        <w:gridCol w:w="1418"/>
        <w:gridCol w:w="907"/>
        <w:gridCol w:w="672"/>
        <w:gridCol w:w="1370"/>
        <w:gridCol w:w="701"/>
        <w:gridCol w:w="1414"/>
        <w:gridCol w:w="1414"/>
      </w:tblGrid>
      <w:tr>
        <w:trPr>
          <w:trHeight w:val="353" w:hRule="exact"/>
        </w:trPr>
        <w:tc>
          <w:tcPr>
            <w:tcW w:w="895" w:type="dxa"/>
            <w:vMerge w:val="restart"/>
            <w:tcBorders>
              <w:top w:val="single" w:sz="6" w:space="0" w:color="000000"/>
              <w:left w:val="single" w:sz="6" w:space="0" w:color="000000"/>
              <w:right w:val="single" w:sz="6" w:space="0" w:color="000000"/>
            </w:tcBorders>
          </w:tcPr>
          <w:p>
            <w:pPr>
              <w:pStyle w:val="TableParagraph"/>
              <w:spacing w:line="240" w:lineRule="auto" w:before="17"/>
              <w:ind w:left="26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064" w:type="dxa"/>
            <w:gridSpan w:val="5"/>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485" w:right="0"/>
              <w:jc w:val="left"/>
              <w:rPr>
                <w:rFonts w:ascii="宋体" w:hAnsi="宋体" w:cs="宋体" w:eastAsia="宋体" w:hint="default"/>
                <w:sz w:val="18"/>
                <w:szCs w:val="18"/>
              </w:rPr>
            </w:pPr>
            <w:r>
              <w:rPr>
                <w:rFonts w:ascii="宋体" w:hAnsi="宋体" w:cs="宋体" w:eastAsia="宋体" w:hint="default"/>
                <w:sz w:val="18"/>
                <w:szCs w:val="18"/>
              </w:rPr>
              <w:t>本期变动增（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tc>
        <w:tc>
          <w:tcPr>
            <w:tcW w:w="1414" w:type="dxa"/>
            <w:vMerge w:val="restart"/>
            <w:tcBorders>
              <w:top w:val="single" w:sz="6" w:space="0" w:color="000000"/>
              <w:left w:val="single" w:sz="6" w:space="0" w:color="000000"/>
              <w:right w:val="nil" w:sz="6" w:space="0" w:color="auto"/>
            </w:tcBorders>
          </w:tcPr>
          <w:p>
            <w:pPr>
              <w:pStyle w:val="TableParagraph"/>
              <w:spacing w:line="240" w:lineRule="auto" w:before="17"/>
              <w:ind w:left="3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895" w:type="dxa"/>
            <w:vMerge/>
            <w:tcBorders>
              <w:left w:val="single" w:sz="6" w:space="0" w:color="000000"/>
              <w:bottom w:val="single" w:sz="12" w:space="0" w:color="000000"/>
              <w:right w:val="single" w:sz="6" w:space="0" w:color="000000"/>
            </w:tcBorders>
          </w:tcPr>
          <w:p>
            <w:pPr/>
          </w:p>
        </w:tc>
        <w:tc>
          <w:tcPr>
            <w:tcW w:w="1418" w:type="dxa"/>
            <w:vMerge/>
            <w:tcBorders>
              <w:left w:val="single" w:sz="6" w:space="0" w:color="000000"/>
              <w:bottom w:val="single" w:sz="12" w:space="0" w:color="000000"/>
              <w:right w:val="single" w:sz="6" w:space="0" w:color="000000"/>
            </w:tcBorders>
          </w:tcPr>
          <w:p>
            <w:pPr/>
          </w:p>
        </w:tc>
        <w:tc>
          <w:tcPr>
            <w:tcW w:w="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4" w:type="dxa"/>
            <w:vMerge/>
            <w:tcBorders>
              <w:left w:val="single" w:sz="6" w:space="0" w:color="000000"/>
              <w:bottom w:val="single" w:sz="12" w:space="0" w:color="000000"/>
              <w:right w:val="nil" w:sz="6" w:space="0" w:color="auto"/>
            </w:tcBorders>
          </w:tcPr>
          <w:p>
            <w:pPr/>
          </w:p>
        </w:tc>
      </w:tr>
      <w:tr>
        <w:trPr>
          <w:trHeight w:val="353" w:hRule="exact"/>
        </w:trPr>
        <w:tc>
          <w:tcPr>
            <w:tcW w:w="8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75" w:right="-1"/>
              <w:jc w:val="left"/>
              <w:rPr>
                <w:rFonts w:ascii="Times New Roman" w:hAnsi="Times New Roman" w:cs="Times New Roman" w:eastAsia="Times New Roman" w:hint="default"/>
                <w:sz w:val="18"/>
                <w:szCs w:val="18"/>
              </w:rPr>
            </w:pPr>
            <w:r>
              <w:rPr>
                <w:rFonts w:ascii="Times New Roman"/>
                <w:sz w:val="18"/>
              </w:rPr>
              <w:t>158,400,000.00</w:t>
            </w:r>
          </w:p>
        </w:tc>
        <w:tc>
          <w:tcPr>
            <w:tcW w:w="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268" w:right="0"/>
              <w:jc w:val="left"/>
              <w:rPr>
                <w:rFonts w:ascii="Times New Roman" w:hAnsi="Times New Roman" w:cs="Times New Roman" w:eastAsia="Times New Roman" w:hint="default"/>
                <w:sz w:val="18"/>
                <w:szCs w:val="18"/>
              </w:rPr>
            </w:pPr>
            <w:r>
              <w:rPr>
                <w:rFonts w:ascii="Times New Roman"/>
                <w:sz w:val="18"/>
              </w:rPr>
              <w:t>158,400,000.00</w:t>
            </w:r>
          </w:p>
        </w:tc>
      </w:tr>
    </w:tbl>
    <w:p>
      <w:pPr>
        <w:spacing w:line="240" w:lineRule="auto" w:before="4"/>
        <w:rPr>
          <w:rFonts w:ascii="宋体" w:hAnsi="宋体" w:cs="宋体" w:eastAsia="宋体" w:hint="default"/>
          <w:b/>
          <w:bCs/>
          <w:sz w:val="29"/>
          <w:szCs w:val="29"/>
        </w:rPr>
      </w:pPr>
    </w:p>
    <w:p>
      <w:pPr>
        <w:pStyle w:val="Heading3"/>
        <w:spacing w:line="240" w:lineRule="auto" w:before="36"/>
        <w:ind w:left="575" w:right="0"/>
        <w:jc w:val="left"/>
        <w:rPr>
          <w:b w:val="0"/>
          <w:bCs w:val="0"/>
        </w:rPr>
      </w:pPr>
      <w:r>
        <w:rPr/>
        <w:t>（二十三）资本公积</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2580"/>
        <w:gridCol w:w="1656"/>
        <w:gridCol w:w="1399"/>
        <w:gridCol w:w="1498"/>
        <w:gridCol w:w="1658"/>
      </w:tblGrid>
      <w:tr>
        <w:trPr>
          <w:trHeight w:val="355" w:hRule="exact"/>
        </w:trPr>
        <w:tc>
          <w:tcPr>
            <w:tcW w:w="2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099"/>
              <w:jc w:val="right"/>
              <w:rPr>
                <w:rFonts w:ascii="宋体" w:hAnsi="宋体" w:cs="宋体" w:eastAsia="宋体" w:hint="default"/>
                <w:sz w:val="18"/>
                <w:szCs w:val="18"/>
              </w:rPr>
            </w:pPr>
            <w:r>
              <w:rPr>
                <w:rFonts w:ascii="宋体" w:hAnsi="宋体" w:cs="宋体" w:eastAsia="宋体" w:hint="default"/>
                <w:sz w:val="18"/>
                <w:szCs w:val="18"/>
              </w:rPr>
              <w:t>项目</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6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62,580,990.76</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62,580,990.76</w:t>
            </w:r>
          </w:p>
        </w:tc>
      </w:tr>
      <w:tr>
        <w:trPr>
          <w:trHeight w:val="355" w:hRule="exact"/>
        </w:trPr>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99"/>
              <w:jc w:val="right"/>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62,580,990.76</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62,580,990.76</w:t>
            </w:r>
          </w:p>
        </w:tc>
      </w:tr>
    </w:tbl>
    <w:p>
      <w:pPr>
        <w:spacing w:line="240" w:lineRule="auto" w:before="4"/>
        <w:rPr>
          <w:rFonts w:ascii="宋体" w:hAnsi="宋体" w:cs="宋体" w:eastAsia="宋体" w:hint="default"/>
          <w:b/>
          <w:bCs/>
          <w:sz w:val="29"/>
          <w:szCs w:val="29"/>
        </w:rPr>
      </w:pPr>
    </w:p>
    <w:p>
      <w:pPr>
        <w:pStyle w:val="Heading3"/>
        <w:spacing w:line="240" w:lineRule="auto" w:before="36"/>
        <w:ind w:left="575" w:right="0"/>
        <w:jc w:val="left"/>
        <w:rPr>
          <w:b w:val="0"/>
          <w:bCs w:val="0"/>
        </w:rPr>
      </w:pPr>
      <w:r>
        <w:rPr/>
        <w:t>（二十四）盈余公积</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2575"/>
        <w:gridCol w:w="1654"/>
        <w:gridCol w:w="1414"/>
        <w:gridCol w:w="1498"/>
        <w:gridCol w:w="1646"/>
      </w:tblGrid>
      <w:tr>
        <w:trPr>
          <w:trHeight w:val="353" w:hRule="exact"/>
        </w:trPr>
        <w:tc>
          <w:tcPr>
            <w:tcW w:w="2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097"/>
              <w:jc w:val="right"/>
              <w:rPr>
                <w:rFonts w:ascii="宋体" w:hAnsi="宋体" w:cs="宋体" w:eastAsia="宋体" w:hint="default"/>
                <w:sz w:val="18"/>
                <w:szCs w:val="18"/>
              </w:rPr>
            </w:pPr>
            <w:r>
              <w:rPr>
                <w:rFonts w:ascii="宋体" w:hAnsi="宋体" w:cs="宋体" w:eastAsia="宋体" w:hint="default"/>
                <w:sz w:val="18"/>
                <w:szCs w:val="18"/>
              </w:rPr>
              <w:t>项目</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45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5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14,026,838.97</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2,338,313.75</w:t>
            </w:r>
            <w:r>
              <w:rPr>
                <w:rFonts w:ascii="Times New Roman"/>
                <w:sz w:val="18"/>
              </w:rPr>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16,365,152.72</w:t>
            </w:r>
          </w:p>
        </w:tc>
      </w:tr>
      <w:tr>
        <w:trPr>
          <w:trHeight w:val="353" w:hRule="exact"/>
        </w:trPr>
        <w:tc>
          <w:tcPr>
            <w:tcW w:w="25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097"/>
              <w:jc w:val="right"/>
              <w:rPr>
                <w:rFonts w:ascii="宋体" w:hAnsi="宋体" w:cs="宋体" w:eastAsia="宋体" w:hint="default"/>
                <w:sz w:val="18"/>
                <w:szCs w:val="18"/>
              </w:rPr>
            </w:pPr>
            <w:r>
              <w:rPr>
                <w:rFonts w:ascii="宋体" w:hAnsi="宋体" w:cs="宋体" w:eastAsia="宋体" w:hint="default"/>
                <w:sz w:val="18"/>
                <w:szCs w:val="18"/>
              </w:rPr>
              <w:t>合计</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14,026,838.97</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2,338,313.75</w:t>
            </w:r>
            <w:r>
              <w:rPr>
                <w:rFonts w:ascii="Times New Roman"/>
                <w:sz w:val="18"/>
              </w:rPr>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16,365,152.72</w:t>
            </w:r>
          </w:p>
        </w:tc>
      </w:tr>
    </w:tbl>
    <w:p>
      <w:pPr>
        <w:spacing w:line="240" w:lineRule="auto" w:before="4"/>
        <w:rPr>
          <w:rFonts w:ascii="宋体" w:hAnsi="宋体" w:cs="宋体" w:eastAsia="宋体" w:hint="default"/>
          <w:b/>
          <w:bCs/>
          <w:sz w:val="29"/>
          <w:szCs w:val="29"/>
        </w:rPr>
      </w:pPr>
    </w:p>
    <w:p>
      <w:pPr>
        <w:pStyle w:val="Heading3"/>
        <w:spacing w:line="240" w:lineRule="auto" w:before="36"/>
        <w:ind w:left="575" w:right="0"/>
        <w:jc w:val="left"/>
        <w:rPr>
          <w:b w:val="0"/>
          <w:bCs w:val="0"/>
        </w:rPr>
      </w:pPr>
      <w:r>
        <w:rPr/>
        <w:t>（二十五）未分配利润</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108"/>
        <w:gridCol w:w="2911"/>
        <w:gridCol w:w="2786"/>
      </w:tblGrid>
      <w:tr>
        <w:trPr>
          <w:trHeight w:val="355" w:hRule="exact"/>
        </w:trPr>
        <w:tc>
          <w:tcPr>
            <w:tcW w:w="3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54"/>
                <w:sz w:val="18"/>
                <w:szCs w:val="18"/>
              </w:rPr>
              <w:t> </w:t>
            </w:r>
            <w:r>
              <w:rPr>
                <w:rFonts w:ascii="宋体" w:hAnsi="宋体" w:cs="宋体" w:eastAsia="宋体" w:hint="default"/>
                <w:sz w:val="18"/>
                <w:szCs w:val="18"/>
              </w:rPr>
              <w:t>额</w:t>
            </w:r>
          </w:p>
        </w:tc>
        <w:tc>
          <w:tcPr>
            <w:tcW w:w="27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758"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50"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101,236,053.71</w:t>
            </w:r>
            <w:r>
              <w:rPr>
                <w:rFonts w:ascii="Times New Roman"/>
                <w:sz w:val="18"/>
              </w:rPr>
            </w:r>
          </w:p>
        </w:tc>
        <w:tc>
          <w:tcPr>
            <w:tcW w:w="278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2786"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990" w:footer="1066" w:top="1220" w:bottom="1260" w:left="980" w:right="980"/>
        </w:sectPr>
      </w:pPr>
    </w:p>
    <w:p>
      <w:pPr>
        <w:spacing w:line="240" w:lineRule="auto" w:before="2"/>
        <w:rPr>
          <w:rFonts w:ascii="宋体" w:hAnsi="宋体" w:cs="宋体" w:eastAsia="宋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3108"/>
        <w:gridCol w:w="2911"/>
        <w:gridCol w:w="2786"/>
      </w:tblGrid>
      <w:tr>
        <w:trPr>
          <w:trHeight w:val="353" w:hRule="exact"/>
        </w:trPr>
        <w:tc>
          <w:tcPr>
            <w:tcW w:w="3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101,236,053.71</w:t>
            </w:r>
            <w:r>
              <w:rPr>
                <w:rFonts w:ascii="Times New Roman"/>
                <w:sz w:val="18"/>
              </w:rPr>
            </w:r>
          </w:p>
        </w:tc>
        <w:tc>
          <w:tcPr>
            <w:tcW w:w="2786" w:type="dxa"/>
            <w:tcBorders>
              <w:top w:val="single" w:sz="6" w:space="0" w:color="000000"/>
              <w:left w:val="single" w:sz="6" w:space="0" w:color="000000"/>
              <w:bottom w:val="single" w:sz="12" w:space="0" w:color="000000"/>
              <w:right w:val="nil" w:sz="6" w:space="0" w:color="auto"/>
            </w:tcBorders>
          </w:tcPr>
          <w:p>
            <w:pP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加：本期归属于母公司股东的净利润</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22,228,072.58</w:t>
            </w:r>
          </w:p>
        </w:tc>
        <w:tc>
          <w:tcPr>
            <w:tcW w:w="278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2,338,313.75</w:t>
            </w:r>
            <w:r>
              <w:rPr>
                <w:rFonts w:ascii="Times New Roman"/>
                <w:sz w:val="18"/>
              </w:rPr>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10%</w:t>
            </w:r>
          </w:p>
        </w:tc>
      </w:tr>
      <w:tr>
        <w:trPr>
          <w:trHeight w:val="350"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278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15,840,000.00</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278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105,285,812.54</w:t>
            </w:r>
            <w:r>
              <w:rPr>
                <w:rFonts w:ascii="Times New Roman"/>
                <w:sz w:val="18"/>
              </w:rPr>
            </w:r>
          </w:p>
        </w:tc>
        <w:tc>
          <w:tcPr>
            <w:tcW w:w="278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15"/>
          <w:szCs w:val="15"/>
        </w:rPr>
      </w:pPr>
    </w:p>
    <w:p>
      <w:pPr>
        <w:spacing w:line="300" w:lineRule="auto" w:before="44"/>
        <w:ind w:left="152" w:right="15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日本公司召开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年度股东大会，会议通过了《关于公司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年度利润分配议案》，本公司决定以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日公司总股本</w:t>
      </w:r>
      <w:r>
        <w:rPr>
          <w:rFonts w:ascii="Times New Roman" w:hAnsi="Times New Roman" w:cs="Times New Roman" w:eastAsia="Times New Roman" w:hint="default"/>
          <w:sz w:val="18"/>
          <w:szCs w:val="18"/>
        </w:rPr>
        <w:t>15,840</w:t>
      </w:r>
      <w:r>
        <w:rPr>
          <w:rFonts w:ascii="宋体" w:hAnsi="宋体" w:cs="宋体" w:eastAsia="宋体" w:hint="default"/>
          <w:sz w:val="18"/>
          <w:szCs w:val="18"/>
        </w:rPr>
        <w:t>万股为基数向全体股东每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股派发现金股利人民币</w:t>
      </w:r>
      <w:r>
        <w:rPr>
          <w:rFonts w:ascii="Times New Roman" w:hAnsi="Times New Roman" w:cs="Times New Roman" w:eastAsia="Times New Roman" w:hint="default"/>
          <w:sz w:val="18"/>
          <w:szCs w:val="18"/>
        </w:rPr>
        <w:t>1.00</w:t>
      </w:r>
      <w:r>
        <w:rPr>
          <w:rFonts w:ascii="宋体" w:hAnsi="宋体" w:cs="宋体" w:eastAsia="宋体" w:hint="default"/>
          <w:sz w:val="18"/>
          <w:szCs w:val="18"/>
        </w:rPr>
        <w:t>元（含税），本次分配不进行资本公积 转增股本。</w:t>
      </w:r>
    </w:p>
    <w:p>
      <w:pPr>
        <w:pStyle w:val="Heading3"/>
        <w:spacing w:line="240" w:lineRule="auto" w:before="131"/>
        <w:ind w:left="575" w:right="0"/>
        <w:jc w:val="left"/>
        <w:rPr>
          <w:b w:val="0"/>
          <w:bCs w:val="0"/>
        </w:rPr>
      </w:pPr>
      <w:r>
        <w:rPr/>
        <w:t>（二十六）营业收入与营业成本</w:t>
      </w:r>
      <w:r>
        <w:rPr>
          <w:b w:val="0"/>
          <w:bCs w:val="0"/>
        </w:rPr>
      </w:r>
    </w:p>
    <w:p>
      <w:pPr>
        <w:pStyle w:val="Heading3"/>
        <w:spacing w:line="240" w:lineRule="auto" w:before="37"/>
        <w:ind w:left="580" w:right="0"/>
        <w:jc w:val="left"/>
        <w:rPr>
          <w:b w:val="0"/>
          <w:bCs w:val="0"/>
        </w:rPr>
      </w:pPr>
      <w:r>
        <w:rPr>
          <w:rFonts w:ascii="Times New Roman" w:hAnsi="Times New Roman" w:cs="Times New Roman" w:eastAsia="Times New Roman" w:hint="default"/>
        </w:rPr>
        <w:t>1</w:t>
      </w:r>
      <w:r>
        <w:rPr/>
        <w:t>、营业收入与营业成本分类情况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122"/>
        <w:gridCol w:w="2911"/>
        <w:gridCol w:w="2798"/>
      </w:tblGrid>
      <w:tr>
        <w:trPr>
          <w:trHeight w:val="353" w:hRule="exact"/>
        </w:trPr>
        <w:tc>
          <w:tcPr>
            <w:tcW w:w="31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99,441,831.01</w:t>
            </w:r>
          </w:p>
        </w:tc>
        <w:tc>
          <w:tcPr>
            <w:tcW w:w="27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82,827,812.22</w:t>
            </w:r>
          </w:p>
        </w:tc>
      </w:tr>
      <w:tr>
        <w:trPr>
          <w:trHeight w:val="353"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99,441,831.01</w:t>
            </w:r>
          </w:p>
        </w:tc>
        <w:tc>
          <w:tcPr>
            <w:tcW w:w="27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82,827,812.22</w:t>
            </w:r>
          </w:p>
        </w:tc>
      </w:tr>
      <w:tr>
        <w:trPr>
          <w:trHeight w:val="350"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4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27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34,863,885.73</w:t>
            </w:r>
          </w:p>
        </w:tc>
        <w:tc>
          <w:tcPr>
            <w:tcW w:w="27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21,566,659.94</w:t>
            </w:r>
          </w:p>
        </w:tc>
      </w:tr>
      <w:tr>
        <w:trPr>
          <w:trHeight w:val="353"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34,863,885.73</w:t>
            </w:r>
          </w:p>
        </w:tc>
        <w:tc>
          <w:tcPr>
            <w:tcW w:w="27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21,566,659.94</w:t>
            </w:r>
          </w:p>
        </w:tc>
      </w:tr>
      <w:tr>
        <w:trPr>
          <w:trHeight w:val="353"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36"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27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20"/>
          <w:szCs w:val="20"/>
        </w:rPr>
      </w:pPr>
    </w:p>
    <w:p>
      <w:pPr>
        <w:pStyle w:val="Heading3"/>
        <w:spacing w:line="240" w:lineRule="auto" w:before="36"/>
        <w:ind w:left="580" w:right="0"/>
        <w:jc w:val="left"/>
        <w:rPr>
          <w:b w:val="0"/>
          <w:bCs w:val="0"/>
        </w:rPr>
      </w:pPr>
      <w:r>
        <w:rPr>
          <w:rFonts w:ascii="Times New Roman" w:hAnsi="Times New Roman" w:cs="Times New Roman" w:eastAsia="Times New Roman" w:hint="default"/>
        </w:rPr>
        <w:t>2</w:t>
      </w:r>
      <w:r>
        <w:rPr/>
        <w:t>、本公司前五名客户的营业收入情况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122"/>
        <w:gridCol w:w="2897"/>
        <w:gridCol w:w="2801"/>
      </w:tblGrid>
      <w:tr>
        <w:trPr>
          <w:trHeight w:val="355" w:hRule="exact"/>
        </w:trPr>
        <w:tc>
          <w:tcPr>
            <w:tcW w:w="31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902"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28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50"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广东教育书店有限公司</w:t>
            </w:r>
          </w:p>
        </w:tc>
        <w:tc>
          <w:tcPr>
            <w:tcW w:w="2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14,785,566.05</w:t>
            </w:r>
          </w:p>
        </w:tc>
        <w:tc>
          <w:tcPr>
            <w:tcW w:w="28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14.87</w:t>
            </w:r>
          </w:p>
        </w:tc>
      </w:tr>
      <w:tr>
        <w:trPr>
          <w:trHeight w:val="353"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12,574,391.45</w:t>
            </w:r>
            <w:r>
              <w:rPr>
                <w:rFonts w:ascii="Times New Roman"/>
                <w:sz w:val="18"/>
              </w:rPr>
            </w:r>
          </w:p>
        </w:tc>
        <w:tc>
          <w:tcPr>
            <w:tcW w:w="28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12.65</w:t>
            </w:r>
          </w:p>
        </w:tc>
      </w:tr>
      <w:tr>
        <w:trPr>
          <w:trHeight w:val="353"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广州市新华书店集团有限公司</w:t>
            </w:r>
          </w:p>
        </w:tc>
        <w:tc>
          <w:tcPr>
            <w:tcW w:w="2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6,353,432.57</w:t>
            </w:r>
            <w:r>
              <w:rPr>
                <w:rFonts w:ascii="Times New Roman"/>
                <w:sz w:val="18"/>
              </w:rPr>
            </w:r>
          </w:p>
        </w:tc>
        <w:tc>
          <w:tcPr>
            <w:tcW w:w="28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6.39</w:t>
            </w:r>
            <w:r>
              <w:rPr>
                <w:rFonts w:ascii="Times New Roman"/>
                <w:sz w:val="18"/>
              </w:rPr>
            </w:r>
          </w:p>
        </w:tc>
      </w:tr>
      <w:tr>
        <w:trPr>
          <w:trHeight w:val="350"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人民教育电子音像出版社有限公司</w:t>
            </w:r>
          </w:p>
        </w:tc>
        <w:tc>
          <w:tcPr>
            <w:tcW w:w="2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5,601,998.81</w:t>
            </w:r>
            <w:r>
              <w:rPr>
                <w:rFonts w:ascii="Times New Roman"/>
                <w:sz w:val="18"/>
              </w:rPr>
            </w:r>
          </w:p>
        </w:tc>
        <w:tc>
          <w:tcPr>
            <w:tcW w:w="28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5.63</w:t>
            </w:r>
            <w:r>
              <w:rPr>
                <w:rFonts w:ascii="Times New Roman"/>
                <w:sz w:val="18"/>
              </w:rPr>
            </w:r>
          </w:p>
        </w:tc>
      </w:tr>
      <w:tr>
        <w:trPr>
          <w:trHeight w:val="353"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广东教育出版社有限公司</w:t>
            </w:r>
          </w:p>
        </w:tc>
        <w:tc>
          <w:tcPr>
            <w:tcW w:w="2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5,214,804.56</w:t>
            </w:r>
            <w:r>
              <w:rPr>
                <w:rFonts w:ascii="Times New Roman"/>
                <w:sz w:val="18"/>
              </w:rPr>
            </w:r>
          </w:p>
        </w:tc>
        <w:tc>
          <w:tcPr>
            <w:tcW w:w="28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5.24</w:t>
            </w:r>
            <w:r>
              <w:rPr>
                <w:rFonts w:ascii="Times New Roman"/>
                <w:sz w:val="18"/>
              </w:rPr>
            </w:r>
          </w:p>
        </w:tc>
      </w:tr>
      <w:tr>
        <w:trPr>
          <w:trHeight w:val="353"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44,530,193.44</w:t>
            </w:r>
          </w:p>
        </w:tc>
        <w:tc>
          <w:tcPr>
            <w:tcW w:w="28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44.78</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3"/>
        <w:spacing w:line="240" w:lineRule="auto" w:before="36"/>
        <w:ind w:left="580" w:right="0"/>
        <w:jc w:val="left"/>
        <w:rPr>
          <w:b w:val="0"/>
          <w:bCs w:val="0"/>
        </w:rPr>
      </w:pPr>
      <w:r>
        <w:rPr>
          <w:rFonts w:ascii="Times New Roman" w:hAnsi="Times New Roman" w:cs="Times New Roman" w:eastAsia="Times New Roman" w:hint="default"/>
        </w:rPr>
        <w:t>3</w:t>
      </w:r>
      <w:r>
        <w:rPr/>
        <w:t>、主营业务（分产品）</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918"/>
        <w:gridCol w:w="1694"/>
        <w:gridCol w:w="1639"/>
        <w:gridCol w:w="1747"/>
        <w:gridCol w:w="1822"/>
      </w:tblGrid>
      <w:tr>
        <w:trPr>
          <w:trHeight w:val="355" w:hRule="exact"/>
        </w:trPr>
        <w:tc>
          <w:tcPr>
            <w:tcW w:w="1918" w:type="dxa"/>
            <w:vMerge w:val="restart"/>
            <w:tcBorders>
              <w:top w:val="single" w:sz="6" w:space="0" w:color="000000"/>
              <w:left w:val="single" w:sz="6" w:space="0" w:color="000000"/>
              <w:right w:val="single" w:sz="6" w:space="0" w:color="000000"/>
            </w:tcBorders>
          </w:tcPr>
          <w:p>
            <w:pPr>
              <w:pStyle w:val="TableParagraph"/>
              <w:spacing w:line="240" w:lineRule="auto" w:before="17"/>
              <w:ind w:left="592"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33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69"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1918" w:type="dxa"/>
            <w:vMerge/>
            <w:tcBorders>
              <w:left w:val="single" w:sz="6" w:space="0" w:color="000000"/>
              <w:bottom w:val="single" w:sz="12" w:space="0" w:color="000000"/>
              <w:right w:val="single" w:sz="6" w:space="0" w:color="000000"/>
            </w:tcBorders>
          </w:tcPr>
          <w:p>
            <w:pP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5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54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3"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方直金太阳教育软件</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71,477,412.79</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21,898,252.40</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65,702,185.76</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16,427,923.75</w:t>
            </w:r>
          </w:p>
        </w:tc>
      </w:tr>
      <w:tr>
        <w:trPr>
          <w:trHeight w:val="353"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17,402,187.70</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12,965,633.33</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6,893,307.68</w:t>
            </w:r>
            <w:r>
              <w:rPr>
                <w:rFonts w:ascii="Times New Roman"/>
                <w:sz w:val="18"/>
              </w:rPr>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5,138,736.19</w:t>
            </w:r>
            <w:r>
              <w:rPr>
                <w:rFonts w:ascii="Times New Roman"/>
                <w:sz w:val="18"/>
              </w:rPr>
            </w:r>
          </w:p>
        </w:tc>
      </w:tr>
      <w:tr>
        <w:trPr>
          <w:trHeight w:val="350"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10,562,230.52</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10,232,318.78</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99,441,831.01</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34,863,885.73</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82,827,812.22</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21,566,659.94</w:t>
            </w:r>
          </w:p>
        </w:tc>
      </w:tr>
    </w:tbl>
    <w:p>
      <w:pPr>
        <w:spacing w:line="240" w:lineRule="auto" w:before="6"/>
        <w:rPr>
          <w:rFonts w:ascii="宋体" w:hAnsi="宋体" w:cs="宋体" w:eastAsia="宋体" w:hint="default"/>
          <w:b/>
          <w:bCs/>
          <w:sz w:val="5"/>
          <w:szCs w:val="5"/>
        </w:rPr>
      </w:pPr>
    </w:p>
    <w:p>
      <w:pPr>
        <w:pStyle w:val="Heading3"/>
        <w:spacing w:line="240" w:lineRule="auto" w:before="36"/>
        <w:ind w:left="580" w:right="0"/>
        <w:jc w:val="left"/>
        <w:rPr>
          <w:b w:val="0"/>
          <w:bCs w:val="0"/>
        </w:rPr>
      </w:pPr>
      <w:r>
        <w:rPr>
          <w:rFonts w:ascii="Times New Roman" w:hAnsi="Times New Roman" w:cs="Times New Roman" w:eastAsia="Times New Roman" w:hint="default"/>
        </w:rPr>
        <w:t>4</w:t>
      </w:r>
      <w:r>
        <w:rPr/>
        <w:t>、主营业务（分地区）</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918"/>
        <w:gridCol w:w="3334"/>
        <w:gridCol w:w="3569"/>
      </w:tblGrid>
      <w:tr>
        <w:trPr>
          <w:trHeight w:val="358" w:hRule="exact"/>
        </w:trPr>
        <w:tc>
          <w:tcPr>
            <w:tcW w:w="19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1918"/>
        <w:gridCol w:w="1680"/>
        <w:gridCol w:w="1654"/>
        <w:gridCol w:w="1747"/>
        <w:gridCol w:w="1822"/>
      </w:tblGrid>
      <w:tr>
        <w:trPr>
          <w:trHeight w:val="353" w:hRule="exact"/>
        </w:trPr>
        <w:tc>
          <w:tcPr>
            <w:tcW w:w="1918" w:type="dxa"/>
            <w:tcBorders>
              <w:top w:val="single" w:sz="6" w:space="0" w:color="000000"/>
              <w:left w:val="single" w:sz="6" w:space="0" w:color="000000"/>
              <w:bottom w:val="single" w:sz="12" w:space="0" w:color="000000"/>
              <w:right w:val="single" w:sz="6" w:space="0" w:color="000000"/>
            </w:tcBorders>
          </w:tcPr>
          <w:p>
            <w:pP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7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6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5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left="54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3"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14,918,322.19</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3,397,469.75</w:t>
            </w:r>
            <w:r>
              <w:rPr>
                <w:rFonts w:ascii="Times New Roman"/>
                <w:sz w:val="18"/>
              </w:rPr>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12,863,550.67</w:t>
            </w:r>
            <w:r>
              <w:rPr>
                <w:rFonts w:ascii="Times New Roman"/>
                <w:sz w:val="18"/>
              </w:rPr>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1,484,873.26</w:t>
            </w:r>
            <w:r>
              <w:rPr>
                <w:rFonts w:ascii="Times New Roman"/>
                <w:sz w:val="18"/>
              </w:rPr>
            </w:r>
          </w:p>
        </w:tc>
      </w:tr>
      <w:tr>
        <w:trPr>
          <w:trHeight w:val="353"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12,929,023.85</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2,503,211.40</w:t>
            </w:r>
            <w:r>
              <w:rPr>
                <w:rFonts w:ascii="Times New Roman"/>
                <w:sz w:val="18"/>
              </w:rPr>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16,442,456.29</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4,366,381.39</w:t>
            </w:r>
            <w:r>
              <w:rPr>
                <w:rFonts w:ascii="Times New Roman"/>
                <w:sz w:val="18"/>
              </w:rPr>
            </w:r>
          </w:p>
        </w:tc>
      </w:tr>
      <w:tr>
        <w:trPr>
          <w:trHeight w:val="350"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65,043,383.12</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27,597,819.00</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47,953,417.99</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14,866,458.40</w:t>
            </w:r>
          </w:p>
        </w:tc>
      </w:tr>
      <w:tr>
        <w:trPr>
          <w:trHeight w:val="353"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6,551,101.85</w:t>
            </w:r>
            <w:r>
              <w:rPr>
                <w:rFonts w:ascii="Times New Roman"/>
                <w:sz w:val="18"/>
              </w:rPr>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1,365,385.58</w:t>
            </w:r>
            <w:r>
              <w:rPr>
                <w:rFonts w:ascii="Times New Roman"/>
                <w:sz w:val="18"/>
              </w:rPr>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5,568,387.27</w:t>
            </w:r>
            <w:r>
              <w:rPr>
                <w:rFonts w:ascii="Times New Roman"/>
                <w:sz w:val="18"/>
              </w:rPr>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848,946.89</w:t>
            </w:r>
          </w:p>
        </w:tc>
      </w:tr>
      <w:tr>
        <w:trPr>
          <w:trHeight w:val="353"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99,441,831.01</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34,863,885.73</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82,827,812.22</w:t>
            </w:r>
            <w:r>
              <w:rPr>
                <w:rFonts w:ascii="Times New Roman"/>
                <w:sz w:val="18"/>
              </w:rPr>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21,566,659.94</w:t>
            </w:r>
          </w:p>
        </w:tc>
      </w:tr>
    </w:tbl>
    <w:p>
      <w:pPr>
        <w:spacing w:line="240" w:lineRule="auto" w:before="6"/>
        <w:rPr>
          <w:rFonts w:ascii="宋体" w:hAnsi="宋体" w:cs="宋体" w:eastAsia="宋体" w:hint="default"/>
          <w:b/>
          <w:bCs/>
          <w:sz w:val="5"/>
          <w:szCs w:val="5"/>
        </w:rPr>
      </w:pPr>
    </w:p>
    <w:p>
      <w:pPr>
        <w:pStyle w:val="Heading3"/>
        <w:spacing w:line="240" w:lineRule="auto" w:before="36"/>
        <w:ind w:left="575" w:right="0"/>
        <w:jc w:val="left"/>
        <w:rPr>
          <w:b w:val="0"/>
          <w:bCs w:val="0"/>
        </w:rPr>
      </w:pPr>
      <w:r>
        <w:rPr/>
        <w:t>（二十七）营业税金及附加</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137"/>
        <w:gridCol w:w="2966"/>
        <w:gridCol w:w="2729"/>
      </w:tblGrid>
      <w:tr>
        <w:trPr>
          <w:trHeight w:val="355" w:hRule="exact"/>
        </w:trPr>
        <w:tc>
          <w:tcPr>
            <w:tcW w:w="31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379"/>
              <w:jc w:val="right"/>
              <w:rPr>
                <w:rFonts w:ascii="宋体" w:hAnsi="宋体" w:cs="宋体" w:eastAsia="宋体" w:hint="default"/>
                <w:sz w:val="18"/>
                <w:szCs w:val="18"/>
              </w:rPr>
            </w:pPr>
            <w:r>
              <w:rPr>
                <w:rFonts w:ascii="宋体" w:hAnsi="宋体" w:cs="宋体" w:eastAsia="宋体" w:hint="default"/>
                <w:sz w:val="18"/>
                <w:szCs w:val="18"/>
              </w:rPr>
              <w:t>项目</w:t>
            </w:r>
          </w:p>
        </w:tc>
        <w:tc>
          <w:tcPr>
            <w:tcW w:w="29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26,978.58</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40,307.79</w:t>
            </w:r>
          </w:p>
        </w:tc>
      </w:tr>
      <w:tr>
        <w:trPr>
          <w:trHeight w:val="350"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468,103.47</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503,877.19</w:t>
            </w:r>
          </w:p>
        </w:tc>
      </w:tr>
      <w:tr>
        <w:trPr>
          <w:trHeight w:val="353"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334,359.64</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359,912.27</w:t>
            </w:r>
          </w:p>
        </w:tc>
      </w:tr>
      <w:tr>
        <w:trPr>
          <w:trHeight w:val="350"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3,791.23</w:t>
            </w:r>
          </w:p>
        </w:tc>
      </w:tr>
      <w:tr>
        <w:trPr>
          <w:trHeight w:val="355"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379"/>
              <w:jc w:val="right"/>
              <w:rPr>
                <w:rFonts w:ascii="宋体" w:hAnsi="宋体" w:cs="宋体" w:eastAsia="宋体" w:hint="default"/>
                <w:sz w:val="18"/>
                <w:szCs w:val="18"/>
              </w:rPr>
            </w:pPr>
            <w:r>
              <w:rPr>
                <w:rFonts w:ascii="宋体" w:hAnsi="宋体" w:cs="宋体" w:eastAsia="宋体" w:hint="default"/>
                <w:sz w:val="18"/>
                <w:szCs w:val="18"/>
              </w:rPr>
              <w:t>合计</w:t>
            </w:r>
          </w:p>
        </w:tc>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829,441.69</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907,888.48</w:t>
            </w:r>
          </w:p>
        </w:tc>
      </w:tr>
    </w:tbl>
    <w:p>
      <w:pPr>
        <w:spacing w:line="240" w:lineRule="auto" w:before="6"/>
        <w:rPr>
          <w:rFonts w:ascii="宋体" w:hAnsi="宋体" w:cs="宋体" w:eastAsia="宋体" w:hint="default"/>
          <w:b/>
          <w:bCs/>
          <w:sz w:val="5"/>
          <w:szCs w:val="5"/>
        </w:rPr>
      </w:pPr>
    </w:p>
    <w:p>
      <w:pPr>
        <w:pStyle w:val="Heading3"/>
        <w:spacing w:line="240" w:lineRule="auto" w:before="36"/>
        <w:ind w:left="575" w:right="0"/>
        <w:jc w:val="left"/>
        <w:rPr>
          <w:b w:val="0"/>
          <w:bCs w:val="0"/>
        </w:rPr>
      </w:pPr>
      <w:r>
        <w:rPr/>
        <w:t>（二十八）销售费用</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108"/>
        <w:gridCol w:w="2995"/>
        <w:gridCol w:w="2736"/>
      </w:tblGrid>
      <w:tr>
        <w:trPr>
          <w:trHeight w:val="353" w:hRule="exact"/>
        </w:trPr>
        <w:tc>
          <w:tcPr>
            <w:tcW w:w="3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363"/>
              <w:jc w:val="right"/>
              <w:rPr>
                <w:rFonts w:ascii="宋体" w:hAnsi="宋体" w:cs="宋体" w:eastAsia="宋体" w:hint="default"/>
                <w:sz w:val="18"/>
                <w:szCs w:val="18"/>
              </w:rPr>
            </w:pPr>
            <w:r>
              <w:rPr>
                <w:rFonts w:ascii="宋体" w:hAnsi="宋体" w:cs="宋体" w:eastAsia="宋体" w:hint="default"/>
                <w:sz w:val="18"/>
                <w:szCs w:val="18"/>
              </w:rPr>
              <w:t>项目</w:t>
            </w:r>
          </w:p>
        </w:tc>
        <w:tc>
          <w:tcPr>
            <w:tcW w:w="29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11,850,362.54</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9,632,627.61</w:t>
            </w:r>
            <w:r>
              <w:rPr>
                <w:rFonts w:ascii="Times New Roman"/>
                <w:sz w:val="18"/>
              </w:rPr>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1,327,610.58</w:t>
            </w:r>
            <w:r>
              <w:rPr>
                <w:rFonts w:ascii="Times New Roman"/>
                <w:sz w:val="18"/>
              </w:rPr>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1,323,355.43</w:t>
            </w:r>
            <w:r>
              <w:rPr>
                <w:rFonts w:ascii="Times New Roman"/>
                <w:sz w:val="18"/>
              </w:rPr>
            </w:r>
          </w:p>
        </w:tc>
      </w:tr>
      <w:tr>
        <w:trPr>
          <w:trHeight w:val="350"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2,876,311.32</w:t>
            </w:r>
            <w:r>
              <w:rPr>
                <w:rFonts w:ascii="Times New Roman"/>
                <w:sz w:val="18"/>
              </w:rPr>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3,621,310.05</w:t>
            </w:r>
            <w:r>
              <w:rPr>
                <w:rFonts w:ascii="Times New Roman"/>
                <w:sz w:val="18"/>
              </w:rPr>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171,151.19</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323,822.86</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1,288,994.05</w:t>
            </w:r>
            <w:r>
              <w:rPr>
                <w:rFonts w:ascii="Times New Roman"/>
                <w:sz w:val="18"/>
              </w:rPr>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1,127,934.21</w:t>
            </w:r>
            <w:r>
              <w:rPr>
                <w:rFonts w:ascii="Times New Roman"/>
                <w:sz w:val="18"/>
              </w:rPr>
            </w:r>
          </w:p>
        </w:tc>
      </w:tr>
      <w:tr>
        <w:trPr>
          <w:trHeight w:val="350"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790,063.88</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671,262.69</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1,920,063.62</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1,660,105.62</w:t>
            </w:r>
            <w:r>
              <w:rPr>
                <w:rFonts w:ascii="Times New Roman"/>
                <w:sz w:val="18"/>
              </w:rPr>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606,354.87</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618,972.01</w:t>
            </w:r>
          </w:p>
        </w:tc>
      </w:tr>
      <w:tr>
        <w:trPr>
          <w:trHeight w:val="350"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会务费及培训费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712,745.60</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674,781.84</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通讯费及网络费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133,955.32</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136,805.78</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362,897.56</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51,398.48</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363"/>
              <w:jc w:val="right"/>
              <w:rPr>
                <w:rFonts w:ascii="宋体" w:hAnsi="宋体" w:cs="宋体" w:eastAsia="宋体" w:hint="default"/>
                <w:sz w:val="18"/>
                <w:szCs w:val="18"/>
              </w:rPr>
            </w:pPr>
            <w:r>
              <w:rPr>
                <w:rFonts w:ascii="宋体" w:hAnsi="宋体" w:cs="宋体" w:eastAsia="宋体" w:hint="default"/>
                <w:sz w:val="18"/>
                <w:szCs w:val="18"/>
              </w:rPr>
              <w:t>合计</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22,040,510.53</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19,842,376.58</w:t>
            </w:r>
          </w:p>
        </w:tc>
      </w:tr>
    </w:tbl>
    <w:p>
      <w:pPr>
        <w:spacing w:line="240" w:lineRule="auto" w:before="6"/>
        <w:rPr>
          <w:rFonts w:ascii="宋体" w:hAnsi="宋体" w:cs="宋体" w:eastAsia="宋体" w:hint="default"/>
          <w:b/>
          <w:bCs/>
          <w:sz w:val="5"/>
          <w:szCs w:val="5"/>
        </w:rPr>
      </w:pPr>
    </w:p>
    <w:p>
      <w:pPr>
        <w:pStyle w:val="Heading3"/>
        <w:spacing w:line="240" w:lineRule="auto" w:before="36"/>
        <w:ind w:left="575" w:right="0"/>
        <w:jc w:val="left"/>
        <w:rPr>
          <w:b w:val="0"/>
          <w:bCs w:val="0"/>
        </w:rPr>
      </w:pPr>
      <w:r>
        <w:rPr/>
        <w:t>（二十九）管理费用</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108"/>
        <w:gridCol w:w="2995"/>
        <w:gridCol w:w="2729"/>
      </w:tblGrid>
      <w:tr>
        <w:trPr>
          <w:trHeight w:val="353" w:hRule="exact"/>
        </w:trPr>
        <w:tc>
          <w:tcPr>
            <w:tcW w:w="3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17,052,542.10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17,256,623.60</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5,568,232.41</w:t>
            </w:r>
            <w:r>
              <w:rPr>
                <w:rFonts w:ascii="Times New Roman"/>
                <w:sz w:val="18"/>
              </w:rPr>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5,775,313.10</w:t>
            </w:r>
            <w:r>
              <w:rPr>
                <w:rFonts w:ascii="Times New Roman"/>
                <w:sz w:val="18"/>
              </w:rPr>
            </w:r>
          </w:p>
        </w:tc>
      </w:tr>
      <w:tr>
        <w:trPr>
          <w:trHeight w:val="350"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332,197.68</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268,701.31</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456,799.32</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406,284.88</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130,116.90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86,532.89</w:t>
            </w:r>
          </w:p>
        </w:tc>
      </w:tr>
      <w:tr>
        <w:trPr>
          <w:trHeight w:val="350"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913,237.40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643,147.10</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153,313.19</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151,414.97</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477,292.91</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580,990.96</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158,658.73</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77,601.90</w:t>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3108"/>
        <w:gridCol w:w="2995"/>
        <w:gridCol w:w="2729"/>
      </w:tblGrid>
      <w:tr>
        <w:trPr>
          <w:trHeight w:val="353" w:hRule="exact"/>
        </w:trPr>
        <w:tc>
          <w:tcPr>
            <w:tcW w:w="3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会费及年审费、中介机构费</w:t>
            </w:r>
          </w:p>
        </w:tc>
        <w:tc>
          <w:tcPr>
            <w:tcW w:w="29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1,103,277.71</w:t>
            </w:r>
            <w:r>
              <w:rPr>
                <w:rFonts w:ascii="Times New Roman"/>
                <w:sz w:val="18"/>
              </w:rPr>
            </w:r>
          </w:p>
        </w:tc>
        <w:tc>
          <w:tcPr>
            <w:tcW w:w="27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1,490,292.80</w:t>
            </w:r>
            <w:r>
              <w:rPr>
                <w:rFonts w:ascii="Times New Roman"/>
                <w:sz w:val="18"/>
              </w:rPr>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通讯费及网络费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172,660.15</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223,443.72</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436,058.76</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493,919.70</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26,954,387.26</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27,454,266.93</w:t>
            </w:r>
          </w:p>
        </w:tc>
      </w:tr>
    </w:tbl>
    <w:p>
      <w:pPr>
        <w:spacing w:line="240" w:lineRule="auto" w:before="4"/>
        <w:rPr>
          <w:rFonts w:ascii="宋体" w:hAnsi="宋体" w:cs="宋体" w:eastAsia="宋体" w:hint="default"/>
          <w:b/>
          <w:bCs/>
          <w:sz w:val="29"/>
          <w:szCs w:val="29"/>
        </w:rPr>
      </w:pPr>
    </w:p>
    <w:p>
      <w:pPr>
        <w:pStyle w:val="Heading3"/>
        <w:spacing w:line="240" w:lineRule="auto" w:before="36"/>
        <w:ind w:left="575" w:right="0"/>
        <w:jc w:val="left"/>
        <w:rPr>
          <w:b w:val="0"/>
          <w:bCs w:val="0"/>
        </w:rPr>
      </w:pPr>
      <w:r>
        <w:rPr/>
        <w:t>（三十）财务费用</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108"/>
        <w:gridCol w:w="2995"/>
        <w:gridCol w:w="2736"/>
      </w:tblGrid>
      <w:tr>
        <w:trPr>
          <w:trHeight w:val="353" w:hRule="exact"/>
        </w:trPr>
        <w:tc>
          <w:tcPr>
            <w:tcW w:w="3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363"/>
              <w:jc w:val="right"/>
              <w:rPr>
                <w:rFonts w:ascii="宋体" w:hAnsi="宋体" w:cs="宋体" w:eastAsia="宋体" w:hint="default"/>
                <w:sz w:val="18"/>
                <w:szCs w:val="18"/>
              </w:rPr>
            </w:pPr>
            <w:r>
              <w:rPr>
                <w:rFonts w:ascii="宋体" w:hAnsi="宋体" w:cs="宋体" w:eastAsia="宋体" w:hint="default"/>
                <w:sz w:val="18"/>
                <w:szCs w:val="18"/>
              </w:rPr>
              <w:t>类别</w:t>
            </w:r>
          </w:p>
        </w:tc>
        <w:tc>
          <w:tcPr>
            <w:tcW w:w="29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826,425.82</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3,004,769.69</w:t>
            </w:r>
            <w:r>
              <w:rPr>
                <w:rFonts w:ascii="Times New Roman"/>
                <w:sz w:val="18"/>
              </w:rPr>
            </w:r>
          </w:p>
        </w:tc>
      </w:tr>
      <w:tr>
        <w:trPr>
          <w:trHeight w:val="350"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(19,262.83)</w:t>
            </w:r>
            <w:r>
              <w:rPr>
                <w:rFonts w:ascii="Times New Roman"/>
                <w:sz w:val="18"/>
              </w:rPr>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(30,857.31)</w:t>
            </w:r>
            <w:r>
              <w:rPr>
                <w:rFonts w:ascii="Times New Roman"/>
                <w:sz w:val="18"/>
              </w:rPr>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其他杂费</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w:t>
            </w:r>
            <w:r>
              <w:rPr>
                <w:rFonts w:ascii="Times New Roman" w:hAnsi="Times New Roman" w:cs="Times New Roman" w:eastAsia="Times New Roman" w:hint="default"/>
                <w:sz w:val="18"/>
                <w:szCs w:val="18"/>
              </w:rPr>
              <w:t>)</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24,974.03</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22,494.36</w:t>
            </w:r>
          </w:p>
        </w:tc>
      </w:tr>
      <w:tr>
        <w:trPr>
          <w:trHeight w:val="353"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363"/>
              <w:jc w:val="right"/>
              <w:rPr>
                <w:rFonts w:ascii="宋体" w:hAnsi="宋体" w:cs="宋体" w:eastAsia="宋体" w:hint="default"/>
                <w:sz w:val="18"/>
                <w:szCs w:val="18"/>
              </w:rPr>
            </w:pPr>
            <w:r>
              <w:rPr>
                <w:rFonts w:ascii="宋体" w:hAnsi="宋体" w:cs="宋体" w:eastAsia="宋体" w:hint="default"/>
                <w:sz w:val="18"/>
                <w:szCs w:val="18"/>
              </w:rPr>
              <w:t>合计</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(820,714.62)</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w w:val="95"/>
                <w:sz w:val="18"/>
              </w:rPr>
              <w:t>(3,013,132.64)</w:t>
            </w:r>
            <w:r>
              <w:rPr>
                <w:rFonts w:ascii="Times New Roman"/>
                <w:sz w:val="18"/>
              </w:rPr>
            </w:r>
          </w:p>
        </w:tc>
      </w:tr>
    </w:tbl>
    <w:p>
      <w:pPr>
        <w:spacing w:line="240" w:lineRule="auto" w:before="4"/>
        <w:rPr>
          <w:rFonts w:ascii="宋体" w:hAnsi="宋体" w:cs="宋体" w:eastAsia="宋体" w:hint="default"/>
          <w:b/>
          <w:bCs/>
          <w:sz w:val="29"/>
          <w:szCs w:val="29"/>
        </w:rPr>
      </w:pPr>
    </w:p>
    <w:p>
      <w:pPr>
        <w:pStyle w:val="Heading3"/>
        <w:spacing w:line="240" w:lineRule="auto" w:before="36"/>
        <w:ind w:left="575" w:right="0"/>
        <w:jc w:val="left"/>
        <w:rPr>
          <w:b w:val="0"/>
          <w:bCs w:val="0"/>
        </w:rPr>
      </w:pPr>
      <w:r>
        <w:rPr/>
        <w:t>（三十一）资产减值损失</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122"/>
        <w:gridCol w:w="2995"/>
        <w:gridCol w:w="2722"/>
      </w:tblGrid>
      <w:tr>
        <w:trPr>
          <w:trHeight w:val="355" w:hRule="exact"/>
        </w:trPr>
        <w:tc>
          <w:tcPr>
            <w:tcW w:w="31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370"/>
              <w:jc w:val="right"/>
              <w:rPr>
                <w:rFonts w:ascii="宋体" w:hAnsi="宋体" w:cs="宋体" w:eastAsia="宋体" w:hint="default"/>
                <w:sz w:val="18"/>
                <w:szCs w:val="18"/>
              </w:rPr>
            </w:pPr>
            <w:r>
              <w:rPr>
                <w:rFonts w:ascii="宋体" w:hAnsi="宋体" w:cs="宋体" w:eastAsia="宋体" w:hint="default"/>
                <w:sz w:val="18"/>
                <w:szCs w:val="18"/>
              </w:rPr>
              <w:t>项目</w:t>
            </w:r>
          </w:p>
        </w:tc>
        <w:tc>
          <w:tcPr>
            <w:tcW w:w="29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90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698,825.72</w:t>
            </w:r>
          </w:p>
        </w:tc>
        <w:tc>
          <w:tcPr>
            <w:tcW w:w="27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410,698.33</w:t>
            </w:r>
          </w:p>
        </w:tc>
      </w:tr>
      <w:tr>
        <w:trPr>
          <w:trHeight w:val="350"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404,109.46</w:t>
            </w:r>
          </w:p>
        </w:tc>
        <w:tc>
          <w:tcPr>
            <w:tcW w:w="27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1,552,732.21</w:t>
            </w:r>
            <w:r>
              <w:rPr>
                <w:rFonts w:ascii="Times New Roman"/>
                <w:sz w:val="18"/>
              </w:rPr>
            </w:r>
          </w:p>
        </w:tc>
      </w:tr>
      <w:tr>
        <w:trPr>
          <w:trHeight w:val="353"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370"/>
              <w:jc w:val="right"/>
              <w:rPr>
                <w:rFonts w:ascii="宋体" w:hAnsi="宋体" w:cs="宋体" w:eastAsia="宋体" w:hint="default"/>
                <w:sz w:val="18"/>
                <w:szCs w:val="18"/>
              </w:rPr>
            </w:pPr>
            <w:r>
              <w:rPr>
                <w:rFonts w:ascii="宋体" w:hAnsi="宋体" w:cs="宋体" w:eastAsia="宋体" w:hint="default"/>
                <w:sz w:val="18"/>
                <w:szCs w:val="18"/>
              </w:rPr>
              <w:t>合计</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1,102,935.18</w:t>
            </w:r>
            <w:r>
              <w:rPr>
                <w:rFonts w:ascii="Times New Roman"/>
                <w:sz w:val="18"/>
              </w:rPr>
            </w:r>
          </w:p>
        </w:tc>
        <w:tc>
          <w:tcPr>
            <w:tcW w:w="27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1,963,430.54</w:t>
            </w:r>
            <w:r>
              <w:rPr>
                <w:rFonts w:ascii="Times New Roman"/>
                <w:sz w:val="18"/>
              </w:rPr>
            </w:r>
          </w:p>
        </w:tc>
      </w:tr>
    </w:tbl>
    <w:p>
      <w:pPr>
        <w:spacing w:line="240" w:lineRule="auto" w:before="6"/>
        <w:rPr>
          <w:rFonts w:ascii="宋体" w:hAnsi="宋体" w:cs="宋体" w:eastAsia="宋体" w:hint="default"/>
          <w:b/>
          <w:bCs/>
          <w:sz w:val="5"/>
          <w:szCs w:val="5"/>
        </w:rPr>
      </w:pPr>
    </w:p>
    <w:p>
      <w:pPr>
        <w:pStyle w:val="Heading3"/>
        <w:spacing w:line="273" w:lineRule="auto" w:before="36"/>
        <w:ind w:left="577" w:right="7455" w:hanging="3"/>
        <w:jc w:val="left"/>
        <w:rPr>
          <w:b w:val="0"/>
          <w:bCs w:val="0"/>
        </w:rPr>
      </w:pPr>
      <w:r>
        <w:rPr/>
        <w:t>（三十二）投资收益</w:t>
      </w:r>
      <w:r>
        <w:rPr>
          <w:spacing w:val="-103"/>
        </w:rPr>
        <w:t> </w:t>
      </w:r>
      <w:r>
        <w:rPr/>
        <w:t>投资收益明细情况</w:t>
      </w:r>
      <w:r>
        <w:rPr>
          <w:b w:val="0"/>
          <w:bCs w:val="0"/>
        </w:rPr>
      </w:r>
    </w:p>
    <w:tbl>
      <w:tblPr>
        <w:tblW w:w="0" w:type="auto"/>
        <w:jc w:val="left"/>
        <w:tblInd w:w="145" w:type="dxa"/>
        <w:tblLayout w:type="fixed"/>
        <w:tblCellMar>
          <w:top w:w="0" w:type="dxa"/>
          <w:left w:w="0" w:type="dxa"/>
          <w:bottom w:w="0" w:type="dxa"/>
          <w:right w:w="0" w:type="dxa"/>
        </w:tblCellMar>
        <w:tblLook w:val="01E0"/>
      </w:tblPr>
      <w:tblGrid>
        <w:gridCol w:w="3151"/>
        <w:gridCol w:w="2940"/>
        <w:gridCol w:w="2556"/>
      </w:tblGrid>
      <w:tr>
        <w:trPr>
          <w:trHeight w:val="355" w:hRule="exact"/>
        </w:trPr>
        <w:tc>
          <w:tcPr>
            <w:tcW w:w="31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385"/>
              <w:jc w:val="right"/>
              <w:rPr>
                <w:rFonts w:ascii="宋体" w:hAnsi="宋体" w:cs="宋体" w:eastAsia="宋体" w:hint="default"/>
                <w:sz w:val="18"/>
                <w:szCs w:val="18"/>
              </w:rPr>
            </w:pPr>
            <w:r>
              <w:rPr>
                <w:rFonts w:ascii="宋体" w:hAnsi="宋体" w:cs="宋体" w:eastAsia="宋体" w:hint="default"/>
                <w:sz w:val="18"/>
                <w:szCs w:val="18"/>
              </w:rPr>
              <w:t>项目</w:t>
            </w:r>
          </w:p>
        </w:tc>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8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3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2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4,424,106.13</w:t>
            </w:r>
          </w:p>
        </w:tc>
      </w:tr>
      <w:tr>
        <w:trPr>
          <w:trHeight w:val="353" w:hRule="exact"/>
        </w:trPr>
        <w:tc>
          <w:tcPr>
            <w:tcW w:w="3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385"/>
              <w:jc w:val="right"/>
              <w:rPr>
                <w:rFonts w:ascii="宋体" w:hAnsi="宋体" w:cs="宋体" w:eastAsia="宋体" w:hint="default"/>
                <w:sz w:val="18"/>
                <w:szCs w:val="18"/>
              </w:rPr>
            </w:pPr>
            <w:r>
              <w:rPr>
                <w:rFonts w:ascii="宋体" w:hAnsi="宋体" w:cs="宋体" w:eastAsia="宋体" w:hint="default"/>
                <w:sz w:val="18"/>
                <w:szCs w:val="18"/>
              </w:rPr>
              <w:t>合计</w:t>
            </w:r>
          </w:p>
        </w:tc>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2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4,424,106.13</w:t>
            </w:r>
          </w:p>
        </w:tc>
      </w:tr>
    </w:tbl>
    <w:p>
      <w:pPr>
        <w:spacing w:line="240" w:lineRule="auto" w:before="13"/>
        <w:rPr>
          <w:rFonts w:ascii="宋体" w:hAnsi="宋体" w:cs="宋体" w:eastAsia="宋体" w:hint="default"/>
          <w:b/>
          <w:bCs/>
          <w:sz w:val="6"/>
          <w:szCs w:val="6"/>
        </w:rPr>
      </w:pPr>
    </w:p>
    <w:p>
      <w:pPr>
        <w:pStyle w:val="Heading3"/>
        <w:spacing w:line="256" w:lineRule="auto" w:before="36"/>
        <w:ind w:right="0" w:firstLine="427"/>
        <w:jc w:val="left"/>
        <w:rPr>
          <w:b w:val="0"/>
          <w:bCs w:val="0"/>
        </w:rPr>
      </w:pPr>
      <w:r>
        <w:rPr>
          <w:spacing w:val="-1"/>
        </w:rPr>
        <w:t>投资收益本期发生额较上期增加</w:t>
      </w:r>
      <w:r>
        <w:rPr>
          <w:rFonts w:ascii="Times New Roman" w:hAnsi="Times New Roman" w:cs="Times New Roman" w:eastAsia="Times New Roman" w:hint="default"/>
          <w:spacing w:val="-1"/>
        </w:rPr>
        <w:t>2,711,073.35</w:t>
      </w:r>
      <w:r>
        <w:rPr>
          <w:spacing w:val="-1"/>
        </w:rPr>
        <w:t>元，增幅为</w:t>
      </w:r>
      <w:r>
        <w:rPr>
          <w:rFonts w:ascii="Times New Roman" w:hAnsi="Times New Roman" w:cs="Times New Roman" w:eastAsia="Times New Roman" w:hint="default"/>
          <w:spacing w:val="-1"/>
        </w:rPr>
        <w:t>61.28%</w:t>
      </w:r>
      <w:r>
        <w:rPr>
          <w:spacing w:val="-1"/>
        </w:rPr>
        <w:t>，主要系理财产品产生的投资收益增</w:t>
      </w:r>
      <w:r>
        <w:rPr>
          <w:w w:val="100"/>
        </w:rPr>
        <w:t> </w:t>
      </w:r>
      <w:r>
        <w:rPr/>
        <w:t>加所致。</w:t>
      </w:r>
      <w:r>
        <w:rPr>
          <w:b w:val="0"/>
          <w:bCs w:val="0"/>
        </w:rPr>
      </w:r>
    </w:p>
    <w:p>
      <w:pPr>
        <w:pStyle w:val="Heading3"/>
        <w:spacing w:line="240" w:lineRule="auto" w:before="142"/>
        <w:ind w:left="575" w:right="0"/>
        <w:jc w:val="left"/>
        <w:rPr>
          <w:b w:val="0"/>
          <w:bCs w:val="0"/>
        </w:rPr>
      </w:pPr>
      <w:r>
        <w:rPr/>
        <w:t>（三十三）营业外收入</w:t>
      </w:r>
      <w:r>
        <w:rPr>
          <w:b w:val="0"/>
          <w:bCs w:val="0"/>
        </w:rPr>
      </w:r>
    </w:p>
    <w:p>
      <w:pPr>
        <w:pStyle w:val="Heading3"/>
        <w:spacing w:line="240" w:lineRule="auto" w:before="37"/>
        <w:ind w:left="580" w:right="0"/>
        <w:jc w:val="left"/>
        <w:rPr>
          <w:b w:val="0"/>
          <w:bCs w:val="0"/>
        </w:rPr>
      </w:pPr>
      <w:r>
        <w:rPr>
          <w:rFonts w:ascii="Times New Roman" w:hAnsi="Times New Roman" w:cs="Times New Roman" w:eastAsia="Times New Roman" w:hint="default"/>
        </w:rPr>
        <w:t>1</w:t>
      </w:r>
      <w:r>
        <w:rPr/>
        <w:t>、营业外收入分类</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114"/>
        <w:gridCol w:w="1855"/>
        <w:gridCol w:w="1843"/>
        <w:gridCol w:w="2693"/>
      </w:tblGrid>
      <w:tr>
        <w:trPr>
          <w:trHeight w:val="353" w:hRule="exact"/>
        </w:trPr>
        <w:tc>
          <w:tcPr>
            <w:tcW w:w="2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6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168"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53" w:hRule="exact"/>
        </w:trPr>
        <w:tc>
          <w:tcPr>
            <w:tcW w:w="21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固定资产清理收益</w:t>
            </w:r>
          </w:p>
        </w:tc>
        <w:tc>
          <w:tcPr>
            <w:tcW w:w="1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234,476.00</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1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税收返还</w:t>
            </w:r>
          </w:p>
        </w:tc>
        <w:tc>
          <w:tcPr>
            <w:tcW w:w="1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2,637,415.11</w:t>
            </w:r>
            <w:r>
              <w:rPr>
                <w:rFonts w:ascii="Times New Roman"/>
                <w:sz w:val="18"/>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3,564,977.33</w:t>
            </w:r>
            <w:r>
              <w:rPr>
                <w:rFonts w:ascii="Times New Roman"/>
                <w:sz w:val="18"/>
              </w:rPr>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21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其他政府补助</w:t>
            </w:r>
          </w:p>
        </w:tc>
        <w:tc>
          <w:tcPr>
            <w:tcW w:w="1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1,025,900.80</w:t>
            </w:r>
            <w:r>
              <w:rPr>
                <w:rFonts w:ascii="Times New Roman"/>
                <w:sz w:val="18"/>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3,587,217.65</w:t>
            </w:r>
            <w:r>
              <w:rPr>
                <w:rFonts w:ascii="Times New Roman"/>
                <w:sz w:val="18"/>
              </w:rPr>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1,025,900.80</w:t>
            </w:r>
            <w:r>
              <w:rPr>
                <w:rFonts w:ascii="Times New Roman"/>
                <w:sz w:val="18"/>
              </w:rPr>
            </w:r>
          </w:p>
        </w:tc>
      </w:tr>
      <w:tr>
        <w:trPr>
          <w:trHeight w:val="353" w:hRule="exact"/>
        </w:trPr>
        <w:tc>
          <w:tcPr>
            <w:tcW w:w="21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680.97</w:t>
            </w:r>
            <w:r>
              <w:rPr>
                <w:rFonts w:ascii="Times New Roman"/>
                <w:sz w:val="18"/>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680.97</w:t>
            </w:r>
            <w:r>
              <w:rPr>
                <w:rFonts w:ascii="Times New Roman"/>
                <w:sz w:val="18"/>
              </w:rPr>
            </w:r>
          </w:p>
        </w:tc>
      </w:tr>
      <w:tr>
        <w:trPr>
          <w:trHeight w:val="353" w:hRule="exact"/>
        </w:trPr>
        <w:tc>
          <w:tcPr>
            <w:tcW w:w="21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3,663,996.88</w:t>
            </w:r>
            <w:r>
              <w:rPr>
                <w:rFonts w:ascii="Times New Roman"/>
                <w:sz w:val="18"/>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7,386,670.98</w:t>
            </w:r>
            <w:r>
              <w:rPr>
                <w:rFonts w:ascii="Times New Roman"/>
                <w:sz w:val="18"/>
              </w:rPr>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1,026,581.77</w:t>
            </w:r>
            <w:r>
              <w:rPr>
                <w:rFonts w:ascii="Times New Roman"/>
                <w:sz w:val="18"/>
              </w:rPr>
            </w:r>
          </w:p>
        </w:tc>
      </w:tr>
    </w:tbl>
    <w:p>
      <w:pPr>
        <w:spacing w:line="240" w:lineRule="auto" w:before="6"/>
        <w:rPr>
          <w:rFonts w:ascii="宋体" w:hAnsi="宋体" w:cs="宋体" w:eastAsia="宋体" w:hint="default"/>
          <w:b/>
          <w:bCs/>
          <w:sz w:val="5"/>
          <w:szCs w:val="5"/>
        </w:rPr>
      </w:pPr>
    </w:p>
    <w:p>
      <w:pPr>
        <w:pStyle w:val="Heading3"/>
        <w:spacing w:line="240" w:lineRule="auto" w:before="36"/>
        <w:ind w:left="580" w:right="0"/>
        <w:jc w:val="left"/>
        <w:rPr>
          <w:b w:val="0"/>
          <w:bCs w:val="0"/>
        </w:rPr>
      </w:pPr>
      <w:r>
        <w:rPr>
          <w:rFonts w:ascii="Times New Roman" w:hAnsi="Times New Roman" w:cs="Times New Roman" w:eastAsia="Times New Roman" w:hint="default"/>
        </w:rPr>
        <w:t>2</w:t>
      </w:r>
      <w:r>
        <w:rPr/>
        <w:t>、政府补助明细如下：</w:t>
      </w:r>
      <w:r>
        <w:rPr>
          <w:b w:val="0"/>
          <w:bCs w:val="0"/>
        </w:rPr>
      </w:r>
    </w:p>
    <w:p>
      <w:pPr>
        <w:spacing w:line="240" w:lineRule="auto" w:before="8"/>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2100"/>
        <w:gridCol w:w="1855"/>
        <w:gridCol w:w="1843"/>
        <w:gridCol w:w="2693"/>
      </w:tblGrid>
      <w:tr>
        <w:trPr>
          <w:trHeight w:val="355" w:hRule="exact"/>
        </w:trPr>
        <w:tc>
          <w:tcPr>
            <w:tcW w:w="21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6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12"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350" w:hRule="exact"/>
        </w:trPr>
        <w:tc>
          <w:tcPr>
            <w:tcW w:w="21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2,637,415.11</w:t>
            </w:r>
            <w:r>
              <w:rPr>
                <w:rFonts w:ascii="Times New Roman"/>
                <w:sz w:val="18"/>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3,564,977.33</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8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21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567,524.89</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3,496,917.02</w:t>
            </w:r>
            <w:r>
              <w:rPr>
                <w:rFonts w:ascii="Times New Roman"/>
                <w:sz w:val="18"/>
              </w:rPr>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8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21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458,375.91</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90,300.63</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7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2100"/>
        <w:gridCol w:w="1855"/>
        <w:gridCol w:w="1843"/>
        <w:gridCol w:w="2693"/>
      </w:tblGrid>
      <w:tr>
        <w:trPr>
          <w:trHeight w:val="355" w:hRule="exact"/>
        </w:trPr>
        <w:tc>
          <w:tcPr>
            <w:tcW w:w="21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892" w:right="-1"/>
              <w:jc w:val="left"/>
              <w:rPr>
                <w:rFonts w:ascii="Times New Roman" w:hAnsi="Times New Roman" w:cs="Times New Roman" w:eastAsia="Times New Roman" w:hint="default"/>
                <w:sz w:val="18"/>
                <w:szCs w:val="18"/>
              </w:rPr>
            </w:pPr>
            <w:r>
              <w:rPr>
                <w:rFonts w:ascii="Times New Roman"/>
                <w:sz w:val="18"/>
              </w:rPr>
              <w:t>3,663,315.91</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878" w:right="0"/>
              <w:jc w:val="left"/>
              <w:rPr>
                <w:rFonts w:ascii="Times New Roman" w:hAnsi="Times New Roman" w:cs="Times New Roman" w:eastAsia="Times New Roman" w:hint="default"/>
                <w:sz w:val="18"/>
                <w:szCs w:val="18"/>
              </w:rPr>
            </w:pPr>
            <w:r>
              <w:rPr>
                <w:rFonts w:ascii="Times New Roman"/>
                <w:sz w:val="18"/>
              </w:rPr>
              <w:t>7,152,194.98</w:t>
            </w:r>
          </w:p>
        </w:tc>
        <w:tc>
          <w:tcPr>
            <w:tcW w:w="269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20"/>
          <w:szCs w:val="20"/>
        </w:rPr>
      </w:pPr>
    </w:p>
    <w:p>
      <w:pPr>
        <w:pStyle w:val="BodyText"/>
        <w:spacing w:line="240" w:lineRule="auto" w:before="36"/>
        <w:ind w:left="630" w:right="106"/>
        <w:jc w:val="left"/>
      </w:pPr>
      <w:r>
        <w:rPr>
          <w:rFonts w:ascii="宋体" w:hAnsi="宋体" w:cs="宋体" w:eastAsia="宋体" w:hint="default"/>
        </w:rPr>
        <w:t>1</w:t>
      </w:r>
      <w:r>
        <w:rPr/>
        <w:t>．税收返还为本公司收到的按增值税实际税负超过</w:t>
      </w:r>
      <w:r>
        <w:rPr>
          <w:rFonts w:ascii="宋体" w:hAnsi="宋体" w:cs="宋体" w:eastAsia="宋体" w:hint="default"/>
        </w:rPr>
        <w:t>3</w:t>
      </w:r>
      <w:r>
        <w:rPr/>
        <w:t>％的部分即征即退的增值税。</w:t>
      </w:r>
    </w:p>
    <w:p>
      <w:pPr>
        <w:spacing w:line="240" w:lineRule="auto" w:before="10"/>
        <w:rPr>
          <w:rFonts w:ascii="宋体" w:hAnsi="宋体" w:cs="宋体" w:eastAsia="宋体" w:hint="default"/>
          <w:sz w:val="14"/>
          <w:szCs w:val="14"/>
        </w:rPr>
      </w:pPr>
    </w:p>
    <w:p>
      <w:pPr>
        <w:pStyle w:val="BodyText"/>
        <w:spacing w:line="240" w:lineRule="auto" w:before="0"/>
        <w:ind w:left="680" w:right="106"/>
        <w:jc w:val="left"/>
      </w:pPr>
      <w:r>
        <w:rPr>
          <w:rFonts w:ascii="宋体" w:hAnsi="宋体" w:cs="宋体" w:eastAsia="宋体" w:hint="default"/>
        </w:rPr>
        <w:t>2</w:t>
      </w:r>
      <w:r>
        <w:rPr/>
        <w:t>．其他政府补助主要系：</w:t>
      </w:r>
    </w:p>
    <w:p>
      <w:pPr>
        <w:spacing w:line="240" w:lineRule="auto" w:before="10"/>
        <w:rPr>
          <w:rFonts w:ascii="宋体" w:hAnsi="宋体" w:cs="宋体" w:eastAsia="宋体" w:hint="default"/>
          <w:sz w:val="14"/>
          <w:szCs w:val="14"/>
        </w:rPr>
      </w:pPr>
    </w:p>
    <w:p>
      <w:pPr>
        <w:pStyle w:val="BodyText"/>
        <w:spacing w:line="408" w:lineRule="auto" w:before="0"/>
        <w:ind w:right="210" w:firstLine="422"/>
        <w:jc w:val="both"/>
      </w:pPr>
      <w:r>
        <w:rPr/>
        <w:t>（</w:t>
      </w:r>
      <w:r>
        <w:rPr>
          <w:rFonts w:ascii="宋体" w:hAnsi="宋体" w:cs="宋体" w:eastAsia="宋体" w:hint="default"/>
        </w:rPr>
        <w:t>1</w:t>
      </w:r>
      <w:r>
        <w:rPr/>
        <w:t>）本公司收到深圳市科技工贸和信息化委员会的深圳市生物、互联网、新能源产业发展专项基金</w:t>
      </w:r>
      <w:r>
        <w:rPr>
          <w:w w:val="100"/>
        </w:rPr>
        <w:t> </w:t>
      </w:r>
      <w:r>
        <w:rPr/>
        <w:t>项目基于互联网的中小学英语在线智能记忆平台无偿资助</w:t>
      </w:r>
      <w:r>
        <w:rPr>
          <w:rFonts w:ascii="宋体" w:hAnsi="宋体" w:cs="宋体" w:eastAsia="宋体" w:hint="default"/>
        </w:rPr>
        <w:t>80</w:t>
      </w:r>
      <w:r>
        <w:rPr/>
        <w:t>万元。本期计入营业外收入</w:t>
      </w:r>
      <w:r>
        <w:rPr>
          <w:rFonts w:ascii="宋体" w:hAnsi="宋体" w:cs="宋体" w:eastAsia="宋体" w:hint="default"/>
        </w:rPr>
        <w:t>19,996.56</w:t>
      </w:r>
      <w:r>
        <w:rPr/>
        <w:t>元，详</w:t>
      </w:r>
      <w:r>
        <w:rPr>
          <w:spacing w:val="-27"/>
        </w:rPr>
        <w:t> </w:t>
      </w:r>
      <w:r>
        <w:rPr/>
        <w:t>见附注六、（二十一）</w:t>
      </w:r>
      <w:r>
        <w:rPr>
          <w:rFonts w:ascii="宋体" w:hAnsi="宋体" w:cs="宋体" w:eastAsia="宋体" w:hint="default"/>
        </w:rPr>
        <w:t>2</w:t>
      </w:r>
      <w:r>
        <w:rPr/>
        <w:t>。</w:t>
      </w:r>
    </w:p>
    <w:p>
      <w:pPr>
        <w:pStyle w:val="BodyText"/>
        <w:spacing w:line="408" w:lineRule="auto"/>
        <w:ind w:right="106" w:firstLine="422"/>
        <w:jc w:val="left"/>
      </w:pPr>
      <w:r>
        <w:rPr/>
        <w:t>（</w:t>
      </w:r>
      <w:r>
        <w:rPr>
          <w:rFonts w:ascii="宋体" w:hAnsi="宋体" w:cs="宋体" w:eastAsia="宋体" w:hint="default"/>
        </w:rPr>
        <w:t>2</w:t>
      </w:r>
      <w:r>
        <w:rPr/>
        <w:t>）本公司收到深圳市科技创新委员会的深圳市战略性新兴产业发展专项资金项目基于云计算的教</w:t>
      </w:r>
      <w:r>
        <w:rPr>
          <w:w w:val="100"/>
        </w:rPr>
        <w:t> </w:t>
      </w:r>
      <w:r>
        <w:rPr>
          <w:spacing w:val="-2"/>
        </w:rPr>
        <w:t>育质量监测与评价系统无偿资助</w:t>
      </w:r>
      <w:r>
        <w:rPr>
          <w:rFonts w:ascii="宋体" w:hAnsi="宋体" w:cs="宋体" w:eastAsia="宋体" w:hint="default"/>
          <w:spacing w:val="-2"/>
        </w:rPr>
        <w:t>200</w:t>
      </w:r>
      <w:r>
        <w:rPr>
          <w:spacing w:val="-2"/>
        </w:rPr>
        <w:t>万元。本期计入营业外收入</w:t>
      </w:r>
      <w:r>
        <w:rPr>
          <w:rFonts w:ascii="宋体" w:hAnsi="宋体" w:cs="宋体" w:eastAsia="宋体" w:hint="default"/>
          <w:spacing w:val="-2"/>
        </w:rPr>
        <w:t>69,999.96</w:t>
      </w:r>
      <w:r>
        <w:rPr>
          <w:spacing w:val="-2"/>
        </w:rPr>
        <w:t>元，详见附注六、（二十一）</w:t>
      </w:r>
      <w:r>
        <w:rPr>
          <w:rFonts w:ascii="宋体" w:hAnsi="宋体" w:cs="宋体" w:eastAsia="宋体" w:hint="default"/>
          <w:spacing w:val="-2"/>
        </w:rPr>
        <w:t>2</w:t>
      </w:r>
      <w:r>
        <w:rPr>
          <w:spacing w:val="-2"/>
        </w:rPr>
        <w:t>。</w:t>
      </w:r>
    </w:p>
    <w:p>
      <w:pPr>
        <w:pStyle w:val="BodyText"/>
        <w:spacing w:line="408" w:lineRule="auto"/>
        <w:ind w:right="106" w:firstLine="422"/>
        <w:jc w:val="left"/>
      </w:pPr>
      <w:r>
        <w:rPr>
          <w:spacing w:val="-2"/>
        </w:rPr>
        <w:t>（</w:t>
      </w:r>
      <w:r>
        <w:rPr>
          <w:rFonts w:ascii="宋体" w:hAnsi="宋体" w:cs="宋体" w:eastAsia="宋体" w:hint="default"/>
          <w:spacing w:val="-2"/>
        </w:rPr>
        <w:t>3</w:t>
      </w:r>
      <w:r>
        <w:rPr>
          <w:spacing w:val="-2"/>
        </w:rPr>
        <w:t>）根据深发改</w:t>
      </w:r>
      <w:r>
        <w:rPr>
          <w:rFonts w:ascii="宋体" w:hAnsi="宋体" w:cs="宋体" w:eastAsia="宋体" w:hint="default"/>
          <w:spacing w:val="-2"/>
        </w:rPr>
        <w:t>[2013]535</w:t>
      </w:r>
      <w:r>
        <w:rPr>
          <w:spacing w:val="-2"/>
        </w:rPr>
        <w:t>号文件相关规定，本公司获得深圳市经济贸易和信息化委员会的外语互动</w:t>
      </w:r>
      <w:r>
        <w:rPr>
          <w:w w:val="100"/>
        </w:rPr>
        <w:t> </w:t>
      </w:r>
      <w:r>
        <w:rPr/>
        <w:t>学习平台创新项目无偿资助</w:t>
      </w:r>
      <w:r>
        <w:rPr>
          <w:rFonts w:ascii="宋体" w:hAnsi="宋体" w:cs="宋体" w:eastAsia="宋体" w:hint="default"/>
        </w:rPr>
        <w:t>80</w:t>
      </w:r>
      <w:r>
        <w:rPr/>
        <w:t>万元。本期计入营业外收入</w:t>
      </w:r>
      <w:r>
        <w:rPr>
          <w:rFonts w:ascii="宋体" w:hAnsi="宋体" w:cs="宋体" w:eastAsia="宋体" w:hint="default"/>
        </w:rPr>
        <w:t>42,864.09</w:t>
      </w:r>
      <w:r>
        <w:rPr/>
        <w:t>元，详见附注六、（二十一）</w:t>
      </w:r>
      <w:r>
        <w:rPr>
          <w:rFonts w:ascii="宋体" w:hAnsi="宋体" w:cs="宋体" w:eastAsia="宋体" w:hint="default"/>
        </w:rPr>
        <w:t>2</w:t>
      </w:r>
      <w:r>
        <w:rPr/>
        <w:t>。</w:t>
      </w:r>
    </w:p>
    <w:p>
      <w:pPr>
        <w:pStyle w:val="BodyText"/>
        <w:spacing w:line="408" w:lineRule="auto"/>
        <w:ind w:left="153" w:right="106" w:firstLine="422"/>
        <w:jc w:val="left"/>
      </w:pPr>
      <w:r>
        <w:rPr/>
        <w:t>（</w:t>
      </w:r>
      <w:r>
        <w:rPr>
          <w:rFonts w:ascii="宋体" w:hAnsi="宋体" w:cs="宋体" w:eastAsia="宋体" w:hint="default"/>
        </w:rPr>
        <w:t>4</w:t>
      </w:r>
      <w:r>
        <w:rPr/>
        <w:t>）为落实《深圳市文化创意产业发展专项资金管理办法》所规定的优惠政策，本公司获得深圳市</w:t>
      </w:r>
      <w:r>
        <w:rPr>
          <w:w w:val="100"/>
        </w:rPr>
        <w:t> </w:t>
      </w:r>
      <w:r>
        <w:rPr>
          <w:spacing w:val="-4"/>
        </w:rPr>
        <w:t>文体旅游局的中小学教育游戏平台项目无偿资助</w:t>
      </w:r>
      <w:r>
        <w:rPr>
          <w:rFonts w:ascii="宋体" w:hAnsi="宋体" w:cs="宋体" w:eastAsia="宋体" w:hint="default"/>
          <w:spacing w:val="-4"/>
        </w:rPr>
        <w:t>91</w:t>
      </w:r>
      <w:r>
        <w:rPr>
          <w:spacing w:val="-4"/>
        </w:rPr>
        <w:t>万元。本期计入营业外收入</w:t>
      </w:r>
      <w:r>
        <w:rPr>
          <w:rFonts w:ascii="宋体" w:hAnsi="宋体" w:cs="宋体" w:eastAsia="宋体" w:hint="default"/>
          <w:spacing w:val="-4"/>
        </w:rPr>
        <w:t>122,425.15</w:t>
      </w:r>
      <w:r>
        <w:rPr>
          <w:spacing w:val="-4"/>
        </w:rPr>
        <w:t>元，详见附注六、</w:t>
      </w:r>
      <w:r>
        <w:rPr/>
      </w:r>
    </w:p>
    <w:p>
      <w:pPr>
        <w:pStyle w:val="BodyText"/>
        <w:spacing w:line="240" w:lineRule="auto"/>
        <w:ind w:right="106"/>
        <w:jc w:val="left"/>
      </w:pPr>
      <w:r>
        <w:rPr/>
        <w:t>（二十一）</w:t>
      </w:r>
      <w:r>
        <w:rPr>
          <w:rFonts w:ascii="宋体" w:hAnsi="宋体" w:cs="宋体" w:eastAsia="宋体" w:hint="default"/>
        </w:rPr>
        <w:t>2</w:t>
      </w:r>
      <w:r>
        <w:rPr/>
        <w:t>。</w:t>
      </w:r>
    </w:p>
    <w:p>
      <w:pPr>
        <w:spacing w:line="240" w:lineRule="auto" w:before="10"/>
        <w:rPr>
          <w:rFonts w:ascii="宋体" w:hAnsi="宋体" w:cs="宋体" w:eastAsia="宋体" w:hint="default"/>
          <w:sz w:val="14"/>
          <w:szCs w:val="14"/>
        </w:rPr>
      </w:pPr>
    </w:p>
    <w:p>
      <w:pPr>
        <w:pStyle w:val="BodyText"/>
        <w:spacing w:line="408" w:lineRule="auto" w:before="0"/>
        <w:ind w:right="106" w:firstLine="422"/>
        <w:jc w:val="left"/>
      </w:pPr>
      <w:r>
        <w:rPr>
          <w:spacing w:val="-2"/>
        </w:rPr>
        <w:t>（</w:t>
      </w:r>
      <w:r>
        <w:rPr>
          <w:rFonts w:ascii="宋体" w:hAnsi="宋体" w:cs="宋体" w:eastAsia="宋体" w:hint="default"/>
          <w:spacing w:val="-2"/>
        </w:rPr>
        <w:t>5</w:t>
      </w:r>
      <w:r>
        <w:rPr>
          <w:spacing w:val="-2"/>
        </w:rPr>
        <w:t>）为落实深圳市发展与改革委员会的深发改</w:t>
      </w:r>
      <w:r>
        <w:rPr>
          <w:rFonts w:ascii="宋体" w:hAnsi="宋体" w:cs="宋体" w:eastAsia="宋体" w:hint="default"/>
          <w:spacing w:val="-2"/>
        </w:rPr>
        <w:t>[2014]939</w:t>
      </w:r>
      <w:r>
        <w:rPr>
          <w:spacing w:val="-2"/>
        </w:rPr>
        <w:t>号文件相关规定，本公司获得深圳市科技创</w:t>
      </w:r>
      <w:r>
        <w:rPr>
          <w:w w:val="100"/>
        </w:rPr>
        <w:t> </w:t>
      </w:r>
      <w:r>
        <w:rPr/>
        <w:t>新委员会的基于移动平台的小学英语同步课程资源系统无偿资助款</w:t>
      </w:r>
      <w:r>
        <w:rPr>
          <w:rFonts w:ascii="宋体" w:hAnsi="宋体" w:cs="宋体" w:eastAsia="宋体" w:hint="default"/>
        </w:rPr>
        <w:t>100</w:t>
      </w:r>
      <w:r>
        <w:rPr/>
        <w:t>万元。本期计入营业外收入</w:t>
      </w:r>
      <w:r>
        <w:rPr>
          <w:w w:val="100"/>
        </w:rPr>
        <w:t> </w:t>
      </w:r>
      <w:r>
        <w:rPr>
          <w:rFonts w:ascii="宋体" w:hAnsi="宋体" w:cs="宋体" w:eastAsia="宋体" w:hint="default"/>
        </w:rPr>
        <w:t>177,281.72</w:t>
      </w:r>
      <w:r>
        <w:rPr/>
        <w:t>元，详见附注六、（二十一）</w:t>
      </w:r>
      <w:r>
        <w:rPr>
          <w:rFonts w:ascii="宋体" w:hAnsi="宋体" w:cs="宋体" w:eastAsia="宋体" w:hint="default"/>
        </w:rPr>
        <w:t>2</w:t>
      </w:r>
      <w:r>
        <w:rPr/>
        <w:t>。</w:t>
      </w:r>
    </w:p>
    <w:p>
      <w:pPr>
        <w:pStyle w:val="BodyText"/>
        <w:spacing w:line="408" w:lineRule="auto"/>
        <w:ind w:right="288" w:firstLine="422"/>
        <w:jc w:val="both"/>
      </w:pPr>
      <w:r>
        <w:rPr>
          <w:spacing w:val="-2"/>
        </w:rPr>
        <w:t>（</w:t>
      </w:r>
      <w:r>
        <w:rPr>
          <w:rFonts w:ascii="宋体" w:hAnsi="宋体" w:cs="宋体" w:eastAsia="宋体" w:hint="default"/>
          <w:spacing w:val="-2"/>
        </w:rPr>
        <w:t>6</w:t>
      </w:r>
      <w:r>
        <w:rPr>
          <w:spacing w:val="-2"/>
        </w:rPr>
        <w:t>）根据《南山区文化产业发展专项资金管理暂行办会》的规定，本公司获得深圳市南山区人民政</w:t>
      </w:r>
      <w:r>
        <w:rPr>
          <w:w w:val="100"/>
        </w:rPr>
        <w:t> </w:t>
      </w:r>
      <w:r>
        <w:rPr>
          <w:spacing w:val="-2"/>
        </w:rPr>
        <w:t>府文化产业发展办公室的青少年书法多媒体学习软件项目无偿资助款</w:t>
      </w:r>
      <w:r>
        <w:rPr>
          <w:rFonts w:ascii="宋体" w:hAnsi="宋体" w:cs="宋体" w:eastAsia="宋体" w:hint="default"/>
          <w:spacing w:val="-2"/>
        </w:rPr>
        <w:t>40</w:t>
      </w:r>
      <w:r>
        <w:rPr>
          <w:spacing w:val="-2"/>
        </w:rPr>
        <w:t>万元。本期全部计入营业外收入</w:t>
      </w:r>
      <w:r>
        <w:rPr>
          <w:rFonts w:ascii="宋体" w:hAnsi="宋体" w:cs="宋体" w:eastAsia="宋体" w:hint="default"/>
          <w:spacing w:val="-2"/>
        </w:rPr>
        <w:t>,</w:t>
      </w:r>
      <w:r>
        <w:rPr>
          <w:rFonts w:ascii="宋体" w:hAnsi="宋体" w:cs="宋体" w:eastAsia="宋体" w:hint="default"/>
          <w:spacing w:val="-18"/>
        </w:rPr>
        <w:t> </w:t>
      </w:r>
      <w:r>
        <w:rPr/>
        <w:t>详见附注六、（二十一）</w:t>
      </w:r>
      <w:r>
        <w:rPr>
          <w:rFonts w:ascii="宋体" w:hAnsi="宋体" w:cs="宋体" w:eastAsia="宋体" w:hint="default"/>
        </w:rPr>
        <w:t>2</w:t>
      </w:r>
      <w:r>
        <w:rPr/>
        <w:t>。</w:t>
      </w:r>
    </w:p>
    <w:p>
      <w:pPr>
        <w:pStyle w:val="BodyText"/>
        <w:spacing w:line="408" w:lineRule="auto"/>
        <w:ind w:right="106" w:firstLine="422"/>
        <w:jc w:val="left"/>
      </w:pPr>
      <w:r>
        <w:rPr>
          <w:spacing w:val="-2"/>
        </w:rPr>
        <w:t>（</w:t>
      </w:r>
      <w:r>
        <w:rPr>
          <w:rFonts w:ascii="宋体" w:hAnsi="宋体" w:cs="宋体" w:eastAsia="宋体" w:hint="default"/>
          <w:spacing w:val="-2"/>
        </w:rPr>
        <w:t>7</w:t>
      </w:r>
      <w:r>
        <w:rPr>
          <w:spacing w:val="-2"/>
        </w:rPr>
        <w:t>）根据深发改</w:t>
      </w:r>
      <w:r>
        <w:rPr>
          <w:rFonts w:ascii="宋体" w:hAnsi="宋体" w:cs="宋体" w:eastAsia="宋体" w:hint="default"/>
          <w:spacing w:val="-2"/>
        </w:rPr>
        <w:t>[2013]535</w:t>
      </w:r>
      <w:r>
        <w:rPr>
          <w:spacing w:val="-2"/>
        </w:rPr>
        <w:t>号文件相关规定，本公司获得深圳市发展改革委员会、深圳市经济贸易和</w:t>
      </w:r>
      <w:r>
        <w:rPr>
          <w:w w:val="100"/>
        </w:rPr>
        <w:t> </w:t>
      </w:r>
      <w:r>
        <w:rPr>
          <w:spacing w:val="-2"/>
        </w:rPr>
        <w:t>信息化委员会、深圳市科技创新委员会、深圳市财政委员会文件的深圳市战略性新兴产业发展专项资金项</w:t>
      </w:r>
      <w:r>
        <w:rPr>
          <w:spacing w:val="-42"/>
        </w:rPr>
        <w:t> </w:t>
      </w:r>
      <w:r>
        <w:rPr>
          <w:spacing w:val="-42"/>
        </w:rPr>
      </w:r>
      <w:r>
        <w:rPr/>
        <w:t>目基于</w:t>
      </w:r>
      <w:r>
        <w:rPr>
          <w:rFonts w:ascii="宋体" w:hAnsi="宋体" w:cs="宋体" w:eastAsia="宋体" w:hint="default"/>
        </w:rPr>
        <w:t>SAAS</w:t>
      </w:r>
      <w:r>
        <w:rPr/>
        <w:t>的云智能个性化教育综合互动平台无偿资助</w:t>
      </w:r>
      <w:r>
        <w:rPr>
          <w:rFonts w:ascii="宋体" w:hAnsi="宋体" w:cs="宋体" w:eastAsia="宋体" w:hint="default"/>
        </w:rPr>
        <w:t>290</w:t>
      </w:r>
      <w:r>
        <w:rPr/>
        <w:t>万元。本期计入营业外收入</w:t>
      </w:r>
      <w:r>
        <w:rPr>
          <w:rFonts w:ascii="宋体" w:hAnsi="宋体" w:cs="宋体" w:eastAsia="宋体" w:hint="default"/>
        </w:rPr>
        <w:t>193,333.32</w:t>
      </w:r>
      <w:r>
        <w:rPr/>
        <w:t>元，详</w:t>
      </w:r>
      <w:r>
        <w:rPr>
          <w:w w:val="100"/>
        </w:rPr>
        <w:t> </w:t>
      </w:r>
      <w:r>
        <w:rPr/>
        <w:t>见附注六、（二十一）</w:t>
      </w:r>
      <w:r>
        <w:rPr>
          <w:rFonts w:ascii="宋体" w:hAnsi="宋体" w:cs="宋体" w:eastAsia="宋体" w:hint="default"/>
        </w:rPr>
        <w:t>2</w:t>
      </w:r>
      <w:r>
        <w:rPr/>
        <w:t>。</w:t>
      </w:r>
    </w:p>
    <w:p>
      <w:pPr>
        <w:pStyle w:val="Heading3"/>
        <w:spacing w:line="240" w:lineRule="auto" w:before="89"/>
        <w:ind w:left="575" w:right="106"/>
        <w:jc w:val="left"/>
        <w:rPr>
          <w:b w:val="0"/>
          <w:bCs w:val="0"/>
        </w:rPr>
      </w:pPr>
      <w:r>
        <w:rPr/>
        <w:t>（三十四）营业外支出</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1999"/>
        <w:gridCol w:w="1843"/>
        <w:gridCol w:w="1841"/>
        <w:gridCol w:w="2736"/>
      </w:tblGrid>
      <w:tr>
        <w:trPr>
          <w:trHeight w:val="353" w:hRule="exact"/>
        </w:trPr>
        <w:tc>
          <w:tcPr>
            <w:tcW w:w="19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6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192" w:right="0"/>
              <w:jc w:val="left"/>
              <w:rPr>
                <w:rFonts w:ascii="宋体" w:hAnsi="宋体" w:cs="宋体" w:eastAsia="宋体" w:hint="default"/>
                <w:sz w:val="18"/>
                <w:szCs w:val="18"/>
              </w:rPr>
            </w:pPr>
            <w:r>
              <w:rPr>
                <w:rFonts w:ascii="宋体" w:hAnsi="宋体" w:cs="宋体" w:eastAsia="宋体" w:hint="default"/>
                <w:sz w:val="18"/>
                <w:szCs w:val="18"/>
              </w:rPr>
              <w:t>计入本期非经常性损益的金额</w:t>
            </w:r>
          </w:p>
        </w:tc>
      </w:tr>
      <w:tr>
        <w:trPr>
          <w:trHeight w:val="353" w:hRule="exact"/>
        </w:trPr>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固定资产清理损失</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11,560.85</w:t>
            </w:r>
            <w:r>
              <w:rPr>
                <w:rFonts w:ascii="Times New Roman"/>
                <w:sz w:val="18"/>
              </w:rPr>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7,770.68</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11,560.85</w:t>
            </w:r>
          </w:p>
        </w:tc>
      </w:tr>
      <w:tr>
        <w:trPr>
          <w:trHeight w:val="353" w:hRule="exact"/>
        </w:trPr>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50.00</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50.00</w:t>
            </w:r>
          </w:p>
        </w:tc>
      </w:tr>
      <w:tr>
        <w:trPr>
          <w:trHeight w:val="350" w:hRule="exact"/>
        </w:trPr>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22.23</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22.23</w:t>
            </w:r>
          </w:p>
        </w:tc>
      </w:tr>
      <w:tr>
        <w:trPr>
          <w:trHeight w:val="355" w:hRule="exact"/>
        </w:trPr>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11,633.08</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7,770.68</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11,633.08</w:t>
            </w:r>
          </w:p>
        </w:tc>
      </w:tr>
    </w:tbl>
    <w:p>
      <w:pPr>
        <w:spacing w:line="240" w:lineRule="auto" w:before="4"/>
        <w:rPr>
          <w:rFonts w:ascii="宋体" w:hAnsi="宋体" w:cs="宋体" w:eastAsia="宋体" w:hint="default"/>
          <w:b/>
          <w:bCs/>
          <w:sz w:val="29"/>
          <w:szCs w:val="29"/>
        </w:rPr>
      </w:pPr>
    </w:p>
    <w:p>
      <w:pPr>
        <w:pStyle w:val="Heading3"/>
        <w:spacing w:line="240" w:lineRule="auto" w:before="36"/>
        <w:ind w:left="575" w:right="106"/>
        <w:jc w:val="left"/>
        <w:rPr>
          <w:b w:val="0"/>
          <w:bCs w:val="0"/>
        </w:rPr>
      </w:pPr>
      <w:r>
        <w:rPr/>
        <w:t>（三十五）所得税费用</w:t>
      </w:r>
      <w:r>
        <w:rPr>
          <w:b w:val="0"/>
          <w:bCs w:val="0"/>
        </w:rPr>
      </w:r>
    </w:p>
    <w:p>
      <w:pPr>
        <w:spacing w:after="0" w:line="240" w:lineRule="auto"/>
        <w:jc w:val="left"/>
        <w:sectPr>
          <w:pgSz w:w="11910" w:h="16840"/>
          <w:pgMar w:header="990" w:footer="1066" w:top="1220" w:bottom="1260" w:left="980" w:right="920"/>
        </w:sectPr>
      </w:pPr>
    </w:p>
    <w:p>
      <w:pPr>
        <w:spacing w:line="240" w:lineRule="auto" w:before="5"/>
        <w:rPr>
          <w:rFonts w:ascii="宋体" w:hAnsi="宋体" w:cs="宋体" w:eastAsia="宋体" w:hint="default"/>
          <w:b/>
          <w:bCs/>
          <w:sz w:val="10"/>
          <w:szCs w:val="10"/>
        </w:rPr>
      </w:pPr>
    </w:p>
    <w:p>
      <w:pPr>
        <w:pStyle w:val="Heading3"/>
        <w:spacing w:line="240" w:lineRule="auto" w:before="36"/>
        <w:ind w:left="575" w:right="0"/>
        <w:jc w:val="left"/>
        <w:rPr>
          <w:b w:val="0"/>
          <w:bCs w:val="0"/>
        </w:rPr>
      </w:pPr>
      <w:r>
        <w:rPr>
          <w:rFonts w:ascii="Times New Roman" w:hAnsi="Times New Roman" w:cs="Times New Roman" w:eastAsia="Times New Roman" w:hint="default"/>
        </w:rPr>
        <w:t>1</w:t>
      </w:r>
      <w:r>
        <w:rPr/>
        <w:t>、所得税费用表</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983"/>
        <w:gridCol w:w="2714"/>
        <w:gridCol w:w="2714"/>
      </w:tblGrid>
      <w:tr>
        <w:trPr>
          <w:trHeight w:val="353" w:hRule="exact"/>
        </w:trPr>
        <w:tc>
          <w:tcPr>
            <w:tcW w:w="29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301"/>
              <w:jc w:val="right"/>
              <w:rPr>
                <w:rFonts w:ascii="宋体" w:hAnsi="宋体" w:cs="宋体" w:eastAsia="宋体" w:hint="default"/>
                <w:sz w:val="18"/>
                <w:szCs w:val="18"/>
              </w:rPr>
            </w:pPr>
            <w:r>
              <w:rPr>
                <w:rFonts w:ascii="宋体" w:hAnsi="宋体" w:cs="宋体" w:eastAsia="宋体" w:hint="default"/>
                <w:sz w:val="18"/>
                <w:szCs w:val="18"/>
              </w:rPr>
              <w:t>项目</w:t>
            </w:r>
          </w:p>
        </w:tc>
        <w:tc>
          <w:tcPr>
            <w:tcW w:w="27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8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8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2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2,968,212.71</w:t>
            </w:r>
            <w:r>
              <w:rPr>
                <w:rFonts w:ascii="Times New Roman"/>
                <w:sz w:val="18"/>
              </w:rPr>
            </w:r>
          </w:p>
        </w:tc>
        <w:tc>
          <w:tcPr>
            <w:tcW w:w="2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3,304,664.78</w:t>
            </w:r>
            <w:r>
              <w:rPr>
                <w:rFonts w:ascii="Times New Roman"/>
                <w:sz w:val="18"/>
              </w:rPr>
            </w:r>
          </w:p>
        </w:tc>
      </w:tr>
      <w:tr>
        <w:trPr>
          <w:trHeight w:val="353" w:hRule="exact"/>
        </w:trPr>
        <w:tc>
          <w:tcPr>
            <w:tcW w:w="2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62,643.23</w:t>
            </w:r>
          </w:p>
        </w:tc>
        <w:tc>
          <w:tcPr>
            <w:tcW w:w="2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80,758.69</w:t>
            </w:r>
          </w:p>
        </w:tc>
      </w:tr>
      <w:tr>
        <w:trPr>
          <w:trHeight w:val="353" w:hRule="exact"/>
        </w:trPr>
        <w:tc>
          <w:tcPr>
            <w:tcW w:w="2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301"/>
              <w:jc w:val="right"/>
              <w:rPr>
                <w:rFonts w:ascii="宋体" w:hAnsi="宋体" w:cs="宋体" w:eastAsia="宋体" w:hint="default"/>
                <w:sz w:val="18"/>
                <w:szCs w:val="18"/>
              </w:rPr>
            </w:pPr>
            <w:r>
              <w:rPr>
                <w:rFonts w:ascii="宋体" w:hAnsi="宋体" w:cs="宋体" w:eastAsia="宋体" w:hint="default"/>
                <w:sz w:val="18"/>
                <w:szCs w:val="18"/>
              </w:rPr>
              <w:t>合计</w:t>
            </w:r>
          </w:p>
        </w:tc>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3,030,855.94</w:t>
            </w:r>
            <w:r>
              <w:rPr>
                <w:rFonts w:ascii="Times New Roman"/>
                <w:sz w:val="18"/>
              </w:rPr>
            </w:r>
          </w:p>
        </w:tc>
        <w:tc>
          <w:tcPr>
            <w:tcW w:w="2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3,385,423.47</w:t>
            </w:r>
            <w:r>
              <w:rPr>
                <w:rFonts w:ascii="Times New Roman"/>
                <w:sz w:val="18"/>
              </w:rPr>
            </w:r>
          </w:p>
        </w:tc>
      </w:tr>
    </w:tbl>
    <w:p>
      <w:pPr>
        <w:spacing w:line="240" w:lineRule="auto" w:before="6"/>
        <w:rPr>
          <w:rFonts w:ascii="宋体" w:hAnsi="宋体" w:cs="宋体" w:eastAsia="宋体" w:hint="default"/>
          <w:b/>
          <w:bCs/>
          <w:sz w:val="5"/>
          <w:szCs w:val="5"/>
        </w:rPr>
      </w:pPr>
    </w:p>
    <w:p>
      <w:pPr>
        <w:pStyle w:val="Heading3"/>
        <w:spacing w:line="240" w:lineRule="auto" w:before="36"/>
        <w:ind w:left="565" w:right="0"/>
        <w:jc w:val="left"/>
        <w:rPr>
          <w:b w:val="0"/>
          <w:bCs w:val="0"/>
        </w:rPr>
      </w:pPr>
      <w:r>
        <w:rPr>
          <w:rFonts w:ascii="Times New Roman" w:hAnsi="Times New Roman" w:cs="Times New Roman" w:eastAsia="Times New Roman" w:hint="default"/>
        </w:rPr>
        <w:t>2</w:t>
      </w:r>
      <w:r>
        <w:rPr/>
        <w:t>、会计利润与所得税费用调整过程</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5827"/>
        <w:gridCol w:w="2570"/>
      </w:tblGrid>
      <w:tr>
        <w:trPr>
          <w:trHeight w:val="353" w:hRule="exact"/>
        </w:trPr>
        <w:tc>
          <w:tcPr>
            <w:tcW w:w="58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828"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53" w:hRule="exact"/>
        </w:trPr>
        <w:tc>
          <w:tcPr>
            <w:tcW w:w="5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5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25,258,928.52</w:t>
            </w:r>
          </w:p>
        </w:tc>
      </w:tr>
      <w:tr>
        <w:trPr>
          <w:trHeight w:val="353" w:hRule="exact"/>
        </w:trPr>
        <w:tc>
          <w:tcPr>
            <w:tcW w:w="5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按法定税率计算的所得税费用</w:t>
            </w:r>
          </w:p>
        </w:tc>
        <w:tc>
          <w:tcPr>
            <w:tcW w:w="25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6,314,732.13</w:t>
            </w:r>
            <w:r>
              <w:rPr>
                <w:rFonts w:ascii="Times New Roman"/>
                <w:sz w:val="18"/>
              </w:rPr>
            </w:r>
          </w:p>
        </w:tc>
      </w:tr>
      <w:tr>
        <w:trPr>
          <w:trHeight w:val="350" w:hRule="exact"/>
        </w:trPr>
        <w:tc>
          <w:tcPr>
            <w:tcW w:w="5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母公司减免所得税额的影响</w:t>
            </w:r>
          </w:p>
        </w:tc>
        <w:tc>
          <w:tcPr>
            <w:tcW w:w="25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(2,657,397.31)</w:t>
            </w:r>
            <w:r>
              <w:rPr>
                <w:rFonts w:ascii="Times New Roman"/>
                <w:sz w:val="18"/>
              </w:rPr>
            </w:r>
          </w:p>
        </w:tc>
      </w:tr>
      <w:tr>
        <w:trPr>
          <w:trHeight w:val="353" w:hRule="exact"/>
        </w:trPr>
        <w:tc>
          <w:tcPr>
            <w:tcW w:w="5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不可抵扣的成本、费用和损失影响</w:t>
            </w:r>
          </w:p>
        </w:tc>
        <w:tc>
          <w:tcPr>
            <w:tcW w:w="25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(626,478.88)</w:t>
            </w:r>
            <w:r>
              <w:rPr>
                <w:rFonts w:ascii="Times New Roman"/>
                <w:sz w:val="18"/>
              </w:rPr>
            </w:r>
          </w:p>
        </w:tc>
      </w:tr>
      <w:tr>
        <w:trPr>
          <w:trHeight w:val="353" w:hRule="exact"/>
        </w:trPr>
        <w:tc>
          <w:tcPr>
            <w:tcW w:w="5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5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3,030,855.94</w:t>
            </w:r>
            <w:r>
              <w:rPr>
                <w:rFonts w:ascii="Times New Roman"/>
                <w:sz w:val="18"/>
              </w:rPr>
            </w:r>
          </w:p>
        </w:tc>
      </w:tr>
    </w:tbl>
    <w:p>
      <w:pPr>
        <w:spacing w:line="240" w:lineRule="auto" w:before="6"/>
        <w:rPr>
          <w:rFonts w:ascii="宋体" w:hAnsi="宋体" w:cs="宋体" w:eastAsia="宋体" w:hint="default"/>
          <w:b/>
          <w:bCs/>
          <w:sz w:val="5"/>
          <w:szCs w:val="5"/>
        </w:rPr>
      </w:pPr>
    </w:p>
    <w:p>
      <w:pPr>
        <w:pStyle w:val="Heading3"/>
        <w:spacing w:line="240" w:lineRule="auto" w:before="36"/>
        <w:ind w:left="575" w:right="0"/>
        <w:jc w:val="left"/>
        <w:rPr>
          <w:b w:val="0"/>
          <w:bCs w:val="0"/>
        </w:rPr>
      </w:pPr>
      <w:r>
        <w:rPr/>
        <w:t>（三十六）现金流量表附注</w:t>
      </w:r>
      <w:r>
        <w:rPr>
          <w:b w:val="0"/>
          <w:bCs w:val="0"/>
        </w:rPr>
      </w:r>
    </w:p>
    <w:p>
      <w:pPr>
        <w:pStyle w:val="Heading3"/>
        <w:spacing w:line="240" w:lineRule="auto" w:before="37"/>
        <w:ind w:left="580" w:right="0"/>
        <w:jc w:val="left"/>
        <w:rPr>
          <w:b w:val="0"/>
          <w:bCs w:val="0"/>
        </w:rPr>
      </w:pP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4606"/>
        <w:gridCol w:w="2141"/>
        <w:gridCol w:w="2129"/>
      </w:tblGrid>
      <w:tr>
        <w:trPr>
          <w:trHeight w:val="355" w:hRule="exact"/>
        </w:trPr>
        <w:tc>
          <w:tcPr>
            <w:tcW w:w="4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2112"/>
              <w:jc w:val="right"/>
              <w:rPr>
                <w:rFonts w:ascii="宋体" w:hAnsi="宋体" w:cs="宋体" w:eastAsia="宋体" w:hint="default"/>
                <w:sz w:val="18"/>
                <w:szCs w:val="18"/>
              </w:rPr>
            </w:pPr>
            <w:r>
              <w:rPr>
                <w:rFonts w:ascii="宋体" w:hAnsi="宋体" w:cs="宋体" w:eastAsia="宋体" w:hint="default"/>
                <w:sz w:val="18"/>
                <w:szCs w:val="18"/>
              </w:rPr>
              <w:t>项目</w:t>
            </w:r>
          </w:p>
        </w:tc>
        <w:tc>
          <w:tcPr>
            <w:tcW w:w="21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0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69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3" w:hRule="exact"/>
        </w:trPr>
        <w:tc>
          <w:tcPr>
            <w:tcW w:w="4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594,565.39</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1,156,802.10</w:t>
            </w:r>
            <w:r>
              <w:rPr>
                <w:rFonts w:ascii="Times New Roman"/>
                <w:sz w:val="18"/>
              </w:rPr>
            </w:r>
          </w:p>
        </w:tc>
      </w:tr>
      <w:tr>
        <w:trPr>
          <w:trHeight w:val="350" w:hRule="exact"/>
        </w:trPr>
        <w:tc>
          <w:tcPr>
            <w:tcW w:w="4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4,216,600.00</w:t>
            </w:r>
            <w:r>
              <w:rPr>
                <w:rFonts w:ascii="Times New Roman"/>
                <w:sz w:val="18"/>
              </w:rPr>
            </w:r>
          </w:p>
        </w:tc>
      </w:tr>
      <w:tr>
        <w:trPr>
          <w:trHeight w:val="353" w:hRule="exact"/>
        </w:trPr>
        <w:tc>
          <w:tcPr>
            <w:tcW w:w="4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48,245.16</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76,901.15</w:t>
            </w:r>
          </w:p>
        </w:tc>
      </w:tr>
      <w:tr>
        <w:trPr>
          <w:trHeight w:val="353" w:hRule="exact"/>
        </w:trPr>
        <w:tc>
          <w:tcPr>
            <w:tcW w:w="4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2112"/>
              <w:jc w:val="right"/>
              <w:rPr>
                <w:rFonts w:ascii="宋体" w:hAnsi="宋体" w:cs="宋体" w:eastAsia="宋体" w:hint="default"/>
                <w:sz w:val="18"/>
                <w:szCs w:val="18"/>
              </w:rPr>
            </w:pPr>
            <w:r>
              <w:rPr>
                <w:rFonts w:ascii="宋体" w:hAnsi="宋体" w:cs="宋体" w:eastAsia="宋体" w:hint="default"/>
                <w:sz w:val="18"/>
                <w:szCs w:val="18"/>
              </w:rPr>
              <w:t>合计</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642,810.55</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5,450,303.25</w:t>
            </w:r>
            <w:r>
              <w:rPr>
                <w:rFonts w:ascii="Times New Roman"/>
                <w:sz w:val="18"/>
              </w:rPr>
            </w:r>
          </w:p>
        </w:tc>
      </w:tr>
    </w:tbl>
    <w:p>
      <w:pPr>
        <w:spacing w:line="240" w:lineRule="auto" w:before="6"/>
        <w:rPr>
          <w:rFonts w:ascii="宋体" w:hAnsi="宋体" w:cs="宋体" w:eastAsia="宋体" w:hint="default"/>
          <w:b/>
          <w:bCs/>
          <w:sz w:val="5"/>
          <w:szCs w:val="5"/>
        </w:rPr>
      </w:pPr>
    </w:p>
    <w:p>
      <w:pPr>
        <w:pStyle w:val="Heading3"/>
        <w:spacing w:line="240" w:lineRule="auto" w:before="36"/>
        <w:ind w:left="580" w:right="0"/>
        <w:jc w:val="left"/>
        <w:rPr>
          <w:b w:val="0"/>
          <w:bCs w:val="0"/>
        </w:rPr>
      </w:pP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4620"/>
        <w:gridCol w:w="2126"/>
        <w:gridCol w:w="2143"/>
      </w:tblGrid>
      <w:tr>
        <w:trPr>
          <w:trHeight w:val="355" w:hRule="exact"/>
        </w:trPr>
        <w:tc>
          <w:tcPr>
            <w:tcW w:w="4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2119"/>
              <w:jc w:val="right"/>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9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70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18,021,764.58</w:t>
            </w:r>
          </w:p>
        </w:tc>
        <w:tc>
          <w:tcPr>
            <w:tcW w:w="21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19,151,117.84</w:t>
            </w:r>
          </w:p>
        </w:tc>
      </w:tr>
      <w:tr>
        <w:trPr>
          <w:trHeight w:val="353" w:hRule="exact"/>
        </w:trPr>
        <w:tc>
          <w:tcPr>
            <w:tcW w:w="4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27,541.46</w:t>
            </w:r>
          </w:p>
        </w:tc>
      </w:tr>
      <w:tr>
        <w:trPr>
          <w:trHeight w:val="353" w:hRule="exact"/>
        </w:trPr>
        <w:tc>
          <w:tcPr>
            <w:tcW w:w="4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2119"/>
              <w:jc w:val="righ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18,021,764.58</w:t>
            </w:r>
          </w:p>
        </w:tc>
        <w:tc>
          <w:tcPr>
            <w:tcW w:w="21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19,178,659.30</w:t>
            </w:r>
          </w:p>
        </w:tc>
      </w:tr>
    </w:tbl>
    <w:p>
      <w:pPr>
        <w:spacing w:line="240" w:lineRule="auto" w:before="6"/>
        <w:rPr>
          <w:rFonts w:ascii="宋体" w:hAnsi="宋体" w:cs="宋体" w:eastAsia="宋体" w:hint="default"/>
          <w:b/>
          <w:bCs/>
          <w:sz w:val="5"/>
          <w:szCs w:val="5"/>
        </w:rPr>
      </w:pPr>
    </w:p>
    <w:p>
      <w:pPr>
        <w:pStyle w:val="Heading3"/>
        <w:spacing w:line="240" w:lineRule="auto" w:before="36"/>
        <w:ind w:left="580" w:right="0"/>
        <w:jc w:val="left"/>
        <w:rPr>
          <w:b w:val="0"/>
          <w:bCs w:val="0"/>
        </w:rPr>
      </w:pPr>
      <w:r>
        <w:rPr>
          <w:rFonts w:ascii="Times New Roman" w:hAnsi="Times New Roman" w:cs="Times New Roman" w:eastAsia="Times New Roman" w:hint="default"/>
        </w:rPr>
        <w:t>3</w:t>
      </w:r>
      <w:r>
        <w:rPr/>
        <w:t>、收到其他与筹资活动有关的现金</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4634"/>
        <w:gridCol w:w="2112"/>
        <w:gridCol w:w="2129"/>
      </w:tblGrid>
      <w:tr>
        <w:trPr>
          <w:trHeight w:val="355" w:hRule="exact"/>
        </w:trPr>
        <w:tc>
          <w:tcPr>
            <w:tcW w:w="46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2126"/>
              <w:jc w:val="right"/>
              <w:rPr>
                <w:rFonts w:ascii="宋体" w:hAnsi="宋体" w:cs="宋体" w:eastAsia="宋体" w:hint="default"/>
                <w:sz w:val="18"/>
                <w:szCs w:val="18"/>
              </w:rPr>
            </w:pPr>
            <w:r>
              <w:rPr>
                <w:rFonts w:ascii="宋体" w:hAnsi="宋体" w:cs="宋体" w:eastAsia="宋体" w:hint="default"/>
                <w:sz w:val="18"/>
                <w:szCs w:val="18"/>
              </w:rPr>
              <w:t>项目</w:t>
            </w:r>
          </w:p>
        </w:tc>
        <w:tc>
          <w:tcPr>
            <w:tcW w:w="21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8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69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21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516,066.58</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0"/>
              <w:jc w:val="right"/>
              <w:rPr>
                <w:rFonts w:ascii="Times New Roman" w:hAnsi="Times New Roman" w:cs="Times New Roman" w:eastAsia="Times New Roman" w:hint="default"/>
                <w:sz w:val="18"/>
                <w:szCs w:val="18"/>
              </w:rPr>
            </w:pPr>
            <w:r>
              <w:rPr>
                <w:rFonts w:ascii="Times New Roman"/>
                <w:spacing w:val="-1"/>
                <w:sz w:val="18"/>
              </w:rPr>
              <w:t>1,560,939.09</w:t>
            </w:r>
            <w:r>
              <w:rPr>
                <w:rFonts w:ascii="Times New Roman"/>
                <w:sz w:val="18"/>
              </w:rPr>
            </w:r>
          </w:p>
        </w:tc>
      </w:tr>
      <w:tr>
        <w:trPr>
          <w:trHeight w:val="355"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126"/>
              <w:jc w:val="right"/>
              <w:rPr>
                <w:rFonts w:ascii="宋体" w:hAnsi="宋体" w:cs="宋体" w:eastAsia="宋体" w:hint="default"/>
                <w:sz w:val="18"/>
                <w:szCs w:val="18"/>
              </w:rPr>
            </w:pPr>
            <w:r>
              <w:rPr>
                <w:rFonts w:ascii="宋体" w:hAnsi="宋体" w:cs="宋体" w:eastAsia="宋体" w:hint="default"/>
                <w:sz w:val="18"/>
                <w:szCs w:val="18"/>
              </w:rPr>
              <w:t>合计</w:t>
            </w:r>
          </w:p>
        </w:tc>
        <w:tc>
          <w:tcPr>
            <w:tcW w:w="21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516,066.58</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1,560,939.09</w:t>
            </w:r>
          </w:p>
        </w:tc>
      </w:tr>
    </w:tbl>
    <w:p>
      <w:pPr>
        <w:spacing w:line="240" w:lineRule="auto" w:before="6"/>
        <w:rPr>
          <w:rFonts w:ascii="宋体" w:hAnsi="宋体" w:cs="宋体" w:eastAsia="宋体" w:hint="default"/>
          <w:b/>
          <w:bCs/>
          <w:sz w:val="5"/>
          <w:szCs w:val="5"/>
        </w:rPr>
      </w:pPr>
    </w:p>
    <w:p>
      <w:pPr>
        <w:pStyle w:val="Heading3"/>
        <w:spacing w:line="240" w:lineRule="auto" w:before="36"/>
        <w:ind w:left="580" w:right="0"/>
        <w:jc w:val="left"/>
        <w:rPr>
          <w:b w:val="0"/>
          <w:bCs w:val="0"/>
        </w:rPr>
      </w:pP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4606"/>
        <w:gridCol w:w="2114"/>
        <w:gridCol w:w="2141"/>
      </w:tblGrid>
      <w:tr>
        <w:trPr>
          <w:trHeight w:val="353" w:hRule="exact"/>
        </w:trPr>
        <w:tc>
          <w:tcPr>
            <w:tcW w:w="4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2112"/>
              <w:jc w:val="right"/>
              <w:rPr>
                <w:rFonts w:ascii="宋体" w:hAnsi="宋体" w:cs="宋体" w:eastAsia="宋体" w:hint="default"/>
                <w:sz w:val="18"/>
                <w:szCs w:val="18"/>
              </w:rPr>
            </w:pPr>
            <w:r>
              <w:rPr>
                <w:rFonts w:ascii="宋体" w:hAnsi="宋体" w:cs="宋体" w:eastAsia="宋体" w:hint="default"/>
                <w:sz w:val="18"/>
                <w:szCs w:val="18"/>
              </w:rPr>
              <w:t>项目</w:t>
            </w:r>
          </w:p>
        </w:tc>
        <w:tc>
          <w:tcPr>
            <w:tcW w:w="2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9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70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3" w:hRule="exact"/>
        </w:trPr>
        <w:tc>
          <w:tcPr>
            <w:tcW w:w="4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6"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1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621.99</w:t>
            </w:r>
            <w:r>
              <w:rPr>
                <w:rFonts w:ascii="Times New Roman"/>
                <w:sz w:val="18"/>
              </w:rPr>
            </w:r>
          </w:p>
        </w:tc>
        <w:tc>
          <w:tcPr>
            <w:tcW w:w="21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1,205.06</w:t>
            </w:r>
          </w:p>
        </w:tc>
      </w:tr>
      <w:tr>
        <w:trPr>
          <w:trHeight w:val="353" w:hRule="exact"/>
        </w:trPr>
        <w:tc>
          <w:tcPr>
            <w:tcW w:w="4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2112"/>
              <w:jc w:val="right"/>
              <w:rPr>
                <w:rFonts w:ascii="宋体" w:hAnsi="宋体" w:cs="宋体" w:eastAsia="宋体" w:hint="default"/>
                <w:sz w:val="18"/>
                <w:szCs w:val="18"/>
              </w:rPr>
            </w:pPr>
            <w:r>
              <w:rPr>
                <w:rFonts w:ascii="宋体" w:hAnsi="宋体" w:cs="宋体" w:eastAsia="宋体" w:hint="default"/>
                <w:sz w:val="18"/>
                <w:szCs w:val="18"/>
              </w:rPr>
              <w:t>合计</w:t>
            </w:r>
          </w:p>
        </w:tc>
        <w:tc>
          <w:tcPr>
            <w:tcW w:w="21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621.99</w:t>
            </w:r>
            <w:r>
              <w:rPr>
                <w:rFonts w:ascii="Times New Roman"/>
                <w:sz w:val="18"/>
              </w:rPr>
            </w:r>
          </w:p>
        </w:tc>
        <w:tc>
          <w:tcPr>
            <w:tcW w:w="21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1,205.06</w:t>
            </w:r>
          </w:p>
        </w:tc>
      </w:tr>
    </w:tbl>
    <w:p>
      <w:pPr>
        <w:spacing w:line="240" w:lineRule="auto" w:before="4"/>
        <w:rPr>
          <w:rFonts w:ascii="宋体" w:hAnsi="宋体" w:cs="宋体" w:eastAsia="宋体" w:hint="default"/>
          <w:b/>
          <w:bCs/>
          <w:sz w:val="29"/>
          <w:szCs w:val="29"/>
        </w:rPr>
      </w:pPr>
    </w:p>
    <w:p>
      <w:pPr>
        <w:pStyle w:val="Heading3"/>
        <w:spacing w:line="240" w:lineRule="auto" w:before="36"/>
        <w:ind w:left="575" w:right="0"/>
        <w:jc w:val="left"/>
        <w:rPr>
          <w:b w:val="0"/>
          <w:bCs w:val="0"/>
        </w:rPr>
      </w:pPr>
      <w:r>
        <w:rPr/>
        <w:t>（三十七）现金流量表补充资料</w:t>
      </w:r>
      <w:r>
        <w:rPr>
          <w:b w:val="0"/>
          <w:bCs w:val="0"/>
        </w:rPr>
      </w:r>
    </w:p>
    <w:p>
      <w:pPr>
        <w:pStyle w:val="Heading3"/>
        <w:spacing w:line="240" w:lineRule="auto" w:before="37"/>
        <w:ind w:left="580" w:right="0"/>
        <w:jc w:val="left"/>
        <w:rPr>
          <w:b w:val="0"/>
          <w:bCs w:val="0"/>
        </w:rPr>
      </w:pPr>
      <w:r>
        <w:rPr>
          <w:rFonts w:ascii="Times New Roman" w:hAnsi="Times New Roman" w:cs="Times New Roman" w:eastAsia="Times New Roman" w:hint="default"/>
        </w:rPr>
        <w:t>1</w:t>
      </w:r>
      <w:r>
        <w:rPr/>
        <w:t>、现金流量表补充资料</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4630"/>
        <w:gridCol w:w="2110"/>
        <w:gridCol w:w="2206"/>
      </w:tblGrid>
      <w:tr>
        <w:trPr>
          <w:trHeight w:val="355" w:hRule="exact"/>
        </w:trPr>
        <w:tc>
          <w:tcPr>
            <w:tcW w:w="4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8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2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110" w:type="dxa"/>
            <w:tcBorders>
              <w:top w:val="single" w:sz="12" w:space="0" w:color="000000"/>
              <w:left w:val="single" w:sz="6" w:space="0" w:color="000000"/>
              <w:bottom w:val="single" w:sz="12" w:space="0" w:color="000000"/>
              <w:right w:val="single" w:sz="6" w:space="0" w:color="000000"/>
            </w:tcBorders>
          </w:tcPr>
          <w:p>
            <w:pPr/>
          </w:p>
        </w:tc>
        <w:tc>
          <w:tcPr>
            <w:tcW w:w="220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058" w:right="0"/>
              <w:jc w:val="left"/>
              <w:rPr>
                <w:rFonts w:ascii="Times New Roman" w:hAnsi="Times New Roman" w:cs="Times New Roman" w:eastAsia="Times New Roman" w:hint="default"/>
                <w:sz w:val="18"/>
                <w:szCs w:val="18"/>
              </w:rPr>
            </w:pPr>
            <w:r>
              <w:rPr>
                <w:rFonts w:ascii="Times New Roman"/>
                <w:sz w:val="18"/>
              </w:rPr>
              <w:t>22,228,072.58</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1151" w:right="0"/>
              <w:jc w:val="left"/>
              <w:rPr>
                <w:rFonts w:ascii="Times New Roman" w:hAnsi="Times New Roman" w:cs="Times New Roman" w:eastAsia="Times New Roman" w:hint="default"/>
                <w:sz w:val="18"/>
                <w:szCs w:val="18"/>
              </w:rPr>
            </w:pPr>
            <w:r>
              <w:rPr>
                <w:rFonts w:ascii="Times New Roman"/>
                <w:sz w:val="18"/>
              </w:rPr>
              <w:t>22,523,905.35</w:t>
            </w:r>
          </w:p>
        </w:tc>
      </w:tr>
    </w:tbl>
    <w:p>
      <w:pPr>
        <w:spacing w:after="0" w:line="240" w:lineRule="auto"/>
        <w:jc w:val="lef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4630"/>
        <w:gridCol w:w="2110"/>
        <w:gridCol w:w="2206"/>
      </w:tblGrid>
      <w:tr>
        <w:trPr>
          <w:trHeight w:val="353" w:hRule="exact"/>
        </w:trPr>
        <w:tc>
          <w:tcPr>
            <w:tcW w:w="4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1,102,935.18</w:t>
            </w:r>
            <w:r>
              <w:rPr>
                <w:rFonts w:ascii="Times New Roman"/>
                <w:sz w:val="18"/>
              </w:rPr>
            </w:r>
          </w:p>
        </w:tc>
        <w:tc>
          <w:tcPr>
            <w:tcW w:w="22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1,963,430.54</w:t>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1,703,437.85</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1,541,561.55</w:t>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1,539,527.11</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1,644,633.74</w:t>
            </w:r>
          </w:p>
        </w:tc>
      </w:tr>
      <w:tr>
        <w:trPr>
          <w:trHeight w:val="350"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44,825.78</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67,411.98</w:t>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11,560.85</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(226,705.32)</w:t>
            </w:r>
            <w:r>
              <w:rPr>
                <w:rFonts w:ascii="Times New Roman"/>
                <w:sz w:val="18"/>
              </w:rPr>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(516,066.58)</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(1,733,271.70)</w:t>
            </w:r>
            <w:r>
              <w:rPr>
                <w:rFonts w:ascii="Times New Roman"/>
                <w:sz w:val="18"/>
              </w:rPr>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(4,424,106.13)</w:t>
            </w:r>
            <w:r>
              <w:rPr>
                <w:rFonts w:ascii="Times New Roman"/>
                <w:sz w:val="18"/>
              </w:rPr>
            </w:r>
          </w:p>
        </w:tc>
      </w:tr>
      <w:tr>
        <w:trPr>
          <w:trHeight w:val="350"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(157,407.03)</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(115,475.73)</w:t>
            </w:r>
            <w:r>
              <w:rPr>
                <w:rFonts w:ascii="Times New Roman"/>
                <w:sz w:val="18"/>
              </w:rPr>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220,050.26</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196,234.42</w:t>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(3,315,723.76)</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342,036.99</w:t>
            </w:r>
          </w:p>
        </w:tc>
      </w:tr>
      <w:tr>
        <w:trPr>
          <w:trHeight w:val="350"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(2,353,229.45)</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(671,406.41)</w:t>
            </w:r>
            <w:r>
              <w:rPr>
                <w:rFonts w:ascii="Times New Roman"/>
                <w:sz w:val="18"/>
              </w:rPr>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6,042,900.91</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(470,403.53)</w:t>
            </w:r>
            <w:r>
              <w:rPr>
                <w:rFonts w:ascii="Times New Roman"/>
                <w:sz w:val="18"/>
              </w:rPr>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19,415,704.22</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20,637,845.75</w:t>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110" w:type="dxa"/>
            <w:tcBorders>
              <w:top w:val="single" w:sz="12" w:space="0" w:color="000000"/>
              <w:left w:val="single" w:sz="6" w:space="0" w:color="000000"/>
              <w:bottom w:val="single" w:sz="12" w:space="0" w:color="000000"/>
              <w:right w:val="single" w:sz="6" w:space="0" w:color="000000"/>
            </w:tcBorders>
          </w:tcPr>
          <w:p>
            <w:pPr/>
          </w:p>
        </w:tc>
        <w:tc>
          <w:tcPr>
            <w:tcW w:w="220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110" w:type="dxa"/>
            <w:tcBorders>
              <w:top w:val="single" w:sz="12" w:space="0" w:color="000000"/>
              <w:left w:val="single" w:sz="6" w:space="0" w:color="000000"/>
              <w:bottom w:val="single" w:sz="12" w:space="0" w:color="000000"/>
              <w:right w:val="single" w:sz="6" w:space="0" w:color="000000"/>
            </w:tcBorders>
          </w:tcPr>
          <w:p>
            <w:pPr/>
          </w:p>
        </w:tc>
        <w:tc>
          <w:tcPr>
            <w:tcW w:w="2206"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72,859,653.55</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121,299,781.90</w:t>
            </w:r>
            <w:r>
              <w:rPr>
                <w:rFonts w:ascii="Times New Roman"/>
                <w:sz w:val="18"/>
              </w:rPr>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121,299,781.90</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126,386,318.45</w:t>
            </w:r>
            <w:r>
              <w:rPr>
                <w:rFonts w:ascii="Times New Roman"/>
                <w:sz w:val="18"/>
              </w:rPr>
            </w:r>
          </w:p>
        </w:tc>
      </w:tr>
      <w:tr>
        <w:trPr>
          <w:trHeight w:val="353"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5"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(48,440,128.35)</w:t>
            </w:r>
            <w:r>
              <w:rPr>
                <w:rFonts w:ascii="Times New Roman"/>
                <w:sz w:val="18"/>
              </w:rPr>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(5,086,536.55)</w:t>
            </w:r>
            <w:r>
              <w:rPr>
                <w:rFonts w:ascii="Times New Roman"/>
                <w:sz w:val="18"/>
              </w:rPr>
            </w:r>
          </w:p>
        </w:tc>
      </w:tr>
    </w:tbl>
    <w:p>
      <w:pPr>
        <w:spacing w:line="240" w:lineRule="auto" w:before="6"/>
        <w:rPr>
          <w:rFonts w:ascii="宋体" w:hAnsi="宋体" w:cs="宋体" w:eastAsia="宋体" w:hint="default"/>
          <w:b/>
          <w:bCs/>
          <w:sz w:val="5"/>
          <w:szCs w:val="5"/>
        </w:rPr>
      </w:pPr>
    </w:p>
    <w:p>
      <w:pPr>
        <w:pStyle w:val="Heading3"/>
        <w:spacing w:line="240" w:lineRule="auto" w:before="36"/>
        <w:ind w:left="580" w:right="0"/>
        <w:jc w:val="left"/>
        <w:rPr>
          <w:b w:val="0"/>
          <w:bCs w:val="0"/>
        </w:rPr>
      </w:pPr>
      <w:r>
        <w:rPr>
          <w:rFonts w:ascii="Times New Roman" w:hAnsi="Times New Roman" w:cs="Times New Roman" w:eastAsia="Times New Roman" w:hint="default"/>
        </w:rPr>
        <w:t>2</w:t>
      </w:r>
      <w:r>
        <w:rPr/>
        <w:t>、现金和现金等价物的构成：</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4634"/>
        <w:gridCol w:w="2098"/>
        <w:gridCol w:w="2213"/>
      </w:tblGrid>
      <w:tr>
        <w:trPr>
          <w:trHeight w:val="353" w:hRule="exact"/>
        </w:trPr>
        <w:tc>
          <w:tcPr>
            <w:tcW w:w="46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tabs>
                <w:tab w:pos="904" w:val="left" w:leader="none"/>
              </w:tabs>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72,859,653.55</w:t>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121,299,781.90</w:t>
            </w:r>
            <w:r>
              <w:rPr>
                <w:rFonts w:ascii="Times New Roman"/>
                <w:sz w:val="18"/>
              </w:rPr>
            </w:r>
          </w:p>
        </w:tc>
      </w:tr>
      <w:tr>
        <w:trPr>
          <w:trHeight w:val="350"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96,230.63</w:t>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131,510.57</w:t>
            </w:r>
          </w:p>
        </w:tc>
      </w:tr>
      <w:tr>
        <w:trPr>
          <w:trHeight w:val="353"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72,763,422.92</w:t>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121,168,271.33</w:t>
            </w:r>
            <w:r>
              <w:rPr>
                <w:rFonts w:ascii="Times New Roman"/>
                <w:sz w:val="18"/>
              </w:rPr>
            </w:r>
          </w:p>
        </w:tc>
      </w:tr>
      <w:tr>
        <w:trPr>
          <w:trHeight w:val="353"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72,859,653.55</w:t>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121,299,781.90</w:t>
            </w:r>
            <w:r>
              <w:rPr>
                <w:rFonts w:ascii="Times New Roman"/>
                <w:sz w:val="18"/>
              </w:rPr>
            </w:r>
          </w:p>
        </w:tc>
      </w:tr>
    </w:tbl>
    <w:p>
      <w:pPr>
        <w:spacing w:line="240" w:lineRule="auto" w:before="10"/>
        <w:rPr>
          <w:rFonts w:ascii="宋体" w:hAnsi="宋体" w:cs="宋体" w:eastAsia="宋体" w:hint="default"/>
          <w:b/>
          <w:bCs/>
          <w:sz w:val="18"/>
          <w:szCs w:val="18"/>
        </w:rPr>
      </w:pPr>
    </w:p>
    <w:p>
      <w:pPr>
        <w:pStyle w:val="Heading2"/>
        <w:spacing w:line="240" w:lineRule="auto" w:before="26"/>
        <w:ind w:left="635" w:right="0"/>
        <w:jc w:val="left"/>
        <w:rPr>
          <w:b w:val="0"/>
          <w:bCs w:val="0"/>
        </w:rPr>
      </w:pPr>
      <w:r>
        <w:rPr/>
        <w:t>七、在其他主体中的权益</w:t>
      </w:r>
      <w:r>
        <w:rPr>
          <w:b w:val="0"/>
          <w:bCs w:val="0"/>
        </w:rPr>
      </w:r>
    </w:p>
    <w:p>
      <w:pPr>
        <w:pStyle w:val="Heading3"/>
        <w:spacing w:line="240" w:lineRule="auto" w:before="25"/>
        <w:ind w:right="0"/>
        <w:jc w:val="left"/>
        <w:rPr>
          <w:b w:val="0"/>
          <w:bCs w:val="0"/>
        </w:rPr>
      </w:pPr>
      <w:r>
        <w:rPr>
          <w:rFonts w:ascii="宋体" w:hAnsi="宋体" w:cs="宋体" w:eastAsia="宋体" w:hint="default"/>
        </w:rPr>
        <w:t>1.</w:t>
      </w:r>
      <w:r>
        <w:rPr>
          <w:rFonts w:ascii="宋体" w:hAnsi="宋体" w:cs="宋体" w:eastAsia="宋体" w:hint="default"/>
          <w:spacing w:val="44"/>
        </w:rPr>
        <w:t> </w:t>
      </w:r>
      <w:r>
        <w:rPr/>
        <w:t>在子公司中的权益</w:t>
      </w:r>
      <w:r>
        <w:rPr>
          <w:b w:val="0"/>
          <w:bCs w:val="0"/>
        </w:rPr>
      </w:r>
    </w:p>
    <w:p>
      <w:pPr>
        <w:pStyle w:val="Heading3"/>
        <w:spacing w:line="240" w:lineRule="auto" w:before="37"/>
        <w:ind w:right="0"/>
        <w:jc w:val="left"/>
        <w:rPr>
          <w:b w:val="0"/>
          <w:bCs w:val="0"/>
        </w:rPr>
      </w:pPr>
      <w:r>
        <w:rPr>
          <w:rFonts w:ascii="宋体" w:hAnsi="宋体" w:cs="宋体" w:eastAsia="宋体" w:hint="default"/>
        </w:rPr>
        <w:t>2.</w:t>
      </w:r>
      <w:r>
        <w:rPr>
          <w:rFonts w:ascii="宋体" w:hAnsi="宋体" w:cs="宋体" w:eastAsia="宋体" w:hint="default"/>
          <w:spacing w:val="44"/>
        </w:rPr>
        <w:t> </w:t>
      </w:r>
      <w:r>
        <w:rPr/>
        <w:t>企业集团的构成</w:t>
      </w:r>
      <w:r>
        <w:rPr>
          <w:b w:val="0"/>
          <w:bCs w:val="0"/>
        </w:rPr>
      </w:r>
    </w:p>
    <w:p>
      <w:pPr>
        <w:spacing w:after="0" w:line="240" w:lineRule="auto"/>
        <w:jc w:val="left"/>
        <w:sectPr>
          <w:pgSz w:w="11910" w:h="16840"/>
          <w:pgMar w:header="990" w:footer="1066" w:top="1220" w:bottom="1260" w:left="980" w:right="980"/>
        </w:sectPr>
      </w:pPr>
    </w:p>
    <w:p>
      <w:pPr>
        <w:spacing w:line="240" w:lineRule="auto" w:before="2"/>
        <w:rPr>
          <w:rFonts w:ascii="宋体" w:hAnsi="宋体" w:cs="宋体" w:eastAsia="宋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2566"/>
        <w:gridCol w:w="1279"/>
        <w:gridCol w:w="1147"/>
        <w:gridCol w:w="994"/>
        <w:gridCol w:w="770"/>
        <w:gridCol w:w="794"/>
        <w:gridCol w:w="1394"/>
      </w:tblGrid>
      <w:tr>
        <w:trPr>
          <w:trHeight w:val="353" w:hRule="exact"/>
        </w:trPr>
        <w:tc>
          <w:tcPr>
            <w:tcW w:w="2566" w:type="dxa"/>
            <w:vMerge w:val="restart"/>
            <w:tcBorders>
              <w:top w:val="single" w:sz="6" w:space="0" w:color="000000"/>
              <w:left w:val="single" w:sz="6" w:space="0" w:color="000000"/>
              <w:right w:val="single" w:sz="6" w:space="0" w:color="000000"/>
            </w:tcBorders>
          </w:tcPr>
          <w:p>
            <w:pPr>
              <w:pStyle w:val="TableParagraph"/>
              <w:spacing w:line="240" w:lineRule="auto" w:before="18"/>
              <w:ind w:left="82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9" w:type="dxa"/>
            <w:vMerge w:val="restart"/>
            <w:tcBorders>
              <w:top w:val="single" w:sz="6" w:space="0" w:color="000000"/>
              <w:left w:val="single" w:sz="6" w:space="0" w:color="000000"/>
              <w:right w:val="single" w:sz="6" w:space="0" w:color="000000"/>
            </w:tcBorders>
          </w:tcPr>
          <w:p>
            <w:pPr>
              <w:pStyle w:val="TableParagraph"/>
              <w:spacing w:line="240" w:lineRule="auto" w:before="18"/>
              <w:ind w:left="18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47" w:type="dxa"/>
            <w:vMerge w:val="restart"/>
            <w:tcBorders>
              <w:top w:val="single" w:sz="6" w:space="0" w:color="000000"/>
              <w:left w:val="single" w:sz="6" w:space="0" w:color="000000"/>
              <w:right w:val="single" w:sz="6" w:space="0" w:color="000000"/>
            </w:tcBorders>
          </w:tcPr>
          <w:p>
            <w:pPr>
              <w:pStyle w:val="TableParagraph"/>
              <w:spacing w:line="240" w:lineRule="auto" w:before="18"/>
              <w:ind w:left="29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8"/>
              <w:ind w:left="12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394" w:type="dxa"/>
            <w:vMerge w:val="restart"/>
            <w:tcBorders>
              <w:top w:val="single" w:sz="6" w:space="0" w:color="000000"/>
              <w:left w:val="single" w:sz="6" w:space="0" w:color="000000"/>
              <w:right w:val="nil" w:sz="6" w:space="0" w:color="auto"/>
            </w:tcBorders>
          </w:tcPr>
          <w:p>
            <w:pPr>
              <w:pStyle w:val="TableParagraph"/>
              <w:spacing w:line="240" w:lineRule="auto" w:before="18"/>
              <w:ind w:left="32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53" w:hRule="exact"/>
        </w:trPr>
        <w:tc>
          <w:tcPr>
            <w:tcW w:w="2566" w:type="dxa"/>
            <w:vMerge/>
            <w:tcBorders>
              <w:left w:val="single" w:sz="6" w:space="0" w:color="000000"/>
              <w:bottom w:val="single" w:sz="12" w:space="0" w:color="000000"/>
              <w:right w:val="single" w:sz="6" w:space="0" w:color="000000"/>
            </w:tcBorders>
          </w:tcPr>
          <w:p>
            <w:pPr/>
          </w:p>
        </w:tc>
        <w:tc>
          <w:tcPr>
            <w:tcW w:w="1279" w:type="dxa"/>
            <w:vMerge/>
            <w:tcBorders>
              <w:left w:val="single" w:sz="6" w:space="0" w:color="000000"/>
              <w:bottom w:val="single" w:sz="12" w:space="0" w:color="000000"/>
              <w:right w:val="single" w:sz="6" w:space="0" w:color="000000"/>
            </w:tcBorders>
          </w:tcPr>
          <w:p>
            <w:pPr/>
          </w:p>
        </w:tc>
        <w:tc>
          <w:tcPr>
            <w:tcW w:w="1147" w:type="dxa"/>
            <w:vMerge/>
            <w:tcBorders>
              <w:left w:val="single" w:sz="6" w:space="0" w:color="000000"/>
              <w:bottom w:val="single" w:sz="12" w:space="0" w:color="000000"/>
              <w:right w:val="single" w:sz="6" w:space="0" w:color="000000"/>
            </w:tcBorders>
          </w:tcPr>
          <w:p>
            <w:pPr/>
          </w:p>
        </w:tc>
        <w:tc>
          <w:tcPr>
            <w:tcW w:w="994" w:type="dxa"/>
            <w:vMerge/>
            <w:tcBorders>
              <w:left w:val="single" w:sz="6" w:space="0" w:color="000000"/>
              <w:bottom w:val="single" w:sz="12" w:space="0" w:color="000000"/>
              <w:right w:val="single" w:sz="6" w:space="0" w:color="000000"/>
            </w:tcBorders>
          </w:tcPr>
          <w:p>
            <w:pPr/>
          </w:p>
        </w:tc>
        <w:tc>
          <w:tcPr>
            <w:tcW w:w="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94" w:type="dxa"/>
            <w:vMerge/>
            <w:tcBorders>
              <w:left w:val="single" w:sz="6" w:space="0" w:color="000000"/>
              <w:bottom w:val="single" w:sz="12" w:space="0" w:color="000000"/>
              <w:right w:val="nil" w:sz="6" w:space="0" w:color="auto"/>
            </w:tcBorders>
          </w:tcPr>
          <w:p>
            <w:pPr/>
          </w:p>
        </w:tc>
      </w:tr>
      <w:tr>
        <w:trPr>
          <w:trHeight w:val="353" w:hRule="exact"/>
        </w:trPr>
        <w:tc>
          <w:tcPr>
            <w:tcW w:w="2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2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贸易服务</w:t>
            </w:r>
          </w:p>
        </w:tc>
        <w:tc>
          <w:tcPr>
            <w:tcW w:w="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61" w:right="0"/>
              <w:jc w:val="left"/>
              <w:rPr>
                <w:rFonts w:ascii="Times New Roman" w:hAnsi="Times New Roman" w:cs="Times New Roman" w:eastAsia="Times New Roman" w:hint="default"/>
                <w:sz w:val="18"/>
                <w:szCs w:val="18"/>
              </w:rPr>
            </w:pPr>
            <w:r>
              <w:rPr>
                <w:rFonts w:ascii="Times New Roman"/>
                <w:sz w:val="18"/>
              </w:rPr>
              <w:t>100.00</w:t>
            </w:r>
          </w:p>
        </w:tc>
        <w:tc>
          <w:tcPr>
            <w:tcW w:w="7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37" w:right="0"/>
              <w:jc w:val="left"/>
              <w:rPr>
                <w:rFonts w:ascii="宋体" w:hAnsi="宋体" w:cs="宋体" w:eastAsia="宋体" w:hint="default"/>
                <w:sz w:val="18"/>
                <w:szCs w:val="18"/>
              </w:rPr>
            </w:pPr>
            <w:r>
              <w:rPr>
                <w:rFonts w:ascii="宋体" w:hAnsi="宋体" w:cs="宋体" w:eastAsia="宋体" w:hint="default"/>
                <w:sz w:val="18"/>
                <w:szCs w:val="18"/>
              </w:rPr>
              <w:t>设立、收购</w:t>
            </w:r>
          </w:p>
        </w:tc>
      </w:tr>
    </w:tbl>
    <w:p>
      <w:pPr>
        <w:spacing w:line="240" w:lineRule="auto" w:before="13"/>
        <w:rPr>
          <w:rFonts w:ascii="宋体" w:hAnsi="宋体" w:cs="宋体" w:eastAsia="宋体" w:hint="default"/>
          <w:b/>
          <w:bCs/>
          <w:sz w:val="25"/>
          <w:szCs w:val="25"/>
        </w:rPr>
      </w:pPr>
    </w:p>
    <w:p>
      <w:pPr>
        <w:spacing w:line="408" w:lineRule="auto" w:before="36"/>
        <w:ind w:left="572" w:right="0" w:firstLine="62"/>
        <w:jc w:val="left"/>
        <w:rPr>
          <w:rFonts w:ascii="宋体" w:hAnsi="宋体" w:cs="宋体" w:eastAsia="宋体" w:hint="default"/>
          <w:sz w:val="21"/>
          <w:szCs w:val="21"/>
        </w:rPr>
      </w:pPr>
      <w:r>
        <w:rPr>
          <w:rFonts w:ascii="宋体" w:hAnsi="宋体" w:cs="宋体" w:eastAsia="宋体" w:hint="default"/>
          <w:b/>
          <w:bCs/>
          <w:sz w:val="21"/>
          <w:szCs w:val="21"/>
        </w:rPr>
        <w:t>八、与金融工具相关的风险披露</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本公司的经营活动会面临各种金融风险：信用风险、流动风险和市场风险。本公司整体的风险管理计</w:t>
      </w:r>
    </w:p>
    <w:p>
      <w:pPr>
        <w:pStyle w:val="BodyText"/>
        <w:spacing w:line="240" w:lineRule="auto"/>
        <w:ind w:right="0"/>
        <w:jc w:val="left"/>
      </w:pPr>
      <w:r>
        <w:rPr/>
        <w:t>划针对金融市场的不可预见性，力求减少对本公司财务业绩的潜在不利影响。</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43"/>
        </w:rPr>
        <w:t> </w:t>
      </w:r>
      <w:r>
        <w:rPr/>
        <w:t>信用风险</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12" w:right="0" w:firstLine="420"/>
        <w:jc w:val="left"/>
      </w:pPr>
      <w:r>
        <w:rPr>
          <w:spacing w:val="-2"/>
        </w:rPr>
        <w:t>本公司的信用风险主要来自货币资金、应收账款、其他应收款和可供出售金融资产等。管理层已</w:t>
      </w:r>
      <w:r>
        <w:rPr>
          <w:w w:val="100"/>
        </w:rPr>
        <w:t> </w:t>
      </w:r>
      <w:r>
        <w:rPr/>
        <w:t>制定适当的信用政策，并且不断监察这些信用风险的敞口。</w:t>
      </w:r>
    </w:p>
    <w:p>
      <w:pPr>
        <w:pStyle w:val="BodyText"/>
        <w:spacing w:line="408" w:lineRule="auto"/>
        <w:ind w:left="512" w:right="0" w:firstLine="420"/>
        <w:jc w:val="left"/>
      </w:pPr>
      <w:r>
        <w:rPr>
          <w:spacing w:val="-2"/>
        </w:rPr>
        <w:t>本公司持有的货币资金，主要存放于商业银行等金融机构，管理层认为这些商业银行具备较高信</w:t>
      </w:r>
      <w:r>
        <w:rPr>
          <w:w w:val="100"/>
        </w:rPr>
        <w:t> </w:t>
      </w:r>
      <w:r>
        <w:rPr/>
        <w:t>誉和资产状况，存在较低的信用风险。本公司采取限额政策以规避对任何金融机构的信贷风险。</w:t>
      </w:r>
    </w:p>
    <w:p>
      <w:pPr>
        <w:pStyle w:val="BodyText"/>
        <w:spacing w:line="408" w:lineRule="auto"/>
        <w:ind w:left="512" w:right="183" w:firstLine="420"/>
        <w:jc w:val="both"/>
      </w:pPr>
      <w:r>
        <w:rPr>
          <w:spacing w:val="-2"/>
        </w:rPr>
        <w:t>对于应收账款和其他应收款，本公司设定相关政策以控制信用风险敞口。本公司基于对客户的财</w:t>
      </w:r>
      <w:r>
        <w:rPr>
          <w:w w:val="100"/>
        </w:rPr>
        <w:t> </w:t>
      </w:r>
      <w:r>
        <w:rPr>
          <w:spacing w:val="-2"/>
        </w:rPr>
        <w:t>务状况、从第三方获取担保的可能性、信用记录及其它因素诸如目前市场状况等评估客户的信用资质</w:t>
      </w:r>
      <w:r>
        <w:rPr>
          <w:spacing w:val="-21"/>
        </w:rPr>
        <w:t> </w:t>
      </w:r>
      <w:r>
        <w:rPr>
          <w:spacing w:val="-21"/>
        </w:rPr>
      </w:r>
      <w:r>
        <w:rPr>
          <w:spacing w:val="-2"/>
        </w:rPr>
        <w:t>并设置相应信用期。本公司会定期对客户信用记录进行监控，对于信用记录不良的客户，本公司会采</w:t>
      </w:r>
      <w:r>
        <w:rPr>
          <w:spacing w:val="-21"/>
        </w:rPr>
        <w:t> </w:t>
      </w:r>
      <w:r>
        <w:rPr>
          <w:spacing w:val="-21"/>
        </w:rPr>
      </w:r>
      <w:r>
        <w:rPr/>
        <w:t>用书面催款、缩短信用期或取消信用期等方式，以确保本公司的整体信用风险在可控的范围内。</w:t>
      </w:r>
    </w:p>
    <w:p>
      <w:pPr>
        <w:pStyle w:val="BodyText"/>
        <w:spacing w:line="408" w:lineRule="auto"/>
        <w:ind w:left="512" w:right="180" w:firstLine="419"/>
        <w:jc w:val="left"/>
      </w:pPr>
      <w:r>
        <w:rPr/>
        <w:t>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日，本公司的前五大客户的应收账款占本公司应收账款总额</w:t>
      </w:r>
      <w:r>
        <w:rPr>
          <w:rFonts w:ascii="宋体" w:hAnsi="宋体" w:cs="宋体" w:eastAsia="宋体" w:hint="default"/>
        </w:rPr>
        <w:t>60.81%</w:t>
      </w:r>
      <w:r>
        <w:rPr>
          <w:rFonts w:ascii="宋体" w:hAnsi="宋体" w:cs="宋体" w:eastAsia="宋体" w:hint="default"/>
          <w:spacing w:val="-5"/>
        </w:rPr>
        <w:t> </w:t>
      </w:r>
      <w:r>
        <w:rPr>
          <w:rFonts w:ascii="宋体" w:hAnsi="宋体" w:cs="宋体" w:eastAsia="宋体" w:hint="default"/>
        </w:rPr>
        <w:t>(2014</w:t>
      </w:r>
      <w:r>
        <w:rPr/>
        <w:t>年：</w:t>
      </w:r>
      <w:r>
        <w:rPr>
          <w:w w:val="100"/>
        </w:rPr>
        <w:t> </w:t>
      </w:r>
      <w:r>
        <w:rPr>
          <w:rFonts w:ascii="宋体" w:hAnsi="宋体" w:cs="宋体" w:eastAsia="宋体" w:hint="default"/>
        </w:rPr>
        <w:t>70.25%)</w:t>
      </w:r>
      <w:r>
        <w:rPr>
          <w:rFonts w:ascii="宋体" w:hAnsi="宋体" w:cs="宋体" w:eastAsia="宋体" w:hint="default"/>
          <w:spacing w:val="2"/>
        </w:rPr>
        <w:t> </w:t>
      </w:r>
      <w:r>
        <w:rPr/>
        <w:t>。</w:t>
      </w:r>
    </w:p>
    <w:p>
      <w:pPr>
        <w:pStyle w:val="BodyText"/>
        <w:spacing w:line="408" w:lineRule="auto"/>
        <w:ind w:left="512" w:right="288" w:firstLine="419"/>
        <w:jc w:val="left"/>
      </w:pPr>
      <w:r>
        <w:rPr/>
        <w:t>本公司所承受的最大信用风险敞口为资产负债表中每项金融资产</w:t>
      </w:r>
      <w:r>
        <w:rPr>
          <w:rFonts w:ascii="宋体" w:hAnsi="宋体" w:cs="宋体" w:eastAsia="宋体" w:hint="default"/>
        </w:rPr>
        <w:t>(</w:t>
      </w:r>
      <w:r>
        <w:rPr/>
        <w:t>包括衍生金融工具</w:t>
      </w:r>
      <w:r>
        <w:rPr>
          <w:rFonts w:ascii="宋体" w:hAnsi="宋体" w:cs="宋体" w:eastAsia="宋体" w:hint="default"/>
        </w:rPr>
        <w:t>)</w:t>
      </w:r>
      <w:r>
        <w:rPr>
          <w:rFonts w:ascii="宋体" w:hAnsi="宋体" w:cs="宋体" w:eastAsia="宋体" w:hint="default"/>
          <w:spacing w:val="-8"/>
        </w:rPr>
        <w:t> </w:t>
      </w:r>
      <w:r>
        <w:rPr/>
        <w:t>的账面金</w:t>
      </w:r>
      <w:r>
        <w:rPr>
          <w:w w:val="100"/>
        </w:rPr>
        <w:t> </w:t>
      </w:r>
      <w:r>
        <w:rPr/>
        <w:t>额。本公司没有提供任何其他可能令本公司承受信用风险的担保。</w:t>
      </w:r>
    </w:p>
    <w:p>
      <w:pPr>
        <w:pStyle w:val="Heading3"/>
        <w:spacing w:line="240" w:lineRule="auto" w:before="166"/>
        <w:ind w:right="0"/>
        <w:jc w:val="left"/>
        <w:rPr>
          <w:b w:val="0"/>
          <w:bCs w:val="0"/>
        </w:rPr>
      </w:pPr>
      <w:r>
        <w:rPr>
          <w:rFonts w:ascii="宋体" w:hAnsi="宋体" w:cs="宋体" w:eastAsia="宋体" w:hint="default"/>
        </w:rPr>
        <w:t>1.</w:t>
      </w:r>
      <w:r>
        <w:rPr>
          <w:rFonts w:ascii="宋体" w:hAnsi="宋体" w:cs="宋体" w:eastAsia="宋体" w:hint="default"/>
          <w:spacing w:val="43"/>
        </w:rPr>
        <w:t> </w:t>
      </w:r>
      <w:r>
        <w:rPr/>
        <w:t>流动性风险</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12" w:right="0" w:firstLine="419"/>
        <w:jc w:val="left"/>
      </w:pPr>
      <w:r>
        <w:rPr>
          <w:spacing w:val="-2"/>
        </w:rPr>
        <w:t>流动性风险是指本公司无法及时获得充足资金</w:t>
      </w:r>
      <w:r>
        <w:rPr>
          <w:rFonts w:ascii="宋体" w:hAnsi="宋体" w:cs="宋体" w:eastAsia="宋体" w:hint="default"/>
          <w:spacing w:val="-2"/>
        </w:rPr>
        <w:t>,</w:t>
      </w:r>
      <w:r>
        <w:rPr>
          <w:spacing w:val="-2"/>
        </w:rPr>
        <w:t>满足业务发展需要或偿付到期债务以及其他支付</w:t>
      </w:r>
      <w:r>
        <w:rPr>
          <w:w w:val="100"/>
        </w:rPr>
        <w:t> </w:t>
      </w:r>
      <w:r>
        <w:rPr/>
        <w:t>义务的风险。</w:t>
      </w:r>
    </w:p>
    <w:p>
      <w:pPr>
        <w:pStyle w:val="BodyText"/>
        <w:spacing w:line="408" w:lineRule="auto"/>
        <w:ind w:left="512" w:right="0" w:firstLine="420"/>
        <w:jc w:val="left"/>
      </w:pPr>
      <w:r>
        <w:rPr>
          <w:spacing w:val="-2"/>
        </w:rPr>
        <w:t>本公司财务部门持续监控公司短期和长期的资金需求，以确保维持充裕的现金储备；同时持续监</w:t>
      </w:r>
      <w:r>
        <w:rPr>
          <w:w w:val="100"/>
        </w:rPr>
        <w:t> </w:t>
      </w:r>
      <w:r>
        <w:rPr/>
        <w:t>控是否符合借款协议的规定，现阶段主要依靠自有资金满足资金需求。</w:t>
      </w:r>
    </w:p>
    <w:p>
      <w:pPr>
        <w:pStyle w:val="Heading3"/>
        <w:spacing w:line="240" w:lineRule="auto" w:before="166"/>
        <w:ind w:left="637" w:right="0"/>
        <w:jc w:val="left"/>
        <w:rPr>
          <w:b w:val="0"/>
          <w:bCs w:val="0"/>
        </w:rPr>
      </w:pPr>
      <w:r>
        <w:rPr>
          <w:rFonts w:ascii="宋体" w:hAnsi="宋体" w:cs="宋体" w:eastAsia="宋体" w:hint="default"/>
        </w:rPr>
        <w:t>1.</w:t>
      </w:r>
      <w:r>
        <w:rPr>
          <w:rFonts w:ascii="宋体" w:hAnsi="宋体" w:cs="宋体" w:eastAsia="宋体" w:hint="default"/>
          <w:spacing w:val="43"/>
        </w:rPr>
        <w:t> </w:t>
      </w:r>
      <w:r>
        <w:rPr/>
        <w:t>市场风险</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43"/>
        </w:rPr>
        <w:t> </w:t>
      </w:r>
      <w:r>
        <w:rPr/>
        <w:t>外汇风险</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12" w:right="0" w:firstLine="420"/>
        <w:jc w:val="left"/>
      </w:pPr>
      <w:r>
        <w:rPr>
          <w:spacing w:val="-2"/>
        </w:rPr>
        <w:t>本公司产品全部内销，并且没有持有外币性金融资产和金融负债，因此汇率变动对本公司的经营</w:t>
      </w:r>
      <w:r>
        <w:rPr>
          <w:w w:val="100"/>
        </w:rPr>
        <w:t> </w:t>
      </w:r>
      <w:r>
        <w:rPr/>
        <w:t>业绩产生的影响较小。</w:t>
      </w:r>
    </w:p>
    <w:p>
      <w:pPr>
        <w:pStyle w:val="Heading3"/>
        <w:spacing w:line="240" w:lineRule="auto" w:before="46"/>
        <w:ind w:right="0"/>
        <w:jc w:val="left"/>
        <w:rPr>
          <w:b w:val="0"/>
          <w:bCs w:val="0"/>
        </w:rPr>
      </w:pPr>
      <w:r>
        <w:rPr>
          <w:rFonts w:ascii="宋体" w:hAnsi="宋体" w:cs="宋体" w:eastAsia="宋体" w:hint="default"/>
        </w:rPr>
        <w:t>1.</w:t>
      </w:r>
      <w:r>
        <w:rPr>
          <w:rFonts w:ascii="宋体" w:hAnsi="宋体" w:cs="宋体" w:eastAsia="宋体" w:hint="default"/>
          <w:spacing w:val="43"/>
        </w:rPr>
        <w:t> </w:t>
      </w:r>
      <w:r>
        <w:rPr/>
        <w:t>利率风险</w:t>
      </w:r>
      <w:r>
        <w:rPr>
          <w:b w:val="0"/>
          <w:bCs w:val="0"/>
        </w:rPr>
      </w:r>
    </w:p>
    <w:p>
      <w:pPr>
        <w:spacing w:after="0" w:line="240" w:lineRule="auto"/>
        <w:jc w:val="left"/>
        <w:sectPr>
          <w:pgSz w:w="11910" w:h="16840"/>
          <w:pgMar w:header="990" w:footer="1066" w:top="1220" w:bottom="1260" w:left="980" w:right="980"/>
        </w:sectPr>
      </w:pPr>
    </w:p>
    <w:p>
      <w:pPr>
        <w:spacing w:line="240" w:lineRule="auto" w:before="4"/>
        <w:rPr>
          <w:rFonts w:ascii="宋体" w:hAnsi="宋体" w:cs="宋体" w:eastAsia="宋体" w:hint="default"/>
          <w:b/>
          <w:bCs/>
          <w:sz w:val="16"/>
          <w:szCs w:val="16"/>
        </w:rPr>
      </w:pPr>
    </w:p>
    <w:p>
      <w:pPr>
        <w:pStyle w:val="BodyText"/>
        <w:spacing w:line="408" w:lineRule="auto" w:before="36"/>
        <w:ind w:left="512" w:right="0" w:firstLine="420"/>
        <w:jc w:val="left"/>
      </w:pPr>
      <w:r>
        <w:rPr>
          <w:spacing w:val="-2"/>
        </w:rPr>
        <w:t>本公司主要依靠自用资金满足生产经营的需要，近期未向银行借款，因此利率变动对本公司的经</w:t>
      </w:r>
      <w:r>
        <w:rPr>
          <w:w w:val="100"/>
        </w:rPr>
        <w:t> </w:t>
      </w:r>
      <w:r>
        <w:rPr/>
        <w:t>营业绩产生的影响较小。</w:t>
      </w:r>
    </w:p>
    <w:p>
      <w:pPr>
        <w:pStyle w:val="Heading3"/>
        <w:spacing w:line="240" w:lineRule="auto" w:before="46"/>
        <w:ind w:right="0"/>
        <w:jc w:val="left"/>
        <w:rPr>
          <w:b w:val="0"/>
          <w:bCs w:val="0"/>
        </w:rPr>
      </w:pPr>
      <w:r>
        <w:rPr>
          <w:rFonts w:ascii="宋体" w:hAnsi="宋体" w:cs="宋体" w:eastAsia="宋体" w:hint="default"/>
        </w:rPr>
        <w:t>1.</w:t>
      </w:r>
      <w:r>
        <w:rPr>
          <w:rFonts w:ascii="宋体" w:hAnsi="宋体" w:cs="宋体" w:eastAsia="宋体" w:hint="default"/>
          <w:spacing w:val="43"/>
        </w:rPr>
        <w:t> </w:t>
      </w:r>
      <w:r>
        <w:rPr/>
        <w:t>价格风险</w:t>
      </w:r>
      <w:r>
        <w:rPr>
          <w:b w:val="0"/>
          <w:bCs w:val="0"/>
        </w:rPr>
      </w:r>
    </w:p>
    <w:p>
      <w:pPr>
        <w:spacing w:line="240" w:lineRule="auto" w:before="10"/>
        <w:rPr>
          <w:rFonts w:ascii="宋体" w:hAnsi="宋体" w:cs="宋体" w:eastAsia="宋体" w:hint="default"/>
          <w:b/>
          <w:bCs/>
          <w:sz w:val="14"/>
          <w:szCs w:val="14"/>
        </w:rPr>
      </w:pPr>
    </w:p>
    <w:p>
      <w:pPr>
        <w:pStyle w:val="Heading3"/>
        <w:spacing w:line="408" w:lineRule="auto"/>
        <w:ind w:right="0" w:firstLine="427"/>
        <w:jc w:val="left"/>
        <w:rPr>
          <w:b w:val="0"/>
          <w:bCs w:val="0"/>
        </w:rPr>
      </w:pPr>
      <w:r>
        <w:rPr>
          <w:spacing w:val="-2"/>
        </w:rPr>
        <w:t>本公司以市场价格销售方直金太阳教育软件及其他产品并提供技术开发服务，因此受到此等产品价格</w:t>
      </w:r>
      <w:r>
        <w:rPr>
          <w:w w:val="100"/>
        </w:rPr>
        <w:t> </w:t>
      </w:r>
      <w:r>
        <w:rPr/>
        <w:t>波动的影响。</w:t>
      </w:r>
      <w:r>
        <w:rPr>
          <w:b w:val="0"/>
          <w:bCs w:val="0"/>
        </w:rPr>
      </w:r>
    </w:p>
    <w:p>
      <w:pPr>
        <w:spacing w:line="240" w:lineRule="auto" w:before="5"/>
        <w:rPr>
          <w:rFonts w:ascii="宋体" w:hAnsi="宋体" w:cs="宋体" w:eastAsia="宋体" w:hint="default"/>
          <w:b/>
          <w:bCs/>
          <w:sz w:val="27"/>
          <w:szCs w:val="27"/>
        </w:rPr>
      </w:pPr>
    </w:p>
    <w:p>
      <w:pPr>
        <w:pStyle w:val="Heading3"/>
        <w:spacing w:line="240" w:lineRule="auto"/>
        <w:ind w:left="575" w:right="0"/>
        <w:jc w:val="left"/>
        <w:rPr>
          <w:b w:val="0"/>
          <w:bCs w:val="0"/>
        </w:rPr>
      </w:pPr>
      <w:r>
        <w:rPr/>
        <w:t>九、关联方关系及其交易</w:t>
      </w:r>
      <w:r>
        <w:rPr>
          <w:b w:val="0"/>
          <w:bCs w:val="0"/>
        </w:rPr>
      </w:r>
    </w:p>
    <w:p>
      <w:pPr>
        <w:spacing w:line="240" w:lineRule="auto" w:before="10"/>
        <w:rPr>
          <w:rFonts w:ascii="宋体" w:hAnsi="宋体" w:cs="宋体" w:eastAsia="宋体" w:hint="default"/>
          <w:b/>
          <w:bCs/>
          <w:sz w:val="14"/>
          <w:szCs w:val="14"/>
        </w:rPr>
      </w:pPr>
    </w:p>
    <w:p>
      <w:pPr>
        <w:pStyle w:val="Heading3"/>
        <w:spacing w:line="386" w:lineRule="auto"/>
        <w:ind w:left="580" w:right="3294"/>
        <w:jc w:val="left"/>
        <w:rPr>
          <w:b w:val="0"/>
          <w:bCs w:val="0"/>
        </w:rPr>
      </w:pPr>
      <w:r>
        <w:rPr/>
        <w:pict>
          <v:shape style="position:absolute;margin-left:56.279999pt;margin-top:43.583691pt;width:420.25pt;height:36.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2"/>
                    <w:gridCol w:w="2412"/>
                    <w:gridCol w:w="2251"/>
                    <w:gridCol w:w="2203"/>
                  </w:tblGrid>
                  <w:tr>
                    <w:trPr>
                      <w:trHeight w:val="353" w:hRule="exact"/>
                    </w:trPr>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95"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2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22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2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本公司最终控制方</w:t>
                        </w:r>
                      </w:p>
                    </w:tc>
                  </w:tr>
                  <w:tr>
                    <w:trPr>
                      <w:trHeight w:val="355"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本公司实际控制人</w:t>
                        </w:r>
                      </w:p>
                    </w:tc>
                    <w:tc>
                      <w:tcPr>
                        <w:tcW w:w="2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z w:val="18"/>
                          </w:rPr>
                          <w:t>22.65%</w:t>
                        </w:r>
                      </w:p>
                    </w:tc>
                    <w:tc>
                      <w:tcPr>
                        <w:tcW w:w="22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关联方关系</w:t>
      </w:r>
      <w:r>
        <w:rPr>
          <w:w w:val="100"/>
        </w:rPr>
        <w:t> </w:t>
      </w:r>
      <w:r>
        <w:rPr>
          <w:rFonts w:ascii="Times New Roman" w:hAnsi="Times New Roman" w:cs="Times New Roman" w:eastAsia="Times New Roman" w:hint="default"/>
          <w:spacing w:val="-1"/>
        </w:rPr>
        <w:t>1</w:t>
      </w:r>
      <w:r>
        <w:rPr>
          <w:spacing w:val="-1"/>
        </w:rPr>
        <w:t>、存在控制关系的关联方及其所持股份或权益的情况</w:t>
      </w:r>
      <w:r>
        <w:rPr>
          <w:b w:val="0"/>
          <w:bCs w:val="0"/>
          <w:spacing w:val="-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Heading3"/>
        <w:spacing w:line="240" w:lineRule="auto"/>
        <w:ind w:left="580" w:right="0"/>
        <w:jc w:val="left"/>
        <w:rPr>
          <w:b w:val="0"/>
          <w:bCs w:val="0"/>
        </w:rPr>
      </w:pPr>
      <w:r>
        <w:rPr>
          <w:rFonts w:ascii="Times New Roman" w:hAnsi="Times New Roman" w:cs="Times New Roman" w:eastAsia="Times New Roman" w:hint="default"/>
        </w:rPr>
        <w:t>2</w:t>
      </w:r>
      <w:r>
        <w:rPr/>
        <w:t>、其他关联方</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4102"/>
        <w:gridCol w:w="4270"/>
      </w:tblGrid>
      <w:tr>
        <w:trPr>
          <w:trHeight w:val="353" w:hRule="exact"/>
        </w:trPr>
        <w:tc>
          <w:tcPr>
            <w:tcW w:w="4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2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其他关联方与本公司的关系</w:t>
            </w:r>
          </w:p>
        </w:tc>
      </w:tr>
      <w:tr>
        <w:trPr>
          <w:trHeight w:val="353"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42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350"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孙晓玲</w:t>
            </w:r>
          </w:p>
        </w:tc>
        <w:tc>
          <w:tcPr>
            <w:tcW w:w="42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353"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42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353"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42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本公司股东</w:t>
            </w:r>
          </w:p>
        </w:tc>
      </w:tr>
    </w:tbl>
    <w:p>
      <w:pPr>
        <w:spacing w:line="240" w:lineRule="auto" w:before="13"/>
        <w:rPr>
          <w:rFonts w:ascii="宋体" w:hAnsi="宋体" w:cs="宋体" w:eastAsia="宋体" w:hint="default"/>
          <w:b/>
          <w:bCs/>
          <w:sz w:val="25"/>
          <w:szCs w:val="25"/>
        </w:rPr>
      </w:pPr>
    </w:p>
    <w:p>
      <w:pPr>
        <w:pStyle w:val="Heading3"/>
        <w:spacing w:line="240" w:lineRule="auto" w:before="36"/>
        <w:ind w:left="575" w:right="0"/>
        <w:jc w:val="left"/>
        <w:rPr>
          <w:b w:val="0"/>
          <w:bCs w:val="0"/>
        </w:rPr>
      </w:pPr>
      <w:r>
        <w:rPr>
          <w:rFonts w:ascii="宋体" w:hAnsi="宋体" w:cs="宋体" w:eastAsia="宋体" w:hint="default"/>
        </w:rPr>
        <w:t>(</w:t>
      </w:r>
      <w:r>
        <w:rPr/>
        <w:t>二</w:t>
      </w:r>
      <w:r>
        <w:rPr>
          <w:rFonts w:ascii="宋体" w:hAnsi="宋体" w:cs="宋体" w:eastAsia="宋体" w:hint="default"/>
        </w:rPr>
        <w:t>)</w:t>
      </w:r>
      <w:r>
        <w:rPr/>
        <w:t>本公司的子公司情况详见附注八（一）在子公司中的权益。</w:t>
      </w:r>
      <w:r>
        <w:rPr>
          <w:b w:val="0"/>
          <w:bCs w:val="0"/>
        </w:rPr>
      </w:r>
    </w:p>
    <w:p>
      <w:pPr>
        <w:spacing w:line="240" w:lineRule="auto" w:before="10"/>
        <w:rPr>
          <w:rFonts w:ascii="宋体" w:hAnsi="宋体" w:cs="宋体" w:eastAsia="宋体" w:hint="default"/>
          <w:b/>
          <w:bCs/>
          <w:sz w:val="14"/>
          <w:szCs w:val="14"/>
        </w:rPr>
      </w:pPr>
    </w:p>
    <w:p>
      <w:pPr>
        <w:pStyle w:val="Heading3"/>
        <w:spacing w:line="408" w:lineRule="auto"/>
        <w:ind w:left="580" w:right="6618" w:hanging="5"/>
        <w:jc w:val="left"/>
        <w:rPr>
          <w:b w:val="0"/>
          <w:bCs w:val="0"/>
        </w:rPr>
      </w:pPr>
      <w:r>
        <w:rPr/>
        <w:t>（三）关联方交易</w:t>
      </w:r>
      <w:r>
        <w:rPr>
          <w:spacing w:val="-103"/>
        </w:rPr>
        <w:t> </w:t>
      </w:r>
      <w:r>
        <w:rPr>
          <w:spacing w:val="-1"/>
        </w:rPr>
        <w:t>报告期内不存在关联方交易。</w:t>
      </w:r>
      <w:r>
        <w:rPr>
          <w:b w:val="0"/>
          <w:bCs w:val="0"/>
          <w:spacing w:val="-1"/>
        </w:rPr>
      </w:r>
    </w:p>
    <w:p>
      <w:pPr>
        <w:pStyle w:val="Heading3"/>
        <w:spacing w:line="408" w:lineRule="auto" w:before="46"/>
        <w:ind w:left="575" w:right="6189" w:hanging="10"/>
        <w:jc w:val="left"/>
        <w:rPr>
          <w:b w:val="0"/>
          <w:bCs w:val="0"/>
        </w:rPr>
      </w:pPr>
      <w:r>
        <w:rPr/>
        <w:t>（四）关联方往来款项余额</w:t>
      </w:r>
      <w:r>
        <w:rPr>
          <w:w w:val="100"/>
        </w:rPr>
        <w:t> </w:t>
      </w:r>
      <w:r>
        <w:rPr/>
        <w:t>期末不存在关联方应收应付款项。</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408" w:lineRule="auto" w:before="0"/>
        <w:ind w:left="575" w:right="1674" w:firstLine="0"/>
        <w:jc w:val="left"/>
        <w:rPr>
          <w:rFonts w:ascii="宋体" w:hAnsi="宋体" w:cs="宋体" w:eastAsia="宋体" w:hint="default"/>
          <w:sz w:val="21"/>
          <w:szCs w:val="21"/>
        </w:rPr>
      </w:pPr>
      <w:r>
        <w:rPr>
          <w:rFonts w:ascii="宋体" w:hAnsi="宋体" w:cs="宋体" w:eastAsia="宋体" w:hint="default"/>
          <w:b/>
          <w:bCs/>
          <w:sz w:val="21"/>
          <w:szCs w:val="21"/>
        </w:rPr>
        <w:t>十、承诺及或有事项</w:t>
      </w:r>
      <w:r>
        <w:rPr>
          <w:rFonts w:ascii="宋体" w:hAnsi="宋体" w:cs="宋体" w:eastAsia="宋体" w:hint="default"/>
          <w:b/>
          <w:bCs/>
          <w:spacing w:val="-103"/>
          <w:sz w:val="21"/>
          <w:szCs w:val="21"/>
        </w:rPr>
        <w:t> </w:t>
      </w:r>
      <w:r>
        <w:rPr>
          <w:rFonts w:ascii="宋体" w:hAnsi="宋体" w:cs="宋体" w:eastAsia="宋体" w:hint="default"/>
          <w:sz w:val="21"/>
          <w:szCs w:val="21"/>
        </w:rPr>
        <w:t>截止</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日，本公司无需要披露的重大承诺及或有事项。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678" w:right="0" w:hanging="104"/>
        <w:jc w:val="left"/>
        <w:rPr>
          <w:rFonts w:ascii="宋体" w:hAnsi="宋体" w:cs="宋体" w:eastAsia="宋体" w:hint="default"/>
          <w:sz w:val="21"/>
          <w:szCs w:val="21"/>
        </w:rPr>
      </w:pPr>
      <w:r>
        <w:rPr>
          <w:rFonts w:ascii="宋体" w:hAnsi="宋体" w:cs="宋体" w:eastAsia="宋体" w:hint="default"/>
          <w:b/>
          <w:bCs/>
          <w:sz w:val="21"/>
          <w:szCs w:val="21"/>
        </w:rPr>
        <w:t>十一、资产负债表日后事项</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本公司于</w:t>
      </w:r>
      <w:r>
        <w:rPr>
          <w:rFonts w:ascii="宋体" w:hAnsi="宋体" w:cs="宋体" w:eastAsia="宋体" w:hint="default"/>
          <w:spacing w:val="-2"/>
          <w:sz w:val="21"/>
          <w:szCs w:val="21"/>
        </w:rPr>
        <w:t>2016</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日召开第三届董事会第八次会议，会议通过了《关于公司</w:t>
      </w:r>
      <w:r>
        <w:rPr>
          <w:rFonts w:ascii="宋体" w:hAnsi="宋体" w:cs="宋体" w:eastAsia="宋体" w:hint="default"/>
          <w:spacing w:val="-2"/>
          <w:sz w:val="21"/>
          <w:szCs w:val="21"/>
        </w:rPr>
        <w:t>2015</w:t>
      </w:r>
      <w:r>
        <w:rPr>
          <w:rFonts w:ascii="宋体" w:hAnsi="宋体" w:cs="宋体" w:eastAsia="宋体" w:hint="default"/>
          <w:spacing w:val="-2"/>
          <w:sz w:val="21"/>
          <w:szCs w:val="21"/>
        </w:rPr>
        <w:t>年度利润分配议</w:t>
      </w:r>
    </w:p>
    <w:p>
      <w:pPr>
        <w:pStyle w:val="BodyText"/>
        <w:spacing w:line="240" w:lineRule="auto"/>
        <w:ind w:right="0"/>
        <w:jc w:val="left"/>
      </w:pPr>
      <w:r>
        <w:rPr/>
        <w:t>案》，本公司决定以</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15,840</w:t>
      </w:r>
      <w:r>
        <w:rPr/>
        <w:t>万股为基数向全体股东每</w:t>
      </w:r>
      <w:r>
        <w:rPr>
          <w:rFonts w:ascii="宋体" w:hAnsi="宋体" w:cs="宋体" w:eastAsia="宋体" w:hint="default"/>
        </w:rPr>
        <w:t>10</w:t>
      </w:r>
      <w:r>
        <w:rPr/>
        <w:t>股派发现金股利人民币</w:t>
      </w:r>
    </w:p>
    <w:p>
      <w:pPr>
        <w:spacing w:line="240" w:lineRule="auto" w:before="10"/>
        <w:rPr>
          <w:rFonts w:ascii="宋体" w:hAnsi="宋体" w:cs="宋体" w:eastAsia="宋体" w:hint="default"/>
          <w:sz w:val="14"/>
          <w:szCs w:val="14"/>
        </w:rPr>
      </w:pPr>
    </w:p>
    <w:p>
      <w:pPr>
        <w:pStyle w:val="BodyText"/>
        <w:spacing w:line="408" w:lineRule="auto" w:before="0"/>
        <w:ind w:left="678" w:right="1134" w:hanging="526"/>
        <w:jc w:val="left"/>
      </w:pPr>
      <w:r>
        <w:rPr>
          <w:rFonts w:ascii="宋体" w:hAnsi="宋体" w:cs="宋体" w:eastAsia="宋体" w:hint="default"/>
          <w:spacing w:val="-2"/>
        </w:rPr>
        <w:t>0.60</w:t>
      </w:r>
      <w:r>
        <w:rPr>
          <w:spacing w:val="-2"/>
        </w:rPr>
        <w:t>元（含税），本次分配不进行资本公积金转增股本。</w:t>
      </w:r>
      <w:r>
        <w:rPr>
          <w:spacing w:val="-51"/>
        </w:rPr>
        <w:t> </w:t>
      </w:r>
      <w:r>
        <w:rPr>
          <w:spacing w:val="-51"/>
        </w:rPr>
      </w:r>
      <w:r>
        <w:rPr/>
        <w:t>该议案尚需提交</w:t>
      </w:r>
      <w:r>
        <w:rPr>
          <w:rFonts w:ascii="宋体" w:hAnsi="宋体" w:cs="宋体" w:eastAsia="宋体" w:hint="default"/>
        </w:rPr>
        <w:t>2015</w:t>
      </w:r>
      <w:r>
        <w:rPr/>
        <w:t>年度股东大会审议。</w:t>
      </w:r>
    </w:p>
    <w:p>
      <w:pPr>
        <w:spacing w:after="0" w:line="408"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spacing w:line="408" w:lineRule="auto" w:before="36"/>
        <w:ind w:left="572" w:right="3294" w:firstLine="2"/>
        <w:jc w:val="left"/>
        <w:rPr>
          <w:rFonts w:ascii="宋体" w:hAnsi="宋体" w:cs="宋体" w:eastAsia="宋体" w:hint="default"/>
          <w:sz w:val="21"/>
          <w:szCs w:val="21"/>
        </w:rPr>
      </w:pPr>
      <w:r>
        <w:rPr>
          <w:rFonts w:ascii="宋体" w:hAnsi="宋体" w:cs="宋体" w:eastAsia="宋体" w:hint="default"/>
          <w:b/>
          <w:bCs/>
          <w:sz w:val="21"/>
          <w:szCs w:val="21"/>
        </w:rPr>
        <w:t>十二、其他重要事项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截止</w:t>
      </w:r>
      <w:r>
        <w:rPr>
          <w:rFonts w:ascii="宋体" w:hAnsi="宋体" w:cs="宋体" w:eastAsia="宋体" w:hint="default"/>
          <w:spacing w:val="-2"/>
          <w:sz w:val="21"/>
          <w:szCs w:val="21"/>
        </w:rPr>
        <w:t>2015</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日，本公司无需要披露的其他重要事项。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240" w:lineRule="auto"/>
        <w:ind w:left="575" w:right="0"/>
        <w:jc w:val="left"/>
        <w:rPr>
          <w:b w:val="0"/>
          <w:bCs w:val="0"/>
        </w:rPr>
      </w:pPr>
      <w:r>
        <w:rPr/>
        <w:t>十三、母公司财务报表主要项目注释</w:t>
      </w:r>
      <w:r>
        <w:rPr>
          <w:b w:val="0"/>
          <w:bCs w:val="0"/>
        </w:rPr>
      </w:r>
    </w:p>
    <w:p>
      <w:pPr>
        <w:pStyle w:val="Heading3"/>
        <w:spacing w:line="240" w:lineRule="auto" w:before="116"/>
        <w:ind w:left="580" w:right="0"/>
        <w:jc w:val="left"/>
        <w:rPr>
          <w:b w:val="0"/>
          <w:bCs w:val="0"/>
        </w:rPr>
      </w:pPr>
      <w:r>
        <w:rPr/>
        <w:t>（一）应收账款</w:t>
      </w:r>
      <w:r>
        <w:rPr>
          <w:b w:val="0"/>
          <w:bCs w:val="0"/>
        </w:rPr>
      </w:r>
    </w:p>
    <w:p>
      <w:pPr>
        <w:pStyle w:val="Heading3"/>
        <w:spacing w:line="240" w:lineRule="auto" w:before="37"/>
        <w:ind w:left="580" w:right="0"/>
        <w:jc w:val="left"/>
        <w:rPr>
          <w:b w:val="0"/>
          <w:bCs w:val="0"/>
        </w:rPr>
      </w:pPr>
      <w:r>
        <w:rPr>
          <w:rFonts w:ascii="Times New Roman" w:hAnsi="Times New Roman" w:cs="Times New Roman" w:eastAsia="Times New Roman" w:hint="default"/>
        </w:rPr>
        <w:t>1</w:t>
      </w:r>
      <w:r>
        <w:rPr/>
        <w:t>、应收账款按种类披露</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234"/>
        <w:gridCol w:w="1418"/>
        <w:gridCol w:w="1133"/>
        <w:gridCol w:w="1135"/>
        <w:gridCol w:w="1274"/>
        <w:gridCol w:w="1418"/>
      </w:tblGrid>
      <w:tr>
        <w:trPr>
          <w:trHeight w:val="353" w:hRule="exact"/>
        </w:trPr>
        <w:tc>
          <w:tcPr>
            <w:tcW w:w="2234"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379"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234" w:type="dxa"/>
            <w:vMerge/>
            <w:tcBorders>
              <w:left w:val="single" w:sz="6" w:space="0" w:color="000000"/>
              <w:right w:val="single" w:sz="6" w:space="0" w:color="000000"/>
            </w:tcBorders>
          </w:tcPr>
          <w:p>
            <w:pPr/>
          </w:p>
        </w:tc>
        <w:tc>
          <w:tcPr>
            <w:tcW w:w="2551"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vMerge w:val="restart"/>
            <w:tcBorders>
              <w:top w:val="single" w:sz="12" w:space="0" w:color="000000"/>
              <w:left w:val="single" w:sz="6" w:space="0" w:color="000000"/>
              <w:right w:val="nil" w:sz="6" w:space="0" w:color="auto"/>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3" w:hRule="exact"/>
        </w:trPr>
        <w:tc>
          <w:tcPr>
            <w:tcW w:w="2234"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18" w:type="dxa"/>
            <w:vMerge/>
            <w:tcBorders>
              <w:left w:val="single" w:sz="6" w:space="0" w:color="000000"/>
              <w:bottom w:val="single" w:sz="12" w:space="0" w:color="000000"/>
              <w:right w:val="nil" w:sz="6" w:space="0" w:color="auto"/>
            </w:tcBorders>
          </w:tcPr>
          <w:p>
            <w:pPr/>
          </w:p>
        </w:tc>
      </w:tr>
      <w:tr>
        <w:trPr>
          <w:trHeight w:val="662"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53"/>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w:t>
            </w:r>
          </w:p>
        </w:tc>
      </w:tr>
      <w:tr>
        <w:trPr>
          <w:trHeight w:val="665"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53"/>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24,252,193.34</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99.95</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292,750.37</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1.21</w:t>
            </w:r>
            <w:r>
              <w:rPr>
                <w:rFonts w:ascii="Times New Roman"/>
                <w:sz w:val="18"/>
              </w:rPr>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23,959,442.97</w:t>
            </w:r>
          </w:p>
        </w:tc>
      </w:tr>
      <w:tr>
        <w:trPr>
          <w:trHeight w:val="665"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53"/>
              <w:jc w:val="left"/>
              <w:rPr>
                <w:rFonts w:ascii="宋体" w:hAnsi="宋体" w:cs="宋体" w:eastAsia="宋体" w:hint="default"/>
                <w:sz w:val="18"/>
                <w:szCs w:val="18"/>
              </w:rPr>
            </w:pPr>
            <w:r>
              <w:rPr>
                <w:rFonts w:ascii="宋体" w:hAnsi="宋体" w:cs="宋体" w:eastAsia="宋体" w:hint="default"/>
                <w:sz w:val="18"/>
                <w:szCs w:val="18"/>
              </w:rPr>
              <w:t>单项金额虽不重大但单独计 提坏账准备的应收账款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0.05</w:t>
            </w:r>
            <w:r>
              <w:rPr>
                <w:rFonts w:ascii="Times New Roman"/>
                <w:sz w:val="18"/>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24,264,949.34</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305,506.37</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1.26</w:t>
            </w:r>
            <w:r>
              <w:rPr>
                <w:rFonts w:ascii="Times New Roman"/>
                <w:sz w:val="18"/>
              </w:rPr>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23,959,442.97</w:t>
            </w:r>
          </w:p>
        </w:tc>
      </w:tr>
    </w:tbl>
    <w:p>
      <w:pPr>
        <w:spacing w:line="240" w:lineRule="auto" w:before="6"/>
        <w:rPr>
          <w:rFonts w:ascii="宋体" w:hAnsi="宋体" w:cs="宋体" w:eastAsia="宋体" w:hint="default"/>
          <w:b/>
          <w:bCs/>
          <w:sz w:val="5"/>
          <w:szCs w:val="5"/>
        </w:rPr>
      </w:pPr>
    </w:p>
    <w:p>
      <w:pPr>
        <w:pStyle w:val="BodyText"/>
        <w:spacing w:line="240" w:lineRule="auto" w:before="36"/>
        <w:ind w:left="572" w:right="0"/>
        <w:jc w:val="left"/>
      </w:pPr>
      <w:r>
        <w:rPr/>
        <w:t>（续）</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234"/>
        <w:gridCol w:w="1418"/>
        <w:gridCol w:w="1133"/>
        <w:gridCol w:w="1135"/>
        <w:gridCol w:w="1274"/>
        <w:gridCol w:w="1418"/>
      </w:tblGrid>
      <w:tr>
        <w:trPr>
          <w:trHeight w:val="353" w:hRule="exact"/>
        </w:trPr>
        <w:tc>
          <w:tcPr>
            <w:tcW w:w="2234"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379"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2234" w:type="dxa"/>
            <w:vMerge/>
            <w:tcBorders>
              <w:left w:val="single" w:sz="6" w:space="0" w:color="000000"/>
              <w:right w:val="single" w:sz="6" w:space="0" w:color="000000"/>
            </w:tcBorders>
          </w:tcPr>
          <w:p>
            <w:pPr/>
          </w:p>
        </w:tc>
        <w:tc>
          <w:tcPr>
            <w:tcW w:w="2551"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vMerge w:val="restart"/>
            <w:tcBorders>
              <w:top w:val="single" w:sz="12" w:space="0" w:color="000000"/>
              <w:left w:val="single" w:sz="6" w:space="0" w:color="000000"/>
              <w:right w:val="nil" w:sz="6" w:space="0" w:color="auto"/>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3" w:hRule="exact"/>
        </w:trPr>
        <w:tc>
          <w:tcPr>
            <w:tcW w:w="2234"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18" w:type="dxa"/>
            <w:vMerge/>
            <w:tcBorders>
              <w:left w:val="single" w:sz="6" w:space="0" w:color="000000"/>
              <w:bottom w:val="single" w:sz="12" w:space="0" w:color="000000"/>
              <w:right w:val="nil" w:sz="6" w:space="0" w:color="auto"/>
            </w:tcBorders>
          </w:tcPr>
          <w:p>
            <w:pPr/>
          </w:p>
        </w:tc>
      </w:tr>
      <w:tr>
        <w:trPr>
          <w:trHeight w:val="662"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53"/>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w:t>
            </w:r>
          </w:p>
        </w:tc>
      </w:tr>
      <w:tr>
        <w:trPr>
          <w:trHeight w:val="665"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53"/>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16,645,064.28</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99.92</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248,474.31</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1.49</w:t>
            </w:r>
            <w:r>
              <w:rPr>
                <w:rFonts w:ascii="Times New Roman"/>
                <w:sz w:val="18"/>
              </w:rPr>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16,396,589.97</w:t>
            </w:r>
          </w:p>
        </w:tc>
      </w:tr>
      <w:tr>
        <w:trPr>
          <w:trHeight w:val="665"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53"/>
              <w:jc w:val="left"/>
              <w:rPr>
                <w:rFonts w:ascii="宋体" w:hAnsi="宋体" w:cs="宋体" w:eastAsia="宋体" w:hint="default"/>
                <w:sz w:val="18"/>
                <w:szCs w:val="18"/>
              </w:rPr>
            </w:pPr>
            <w:r>
              <w:rPr>
                <w:rFonts w:ascii="宋体" w:hAnsi="宋体" w:cs="宋体" w:eastAsia="宋体" w:hint="default"/>
                <w:sz w:val="18"/>
                <w:szCs w:val="18"/>
              </w:rPr>
              <w:t>单项金额虽不重大但单独计 提坏账准备的应收账款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0.08</w:t>
            </w:r>
            <w:r>
              <w:rPr>
                <w:rFonts w:ascii="Times New Roman"/>
                <w:sz w:val="18"/>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16,657,820.28</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261,230.31</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1.57</w:t>
            </w:r>
            <w:r>
              <w:rPr>
                <w:rFonts w:ascii="Times New Roman"/>
                <w:sz w:val="18"/>
              </w:rPr>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16,396,589.97</w:t>
            </w:r>
          </w:p>
        </w:tc>
      </w:tr>
    </w:tbl>
    <w:p>
      <w:pPr>
        <w:spacing w:line="240" w:lineRule="auto" w:before="2"/>
        <w:rPr>
          <w:rFonts w:ascii="宋体" w:hAnsi="宋体" w:cs="宋体" w:eastAsia="宋体" w:hint="default"/>
          <w:sz w:val="20"/>
          <w:szCs w:val="20"/>
        </w:rPr>
      </w:pPr>
    </w:p>
    <w:p>
      <w:pPr>
        <w:pStyle w:val="BodyText"/>
        <w:spacing w:line="240" w:lineRule="auto" w:before="36"/>
        <w:ind w:left="572" w:right="0"/>
        <w:jc w:val="left"/>
      </w:pPr>
      <w:r>
        <w:rPr/>
        <w:t>应收账款种类的说明：</w:t>
      </w:r>
    </w:p>
    <w:p>
      <w:pPr>
        <w:pStyle w:val="BodyText"/>
        <w:spacing w:line="240" w:lineRule="auto" w:before="37"/>
        <w:ind w:left="572" w:right="0"/>
        <w:jc w:val="left"/>
      </w:pPr>
      <w:r>
        <w:rPr/>
        <w:t>（</w:t>
      </w:r>
      <w:r>
        <w:rPr>
          <w:rFonts w:ascii="Times New Roman" w:hAnsi="Times New Roman" w:cs="Times New Roman" w:eastAsia="Times New Roman" w:hint="default"/>
        </w:rPr>
        <w:t>1</w:t>
      </w:r>
      <w:r>
        <w:rPr/>
        <w:t>）组合中，按账龄分析法计提坏账准备的应收账款</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234"/>
        <w:gridCol w:w="2126"/>
        <w:gridCol w:w="2126"/>
        <w:gridCol w:w="2126"/>
      </w:tblGrid>
      <w:tr>
        <w:trPr>
          <w:trHeight w:val="355" w:hRule="exact"/>
        </w:trPr>
        <w:tc>
          <w:tcPr>
            <w:tcW w:w="2234"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379"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234" w:type="dxa"/>
            <w:vMerge/>
            <w:tcBorders>
              <w:left w:val="single" w:sz="6" w:space="0" w:color="000000"/>
              <w:bottom w:val="single" w:sz="12" w:space="0" w:color="000000"/>
              <w:right w:val="single" w:sz="6" w:space="0" w:color="000000"/>
            </w:tcBorders>
          </w:tcPr>
          <w:p>
            <w:pP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4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23,694,099.58</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236,941.00</w:t>
            </w:r>
          </w:p>
        </w:tc>
        <w:tc>
          <w:tcPr>
            <w:tcW w:w="21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r>
      <w:tr>
        <w:trPr>
          <w:trHeight w:val="353"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558,093.76</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55,809.37</w:t>
            </w:r>
          </w:p>
        </w:tc>
        <w:tc>
          <w:tcPr>
            <w:tcW w:w="21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10.00</w:t>
            </w:r>
          </w:p>
        </w:tc>
      </w:tr>
      <w:tr>
        <w:trPr>
          <w:trHeight w:val="353"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24,252,193.34</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292,750.37</w:t>
            </w:r>
          </w:p>
        </w:tc>
        <w:tc>
          <w:tcPr>
            <w:tcW w:w="21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1.21</w:t>
            </w:r>
            <w:r>
              <w:rPr>
                <w:rFonts w:ascii="Times New Roman"/>
                <w:sz w:val="18"/>
              </w:rPr>
            </w:r>
          </w:p>
        </w:tc>
      </w:tr>
    </w:tbl>
    <w:p>
      <w:pPr>
        <w:spacing w:line="240" w:lineRule="auto" w:before="6"/>
        <w:rPr>
          <w:rFonts w:ascii="宋体" w:hAnsi="宋体" w:cs="宋体" w:eastAsia="宋体" w:hint="default"/>
          <w:sz w:val="5"/>
          <w:szCs w:val="5"/>
        </w:rPr>
      </w:pPr>
    </w:p>
    <w:p>
      <w:pPr>
        <w:pStyle w:val="BodyText"/>
        <w:spacing w:line="240" w:lineRule="auto" w:before="36"/>
        <w:ind w:right="0"/>
        <w:jc w:val="left"/>
      </w:pPr>
      <w:r>
        <w:rPr>
          <w:rFonts w:ascii="宋体" w:hAnsi="宋体" w:cs="宋体" w:eastAsia="宋体" w:hint="default"/>
        </w:rPr>
        <w:t>2.</w:t>
      </w:r>
      <w:r>
        <w:rPr>
          <w:rFonts w:ascii="宋体" w:hAnsi="宋体" w:cs="宋体" w:eastAsia="宋体" w:hint="default"/>
          <w:spacing w:val="43"/>
        </w:rPr>
        <w:t> </w:t>
      </w:r>
      <w:r>
        <w:rPr/>
        <w:t>期末单项金额虽不重大但单独计提坏账准备的应收账款</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960"/>
        <w:gridCol w:w="1133"/>
        <w:gridCol w:w="1135"/>
        <w:gridCol w:w="1416"/>
        <w:gridCol w:w="3970"/>
      </w:tblGrid>
      <w:tr>
        <w:trPr>
          <w:trHeight w:val="353" w:hRule="exact"/>
        </w:trPr>
        <w:tc>
          <w:tcPr>
            <w:tcW w:w="960" w:type="dxa"/>
            <w:vMerge w:val="restart"/>
            <w:tcBorders>
              <w:top w:val="single" w:sz="6" w:space="0" w:color="000000"/>
              <w:left w:val="single" w:sz="6" w:space="0" w:color="000000"/>
              <w:right w:val="single" w:sz="6" w:space="0" w:color="000000"/>
            </w:tcBorders>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654"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960" w:type="dxa"/>
            <w:vMerge/>
            <w:tcBorders>
              <w:left w:val="single" w:sz="6" w:space="0" w:color="000000"/>
              <w:bottom w:val="single" w:sz="12" w:space="0" w:color="000000"/>
              <w:right w:val="single" w:sz="6" w:space="0" w:color="000000"/>
            </w:tcBorders>
          </w:tcPr>
          <w:p>
            <w:pP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center"/>
        <w:rPr>
          <w:rFonts w:ascii="宋体" w:hAnsi="宋体" w:cs="宋体" w:eastAsia="宋体"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960"/>
        <w:gridCol w:w="1133"/>
        <w:gridCol w:w="1135"/>
        <w:gridCol w:w="1416"/>
        <w:gridCol w:w="3970"/>
      </w:tblGrid>
      <w:tr>
        <w:trPr>
          <w:trHeight w:val="1601" w:hRule="exact"/>
        </w:trPr>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8"/>
              <w:ind w:left="112" w:right="110" w:firstLine="91"/>
              <w:jc w:val="left"/>
              <w:rPr>
                <w:rFonts w:ascii="宋体" w:hAnsi="宋体" w:cs="宋体" w:eastAsia="宋体" w:hint="default"/>
                <w:sz w:val="18"/>
                <w:szCs w:val="18"/>
              </w:rPr>
            </w:pPr>
            <w:r>
              <w:rPr>
                <w:rFonts w:ascii="宋体" w:hAnsi="宋体" w:cs="宋体" w:eastAsia="宋体" w:hint="default"/>
                <w:sz w:val="18"/>
                <w:szCs w:val="18"/>
              </w:rPr>
              <w:t>甘肃省 外文书店</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3970"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1"/>
                <w:sz w:val="18"/>
                <w:szCs w:val="18"/>
              </w:rPr>
              <w:t>根据业务持续跟踪反馈，该客户已被甘肃省省店兼</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并，但截至目前省店仍无具体人员负责清理外文书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店旧账，只能等待时机。 </w:t>
            </w:r>
            <w:r>
              <w:rPr>
                <w:rFonts w:ascii="宋体" w:hAnsi="宋体" w:cs="宋体" w:eastAsia="宋体" w:hint="default"/>
                <w:spacing w:val="-1"/>
                <w:sz w:val="18"/>
                <w:szCs w:val="18"/>
              </w:rPr>
              <w:t>虽然年限未满三年，但可收回性不大，全额计提坏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账准备。</w:t>
            </w:r>
          </w:p>
        </w:tc>
      </w:tr>
      <w:tr>
        <w:trPr>
          <w:trHeight w:val="355" w:hRule="exact"/>
        </w:trPr>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12,756.00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397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5"/>
          <w:szCs w:val="5"/>
        </w:rPr>
      </w:pPr>
    </w:p>
    <w:p>
      <w:pPr>
        <w:pStyle w:val="Heading3"/>
        <w:spacing w:line="240" w:lineRule="auto" w:before="36"/>
        <w:ind w:left="575" w:right="0"/>
        <w:jc w:val="left"/>
        <w:rPr>
          <w:b w:val="0"/>
          <w:bCs w:val="0"/>
        </w:rPr>
      </w:pPr>
      <w:r>
        <w:rPr>
          <w:rFonts w:ascii="Times New Roman" w:hAnsi="Times New Roman" w:cs="Times New Roman" w:eastAsia="Times New Roman" w:hint="default"/>
        </w:rPr>
        <w:t>2</w:t>
      </w:r>
      <w:r>
        <w:rPr/>
        <w:t>、按欠款方归集的期末余额前五名应收账款</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962"/>
        <w:gridCol w:w="1418"/>
        <w:gridCol w:w="2693"/>
        <w:gridCol w:w="1418"/>
      </w:tblGrid>
      <w:tr>
        <w:trPr>
          <w:trHeight w:val="353" w:hRule="exact"/>
        </w:trPr>
        <w:tc>
          <w:tcPr>
            <w:tcW w:w="29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占应收账款期末余额的比例</w:t>
            </w:r>
            <w:r>
              <w:rPr>
                <w:rFonts w:ascii="Times New Roman" w:hAnsi="Times New Roman" w:cs="Times New Roman" w:eastAsia="Times New Roman" w:hint="default"/>
                <w:sz w:val="18"/>
                <w:szCs w:val="18"/>
              </w:rPr>
              <w:t>(%)</w:t>
            </w:r>
          </w:p>
        </w:tc>
        <w:tc>
          <w:tcPr>
            <w:tcW w:w="14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69"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3" w:hRule="exact"/>
        </w:trPr>
        <w:tc>
          <w:tcPr>
            <w:tcW w:w="2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3,717,560.00</w:t>
            </w:r>
            <w:r>
              <w:rPr>
                <w:rFonts w:ascii="Times New Roman"/>
                <w:sz w:val="18"/>
              </w:rPr>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15.32</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37,175.60</w:t>
            </w:r>
          </w:p>
        </w:tc>
      </w:tr>
      <w:tr>
        <w:trPr>
          <w:trHeight w:val="350" w:hRule="exact"/>
        </w:trPr>
        <w:tc>
          <w:tcPr>
            <w:tcW w:w="2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广州市新华书店集团有限公司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3,533,920.94</w:t>
            </w:r>
            <w:r>
              <w:rPr>
                <w:rFonts w:ascii="Times New Roman"/>
                <w:sz w:val="18"/>
              </w:rPr>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14.56</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35,339.21</w:t>
            </w:r>
          </w:p>
        </w:tc>
      </w:tr>
      <w:tr>
        <w:trPr>
          <w:trHeight w:val="353" w:hRule="exact"/>
        </w:trPr>
        <w:tc>
          <w:tcPr>
            <w:tcW w:w="2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语文出版社有限公司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3,280,860.70</w:t>
            </w:r>
            <w:r>
              <w:rPr>
                <w:rFonts w:ascii="Times New Roman"/>
                <w:sz w:val="18"/>
              </w:rPr>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13.52</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32,808.61</w:t>
            </w:r>
          </w:p>
        </w:tc>
      </w:tr>
      <w:tr>
        <w:trPr>
          <w:trHeight w:val="353" w:hRule="exact"/>
        </w:trPr>
        <w:tc>
          <w:tcPr>
            <w:tcW w:w="2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广东新华发行集团股份有限公司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2,447,920.00</w:t>
            </w:r>
            <w:r>
              <w:rPr>
                <w:rFonts w:ascii="Times New Roman"/>
                <w:sz w:val="18"/>
              </w:rPr>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10.09</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24,479.20</w:t>
            </w:r>
          </w:p>
        </w:tc>
      </w:tr>
      <w:tr>
        <w:trPr>
          <w:trHeight w:val="350" w:hRule="exact"/>
        </w:trPr>
        <w:tc>
          <w:tcPr>
            <w:tcW w:w="2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人民教育电子音像出版社有限公司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2,139,720.00</w:t>
            </w:r>
            <w:r>
              <w:rPr>
                <w:rFonts w:ascii="Times New Roman"/>
                <w:sz w:val="18"/>
              </w:rPr>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8.82</w:t>
            </w:r>
            <w:r>
              <w:rPr>
                <w:rFonts w:ascii="Times New Roman"/>
                <w:sz w:val="18"/>
              </w:rPr>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21,397.20</w:t>
            </w:r>
          </w:p>
        </w:tc>
      </w:tr>
      <w:tr>
        <w:trPr>
          <w:trHeight w:val="355" w:hRule="exact"/>
        </w:trPr>
        <w:tc>
          <w:tcPr>
            <w:tcW w:w="2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15,119,981.64</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62.31</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151,199.82</w:t>
            </w:r>
          </w:p>
        </w:tc>
      </w:tr>
    </w:tbl>
    <w:p>
      <w:pPr>
        <w:spacing w:line="240" w:lineRule="auto" w:before="4"/>
        <w:rPr>
          <w:rFonts w:ascii="宋体" w:hAnsi="宋体" w:cs="宋体" w:eastAsia="宋体" w:hint="default"/>
          <w:b/>
          <w:bCs/>
          <w:sz w:val="11"/>
          <w:szCs w:val="11"/>
        </w:rPr>
      </w:pPr>
    </w:p>
    <w:p>
      <w:pPr>
        <w:pStyle w:val="Heading3"/>
        <w:spacing w:line="240" w:lineRule="auto" w:before="36"/>
        <w:ind w:left="575" w:right="0"/>
        <w:jc w:val="left"/>
        <w:rPr>
          <w:b w:val="0"/>
          <w:bCs w:val="0"/>
        </w:rPr>
      </w:pPr>
      <w:r>
        <w:rPr>
          <w:rFonts w:ascii="宋体" w:hAnsi="宋体" w:cs="宋体" w:eastAsia="宋体" w:hint="default"/>
        </w:rPr>
        <w:t>3</w:t>
      </w:r>
      <w:r>
        <w:rPr/>
        <w:t>、期末应收账款中无应收持本公司</w:t>
      </w:r>
      <w:r>
        <w:rPr>
          <w:rFonts w:ascii="宋体" w:hAnsi="宋体" w:cs="宋体" w:eastAsia="宋体" w:hint="default"/>
        </w:rPr>
        <w:t>5%</w:t>
      </w:r>
      <w:r>
        <w:rPr/>
        <w:t>以上（含</w:t>
      </w:r>
      <w:r>
        <w:rPr>
          <w:rFonts w:ascii="宋体" w:hAnsi="宋体" w:cs="宋体" w:eastAsia="宋体" w:hint="default"/>
        </w:rPr>
        <w:t>5%</w:t>
      </w:r>
      <w:r>
        <w:rPr/>
        <w:t>）表决权股份的股东单位及其他关联方的款项。</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66"/>
        <w:ind w:left="580" w:right="0"/>
        <w:jc w:val="left"/>
        <w:rPr>
          <w:b w:val="0"/>
          <w:bCs w:val="0"/>
        </w:rPr>
      </w:pPr>
      <w:r>
        <w:rPr/>
        <w:t>（二）其他应收账款</w:t>
      </w:r>
      <w:r>
        <w:rPr>
          <w:b w:val="0"/>
          <w:bCs w:val="0"/>
        </w:rPr>
      </w:r>
    </w:p>
    <w:p>
      <w:pPr>
        <w:pStyle w:val="Heading3"/>
        <w:spacing w:line="240" w:lineRule="auto" w:before="157"/>
        <w:ind w:left="575" w:right="0"/>
        <w:jc w:val="left"/>
        <w:rPr>
          <w:b w:val="0"/>
          <w:bCs w:val="0"/>
        </w:rPr>
      </w:pPr>
      <w:r>
        <w:rPr>
          <w:rFonts w:ascii="Times New Roman" w:hAnsi="Times New Roman" w:cs="Times New Roman" w:eastAsia="Times New Roman" w:hint="default"/>
        </w:rPr>
        <w:t>1</w:t>
      </w:r>
      <w:r>
        <w:rPr/>
        <w:t>、其他应收款按种类披露：</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338"/>
        <w:gridCol w:w="1150"/>
        <w:gridCol w:w="1118"/>
        <w:gridCol w:w="1162"/>
        <w:gridCol w:w="1414"/>
        <w:gridCol w:w="1296"/>
      </w:tblGrid>
      <w:tr>
        <w:trPr>
          <w:trHeight w:val="353" w:hRule="exact"/>
        </w:trPr>
        <w:tc>
          <w:tcPr>
            <w:tcW w:w="2338"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139"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338" w:type="dxa"/>
            <w:vMerge/>
            <w:tcBorders>
              <w:left w:val="single" w:sz="6" w:space="0" w:color="000000"/>
              <w:right w:val="single" w:sz="6" w:space="0" w:color="000000"/>
            </w:tcBorders>
          </w:tcPr>
          <w:p>
            <w:pPr/>
          </w:p>
        </w:tc>
        <w:tc>
          <w:tcPr>
            <w:tcW w:w="2268"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75"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96" w:type="dxa"/>
            <w:vMerge w:val="restart"/>
            <w:tcBorders>
              <w:top w:val="single" w:sz="12" w:space="0" w:color="000000"/>
              <w:left w:val="single" w:sz="6" w:space="0" w:color="000000"/>
              <w:right w:val="nil" w:sz="6" w:space="0" w:color="auto"/>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3" w:hRule="exact"/>
        </w:trPr>
        <w:tc>
          <w:tcPr>
            <w:tcW w:w="2338" w:type="dxa"/>
            <w:vMerge/>
            <w:tcBorders>
              <w:left w:val="single" w:sz="6" w:space="0" w:color="000000"/>
              <w:bottom w:val="single" w:sz="12" w:space="0" w:color="000000"/>
              <w:right w:val="single" w:sz="6" w:space="0" w:color="000000"/>
            </w:tcBorders>
          </w:tcPr>
          <w:p>
            <w:pP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8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6" w:type="dxa"/>
            <w:vMerge/>
            <w:tcBorders>
              <w:left w:val="single" w:sz="6" w:space="0" w:color="000000"/>
              <w:bottom w:val="single" w:sz="12" w:space="0" w:color="000000"/>
              <w:right w:val="nil" w:sz="6" w:space="0" w:color="auto"/>
            </w:tcBorders>
          </w:tcPr>
          <w:p>
            <w:pPr/>
          </w:p>
        </w:tc>
      </w:tr>
      <w:tr>
        <w:trPr>
          <w:trHeight w:val="662"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56"/>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9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w:t>
            </w:r>
          </w:p>
        </w:tc>
      </w:tr>
      <w:tr>
        <w:trPr>
          <w:trHeight w:val="665"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56"/>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914,635.00</w:t>
            </w:r>
          </w:p>
        </w:tc>
        <w:tc>
          <w:tcPr>
            <w:tcW w:w="1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320,325.02</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35.02</w:t>
            </w:r>
          </w:p>
        </w:tc>
        <w:tc>
          <w:tcPr>
            <w:tcW w:w="129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594,309.98</w:t>
            </w:r>
          </w:p>
        </w:tc>
      </w:tr>
      <w:tr>
        <w:trPr>
          <w:trHeight w:val="665"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56"/>
              <w:jc w:val="left"/>
              <w:rPr>
                <w:rFonts w:ascii="宋体" w:hAnsi="宋体" w:cs="宋体" w:eastAsia="宋体" w:hint="default"/>
                <w:sz w:val="18"/>
                <w:szCs w:val="18"/>
              </w:rPr>
            </w:pPr>
            <w:r>
              <w:rPr>
                <w:rFonts w:ascii="宋体" w:hAnsi="宋体" w:cs="宋体" w:eastAsia="宋体" w:hint="default"/>
                <w:sz w:val="18"/>
                <w:szCs w:val="18"/>
              </w:rPr>
              <w:t>单项金额虽不重大但单独计 提坏账准备的其他应收款</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9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914,635.00</w:t>
            </w:r>
          </w:p>
        </w:tc>
        <w:tc>
          <w:tcPr>
            <w:tcW w:w="1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320,325.02</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35.02</w:t>
            </w:r>
          </w:p>
        </w:tc>
        <w:tc>
          <w:tcPr>
            <w:tcW w:w="129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594,309.98</w:t>
            </w:r>
          </w:p>
        </w:tc>
      </w:tr>
    </w:tbl>
    <w:p>
      <w:pPr>
        <w:spacing w:line="240" w:lineRule="auto" w:before="6"/>
        <w:rPr>
          <w:rFonts w:ascii="宋体" w:hAnsi="宋体" w:cs="宋体" w:eastAsia="宋体" w:hint="default"/>
          <w:b/>
          <w:bCs/>
          <w:sz w:val="5"/>
          <w:szCs w:val="5"/>
        </w:rPr>
      </w:pPr>
    </w:p>
    <w:p>
      <w:pPr>
        <w:pStyle w:val="BodyText"/>
        <w:spacing w:line="240" w:lineRule="auto" w:before="36"/>
        <w:ind w:left="572" w:right="0"/>
        <w:jc w:val="left"/>
      </w:pPr>
      <w:r>
        <w:rPr/>
        <w:t>（续）</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352"/>
        <w:gridCol w:w="1344"/>
        <w:gridCol w:w="910"/>
        <w:gridCol w:w="1162"/>
        <w:gridCol w:w="1414"/>
        <w:gridCol w:w="1286"/>
      </w:tblGrid>
      <w:tr>
        <w:trPr>
          <w:trHeight w:val="353" w:hRule="exact"/>
        </w:trPr>
        <w:tc>
          <w:tcPr>
            <w:tcW w:w="2352"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115"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2352" w:type="dxa"/>
            <w:vMerge/>
            <w:tcBorders>
              <w:left w:val="single" w:sz="6" w:space="0" w:color="000000"/>
              <w:right w:val="single" w:sz="6" w:space="0" w:color="000000"/>
            </w:tcBorders>
          </w:tcPr>
          <w:p>
            <w:pPr/>
          </w:p>
        </w:tc>
        <w:tc>
          <w:tcPr>
            <w:tcW w:w="2254"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75"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86" w:type="dxa"/>
            <w:vMerge w:val="restart"/>
            <w:tcBorders>
              <w:top w:val="single" w:sz="12" w:space="0" w:color="000000"/>
              <w:left w:val="single" w:sz="6" w:space="0" w:color="000000"/>
              <w:right w:val="nil" w:sz="6" w:space="0" w:color="auto"/>
            </w:tcBorders>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3" w:hRule="exact"/>
        </w:trPr>
        <w:tc>
          <w:tcPr>
            <w:tcW w:w="2352" w:type="dxa"/>
            <w:vMerge/>
            <w:tcBorders>
              <w:left w:val="single" w:sz="6" w:space="0" w:color="000000"/>
              <w:bottom w:val="single" w:sz="12" w:space="0" w:color="000000"/>
              <w:right w:val="single" w:sz="6" w:space="0" w:color="000000"/>
            </w:tcBorders>
          </w:tcPr>
          <w:p>
            <w:pP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8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6" w:type="dxa"/>
            <w:vMerge/>
            <w:tcBorders>
              <w:left w:val="single" w:sz="6" w:space="0" w:color="000000"/>
              <w:bottom w:val="single" w:sz="12" w:space="0" w:color="000000"/>
              <w:right w:val="nil" w:sz="6" w:space="0" w:color="auto"/>
            </w:tcBorders>
          </w:tcPr>
          <w:p>
            <w:pPr/>
          </w:p>
        </w:tc>
      </w:tr>
      <w:tr>
        <w:trPr>
          <w:trHeight w:val="662" w:hRule="exact"/>
        </w:trPr>
        <w:tc>
          <w:tcPr>
            <w:tcW w:w="23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70"/>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9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w:t>
            </w:r>
          </w:p>
        </w:tc>
      </w:tr>
      <w:tr>
        <w:trPr>
          <w:trHeight w:val="665" w:hRule="exact"/>
        </w:trPr>
        <w:tc>
          <w:tcPr>
            <w:tcW w:w="23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70"/>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1,156,784.36</w:t>
            </w:r>
            <w:r>
              <w:rPr>
                <w:rFonts w:ascii="Times New Roman"/>
                <w:sz w:val="18"/>
              </w:rPr>
            </w:r>
          </w:p>
        </w:tc>
        <w:tc>
          <w:tcPr>
            <w:tcW w:w="9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305,694.27</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26.43</w:t>
            </w:r>
          </w:p>
        </w:tc>
        <w:tc>
          <w:tcPr>
            <w:tcW w:w="12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851,090.09</w:t>
            </w:r>
          </w:p>
        </w:tc>
      </w:tr>
      <w:tr>
        <w:trPr>
          <w:trHeight w:val="665" w:hRule="exact"/>
        </w:trPr>
        <w:tc>
          <w:tcPr>
            <w:tcW w:w="23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70"/>
              <w:jc w:val="left"/>
              <w:rPr>
                <w:rFonts w:ascii="宋体" w:hAnsi="宋体" w:cs="宋体" w:eastAsia="宋体" w:hint="default"/>
                <w:sz w:val="18"/>
                <w:szCs w:val="18"/>
              </w:rPr>
            </w:pPr>
            <w:r>
              <w:rPr>
                <w:rFonts w:ascii="宋体" w:hAnsi="宋体" w:cs="宋体" w:eastAsia="宋体" w:hint="default"/>
                <w:sz w:val="18"/>
                <w:szCs w:val="18"/>
              </w:rPr>
              <w:t>单项金额虽不重大但单独计 提坏账准备的其他应收款</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9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2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1,156,784.36</w:t>
            </w:r>
            <w:r>
              <w:rPr>
                <w:rFonts w:ascii="Times New Roman"/>
                <w:sz w:val="18"/>
              </w:rPr>
            </w:r>
          </w:p>
        </w:tc>
        <w:tc>
          <w:tcPr>
            <w:tcW w:w="9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305,694.27</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26.43</w:t>
            </w:r>
          </w:p>
        </w:tc>
        <w:tc>
          <w:tcPr>
            <w:tcW w:w="12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851,090.09</w:t>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0"/>
          <w:szCs w:val="10"/>
        </w:rPr>
      </w:pPr>
    </w:p>
    <w:p>
      <w:pPr>
        <w:pStyle w:val="Heading3"/>
        <w:spacing w:line="240" w:lineRule="auto" w:before="36"/>
        <w:ind w:left="575" w:right="0"/>
        <w:jc w:val="left"/>
        <w:rPr>
          <w:b w:val="0"/>
          <w:bCs w:val="0"/>
        </w:rPr>
      </w:pPr>
      <w:r>
        <w:rPr>
          <w:rFonts w:ascii="Times New Roman" w:hAnsi="Times New Roman" w:cs="Times New Roman" w:eastAsia="Times New Roman" w:hint="default"/>
        </w:rPr>
        <w:t>2</w:t>
      </w:r>
      <w:r>
        <w:rPr/>
        <w:t>、组合中，按账龄分析法计提坏账准备的其他应收款</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335"/>
        <w:gridCol w:w="2227"/>
        <w:gridCol w:w="2196"/>
        <w:gridCol w:w="1709"/>
      </w:tblGrid>
      <w:tr>
        <w:trPr>
          <w:trHeight w:val="353" w:hRule="exact"/>
        </w:trPr>
        <w:tc>
          <w:tcPr>
            <w:tcW w:w="2335"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13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335" w:type="dxa"/>
            <w:vMerge/>
            <w:tcBorders>
              <w:left w:val="single" w:sz="6" w:space="0" w:color="000000"/>
              <w:bottom w:val="single" w:sz="12" w:space="0" w:color="000000"/>
              <w:right w:val="single" w:sz="6" w:space="0" w:color="000000"/>
            </w:tcBorders>
          </w:tcPr>
          <w:p>
            <w:pPr/>
          </w:p>
        </w:tc>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5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360,698.82</w:t>
            </w:r>
          </w:p>
        </w:tc>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3,606.99</w:t>
            </w:r>
          </w:p>
        </w:tc>
        <w:tc>
          <w:tcPr>
            <w:tcW w:w="17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r>
      <w:tr>
        <w:trPr>
          <w:trHeight w:val="350" w:hRule="exact"/>
        </w:trPr>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185,797.94</w:t>
            </w:r>
          </w:p>
        </w:tc>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18,579.79</w:t>
            </w:r>
          </w:p>
        </w:tc>
        <w:tc>
          <w:tcPr>
            <w:tcW w:w="17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10.00</w:t>
            </w:r>
          </w:p>
        </w:tc>
      </w:tr>
      <w:tr>
        <w:trPr>
          <w:trHeight w:val="353" w:hRule="exact"/>
        </w:trPr>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100,000.00</w:t>
            </w:r>
          </w:p>
        </w:tc>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30,000.00</w:t>
            </w:r>
          </w:p>
        </w:tc>
        <w:tc>
          <w:tcPr>
            <w:tcW w:w="17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30.00</w:t>
            </w:r>
          </w:p>
        </w:tc>
      </w:tr>
      <w:tr>
        <w:trPr>
          <w:trHeight w:val="353" w:hRule="exact"/>
        </w:trPr>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268,138.24</w:t>
            </w:r>
          </w:p>
        </w:tc>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268,138.24</w:t>
            </w:r>
          </w:p>
        </w:tc>
        <w:tc>
          <w:tcPr>
            <w:tcW w:w="17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r>
      <w:tr>
        <w:trPr>
          <w:trHeight w:val="353" w:hRule="exact"/>
        </w:trPr>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914,635.00</w:t>
            </w:r>
          </w:p>
        </w:tc>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320,325.02</w:t>
            </w:r>
          </w:p>
        </w:tc>
        <w:tc>
          <w:tcPr>
            <w:tcW w:w="17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35.02</w:t>
            </w:r>
          </w:p>
        </w:tc>
      </w:tr>
    </w:tbl>
    <w:p>
      <w:pPr>
        <w:spacing w:line="240" w:lineRule="auto" w:before="2"/>
        <w:rPr>
          <w:rFonts w:ascii="宋体" w:hAnsi="宋体" w:cs="宋体" w:eastAsia="宋体" w:hint="default"/>
          <w:b/>
          <w:bCs/>
          <w:sz w:val="20"/>
          <w:szCs w:val="20"/>
        </w:rPr>
      </w:pPr>
    </w:p>
    <w:p>
      <w:pPr>
        <w:pStyle w:val="Heading3"/>
        <w:spacing w:line="240" w:lineRule="auto" w:before="36"/>
        <w:ind w:left="575" w:right="0"/>
        <w:jc w:val="left"/>
        <w:rPr>
          <w:b w:val="0"/>
          <w:bCs w:val="0"/>
        </w:rPr>
      </w:pPr>
      <w:r>
        <w:rPr>
          <w:rFonts w:ascii="Times New Roman" w:hAnsi="Times New Roman" w:cs="Times New Roman" w:eastAsia="Times New Roman" w:hint="default"/>
        </w:rPr>
        <w:t>3</w:t>
      </w:r>
      <w:r>
        <w:rPr/>
        <w:t>、期末其他应收款中无应收持本公司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）表决权股份的股东及其他关联方的款项。</w:t>
      </w:r>
      <w:r>
        <w:rPr>
          <w:b w:val="0"/>
          <w:bCs w:val="0"/>
        </w:rPr>
      </w:r>
    </w:p>
    <w:p>
      <w:pPr>
        <w:pStyle w:val="Heading3"/>
        <w:spacing w:line="240" w:lineRule="auto" w:before="141"/>
        <w:ind w:left="575" w:right="0"/>
        <w:jc w:val="left"/>
        <w:rPr>
          <w:b w:val="0"/>
          <w:bCs w:val="0"/>
        </w:rPr>
      </w:pPr>
      <w:r>
        <w:rPr>
          <w:rFonts w:ascii="Times New Roman" w:hAnsi="Times New Roman" w:cs="Times New Roman" w:eastAsia="Times New Roman" w:hint="default"/>
        </w:rPr>
        <w:t>4</w:t>
      </w:r>
      <w:r>
        <w:rPr/>
        <w:t>、其他应收款按款项性质分类情况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228"/>
        <w:gridCol w:w="2923"/>
        <w:gridCol w:w="2321"/>
      </w:tblGrid>
      <w:tr>
        <w:trPr>
          <w:trHeight w:val="353" w:hRule="exact"/>
        </w:trPr>
        <w:tc>
          <w:tcPr>
            <w:tcW w:w="32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423"/>
              <w:jc w:val="right"/>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2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799,278.21</w:t>
            </w:r>
          </w:p>
        </w:tc>
        <w:tc>
          <w:tcPr>
            <w:tcW w:w="23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817,936.18</w:t>
            </w:r>
          </w:p>
        </w:tc>
      </w:tr>
      <w:tr>
        <w:trPr>
          <w:trHeight w:val="353" w:hRule="exact"/>
        </w:trPr>
        <w:tc>
          <w:tcPr>
            <w:tcW w:w="3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105,056.79</w:t>
            </w:r>
          </w:p>
        </w:tc>
        <w:tc>
          <w:tcPr>
            <w:tcW w:w="23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328,848.18</w:t>
            </w:r>
          </w:p>
        </w:tc>
      </w:tr>
      <w:tr>
        <w:trPr>
          <w:trHeight w:val="350" w:hRule="exact"/>
        </w:trPr>
        <w:tc>
          <w:tcPr>
            <w:tcW w:w="3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2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10,300.00</w:t>
            </w:r>
          </w:p>
        </w:tc>
        <w:tc>
          <w:tcPr>
            <w:tcW w:w="23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355" w:hRule="exact"/>
        </w:trPr>
        <w:tc>
          <w:tcPr>
            <w:tcW w:w="3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23"/>
              <w:jc w:val="righ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914,635.00</w:t>
            </w:r>
          </w:p>
        </w:tc>
        <w:tc>
          <w:tcPr>
            <w:tcW w:w="23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1,156,784.36</w:t>
            </w:r>
            <w:r>
              <w:rPr>
                <w:rFonts w:ascii="Times New Roman"/>
                <w:sz w:val="18"/>
              </w:rPr>
            </w:r>
          </w:p>
        </w:tc>
      </w:tr>
    </w:tbl>
    <w:p>
      <w:pPr>
        <w:spacing w:line="240" w:lineRule="auto" w:before="8"/>
        <w:rPr>
          <w:rFonts w:ascii="宋体" w:hAnsi="宋体" w:cs="宋体" w:eastAsia="宋体" w:hint="default"/>
          <w:b/>
          <w:bCs/>
          <w:sz w:val="14"/>
          <w:szCs w:val="14"/>
        </w:rPr>
      </w:pPr>
    </w:p>
    <w:p>
      <w:pPr>
        <w:pStyle w:val="Heading3"/>
        <w:spacing w:line="240" w:lineRule="auto" w:before="36"/>
        <w:ind w:left="580"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536"/>
        <w:gridCol w:w="898"/>
        <w:gridCol w:w="1176"/>
        <w:gridCol w:w="2546"/>
        <w:gridCol w:w="1217"/>
        <w:gridCol w:w="1135"/>
      </w:tblGrid>
      <w:tr>
        <w:trPr>
          <w:trHeight w:val="977" w:hRule="exact"/>
        </w:trPr>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1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62" w:right="57"/>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期末余额的比 例</w:t>
            </w:r>
            <w:r>
              <w:rPr>
                <w:rFonts w:ascii="Times New Roman" w:hAnsi="Times New Roman" w:cs="Times New Roman" w:eastAsia="Times New Roman" w:hint="default"/>
                <w:sz w:val="18"/>
                <w:szCs w:val="18"/>
              </w:rPr>
              <w:t>(%)</w:t>
            </w:r>
          </w:p>
        </w:tc>
        <w:tc>
          <w:tcPr>
            <w:tcW w:w="1135"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201" w:right="204"/>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977" w:hRule="exact"/>
        </w:trPr>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5"/>
              <w:jc w:val="left"/>
              <w:rPr>
                <w:rFonts w:ascii="宋体" w:hAnsi="宋体" w:cs="宋体" w:eastAsia="宋体" w:hint="default"/>
                <w:sz w:val="18"/>
                <w:szCs w:val="18"/>
              </w:rPr>
            </w:pPr>
            <w:r>
              <w:rPr>
                <w:rFonts w:ascii="宋体" w:hAnsi="宋体" w:cs="宋体" w:eastAsia="宋体" w:hint="default"/>
                <w:spacing w:val="11"/>
                <w:sz w:val="18"/>
                <w:szCs w:val="18"/>
              </w:rPr>
              <w:t>深圳市昱为科技有</w:t>
            </w:r>
            <w:r>
              <w:rPr>
                <w:rFonts w:ascii="宋体" w:hAnsi="宋体" w:cs="宋体" w:eastAsia="宋体" w:hint="default"/>
                <w:spacing w:val="12"/>
                <w:sz w:val="18"/>
                <w:szCs w:val="18"/>
              </w:rPr>
              <w:t> </w:t>
            </w:r>
            <w:r>
              <w:rPr>
                <w:rFonts w:ascii="宋体" w:hAnsi="宋体" w:cs="宋体" w:eastAsia="宋体" w:hint="default"/>
                <w:sz w:val="18"/>
                <w:szCs w:val="18"/>
              </w:rPr>
              <w:t>限公司</w:t>
            </w:r>
          </w:p>
        </w:tc>
        <w:tc>
          <w:tcPr>
            <w:tcW w:w="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198,142.00</w:t>
            </w:r>
          </w:p>
        </w:tc>
        <w:tc>
          <w:tcPr>
            <w:tcW w:w="2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3,154.00</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52,988.00</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142,000.00</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2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21.66</w:t>
            </w:r>
          </w:p>
        </w:tc>
        <w:tc>
          <w:tcPr>
            <w:tcW w:w="1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147,330.34</w:t>
            </w:r>
          </w:p>
        </w:tc>
      </w:tr>
      <w:tr>
        <w:trPr>
          <w:trHeight w:val="665" w:hRule="exact"/>
        </w:trPr>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5"/>
              <w:jc w:val="left"/>
              <w:rPr>
                <w:rFonts w:ascii="宋体" w:hAnsi="宋体" w:cs="宋体" w:eastAsia="宋体" w:hint="default"/>
                <w:sz w:val="18"/>
                <w:szCs w:val="18"/>
              </w:rPr>
            </w:pPr>
            <w:r>
              <w:rPr>
                <w:rFonts w:ascii="宋体" w:hAnsi="宋体" w:cs="宋体" w:eastAsia="宋体" w:hint="default"/>
                <w:spacing w:val="11"/>
                <w:sz w:val="18"/>
                <w:szCs w:val="18"/>
              </w:rPr>
              <w:t>浙江天猫技术有限</w:t>
            </w:r>
            <w:r>
              <w:rPr>
                <w:rFonts w:ascii="宋体" w:hAnsi="宋体" w:cs="宋体" w:eastAsia="宋体" w:hint="default"/>
                <w:spacing w:val="12"/>
                <w:sz w:val="18"/>
                <w:szCs w:val="18"/>
              </w:rPr>
              <w:t> </w:t>
            </w:r>
            <w:r>
              <w:rPr>
                <w:rFonts w:ascii="宋体" w:hAnsi="宋体" w:cs="宋体" w:eastAsia="宋体" w:hint="default"/>
                <w:sz w:val="18"/>
                <w:szCs w:val="18"/>
              </w:rPr>
              <w:t>公司</w:t>
            </w:r>
          </w:p>
        </w:tc>
        <w:tc>
          <w:tcPr>
            <w:tcW w:w="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170,000.00</w:t>
            </w:r>
          </w:p>
        </w:tc>
        <w:tc>
          <w:tcPr>
            <w:tcW w:w="2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30,000.00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宋体" w:hAnsi="宋体" w:cs="宋体" w:eastAsia="宋体" w:hint="default"/>
                <w:sz w:val="18"/>
                <w:szCs w:val="18"/>
              </w:rPr>
              <w:t>年以内</w:t>
            </w:r>
          </w:p>
          <w:p>
            <w:pPr>
              <w:pStyle w:val="TableParagraph"/>
              <w:spacing w:line="240" w:lineRule="auto" w:before="62"/>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100,000.00</w:t>
            </w:r>
            <w:r>
              <w:rPr>
                <w:rFonts w:ascii="宋体" w:hAnsi="宋体" w:cs="宋体" w:eastAsia="宋体" w:hint="default"/>
                <w:sz w:val="18"/>
                <w:szCs w:val="18"/>
              </w:rPr>
              <w:t>元</w:t>
            </w:r>
          </w:p>
        </w:tc>
        <w:tc>
          <w:tcPr>
            <w:tcW w:w="12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18.59</w:t>
            </w:r>
          </w:p>
        </w:tc>
        <w:tc>
          <w:tcPr>
            <w:tcW w:w="1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34,300.00</w:t>
            </w:r>
          </w:p>
        </w:tc>
      </w:tr>
      <w:tr>
        <w:trPr>
          <w:trHeight w:val="974" w:hRule="exact"/>
        </w:trPr>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5"/>
              <w:jc w:val="left"/>
              <w:rPr>
                <w:rFonts w:ascii="宋体" w:hAnsi="宋体" w:cs="宋体" w:eastAsia="宋体" w:hint="default"/>
                <w:sz w:val="18"/>
                <w:szCs w:val="18"/>
              </w:rPr>
            </w:pPr>
            <w:r>
              <w:rPr>
                <w:rFonts w:ascii="宋体" w:hAnsi="宋体" w:cs="宋体" w:eastAsia="宋体" w:hint="default"/>
                <w:spacing w:val="11"/>
                <w:sz w:val="18"/>
                <w:szCs w:val="18"/>
              </w:rPr>
              <w:t>深圳市高新区开发</w:t>
            </w:r>
            <w:r>
              <w:rPr>
                <w:rFonts w:ascii="宋体" w:hAnsi="宋体" w:cs="宋体" w:eastAsia="宋体" w:hint="default"/>
                <w:spacing w:val="12"/>
                <w:sz w:val="18"/>
                <w:szCs w:val="18"/>
              </w:rPr>
              <w:t> </w:t>
            </w:r>
            <w:r>
              <w:rPr>
                <w:rFonts w:ascii="宋体" w:hAnsi="宋体" w:cs="宋体" w:eastAsia="宋体" w:hint="default"/>
                <w:sz w:val="18"/>
                <w:szCs w:val="18"/>
              </w:rPr>
              <w:t>建设公司</w:t>
            </w:r>
          </w:p>
        </w:tc>
        <w:tc>
          <w:tcPr>
            <w:tcW w:w="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127,116.27</w:t>
            </w:r>
          </w:p>
        </w:tc>
        <w:tc>
          <w:tcPr>
            <w:tcW w:w="2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6,044.13</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宋体" w:hAnsi="宋体" w:cs="宋体" w:eastAsia="宋体" w:hint="default"/>
                <w:sz w:val="18"/>
                <w:szCs w:val="18"/>
              </w:rPr>
              <w:t>年以内</w:t>
            </w:r>
          </w:p>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44,200.94</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76,871.20</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2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13.90</w:t>
            </w:r>
          </w:p>
        </w:tc>
        <w:tc>
          <w:tcPr>
            <w:tcW w:w="1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81,351.74</w:t>
            </w:r>
          </w:p>
        </w:tc>
      </w:tr>
      <w:tr>
        <w:trPr>
          <w:trHeight w:val="665" w:hRule="exact"/>
        </w:trPr>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5"/>
              <w:jc w:val="left"/>
              <w:rPr>
                <w:rFonts w:ascii="宋体" w:hAnsi="宋体" w:cs="宋体" w:eastAsia="宋体" w:hint="default"/>
                <w:sz w:val="18"/>
                <w:szCs w:val="18"/>
              </w:rPr>
            </w:pPr>
            <w:r>
              <w:rPr>
                <w:rFonts w:ascii="宋体" w:hAnsi="宋体" w:cs="宋体" w:eastAsia="宋体" w:hint="default"/>
                <w:spacing w:val="11"/>
                <w:sz w:val="18"/>
                <w:szCs w:val="18"/>
              </w:rPr>
              <w:t>北京当当科文电子</w:t>
            </w:r>
            <w:r>
              <w:rPr>
                <w:rFonts w:ascii="宋体" w:hAnsi="宋体" w:cs="宋体" w:eastAsia="宋体" w:hint="default"/>
                <w:spacing w:val="12"/>
                <w:sz w:val="18"/>
                <w:szCs w:val="18"/>
              </w:rPr>
              <w:t> </w:t>
            </w:r>
            <w:r>
              <w:rPr>
                <w:rFonts w:ascii="宋体" w:hAnsi="宋体" w:cs="宋体" w:eastAsia="宋体" w:hint="default"/>
                <w:sz w:val="18"/>
                <w:szCs w:val="18"/>
              </w:rPr>
              <w:t>商务有限公司</w:t>
            </w:r>
          </w:p>
        </w:tc>
        <w:tc>
          <w:tcPr>
            <w:tcW w:w="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100,000.00</w:t>
            </w:r>
          </w:p>
        </w:tc>
        <w:tc>
          <w:tcPr>
            <w:tcW w:w="2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10.93</w:t>
            </w:r>
          </w:p>
        </w:tc>
        <w:tc>
          <w:tcPr>
            <w:tcW w:w="1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1,000.00</w:t>
            </w:r>
          </w:p>
        </w:tc>
      </w:tr>
      <w:tr>
        <w:trPr>
          <w:trHeight w:val="665" w:hRule="exact"/>
        </w:trPr>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5"/>
              <w:jc w:val="left"/>
              <w:rPr>
                <w:rFonts w:ascii="宋体" w:hAnsi="宋体" w:cs="宋体" w:eastAsia="宋体" w:hint="default"/>
                <w:sz w:val="18"/>
                <w:szCs w:val="18"/>
              </w:rPr>
            </w:pPr>
            <w:r>
              <w:rPr>
                <w:rFonts w:ascii="宋体" w:hAnsi="宋体" w:cs="宋体" w:eastAsia="宋体" w:hint="default"/>
                <w:spacing w:val="11"/>
                <w:sz w:val="18"/>
                <w:szCs w:val="18"/>
              </w:rPr>
              <w:t>深圳市集鸿发电子</w:t>
            </w:r>
            <w:r>
              <w:rPr>
                <w:rFonts w:ascii="宋体" w:hAnsi="宋体" w:cs="宋体" w:eastAsia="宋体" w:hint="default"/>
                <w:spacing w:val="12"/>
                <w:sz w:val="18"/>
                <w:szCs w:val="18"/>
              </w:rPr>
              <w:t> </w:t>
            </w:r>
            <w:r>
              <w:rPr>
                <w:rFonts w:ascii="宋体" w:hAnsi="宋体" w:cs="宋体" w:eastAsia="宋体" w:hint="default"/>
                <w:sz w:val="18"/>
                <w:szCs w:val="18"/>
              </w:rPr>
              <w:t>有限公司</w:t>
            </w:r>
          </w:p>
        </w:tc>
        <w:tc>
          <w:tcPr>
            <w:tcW w:w="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96,600.00</w:t>
            </w:r>
          </w:p>
        </w:tc>
        <w:tc>
          <w:tcPr>
            <w:tcW w:w="2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10.56</w:t>
            </w:r>
          </w:p>
        </w:tc>
        <w:tc>
          <w:tcPr>
            <w:tcW w:w="1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966.00</w:t>
            </w:r>
            <w:r>
              <w:rPr>
                <w:rFonts w:ascii="Times New Roman"/>
                <w:sz w:val="18"/>
              </w:rPr>
            </w:r>
          </w:p>
        </w:tc>
      </w:tr>
      <w:tr>
        <w:trPr>
          <w:trHeight w:val="353" w:hRule="exact"/>
        </w:trPr>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98" w:type="dxa"/>
            <w:tcBorders>
              <w:top w:val="single" w:sz="12" w:space="0" w:color="000000"/>
              <w:left w:val="single" w:sz="6" w:space="0" w:color="000000"/>
              <w:bottom w:val="single" w:sz="12" w:space="0" w:color="000000"/>
              <w:right w:val="single" w:sz="6" w:space="0" w:color="000000"/>
            </w:tcBorders>
          </w:tcPr>
          <w:p>
            <w:pP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691,858.27</w:t>
            </w:r>
          </w:p>
        </w:tc>
        <w:tc>
          <w:tcPr>
            <w:tcW w:w="2546" w:type="dxa"/>
            <w:tcBorders>
              <w:top w:val="single" w:sz="12" w:space="0" w:color="000000"/>
              <w:left w:val="single" w:sz="6" w:space="0" w:color="000000"/>
              <w:bottom w:val="single" w:sz="12" w:space="0" w:color="000000"/>
              <w:right w:val="single" w:sz="6" w:space="0" w:color="000000"/>
            </w:tcBorders>
          </w:tcPr>
          <w:p>
            <w:pPr/>
          </w:p>
        </w:tc>
        <w:tc>
          <w:tcPr>
            <w:tcW w:w="12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75.64</w:t>
            </w:r>
          </w:p>
        </w:tc>
        <w:tc>
          <w:tcPr>
            <w:tcW w:w="1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264,948.08</w:t>
            </w:r>
          </w:p>
        </w:tc>
      </w:tr>
    </w:tbl>
    <w:p>
      <w:pPr>
        <w:spacing w:line="240" w:lineRule="auto" w:before="2"/>
        <w:rPr>
          <w:rFonts w:ascii="宋体" w:hAnsi="宋体" w:cs="宋体" w:eastAsia="宋体" w:hint="default"/>
          <w:b/>
          <w:bCs/>
          <w:sz w:val="20"/>
          <w:szCs w:val="20"/>
        </w:rPr>
      </w:pPr>
    </w:p>
    <w:p>
      <w:pPr>
        <w:pStyle w:val="Heading3"/>
        <w:spacing w:line="240" w:lineRule="auto" w:before="36"/>
        <w:ind w:left="580" w:right="0"/>
        <w:jc w:val="left"/>
        <w:rPr>
          <w:b w:val="0"/>
          <w:bCs w:val="0"/>
        </w:rPr>
      </w:pPr>
      <w:r>
        <w:rPr/>
        <w:t>（三）长期股权投资</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1584"/>
        <w:gridCol w:w="1154"/>
        <w:gridCol w:w="1006"/>
        <w:gridCol w:w="1152"/>
        <w:gridCol w:w="1373"/>
        <w:gridCol w:w="946"/>
        <w:gridCol w:w="1690"/>
      </w:tblGrid>
      <w:tr>
        <w:trPr>
          <w:trHeight w:val="353" w:hRule="exact"/>
        </w:trPr>
        <w:tc>
          <w:tcPr>
            <w:tcW w:w="1584" w:type="dxa"/>
            <w:vMerge w:val="restart"/>
            <w:tcBorders>
              <w:top w:val="single" w:sz="6" w:space="0" w:color="000000"/>
              <w:left w:val="single" w:sz="6"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3312"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08"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1584" w:type="dxa"/>
            <w:vMerge/>
            <w:tcBorders>
              <w:left w:val="single" w:sz="6" w:space="0" w:color="000000"/>
              <w:bottom w:val="single" w:sz="12" w:space="0" w:color="000000"/>
              <w:right w:val="single" w:sz="6" w:space="0" w:color="000000"/>
            </w:tcBorders>
          </w:tcPr>
          <w:p>
            <w:pP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7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3" w:hRule="exact"/>
        </w:trPr>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94" w:right="-3"/>
              <w:jc w:val="left"/>
              <w:rPr>
                <w:rFonts w:ascii="Times New Roman" w:hAnsi="Times New Roman" w:cs="Times New Roman" w:eastAsia="Times New Roman" w:hint="default"/>
                <w:sz w:val="18"/>
                <w:szCs w:val="18"/>
              </w:rPr>
            </w:pPr>
            <w:r>
              <w:rPr>
                <w:rFonts w:ascii="Times New Roman"/>
                <w:sz w:val="18"/>
              </w:rPr>
              <w:t>2,000,000.00</w:t>
            </w:r>
          </w:p>
        </w:tc>
        <w:tc>
          <w:tcPr>
            <w:tcW w:w="1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92" w:right="-3"/>
              <w:jc w:val="left"/>
              <w:rPr>
                <w:rFonts w:ascii="Times New Roman" w:hAnsi="Times New Roman" w:cs="Times New Roman" w:eastAsia="Times New Roman" w:hint="default"/>
                <w:sz w:val="18"/>
                <w:szCs w:val="18"/>
              </w:rPr>
            </w:pPr>
            <w:r>
              <w:rPr>
                <w:rFonts w:ascii="Times New Roman"/>
                <w:sz w:val="18"/>
              </w:rPr>
              <w:t>2,000,000.00</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6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r>
      <w:tr>
        <w:trPr>
          <w:trHeight w:val="353" w:hRule="exact"/>
        </w:trPr>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94" w:right="-3"/>
              <w:jc w:val="left"/>
              <w:rPr>
                <w:rFonts w:ascii="Times New Roman" w:hAnsi="Times New Roman" w:cs="Times New Roman" w:eastAsia="Times New Roman" w:hint="default"/>
                <w:sz w:val="18"/>
                <w:szCs w:val="18"/>
              </w:rPr>
            </w:pPr>
            <w:r>
              <w:rPr>
                <w:rFonts w:ascii="Times New Roman"/>
                <w:sz w:val="18"/>
              </w:rPr>
              <w:t>2,000,000.00</w:t>
            </w:r>
          </w:p>
        </w:tc>
        <w:tc>
          <w:tcPr>
            <w:tcW w:w="1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92" w:right="-3"/>
              <w:jc w:val="left"/>
              <w:rPr>
                <w:rFonts w:ascii="Times New Roman" w:hAnsi="Times New Roman" w:cs="Times New Roman" w:eastAsia="Times New Roman" w:hint="default"/>
                <w:sz w:val="18"/>
                <w:szCs w:val="18"/>
              </w:rPr>
            </w:pPr>
            <w:r>
              <w:rPr>
                <w:rFonts w:ascii="Times New Roman"/>
                <w:sz w:val="18"/>
              </w:rPr>
              <w:t>2,000,000.00</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6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r>
    </w:tbl>
    <w:p>
      <w:pPr>
        <w:spacing w:line="240" w:lineRule="auto" w:before="6"/>
        <w:rPr>
          <w:rFonts w:ascii="宋体" w:hAnsi="宋体" w:cs="宋体" w:eastAsia="宋体" w:hint="default"/>
          <w:b/>
          <w:bCs/>
          <w:sz w:val="5"/>
          <w:szCs w:val="5"/>
        </w:rPr>
      </w:pPr>
    </w:p>
    <w:p>
      <w:pPr>
        <w:pStyle w:val="Heading3"/>
        <w:spacing w:line="240" w:lineRule="auto" w:before="36"/>
        <w:ind w:left="580" w:right="0"/>
        <w:jc w:val="left"/>
        <w:rPr>
          <w:b w:val="0"/>
          <w:bCs w:val="0"/>
        </w:rPr>
      </w:pPr>
      <w:r>
        <w:rPr>
          <w:rFonts w:ascii="Times New Roman" w:hAnsi="Times New Roman" w:cs="Times New Roman" w:eastAsia="Times New Roman" w:hint="default"/>
        </w:rPr>
        <w:t>1</w:t>
      </w:r>
      <w:r>
        <w:rPr/>
        <w:t>、对子公司投资</w:t>
      </w:r>
      <w:r>
        <w:rPr>
          <w:b w:val="0"/>
          <w:bCs w:val="0"/>
        </w:rPr>
      </w:r>
    </w:p>
    <w:p>
      <w:pPr>
        <w:spacing w:after="0" w:line="240" w:lineRule="auto"/>
        <w:jc w:val="left"/>
        <w:sectPr>
          <w:pgSz w:w="11910" w:h="16840"/>
          <w:pgMar w:header="990" w:footer="1066" w:top="1220" w:bottom="1260" w:left="980" w:right="980"/>
        </w:sectPr>
      </w:pPr>
    </w:p>
    <w:p>
      <w:pPr>
        <w:spacing w:line="240" w:lineRule="auto" w:before="2"/>
        <w:rPr>
          <w:rFonts w:ascii="宋体" w:hAnsi="宋体" w:cs="宋体" w:eastAsia="宋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1121"/>
        <w:gridCol w:w="1330"/>
        <w:gridCol w:w="1330"/>
        <w:gridCol w:w="826"/>
        <w:gridCol w:w="898"/>
        <w:gridCol w:w="1301"/>
        <w:gridCol w:w="1063"/>
        <w:gridCol w:w="994"/>
      </w:tblGrid>
      <w:tr>
        <w:trPr>
          <w:trHeight w:val="665" w:hRule="exact"/>
        </w:trPr>
        <w:tc>
          <w:tcPr>
            <w:tcW w:w="1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117"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40"/>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8"/>
              <w:ind w:left="74" w:right="72" w:firstLine="180"/>
              <w:jc w:val="left"/>
              <w:rPr>
                <w:rFonts w:ascii="宋体" w:hAnsi="宋体" w:cs="宋体" w:eastAsia="宋体" w:hint="default"/>
                <w:sz w:val="18"/>
                <w:szCs w:val="18"/>
              </w:rPr>
            </w:pPr>
            <w:r>
              <w:rPr>
                <w:rFonts w:ascii="宋体" w:hAnsi="宋体" w:cs="宋体" w:eastAsia="宋体" w:hint="default"/>
                <w:sz w:val="18"/>
                <w:szCs w:val="18"/>
              </w:rPr>
              <w:t>本期计 提减值准备</w:t>
            </w:r>
          </w:p>
        </w:tc>
        <w:tc>
          <w:tcPr>
            <w:tcW w:w="99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8"/>
              <w:ind w:left="132" w:right="1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977" w:hRule="exact"/>
        </w:trPr>
        <w:tc>
          <w:tcPr>
            <w:tcW w:w="112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6"/>
              <w:jc w:val="both"/>
              <w:rPr>
                <w:rFonts w:ascii="宋体" w:hAnsi="宋体" w:cs="宋体" w:eastAsia="宋体" w:hint="default"/>
                <w:sz w:val="18"/>
                <w:szCs w:val="18"/>
              </w:rPr>
            </w:pPr>
            <w:r>
              <w:rPr>
                <w:rFonts w:ascii="宋体" w:hAnsi="宋体" w:cs="宋体" w:eastAsia="宋体" w:hint="default"/>
                <w:spacing w:val="3"/>
                <w:sz w:val="18"/>
                <w:szCs w:val="18"/>
              </w:rPr>
              <w:t>深圳市连邦信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息技术有限公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67" w:right="-1"/>
              <w:jc w:val="left"/>
              <w:rPr>
                <w:rFonts w:ascii="Times New Roman" w:hAnsi="Times New Roman" w:cs="Times New Roman" w:eastAsia="Times New Roman" w:hint="default"/>
                <w:sz w:val="18"/>
                <w:szCs w:val="18"/>
              </w:rPr>
            </w:pPr>
            <w:r>
              <w:rPr>
                <w:rFonts w:ascii="Times New Roman"/>
                <w:sz w:val="18"/>
              </w:rPr>
              <w:t>2,000,000.00</w:t>
            </w:r>
          </w:p>
        </w:tc>
        <w:tc>
          <w:tcPr>
            <w:tcW w:w="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3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38" w:right="-1"/>
              <w:jc w:val="left"/>
              <w:rPr>
                <w:rFonts w:ascii="Times New Roman" w:hAnsi="Times New Roman" w:cs="Times New Roman" w:eastAsia="Times New Roman" w:hint="default"/>
                <w:sz w:val="18"/>
                <w:szCs w:val="18"/>
              </w:rPr>
            </w:pPr>
            <w:r>
              <w:rPr>
                <w:rFonts w:ascii="Times New Roman"/>
                <w:sz w:val="18"/>
              </w:rPr>
              <w:t>2,000,000.00</w:t>
            </w:r>
          </w:p>
        </w:tc>
        <w:tc>
          <w:tcPr>
            <w:tcW w:w="10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1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67" w:right="-1"/>
              <w:jc w:val="left"/>
              <w:rPr>
                <w:rFonts w:ascii="Times New Roman" w:hAnsi="Times New Roman" w:cs="Times New Roman" w:eastAsia="Times New Roman" w:hint="default"/>
                <w:sz w:val="18"/>
                <w:szCs w:val="18"/>
              </w:rPr>
            </w:pPr>
            <w:r>
              <w:rPr>
                <w:rFonts w:ascii="Times New Roman"/>
                <w:sz w:val="18"/>
              </w:rPr>
              <w:t>2,000,000.00</w:t>
            </w:r>
          </w:p>
        </w:tc>
        <w:tc>
          <w:tcPr>
            <w:tcW w:w="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3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38" w:right="-1"/>
              <w:jc w:val="left"/>
              <w:rPr>
                <w:rFonts w:ascii="Times New Roman" w:hAnsi="Times New Roman" w:cs="Times New Roman" w:eastAsia="Times New Roman" w:hint="default"/>
                <w:sz w:val="18"/>
                <w:szCs w:val="18"/>
              </w:rPr>
            </w:pPr>
            <w:r>
              <w:rPr>
                <w:rFonts w:ascii="Times New Roman"/>
                <w:sz w:val="18"/>
              </w:rPr>
              <w:t>2,000,000.00</w:t>
            </w:r>
          </w:p>
        </w:tc>
        <w:tc>
          <w:tcPr>
            <w:tcW w:w="10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20"/>
          <w:szCs w:val="20"/>
        </w:rPr>
      </w:pPr>
    </w:p>
    <w:p>
      <w:pPr>
        <w:pStyle w:val="Heading3"/>
        <w:spacing w:line="240" w:lineRule="auto" w:before="36"/>
        <w:ind w:left="580" w:right="0"/>
        <w:jc w:val="left"/>
        <w:rPr>
          <w:b w:val="0"/>
          <w:bCs w:val="0"/>
        </w:rPr>
      </w:pPr>
      <w:r>
        <w:rPr/>
        <w:t>（四）营业收入与营业成本</w:t>
      </w:r>
      <w:r>
        <w:rPr>
          <w:b w:val="0"/>
          <w:bCs w:val="0"/>
        </w:rPr>
      </w:r>
    </w:p>
    <w:p>
      <w:pPr>
        <w:pStyle w:val="Heading3"/>
        <w:spacing w:line="240" w:lineRule="auto" w:before="37"/>
        <w:ind w:left="580" w:right="0"/>
        <w:jc w:val="left"/>
        <w:rPr>
          <w:b w:val="0"/>
          <w:bCs w:val="0"/>
        </w:rPr>
      </w:pPr>
      <w:r>
        <w:rPr>
          <w:rFonts w:ascii="Times New Roman" w:hAnsi="Times New Roman" w:cs="Times New Roman" w:eastAsia="Times New Roman" w:hint="default"/>
        </w:rPr>
        <w:t>1</w:t>
      </w:r>
      <w:r>
        <w:rPr/>
        <w:t>、营业收入与营业成本分类情况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137"/>
        <w:gridCol w:w="2798"/>
        <w:gridCol w:w="2926"/>
      </w:tblGrid>
      <w:tr>
        <w:trPr>
          <w:trHeight w:val="355" w:hRule="exact"/>
        </w:trPr>
        <w:tc>
          <w:tcPr>
            <w:tcW w:w="31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99,222,256.31</w:t>
            </w:r>
          </w:p>
        </w:tc>
        <w:tc>
          <w:tcPr>
            <w:tcW w:w="29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79,859,719.78</w:t>
            </w:r>
          </w:p>
        </w:tc>
      </w:tr>
      <w:tr>
        <w:trPr>
          <w:trHeight w:val="353"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99,222,256.31</w:t>
            </w:r>
          </w:p>
        </w:tc>
        <w:tc>
          <w:tcPr>
            <w:tcW w:w="29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79,859,719.78</w:t>
            </w:r>
          </w:p>
        </w:tc>
      </w:tr>
      <w:tr>
        <w:trPr>
          <w:trHeight w:val="353"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29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34,770,439.10</w:t>
            </w:r>
          </w:p>
        </w:tc>
        <w:tc>
          <w:tcPr>
            <w:tcW w:w="29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19,309,068.71</w:t>
            </w:r>
          </w:p>
        </w:tc>
      </w:tr>
      <w:tr>
        <w:trPr>
          <w:trHeight w:val="353"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34,770,439.10</w:t>
            </w:r>
          </w:p>
        </w:tc>
        <w:tc>
          <w:tcPr>
            <w:tcW w:w="29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19,309,068.71</w:t>
            </w:r>
          </w:p>
        </w:tc>
      </w:tr>
      <w:tr>
        <w:trPr>
          <w:trHeight w:val="353"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29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b/>
          <w:bCs/>
          <w:sz w:val="5"/>
          <w:szCs w:val="5"/>
        </w:rPr>
      </w:pPr>
    </w:p>
    <w:p>
      <w:pPr>
        <w:pStyle w:val="Heading3"/>
        <w:spacing w:line="240" w:lineRule="auto" w:before="36"/>
        <w:ind w:left="580" w:right="0"/>
        <w:jc w:val="left"/>
        <w:rPr>
          <w:b w:val="0"/>
          <w:bCs w:val="0"/>
        </w:rPr>
      </w:pPr>
      <w:r>
        <w:rPr>
          <w:rFonts w:ascii="Times New Roman" w:hAnsi="Times New Roman" w:cs="Times New Roman" w:eastAsia="Times New Roman" w:hint="default"/>
        </w:rPr>
        <w:t>2</w:t>
      </w:r>
      <w:r>
        <w:rPr/>
        <w:t>、本公司前五名客户的营业收入情况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137"/>
        <w:gridCol w:w="2813"/>
        <w:gridCol w:w="2911"/>
      </w:tblGrid>
      <w:tr>
        <w:trPr>
          <w:trHeight w:val="355" w:hRule="exact"/>
        </w:trPr>
        <w:tc>
          <w:tcPr>
            <w:tcW w:w="31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59"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29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53"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广东教育书店有限公司</w:t>
            </w:r>
          </w:p>
        </w:tc>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14,785,566.05</w:t>
            </w:r>
          </w:p>
        </w:tc>
        <w:tc>
          <w:tcPr>
            <w:tcW w:w="29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14.90</w:t>
            </w:r>
          </w:p>
        </w:tc>
      </w:tr>
      <w:tr>
        <w:trPr>
          <w:trHeight w:val="350"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12,574,391.45</w:t>
            </w:r>
          </w:p>
        </w:tc>
        <w:tc>
          <w:tcPr>
            <w:tcW w:w="29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12.67</w:t>
            </w:r>
          </w:p>
        </w:tc>
      </w:tr>
      <w:tr>
        <w:trPr>
          <w:trHeight w:val="353"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广州市新华书店集团有限公司</w:t>
            </w:r>
          </w:p>
        </w:tc>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6,353,432.57</w:t>
            </w:r>
          </w:p>
        </w:tc>
        <w:tc>
          <w:tcPr>
            <w:tcW w:w="29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6.40</w:t>
            </w:r>
            <w:r>
              <w:rPr>
                <w:rFonts w:ascii="Times New Roman"/>
                <w:sz w:val="18"/>
              </w:rPr>
            </w:r>
          </w:p>
        </w:tc>
      </w:tr>
      <w:tr>
        <w:trPr>
          <w:trHeight w:val="353"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人民教育电子音像出版社有限公司</w:t>
            </w:r>
          </w:p>
        </w:tc>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5,601,998.81</w:t>
            </w:r>
          </w:p>
        </w:tc>
        <w:tc>
          <w:tcPr>
            <w:tcW w:w="29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5.65</w:t>
            </w:r>
            <w:r>
              <w:rPr>
                <w:rFonts w:ascii="Times New Roman"/>
                <w:sz w:val="18"/>
              </w:rPr>
            </w:r>
          </w:p>
        </w:tc>
      </w:tr>
      <w:tr>
        <w:trPr>
          <w:trHeight w:val="350"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广东教育出版社有限公司</w:t>
            </w:r>
          </w:p>
        </w:tc>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5,214,804.56</w:t>
            </w:r>
          </w:p>
        </w:tc>
        <w:tc>
          <w:tcPr>
            <w:tcW w:w="29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5.26</w:t>
            </w:r>
            <w:r>
              <w:rPr>
                <w:rFonts w:ascii="Times New Roman"/>
                <w:sz w:val="18"/>
              </w:rPr>
            </w:r>
          </w:p>
        </w:tc>
      </w:tr>
      <w:tr>
        <w:trPr>
          <w:trHeight w:val="353"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44,530,193.44</w:t>
            </w:r>
          </w:p>
        </w:tc>
        <w:tc>
          <w:tcPr>
            <w:tcW w:w="29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44.88</w:t>
            </w:r>
          </w:p>
        </w:tc>
      </w:tr>
    </w:tbl>
    <w:p>
      <w:pPr>
        <w:spacing w:line="240" w:lineRule="auto" w:before="6"/>
        <w:rPr>
          <w:rFonts w:ascii="宋体" w:hAnsi="宋体" w:cs="宋体" w:eastAsia="宋体" w:hint="default"/>
          <w:b/>
          <w:bCs/>
          <w:sz w:val="5"/>
          <w:szCs w:val="5"/>
        </w:rPr>
      </w:pPr>
    </w:p>
    <w:p>
      <w:pPr>
        <w:pStyle w:val="Heading3"/>
        <w:spacing w:line="240" w:lineRule="auto" w:before="36"/>
        <w:ind w:left="580" w:right="0"/>
        <w:jc w:val="left"/>
        <w:rPr>
          <w:b w:val="0"/>
          <w:bCs w:val="0"/>
        </w:rPr>
      </w:pPr>
      <w:r>
        <w:rPr>
          <w:rFonts w:ascii="Times New Roman" w:hAnsi="Times New Roman" w:cs="Times New Roman" w:eastAsia="Times New Roman" w:hint="default"/>
        </w:rPr>
        <w:t>3</w:t>
      </w:r>
      <w:r>
        <w:rPr/>
        <w:t>、主营业务（分产品）</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826"/>
        <w:gridCol w:w="1603"/>
        <w:gridCol w:w="1570"/>
        <w:gridCol w:w="1817"/>
        <w:gridCol w:w="1723"/>
      </w:tblGrid>
      <w:tr>
        <w:trPr>
          <w:trHeight w:val="355" w:hRule="exact"/>
        </w:trPr>
        <w:tc>
          <w:tcPr>
            <w:tcW w:w="1826" w:type="dxa"/>
            <w:vMerge w:val="restart"/>
            <w:tcBorders>
              <w:top w:val="single" w:sz="6" w:space="0" w:color="000000"/>
              <w:left w:val="single" w:sz="6" w:space="0" w:color="000000"/>
              <w:right w:val="single" w:sz="6" w:space="0" w:color="000000"/>
            </w:tcBorders>
          </w:tcPr>
          <w:p>
            <w:pPr>
              <w:pStyle w:val="TableParagraph"/>
              <w:spacing w:line="240" w:lineRule="auto" w:before="20"/>
              <w:ind w:left="547"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173"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40"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1826" w:type="dxa"/>
            <w:vMerge/>
            <w:tcBorders>
              <w:left w:val="single" w:sz="6" w:space="0" w:color="000000"/>
              <w:bottom w:val="single" w:sz="12" w:space="0" w:color="000000"/>
              <w:right w:val="single" w:sz="6" w:space="0" w:color="000000"/>
            </w:tcBorders>
          </w:tcPr>
          <w:p>
            <w:pPr/>
          </w:p>
        </w:tc>
        <w:tc>
          <w:tcPr>
            <w:tcW w:w="1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3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4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9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0"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方直金太阳教育软件</w:t>
            </w:r>
          </w:p>
        </w:tc>
        <w:tc>
          <w:tcPr>
            <w:tcW w:w="1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71,477,412.79</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21,898,252.40</w:t>
            </w:r>
            <w:r>
              <w:rPr>
                <w:rFonts w:ascii="Times New Roman"/>
                <w:sz w:val="18"/>
              </w:rPr>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65,702,185.76</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16,427,923.75</w:t>
            </w:r>
          </w:p>
        </w:tc>
      </w:tr>
      <w:tr>
        <w:trPr>
          <w:trHeight w:val="353"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17,182,613.00</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12,872,186.70</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3,925,215.24</w:t>
            </w:r>
            <w:r>
              <w:rPr>
                <w:rFonts w:ascii="Times New Roman"/>
                <w:sz w:val="18"/>
              </w:rPr>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2,881,144.96</w:t>
            </w:r>
            <w:r>
              <w:rPr>
                <w:rFonts w:ascii="Times New Roman"/>
                <w:sz w:val="18"/>
              </w:rPr>
            </w:r>
          </w:p>
        </w:tc>
      </w:tr>
      <w:tr>
        <w:trPr>
          <w:trHeight w:val="353"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10,562,230.52</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10,232,318.78</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99,222,256.31</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34,770,439.10</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79,859,719.78</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19,309,068.71</w:t>
            </w:r>
          </w:p>
        </w:tc>
      </w:tr>
    </w:tbl>
    <w:p>
      <w:pPr>
        <w:spacing w:line="240" w:lineRule="auto" w:before="6"/>
        <w:rPr>
          <w:rFonts w:ascii="宋体" w:hAnsi="宋体" w:cs="宋体" w:eastAsia="宋体" w:hint="default"/>
          <w:b/>
          <w:bCs/>
          <w:sz w:val="5"/>
          <w:szCs w:val="5"/>
        </w:rPr>
      </w:pPr>
    </w:p>
    <w:p>
      <w:pPr>
        <w:pStyle w:val="Heading3"/>
        <w:spacing w:line="240" w:lineRule="auto" w:before="36"/>
        <w:ind w:left="668" w:right="0"/>
        <w:jc w:val="left"/>
        <w:rPr>
          <w:b w:val="0"/>
          <w:bCs w:val="0"/>
        </w:rPr>
      </w:pPr>
      <w:r>
        <w:rPr>
          <w:rFonts w:ascii="Times New Roman" w:hAnsi="Times New Roman" w:cs="Times New Roman" w:eastAsia="Times New Roman" w:hint="default"/>
        </w:rPr>
        <w:t>4</w:t>
      </w:r>
      <w:r>
        <w:rPr/>
        <w:t>、主营业务（分地区）</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807"/>
        <w:gridCol w:w="1608"/>
        <w:gridCol w:w="1584"/>
        <w:gridCol w:w="1817"/>
        <w:gridCol w:w="1723"/>
      </w:tblGrid>
      <w:tr>
        <w:trPr>
          <w:trHeight w:val="353" w:hRule="exact"/>
        </w:trPr>
        <w:tc>
          <w:tcPr>
            <w:tcW w:w="1807" w:type="dxa"/>
            <w:vMerge w:val="restart"/>
            <w:tcBorders>
              <w:top w:val="single" w:sz="6" w:space="0" w:color="000000"/>
              <w:left w:val="single" w:sz="6" w:space="0" w:color="000000"/>
              <w:right w:val="single" w:sz="6" w:space="0" w:color="000000"/>
            </w:tcBorders>
          </w:tcPr>
          <w:p>
            <w:pPr>
              <w:pStyle w:val="TableParagraph"/>
              <w:spacing w:line="240" w:lineRule="auto" w:before="17"/>
              <w:ind w:left="537"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19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40"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1807" w:type="dxa"/>
            <w:vMerge/>
            <w:tcBorders>
              <w:left w:val="single" w:sz="6" w:space="0" w:color="000000"/>
              <w:bottom w:val="single" w:sz="12" w:space="0" w:color="000000"/>
              <w:right w:val="single" w:sz="6" w:space="0" w:color="000000"/>
            </w:tcBorders>
          </w:tcPr>
          <w:p>
            <w:pPr/>
          </w:p>
        </w:tc>
        <w:tc>
          <w:tcPr>
            <w:tcW w:w="16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3" w:hRule="exact"/>
        </w:trPr>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6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14,918,322.19</w:t>
            </w:r>
            <w:r>
              <w:rPr>
                <w:rFonts w:ascii="Times New Roman"/>
                <w:sz w:val="18"/>
              </w:rPr>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3,397,469.75</w:t>
            </w:r>
            <w:r>
              <w:rPr>
                <w:rFonts w:ascii="Times New Roman"/>
                <w:sz w:val="18"/>
              </w:rPr>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12,863,550.67</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1,484,873.26</w:t>
            </w:r>
            <w:r>
              <w:rPr>
                <w:rFonts w:ascii="Times New Roman"/>
                <w:sz w:val="18"/>
              </w:rPr>
            </w:r>
          </w:p>
        </w:tc>
      </w:tr>
      <w:tr>
        <w:trPr>
          <w:trHeight w:val="350" w:hRule="exact"/>
        </w:trPr>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6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12,929,023.85</w:t>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2,503,211.40</w:t>
            </w:r>
            <w:r>
              <w:rPr>
                <w:rFonts w:ascii="Times New Roman"/>
                <w:sz w:val="18"/>
              </w:rPr>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16,442,456.29</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4,366,381.39</w:t>
            </w:r>
            <w:r>
              <w:rPr>
                <w:rFonts w:ascii="Times New Roman"/>
                <w:sz w:val="18"/>
              </w:rPr>
            </w:r>
          </w:p>
        </w:tc>
      </w:tr>
      <w:tr>
        <w:trPr>
          <w:trHeight w:val="353" w:hRule="exact"/>
        </w:trPr>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6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64,823,808.42</w:t>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27,504,372.37</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44,985,325.55</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12,608,867.17</w:t>
            </w:r>
          </w:p>
        </w:tc>
      </w:tr>
      <w:tr>
        <w:trPr>
          <w:trHeight w:val="353" w:hRule="exact"/>
        </w:trPr>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6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6,551,101.85</w:t>
            </w:r>
            <w:r>
              <w:rPr>
                <w:rFonts w:ascii="Times New Roman"/>
                <w:sz w:val="18"/>
              </w:rPr>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1,365,385.58</w:t>
            </w:r>
            <w:r>
              <w:rPr>
                <w:rFonts w:ascii="Times New Roman"/>
                <w:sz w:val="18"/>
              </w:rPr>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5,568,387.27</w:t>
            </w:r>
            <w:r>
              <w:rPr>
                <w:rFonts w:ascii="Times New Roman"/>
                <w:sz w:val="18"/>
              </w:rPr>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848,946.89</w:t>
            </w:r>
          </w:p>
        </w:tc>
      </w:tr>
      <w:tr>
        <w:trPr>
          <w:trHeight w:val="353" w:hRule="exact"/>
        </w:trPr>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99,222,256.31</w:t>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34,770,439.10</w:t>
            </w:r>
            <w:r>
              <w:rPr>
                <w:rFonts w:ascii="Times New Roman"/>
                <w:sz w:val="18"/>
              </w:rPr>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79,859,719.78</w:t>
            </w:r>
          </w:p>
        </w:tc>
        <w:tc>
          <w:tcPr>
            <w:tcW w:w="17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19,309,068.71</w:t>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Heading3"/>
        <w:spacing w:line="240" w:lineRule="auto" w:before="36"/>
        <w:ind w:left="580" w:right="0"/>
        <w:jc w:val="left"/>
        <w:rPr>
          <w:b w:val="0"/>
          <w:bCs w:val="0"/>
        </w:rPr>
      </w:pPr>
      <w:r>
        <w:rPr/>
        <w:t>（五）现金流量表补充资料</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4678"/>
        <w:gridCol w:w="1958"/>
        <w:gridCol w:w="1918"/>
      </w:tblGrid>
      <w:tr>
        <w:trPr>
          <w:trHeight w:val="353" w:hRule="exact"/>
        </w:trPr>
        <w:tc>
          <w:tcPr>
            <w:tcW w:w="4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1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59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58" w:type="dxa"/>
            <w:tcBorders>
              <w:top w:val="single" w:sz="12" w:space="0" w:color="000000"/>
              <w:left w:val="single" w:sz="6" w:space="0" w:color="000000"/>
              <w:bottom w:val="single" w:sz="12" w:space="0" w:color="000000"/>
              <w:right w:val="single" w:sz="6" w:space="0" w:color="000000"/>
            </w:tcBorders>
          </w:tcPr>
          <w:p>
            <w:pPr/>
          </w:p>
        </w:tc>
        <w:tc>
          <w:tcPr>
            <w:tcW w:w="191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23,383,137.45</w:t>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22,907,594.97</w:t>
            </w:r>
          </w:p>
        </w:tc>
      </w:tr>
      <w:tr>
        <w:trPr>
          <w:trHeight w:val="350"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463,016.27</w:t>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1,767,167.91</w:t>
            </w:r>
            <w:r>
              <w:rPr>
                <w:rFonts w:ascii="Times New Roman"/>
                <w:sz w:val="18"/>
              </w:rPr>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1,697,784.77</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1,535,030.48</w:t>
            </w:r>
            <w:r>
              <w:rPr>
                <w:rFonts w:ascii="Times New Roman"/>
                <w:sz w:val="18"/>
              </w:rPr>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1,539,527.11</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1,644,633.74</w:t>
            </w:r>
            <w:r>
              <w:rPr>
                <w:rFonts w:ascii="Times New Roman"/>
                <w:sz w:val="18"/>
              </w:rPr>
            </w:r>
          </w:p>
        </w:tc>
      </w:tr>
      <w:tr>
        <w:trPr>
          <w:trHeight w:val="350"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44,825.78</w:t>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67,411.98</w:t>
            </w:r>
            <w:r>
              <w:rPr>
                <w:rFonts w:ascii="Times New Roman"/>
                <w:sz w:val="18"/>
              </w:rPr>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10,519.27</w:t>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(227,599.12)</w:t>
            </w:r>
            <w:r>
              <w:rPr>
                <w:rFonts w:ascii="Times New Roman"/>
                <w:sz w:val="18"/>
              </w:rPr>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(516,066.58)</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(1,733,271.70)</w:t>
            </w:r>
            <w:r>
              <w:rPr>
                <w:rFonts w:ascii="Times New Roman"/>
                <w:sz w:val="18"/>
              </w:rPr>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(4,424,106.13)</w:t>
            </w:r>
            <w:r>
              <w:rPr>
                <w:rFonts w:ascii="Times New Roman"/>
                <w:sz w:val="18"/>
              </w:rPr>
            </w:r>
          </w:p>
        </w:tc>
      </w:tr>
      <w:tr>
        <w:trPr>
          <w:trHeight w:val="350"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2,572.70</w:t>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(75,040.32)</w:t>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220,050.26</w:t>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196,234.42</w:t>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(2,916,895.17)</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(1,929,162.96)</w:t>
            </w:r>
            <w:r>
              <w:rPr>
                <w:rFonts w:ascii="Times New Roman"/>
                <w:sz w:val="18"/>
              </w:rPr>
            </w:r>
          </w:p>
        </w:tc>
      </w:tr>
      <w:tr>
        <w:trPr>
          <w:trHeight w:val="350"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(3,193,229.45)</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26,991.03</w:t>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5,696,522.21</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(465,383.68)</w:t>
            </w:r>
            <w:r>
              <w:rPr>
                <w:rFonts w:ascii="Times New Roman"/>
                <w:sz w:val="18"/>
              </w:rPr>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19,296,585.14</w:t>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19,290,500.62</w:t>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58" w:type="dxa"/>
            <w:tcBorders>
              <w:top w:val="single" w:sz="12" w:space="0" w:color="000000"/>
              <w:left w:val="single" w:sz="6" w:space="0" w:color="000000"/>
              <w:bottom w:val="single" w:sz="12" w:space="0" w:color="000000"/>
              <w:right w:val="single" w:sz="6" w:space="0" w:color="000000"/>
            </w:tcBorders>
          </w:tcPr>
          <w:p>
            <w:pPr/>
          </w:p>
        </w:tc>
        <w:tc>
          <w:tcPr>
            <w:tcW w:w="191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58" w:type="dxa"/>
            <w:tcBorders>
              <w:top w:val="single" w:sz="12" w:space="0" w:color="000000"/>
              <w:left w:val="single" w:sz="6" w:space="0" w:color="000000"/>
              <w:bottom w:val="single" w:sz="12" w:space="0" w:color="000000"/>
              <w:right w:val="single" w:sz="6" w:space="0" w:color="000000"/>
            </w:tcBorders>
          </w:tcPr>
          <w:p>
            <w:pPr/>
          </w:p>
        </w:tc>
        <w:tc>
          <w:tcPr>
            <w:tcW w:w="1918"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67,509,630.73</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116,068,978.16</w:t>
            </w:r>
            <w:r>
              <w:rPr>
                <w:rFonts w:ascii="Times New Roman"/>
                <w:sz w:val="18"/>
              </w:rPr>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116,068,978.16</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122,502,939.84</w:t>
            </w:r>
            <w:r>
              <w:rPr>
                <w:rFonts w:ascii="Times New Roman"/>
                <w:sz w:val="18"/>
              </w:rPr>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5"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(48,559,347.43)</w:t>
            </w:r>
            <w:r>
              <w:rPr>
                <w:rFonts w:ascii="Times New Roman"/>
                <w:sz w:val="18"/>
              </w:rPr>
            </w:r>
          </w:p>
        </w:tc>
        <w:tc>
          <w:tcPr>
            <w:tcW w:w="19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(6,433,961.68)</w:t>
            </w:r>
            <w:r>
              <w:rPr>
                <w:rFonts w:ascii="Times New Roman"/>
                <w:sz w:val="18"/>
              </w:rPr>
            </w:r>
          </w:p>
        </w:tc>
      </w:tr>
    </w:tbl>
    <w:p>
      <w:pPr>
        <w:spacing w:line="240" w:lineRule="auto" w:before="2"/>
        <w:rPr>
          <w:rFonts w:ascii="宋体" w:hAnsi="宋体" w:cs="宋体" w:eastAsia="宋体" w:hint="default"/>
          <w:b/>
          <w:bCs/>
          <w:sz w:val="20"/>
          <w:szCs w:val="20"/>
        </w:rPr>
      </w:pPr>
    </w:p>
    <w:p>
      <w:pPr>
        <w:pStyle w:val="Heading3"/>
        <w:spacing w:line="240" w:lineRule="auto" w:before="36"/>
        <w:ind w:left="575" w:right="0"/>
        <w:jc w:val="left"/>
        <w:rPr>
          <w:b w:val="0"/>
          <w:bCs w:val="0"/>
        </w:rPr>
      </w:pPr>
      <w:r>
        <w:rPr/>
        <w:t>十四、补充资料</w:t>
      </w:r>
      <w:r>
        <w:rPr>
          <w:b w:val="0"/>
          <w:bCs w:val="0"/>
        </w:rPr>
      </w:r>
    </w:p>
    <w:p>
      <w:pPr>
        <w:pStyle w:val="Heading3"/>
        <w:spacing w:line="240" w:lineRule="auto" w:before="37"/>
        <w:ind w:left="580" w:right="0"/>
        <w:jc w:val="left"/>
        <w:rPr>
          <w:b w:val="0"/>
          <w:bCs w:val="0"/>
        </w:rPr>
      </w:pPr>
      <w:r>
        <w:rPr/>
        <w:t>（一）当期非经常性损益明细表</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5854"/>
        <w:gridCol w:w="2688"/>
      </w:tblGrid>
      <w:tr>
        <w:trPr>
          <w:trHeight w:val="353" w:hRule="exact"/>
        </w:trPr>
        <w:tc>
          <w:tcPr>
            <w:tcW w:w="5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53"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(11,560.85)</w:t>
            </w:r>
          </w:p>
        </w:tc>
      </w:tr>
      <w:tr>
        <w:trPr>
          <w:trHeight w:val="350"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65"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72"/>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 或定量享受的政府补助除外）</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1,025,900.80</w:t>
            </w:r>
            <w:r>
              <w:rPr>
                <w:rFonts w:ascii="Times New Roman"/>
                <w:sz w:val="18"/>
              </w:rPr>
            </w:r>
          </w:p>
        </w:tc>
      </w:tr>
      <w:tr>
        <w:trPr>
          <w:trHeight w:val="353"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5854"/>
        <w:gridCol w:w="2688"/>
      </w:tblGrid>
      <w:tr>
        <w:trPr>
          <w:trHeight w:val="665" w:hRule="exact"/>
        </w:trPr>
        <w:tc>
          <w:tcPr>
            <w:tcW w:w="585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8"/>
              <w:ind w:left="4" w:right="72"/>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 被投资单位可辨认净资产公允价值产生的收益</w:t>
            </w:r>
          </w:p>
        </w:tc>
        <w:tc>
          <w:tcPr>
            <w:tcW w:w="26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r>
      <w:tr>
        <w:trPr>
          <w:trHeight w:val="350"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974"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7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交易性金融负债产生的公允价值变动损益，以及处置交易性金融资产、交 易性金融负债和可供出售金融资产取得的投资收益</w:t>
            </w:r>
          </w:p>
        </w:tc>
        <w:tc>
          <w:tcPr>
            <w:tcW w:w="2688" w:type="dxa"/>
            <w:tcBorders>
              <w:top w:val="single" w:sz="12" w:space="0" w:color="000000"/>
              <w:left w:val="single" w:sz="6" w:space="0" w:color="000000"/>
              <w:bottom w:val="single" w:sz="12" w:space="0" w:color="000000"/>
              <w:right w:val="nil" w:sz="6" w:space="0" w:color="auto"/>
            </w:tcBorders>
          </w:tcPr>
          <w:p>
            <w:pPr>
              <w:pStyle w:val="TableParagraph"/>
              <w:tabs>
                <w:tab w:pos="2491" w:val="left" w:leader="none"/>
              </w:tabs>
              <w:spacing w:line="240" w:lineRule="auto" w:before="8"/>
              <w:ind w:left="-106" w:right="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r>
      <w:tr>
        <w:trPr>
          <w:trHeight w:val="353"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65"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72"/>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 益的影响</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0"/>
              <w:jc w:val="right"/>
              <w:rPr>
                <w:rFonts w:ascii="Times New Roman" w:hAnsi="Times New Roman" w:cs="Times New Roman" w:eastAsia="Times New Roman" w:hint="default"/>
                <w:sz w:val="18"/>
                <w:szCs w:val="18"/>
              </w:rPr>
            </w:pPr>
            <w:r>
              <w:rPr>
                <w:rFonts w:ascii="Times New Roman"/>
                <w:spacing w:val="-1"/>
                <w:sz w:val="18"/>
              </w:rPr>
              <w:t>608.74</w:t>
            </w:r>
            <w:r>
              <w:rPr>
                <w:rFonts w:ascii="Times New Roman"/>
                <w:sz w:val="18"/>
              </w:rPr>
            </w:r>
          </w:p>
        </w:tc>
      </w:tr>
      <w:tr>
        <w:trPr>
          <w:trHeight w:val="353"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(1,222,412.84)</w:t>
            </w:r>
            <w:r>
              <w:rPr>
                <w:rFonts w:ascii="Times New Roman"/>
                <w:sz w:val="18"/>
              </w:rPr>
            </w:r>
          </w:p>
        </w:tc>
      </w:tr>
      <w:tr>
        <w:trPr>
          <w:trHeight w:val="350"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5" w:hRule="exact"/>
        </w:trPr>
        <w:tc>
          <w:tcPr>
            <w:tcW w:w="5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6,927,715.33</w:t>
            </w:r>
            <w:r>
              <w:rPr>
                <w:rFonts w:ascii="Times New Roman"/>
                <w:sz w:val="18"/>
              </w:rPr>
            </w:r>
          </w:p>
        </w:tc>
      </w:tr>
    </w:tbl>
    <w:p>
      <w:pPr>
        <w:spacing w:line="240" w:lineRule="auto" w:before="6"/>
        <w:rPr>
          <w:rFonts w:ascii="宋体" w:hAnsi="宋体" w:cs="宋体" w:eastAsia="宋体" w:hint="default"/>
          <w:b/>
          <w:bCs/>
          <w:sz w:val="20"/>
          <w:szCs w:val="20"/>
        </w:rPr>
      </w:pPr>
    </w:p>
    <w:p>
      <w:pPr>
        <w:pStyle w:val="BodyText"/>
        <w:spacing w:line="386" w:lineRule="auto" w:before="36"/>
        <w:ind w:right="0" w:firstLine="422"/>
        <w:jc w:val="left"/>
      </w:pPr>
      <w:bookmarkStart w:name="二、财务报表" w:id="147"/>
      <w:bookmarkEnd w:id="147"/>
      <w:r>
        <w:rPr/>
      </w:r>
      <w:r>
        <w:rPr>
          <w:spacing w:val="-4"/>
          <w:w w:val="100"/>
        </w:rPr>
        <w:t>本公司自行开发研制软件产品销售收入按法定税率计缴增值税后，对实际税负超过</w:t>
      </w:r>
      <w:r>
        <w:rPr>
          <w:rFonts w:ascii="Times New Roman" w:hAnsi="Times New Roman" w:cs="Times New Roman" w:eastAsia="Times New Roman" w:hint="default"/>
          <w:spacing w:val="-4"/>
          <w:w w:val="100"/>
        </w:rPr>
        <w:t>3%</w:t>
      </w:r>
      <w:r>
        <w:rPr>
          <w:spacing w:val="-4"/>
          <w:w w:val="100"/>
        </w:rPr>
        <w:t>的部分享受即征</w:t>
      </w:r>
      <w:r>
        <w:rPr>
          <w:w w:val="100"/>
        </w:rPr>
        <w:t> </w:t>
      </w:r>
      <w:r>
        <w:rPr/>
        <w:t>即退政策，所收到的税收返还，属于正式批准文件的税收返还、减免，不计入非经常性损益。</w:t>
      </w:r>
    </w:p>
    <w:p>
      <w:pPr>
        <w:spacing w:line="240" w:lineRule="auto" w:before="12"/>
        <w:rPr>
          <w:rFonts w:ascii="宋体" w:hAnsi="宋体" w:cs="宋体" w:eastAsia="宋体" w:hint="default"/>
          <w:sz w:val="22"/>
          <w:szCs w:val="22"/>
        </w:rPr>
      </w:pPr>
    </w:p>
    <w:p>
      <w:pPr>
        <w:pStyle w:val="Heading3"/>
        <w:spacing w:line="240" w:lineRule="auto"/>
        <w:ind w:left="580" w:right="0"/>
        <w:jc w:val="left"/>
        <w:rPr>
          <w:b w:val="0"/>
          <w:bCs w:val="0"/>
        </w:rPr>
      </w:pPr>
      <w:r>
        <w:rPr/>
        <w:t>（二）净资产收益率及每股收益：</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2976"/>
        <w:gridCol w:w="2410"/>
        <w:gridCol w:w="1702"/>
        <w:gridCol w:w="2153"/>
      </w:tblGrid>
      <w:tr>
        <w:trPr>
          <w:trHeight w:val="353" w:hRule="exact"/>
        </w:trPr>
        <w:tc>
          <w:tcPr>
            <w:tcW w:w="2976"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10" w:type="dxa"/>
            <w:vMerge w:val="restart"/>
            <w:tcBorders>
              <w:top w:val="single" w:sz="6" w:space="0" w:color="000000"/>
              <w:left w:val="single" w:sz="6" w:space="0" w:color="000000"/>
              <w:right w:val="single" w:sz="6" w:space="0" w:color="000000"/>
            </w:tcBorders>
          </w:tcPr>
          <w:p>
            <w:pPr>
              <w:pStyle w:val="TableParagraph"/>
              <w:spacing w:line="240" w:lineRule="auto" w:before="17"/>
              <w:ind w:left="4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4"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53" w:hRule="exact"/>
        </w:trPr>
        <w:tc>
          <w:tcPr>
            <w:tcW w:w="2976" w:type="dxa"/>
            <w:vMerge/>
            <w:tcBorders>
              <w:left w:val="single" w:sz="6" w:space="0" w:color="000000"/>
              <w:bottom w:val="single" w:sz="12" w:space="0" w:color="000000"/>
              <w:right w:val="single" w:sz="6" w:space="0" w:color="000000"/>
            </w:tcBorders>
          </w:tcPr>
          <w:p>
            <w:pPr/>
          </w:p>
        </w:tc>
        <w:tc>
          <w:tcPr>
            <w:tcW w:w="2410" w:type="dxa"/>
            <w:vMerge/>
            <w:tcBorders>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1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0" w:hRule="exact"/>
        </w:trPr>
        <w:tc>
          <w:tcPr>
            <w:tcW w:w="29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6.55</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0.14</w:t>
            </w:r>
          </w:p>
        </w:tc>
        <w:tc>
          <w:tcPr>
            <w:tcW w:w="21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0.14</w:t>
            </w:r>
          </w:p>
        </w:tc>
      </w:tr>
      <w:tr>
        <w:trPr>
          <w:trHeight w:val="667" w:hRule="exact"/>
        </w:trPr>
        <w:tc>
          <w:tcPr>
            <w:tcW w:w="29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7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4.51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0.10</w:t>
            </w:r>
          </w:p>
        </w:tc>
        <w:tc>
          <w:tcPr>
            <w:tcW w:w="21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0.10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3"/>
        <w:rPr>
          <w:rFonts w:ascii="宋体" w:hAnsi="宋体" w:cs="宋体" w:eastAsia="宋体" w:hint="default"/>
          <w:sz w:val="10"/>
          <w:szCs w:val="10"/>
        </w:rPr>
      </w:pPr>
    </w:p>
    <w:p>
      <w:pPr>
        <w:pStyle w:val="Heading3"/>
        <w:spacing w:line="240" w:lineRule="auto" w:before="36"/>
        <w:ind w:right="0"/>
        <w:jc w:val="left"/>
        <w:rPr>
          <w:b w:val="0"/>
          <w:bCs w:val="0"/>
        </w:rPr>
      </w:pPr>
      <w:r>
        <w:rPr>
          <w:rFonts w:ascii="Times New Roman" w:hAnsi="Times New Roman" w:cs="Times New Roman" w:eastAsia="Times New Roman" w:hint="default"/>
        </w:rPr>
        <w:t>1</w:t>
      </w:r>
      <w:bookmarkStart w:name="1、合并资产负债表" w:id="148"/>
      <w:bookmarkEnd w:id="148"/>
      <w:r>
        <w:rPr>
          <w:rFonts w:ascii="Times New Roman" w:hAnsi="Times New Roman" w:cs="Times New Roman" w:eastAsia="Times New Roman" w:hint="default"/>
        </w:rPr>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编制单位：深圳市方直科技股份有限公司</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72,859,653.55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121,299,781.90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23,959,442.97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16,749,408.88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1,712,641.27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3,368,725.73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453,342.47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1,628,808.89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594,309.98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1,138,190.09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8,528,332.58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5,137,881.57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260,107,722.82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249,322,797.06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20,441,736.80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18,849,079.62</w:t>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1"/>
        <w:rPr>
          <w:rFonts w:ascii="Times New Roman" w:hAnsi="Times New Roman" w:cs="Times New Roman" w:eastAsia="Times New Roman"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4,107,070.14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3,678,299.87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2,295,755.16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2,421,278.60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83,940.16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83,940.16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137,659.03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32,004.01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468,302.01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310,894.98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74,053,557.00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74,053,557.00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107,588,020.30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105,429,054.24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367,695,743.12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354,751,851.30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15,261,364.61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5,949,989.55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847,398.97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1,218,599.82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1,586,698.87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833,936.88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471,907.54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424,528.58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1,785,834.26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4,478,877.25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line="240" w:lineRule="auto" w:before="1"/>
        <w:rPr>
          <w:rFonts w:ascii="Times New Roman" w:hAnsi="Times New Roman" w:cs="Times New Roman" w:eastAsia="Times New Roman"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19,953,204.25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12,905,932.08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4,694,298.17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5,405,801.36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416,284.68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196,234.42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5,110,582.85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5,602,035.78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25,063,787.10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18,507,967.86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158,400,000.00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62,580,990.76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62,580,990.76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16,365,152.72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14,026,838.97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105,285,812.54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101,236,053.71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342,631,956.02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336,243,883.44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342,631,956.02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336,243,883.44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367,695,743.12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354,751,851.30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10"/>
        <w:rPr>
          <w:rFonts w:ascii="Times New Roman" w:hAnsi="Times New Roman" w:cs="Times New Roman" w:eastAsia="Times New Roman" w:hint="default"/>
          <w:sz w:val="12"/>
          <w:szCs w:val="12"/>
        </w:rPr>
      </w:pPr>
    </w:p>
    <w:p>
      <w:pPr>
        <w:tabs>
          <w:tab w:pos="3513" w:val="left" w:leader="none"/>
          <w:tab w:pos="7745" w:val="left" w:leader="none"/>
        </w:tabs>
        <w:spacing w:before="44"/>
        <w:ind w:left="0" w:right="246" w:firstLine="0"/>
        <w:jc w:val="right"/>
        <w:rPr>
          <w:rFonts w:ascii="宋体" w:hAnsi="宋体" w:cs="宋体" w:eastAsia="宋体" w:hint="default"/>
          <w:sz w:val="18"/>
          <w:szCs w:val="18"/>
        </w:rPr>
      </w:pPr>
      <w:r>
        <w:rPr>
          <w:rFonts w:ascii="宋体" w:hAnsi="宋体" w:cs="宋体" w:eastAsia="宋体" w:hint="default"/>
          <w:sz w:val="18"/>
          <w:szCs w:val="18"/>
        </w:rPr>
        <w:t>法定代表人：黄元忠</w:t>
        <w:tab/>
      </w:r>
      <w:r>
        <w:rPr>
          <w:rFonts w:ascii="宋体" w:hAnsi="宋体" w:cs="宋体" w:eastAsia="宋体" w:hint="default"/>
          <w:spacing w:val="-1"/>
          <w:sz w:val="18"/>
          <w:szCs w:val="18"/>
        </w:rPr>
        <w:t>主管会计工作负责人：孙晓玲</w:t>
        <w:tab/>
      </w:r>
      <w:r>
        <w:rPr>
          <w:rFonts w:ascii="宋体" w:hAnsi="宋体" w:cs="宋体" w:eastAsia="宋体" w:hint="default"/>
          <w:sz w:val="18"/>
          <w:szCs w:val="18"/>
        </w:rPr>
        <w:t>会计机构负责人：全丽</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bookmarkStart w:name="2、母公司资产负债表" w:id="149"/>
      <w:bookmarkEnd w:id="149"/>
      <w:r>
        <w:rPr>
          <w:rFonts w:ascii="Times New Roman" w:hAnsi="Times New Roman" w:cs="Times New Roman" w:eastAsia="Times New Roman" w:hint="default"/>
        </w:rPr>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67,509,630.73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116,068,978.16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23,959,442.97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16,396,589.97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1,712,641.27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3,368,725.73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453,342.47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1,628,808.89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594,309.98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851,090.09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7,993,208.51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5,001,586.09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254,222,575.93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243,315,778.93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20,428,453.46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18,829,001.62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4,107,070.14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3,678,299.87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2,295,755.16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2,421,278.60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1"/>
        <w:rPr>
          <w:rFonts w:ascii="Times New Roman" w:hAnsi="Times New Roman" w:cs="Times New Roman" w:eastAsia="Times New Roman"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137,659.03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32,004.01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224,677.61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227,250.31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74,053,557.00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74,053,557.00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109,247,172.40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107,241,391.41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363,469,748.33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350,557,170.34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14,683,424.20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6,691,306.63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847,398.97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1,218,599.82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1,586,698.87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833,936.88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543,291.26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363,933.51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1,785,834.26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4,477,977.25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19,446,647.56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13,585,754.09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4,694,298.17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5,405,801.36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416,284.68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196,234.42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line="240" w:lineRule="auto" w:before="1"/>
        <w:rPr>
          <w:rFonts w:ascii="Times New Roman" w:hAnsi="Times New Roman" w:cs="Times New Roman" w:eastAsia="Times New Roman"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5,110,582.85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5,602,035.78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24,557,230.41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19,187,789.87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158,400,000.00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62,580,990.76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62,580,990.76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16,365,152.72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14,026,838.97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101,566,374.44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96,361,550.74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338,912,517.92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331,369,380.47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363,469,748.33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350,557,170.34</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合并利润表" w:id="150"/>
      <w:bookmarkEnd w:id="150"/>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99,441,831.01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82,827,812.22</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99,441,831.01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82,827,812.22</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84,970,445.77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68,721,489.83</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34,863,885.73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21,566,659.94</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829,441.69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907,888.48</w:t>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1"/>
        <w:rPr>
          <w:rFonts w:ascii="Times New Roman" w:hAnsi="Times New Roman" w:cs="Times New Roman" w:eastAsia="Times New Roman" w:hint="default"/>
          <w:sz w:val="16"/>
          <w:szCs w:val="16"/>
        </w:rPr>
      </w:pPr>
      <w:r>
        <w:rPr/>
        <w:pict>
          <v:group style="position:absolute;margin-left:210.960007pt;margin-top:258.299988pt;width:158.9pt;height:20.8pt;mso-position-horizontal-relative:page;mso-position-vertical-relative:page;z-index:-1222360" coordorigin="4219,5166" coordsize="3178,416">
            <v:group style="position:absolute;left:4230;top:5177;width:2;height:394" coordorigin="4230,5177" coordsize="2,394">
              <v:shape style="position:absolute;left:4230;top:5177;width:2;height:394" coordorigin="4230,5177" coordsize="0,394" path="m4230,5177l4230,5570e" filled="false" stroked="true" strokeweight="1.08pt" strokecolor="#ffffff">
                <v:path arrowok="t"/>
              </v:shape>
            </v:group>
            <v:group style="position:absolute;left:4241;top:5177;width:3156;height:394" coordorigin="4241,5177" coordsize="3156,394">
              <v:shape style="position:absolute;left:4241;top:5177;width:3156;height:394" coordorigin="4241,5177" coordsize="3156,394" path="m4241,5570l7397,5570,7397,5177,4241,5177,4241,5570xe" filled="true" fillcolor="#ffffff" stroked="false">
                <v:path arrowok="t"/>
                <v:fill type="solid"/>
              </v:shape>
            </v:group>
            <w10:wrap type="none"/>
          </v:group>
        </w:pict>
      </w:r>
      <w:r>
        <w:rPr/>
        <w:pict>
          <v:group style="position:absolute;margin-left:210.960007pt;margin-top:378.899994pt;width:158.9pt;height:20.8pt;mso-position-horizontal-relative:page;mso-position-vertical-relative:page;z-index:-1222336" coordorigin="4219,7578" coordsize="3178,416">
            <v:group style="position:absolute;left:4230;top:7589;width:2;height:394" coordorigin="4230,7589" coordsize="2,394">
              <v:shape style="position:absolute;left:4230;top:7589;width:2;height:394" coordorigin="4230,7589" coordsize="0,394" path="m4230,7589l4230,7982e" filled="false" stroked="true" strokeweight="1.08pt" strokecolor="#ffffff">
                <v:path arrowok="t"/>
              </v:shape>
            </v:group>
            <v:group style="position:absolute;left:4241;top:7589;width:3156;height:394" coordorigin="4241,7589" coordsize="3156,394">
              <v:shape style="position:absolute;left:4241;top:7589;width:3156;height:394" coordorigin="4241,7589" coordsize="3156,394" path="m4241,7982l7397,7982,7397,7589,4241,7589,4241,798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67"/>
        <w:gridCol w:w="1117"/>
        <w:gridCol w:w="2105"/>
        <w:gridCol w:w="3276"/>
      </w:tblGrid>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22,040,510.53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19,842,376.58</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26,954,387.26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27,454,266.93</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-820,714.62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-3,013,132.64</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1,102,935.18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1,963,430.54</w:t>
            </w:r>
            <w:r>
              <w:rPr>
                <w:rFonts w:ascii="Times New Roman"/>
                <w:sz w:val="18"/>
              </w:rPr>
            </w: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4,424,106.13</w:t>
            </w:r>
            <w:r>
              <w:rPr>
                <w:rFonts w:ascii="Times New Roman"/>
                <w:sz w:val="18"/>
              </w:rPr>
            </w: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21,606,564.72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18,530,428.52</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3,663,996.88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7,386,670.98</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234,476.00</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11,633.08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7,770.68</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11,560.85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7,770.68</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1" w:right="0"/>
              <w:jc w:val="left"/>
              <w:rPr>
                <w:rFonts w:ascii="Times New Roman" w:hAnsi="Times New Roman" w:cs="Times New Roman" w:eastAsia="Times New Roman" w:hint="default"/>
                <w:sz w:val="18"/>
                <w:szCs w:val="18"/>
              </w:rPr>
            </w:pPr>
            <w:r>
              <w:rPr>
                <w:rFonts w:ascii="Times New Roman"/>
                <w:sz w:val="18"/>
              </w:rPr>
              <w:t>25,258,928.52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25,909,328.82</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3,030,855.94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3,385,423.47</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22,228,072.58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22,523,905.35</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22,228,072.58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22,523,905.35</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firstLine="340"/>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firstLine="340"/>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line="240" w:lineRule="auto" w:before="1"/>
        <w:rPr>
          <w:rFonts w:ascii="Times New Roman" w:hAnsi="Times New Roman" w:cs="Times New Roman" w:eastAsia="Times New Roman"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36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52"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22,228,072.58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22,523,905.35</w:t>
            </w: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52"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22,228,072.58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22,523,905.35</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-1,155,064.87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元，上期被合并方实现的净利润为：</w:t>
      </w:r>
    </w:p>
    <w:p>
      <w:pPr>
        <w:spacing w:before="6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-383,689.62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666" w:val="left" w:leader="none"/>
          <w:tab w:pos="7897" w:val="left" w:leader="none"/>
        </w:tabs>
        <w:spacing w:before="127"/>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法定代表人：黄元忠</w:t>
        <w:tab/>
      </w:r>
      <w:r>
        <w:rPr>
          <w:rFonts w:ascii="宋体" w:hAnsi="宋体" w:cs="宋体" w:eastAsia="宋体" w:hint="default"/>
          <w:spacing w:val="-1"/>
          <w:sz w:val="18"/>
          <w:szCs w:val="18"/>
        </w:rPr>
        <w:t>主管会计工作负责人：孙晓玲</w:t>
        <w:tab/>
      </w:r>
      <w:r>
        <w:rPr>
          <w:rFonts w:ascii="宋体" w:hAnsi="宋体" w:cs="宋体" w:eastAsia="宋体" w:hint="default"/>
          <w:sz w:val="18"/>
          <w:szCs w:val="18"/>
        </w:rPr>
        <w:t>会计机构负责人：全丽</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4、母公司利润表" w:id="151"/>
      <w:bookmarkEnd w:id="151"/>
      <w:r>
        <w:rPr/>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99,222,256.31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79,859,719.78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34,770,439.10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19,309,068.71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817,297.35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849,358.35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21,731,301.26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19,399,026.24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26,409,617.16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26,943,346.34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-754,803.09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-2,934,798.83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463,016.27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1,767,167.91</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4,424,106.13</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22,920,567.74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18,950,657.19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3,663,996.88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7,386,670.98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234,476.00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10,591.50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6,876.88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10,519.27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6,876.88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26,573,973.12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26,330,451.29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3,190,835.67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3,422,856.32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23,383,137.45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22,907,594.97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23,383,137.45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22,907,594.97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合并现金流量表" w:id="152"/>
      <w:bookmarkEnd w:id="15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990" w:footer="1066" w:top="1220" w:bottom="1260" w:left="980" w:right="980"/>
        </w:sectPr>
      </w:pPr>
    </w:p>
    <w:p>
      <w:pPr>
        <w:spacing w:line="240" w:lineRule="auto" w:before="1"/>
        <w:rPr>
          <w:rFonts w:ascii="Times New Roman" w:hAnsi="Times New Roman" w:cs="Times New Roman" w:eastAsia="Times New Roman"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104,162,434.93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95,653,094.39</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2,637,415.11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3,564,977.33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642,810.55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5,450,303.25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107,442,660.59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104,668,374.97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33,235,207.51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26,452,071.09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24,922,552.30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25,002,405.97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10,585,037.95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13,397,392.86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19,284,158.61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19,178,659.30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88,026,956.37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84,030,529.22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19,415,704.22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20,637,845.75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510,470,000.00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8,026,439.75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3,083,530.79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1"/>
        <w:rPr>
          <w:rFonts w:ascii="Times New Roman" w:hAnsi="Times New Roman" w:cs="Times New Roman" w:eastAsia="Times New Roman"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1,020.00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850,800.00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518,497,459.75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218,934,330.79</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5,562,670.87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2,939,673.92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565,470,000.00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571,032,670.87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240,939,673.92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-52,535,211.12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-22,005,343.13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516,066.58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1,560,939.09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516,066.58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1,560,939.09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15,836,066.04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5,278,773.20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621.99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1,205.06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15,836,688.03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5,279,978.26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-15,320,621.45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-3,719,039.17</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-48,440,128.35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-5,086,536.55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121,299,781.90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126,386,318.45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72,859,653.55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121,299,781.90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10"/>
        <w:rPr>
          <w:rFonts w:ascii="Times New Roman" w:hAnsi="Times New Roman" w:cs="Times New Roman" w:eastAsia="Times New Roman" w:hint="default"/>
          <w:sz w:val="11"/>
          <w:szCs w:val="11"/>
        </w:rPr>
      </w:pPr>
    </w:p>
    <w:p>
      <w:pPr>
        <w:pStyle w:val="Heading3"/>
        <w:spacing w:line="240" w:lineRule="auto" w:before="36"/>
        <w:ind w:right="0"/>
        <w:jc w:val="left"/>
        <w:rPr>
          <w:b w:val="0"/>
          <w:bCs w:val="0"/>
        </w:rPr>
      </w:pPr>
      <w:r>
        <w:rPr>
          <w:rFonts w:ascii="Times New Roman" w:hAnsi="Times New Roman" w:cs="Times New Roman" w:eastAsia="Times New Roman" w:hint="default"/>
        </w:rPr>
        <w:t>6</w:t>
      </w:r>
      <w:bookmarkStart w:name="6、母公司现金流量表" w:id="153"/>
      <w:bookmarkEnd w:id="153"/>
      <w:r>
        <w:rPr>
          <w:rFonts w:ascii="Times New Roman" w:hAnsi="Times New Roman" w:cs="Times New Roman" w:eastAsia="Times New Roman" w:hint="default"/>
        </w:rPr>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103,906,532.53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92,048,326.39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2,637,415.11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3,564,977.33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594,163.50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5,401,190.74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107,138,111.14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101,014,494.46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34,013,213.48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25,616,207.26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24,240,616.31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24,320,907.01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10,471,194.69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12,804,578.41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19,116,501.52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18,982,301.16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87,841,526.00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81,723,993.84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19,296,585.14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19,290,500.62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510,470,000.00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8,026,439.75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3,083,530.79</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850,720.00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518,497,359.75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218,934,250.79</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5,562,670.87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2,939,673.92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565,470,000.00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238,000,000.00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571,032,670.87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240,939,673.92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-52,535,311.12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-22,005,423.13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516,066.58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1,560,939.09</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516,066.58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1,560,939.09</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15,836,066.04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5,278,773.20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621.99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1,205.06</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15,836,688.03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5,279,978.26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-15,320,621.45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-3,719,039.17</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-48,559,347.43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-6,433,961.68</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116,068,978.16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122,502,939.84</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67,509,630.73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116,068,978.16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3" w:firstLine="0"/>
        <w:jc w:val="right"/>
        <w:rPr>
          <w:rFonts w:ascii="宋体" w:hAnsi="宋体" w:cs="宋体" w:eastAsia="宋体" w:hint="default"/>
          <w:sz w:val="18"/>
          <w:szCs w:val="18"/>
        </w:rPr>
      </w:pPr>
      <w:bookmarkStart w:name="7、合并所有者权益变动表" w:id="154"/>
      <w:bookmarkEnd w:id="154"/>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0"/>
        <w:gridCol w:w="530"/>
        <w:gridCol w:w="665"/>
        <w:gridCol w:w="665"/>
        <w:gridCol w:w="665"/>
        <w:gridCol w:w="665"/>
        <w:gridCol w:w="665"/>
        <w:gridCol w:w="665"/>
        <w:gridCol w:w="665"/>
        <w:gridCol w:w="665"/>
        <w:gridCol w:w="660"/>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4D4D4"/>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4D4D4"/>
          </w:tcPr>
          <w:p>
            <w:pPr/>
          </w:p>
        </w:tc>
        <w:tc>
          <w:tcPr>
            <w:tcW w:w="6820"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6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6820"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4D4D4"/>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67" w:hRule="exact"/>
        </w:trPr>
        <w:tc>
          <w:tcPr>
            <w:tcW w:w="1415" w:type="dxa"/>
            <w:vMerge/>
            <w:tcBorders>
              <w:left w:val="single" w:sz="4" w:space="0" w:color="000000"/>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56" w:hRule="exact"/>
        </w:trPr>
        <w:tc>
          <w:tcPr>
            <w:tcW w:w="1415" w:type="dxa"/>
            <w:vMerge/>
            <w:tcBorders>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0"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4D4D4"/>
          </w:tcPr>
          <w:p>
            <w:pPr/>
          </w:p>
        </w:tc>
        <w:tc>
          <w:tcPr>
            <w:tcW w:w="572" w:type="dxa"/>
            <w:vMerge/>
            <w:tcBorders>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10" w:space="0" w:color="D4D4D4"/>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158,40</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62,580,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990.76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14,026,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838.97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101,236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,053.71</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336,243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,883.44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10" w:space="0" w:color="D4D4D4"/>
              <w:right w:val="single" w:sz="4" w:space="0" w:color="000000"/>
            </w:tcBorders>
          </w:tcPr>
          <w:p>
            <w:pPr>
              <w:pStyle w:val="TableParagraph"/>
              <w:spacing w:line="240" w:lineRule="auto" w:before="93"/>
              <w:ind w:left="39" w:right="0"/>
              <w:jc w:val="left"/>
              <w:rPr>
                <w:rFonts w:ascii="Times New Roman" w:hAnsi="Times New Roman" w:cs="Times New Roman" w:eastAsia="Times New Roman" w:hint="default"/>
                <w:sz w:val="18"/>
                <w:szCs w:val="18"/>
              </w:rPr>
            </w:pPr>
            <w:r>
              <w:rPr>
                <w:rFonts w:ascii="Times New Roman"/>
                <w:sz w:val="18"/>
              </w:rPr>
              <w:t>158,40</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62,580,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990.76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14,026,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838.97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101,236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,053.71</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336,243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,883.44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line="240" w:lineRule="auto" w:before="1"/>
        <w:rPr>
          <w:rFonts w:ascii="Times New Roman" w:hAnsi="Times New Roman" w:cs="Times New Roman" w:eastAsia="Times New Roman"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2,338,3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13.75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4,049,7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58.83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6,388,0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72.58</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22,228,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072.58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22,228,</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072.58</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2,338,3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13.75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-18,178,</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313.75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-15,840,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2,338,3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13.75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-2,338,3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13.75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-15,840,</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-15,840,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6" w:right="0"/>
              <w:jc w:val="left"/>
              <w:rPr>
                <w:rFonts w:ascii="Times New Roman" w:hAnsi="Times New Roman" w:cs="Times New Roman" w:eastAsia="Times New Roman" w:hint="default"/>
                <w:sz w:val="18"/>
                <w:szCs w:val="18"/>
              </w:rPr>
            </w:pPr>
            <w:r>
              <w:rPr>
                <w:rFonts w:ascii="Times New Roman"/>
                <w:sz w:val="18"/>
              </w:rPr>
              <w:t>158,40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62,580,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16,365,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7" w:right="0"/>
              <w:jc w:val="left"/>
              <w:rPr>
                <w:rFonts w:ascii="Times New Roman" w:hAnsi="Times New Roman" w:cs="Times New Roman" w:eastAsia="Times New Roman" w:hint="default"/>
                <w:sz w:val="18"/>
                <w:szCs w:val="18"/>
              </w:rPr>
            </w:pPr>
            <w:r>
              <w:rPr>
                <w:rFonts w:ascii="Times New Roman"/>
                <w:sz w:val="18"/>
              </w:rPr>
              <w:t>105,285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left"/>
              <w:rPr>
                <w:rFonts w:ascii="Times New Roman" w:hAnsi="Times New Roman" w:cs="Times New Roman" w:eastAsia="Times New Roman" w:hint="default"/>
                <w:sz w:val="18"/>
                <w:szCs w:val="18"/>
              </w:rPr>
            </w:pPr>
            <w:r>
              <w:rPr>
                <w:rFonts w:ascii="Times New Roman"/>
                <w:sz w:val="18"/>
              </w:rPr>
              <w:t>342,631</w:t>
            </w:r>
          </w:p>
        </w:tc>
      </w:tr>
    </w:tbl>
    <w:p>
      <w:pPr>
        <w:spacing w:after="0" w:line="240" w:lineRule="auto"/>
        <w:jc w:val="lef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1"/>
        <w:rPr>
          <w:rFonts w:ascii="Times New Roman" w:hAnsi="Times New Roman" w:cs="Times New Roman" w:eastAsia="Times New Roman"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2"/>
      </w:tblGrid>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990.76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152.72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,812.54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,956.02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7"/>
        <w:gridCol w:w="665"/>
        <w:gridCol w:w="662"/>
        <w:gridCol w:w="665"/>
        <w:gridCol w:w="679"/>
        <w:gridCol w:w="653"/>
        <w:gridCol w:w="658"/>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4D4D4"/>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38" w:type="dxa"/>
            <w:vMerge/>
            <w:tcBorders>
              <w:left w:val="single" w:sz="4" w:space="0" w:color="000000"/>
              <w:right w:val="single" w:sz="4" w:space="0" w:color="000000"/>
            </w:tcBorders>
            <w:shd w:val="clear" w:color="auto" w:fill="D4D4D4"/>
          </w:tcPr>
          <w:p>
            <w:pPr/>
          </w:p>
        </w:tc>
        <w:tc>
          <w:tcPr>
            <w:tcW w:w="6821"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6821" w:type="dxa"/>
            <w:gridSpan w:val="11"/>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4D4D4"/>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82" w:hRule="exact"/>
        </w:trPr>
        <w:tc>
          <w:tcPr>
            <w:tcW w:w="1438"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2"/>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0"/>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0"/>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69" w:hRule="exact"/>
        </w:trPr>
        <w:tc>
          <w:tcPr>
            <w:tcW w:w="1438"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56" w:hRule="exact"/>
        </w:trPr>
        <w:tc>
          <w:tcPr>
            <w:tcW w:w="1438"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79" w:type="dxa"/>
            <w:vMerge/>
            <w:tcBorders>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
        </w:tc>
        <w:tc>
          <w:tcPr>
            <w:tcW w:w="658"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79" w:type="dxa"/>
            <w:tcBorders>
              <w:top w:val="nil" w:sz="6" w:space="0" w:color="auto"/>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,990.76</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11,736,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079.47</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86,282,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907.86</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318,999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,978.09</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,990.76</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11,736,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079.47</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86,282,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907.86</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318,999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,978.09</w:t>
            </w:r>
          </w:p>
        </w:tc>
      </w:tr>
      <w:tr>
        <w:trPr>
          <w:trHeight w:val="394" w:hRule="exact"/>
        </w:trPr>
        <w:tc>
          <w:tcPr>
            <w:tcW w:w="14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-70,400,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2,290,7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59.50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14,953,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145.85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17,243,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905.35</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22,523,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905.35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22,523,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905.35</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8"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9" w:space="0" w:color="D4D4D4"/>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2,290,7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59.50</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-7,570,7</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59.50</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-5,280,0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394" w:hRule="exact"/>
        </w:trPr>
        <w:tc>
          <w:tcPr>
            <w:tcW w:w="14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38"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2,290,7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59.50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-2,290,7</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59.50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-5,280,0</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-5,280,0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-70,400,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-70,400,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158,40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62,580,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990.76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14,026,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838.97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101,236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,053.71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336,243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,883.44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3" w:firstLine="0"/>
        <w:jc w:val="right"/>
        <w:rPr>
          <w:rFonts w:ascii="宋体" w:hAnsi="宋体" w:cs="宋体" w:eastAsia="宋体" w:hint="default"/>
          <w:sz w:val="18"/>
          <w:szCs w:val="18"/>
        </w:rPr>
      </w:pPr>
      <w:bookmarkStart w:name="8、母公司所有者权益变动表" w:id="155"/>
      <w:bookmarkEnd w:id="155"/>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29"/>
        <w:gridCol w:w="702"/>
        <w:gridCol w:w="665"/>
        <w:gridCol w:w="667"/>
        <w:gridCol w:w="665"/>
        <w:gridCol w:w="797"/>
        <w:gridCol w:w="797"/>
        <w:gridCol w:w="797"/>
        <w:gridCol w:w="799"/>
        <w:gridCol w:w="797"/>
        <w:gridCol w:w="677"/>
        <w:gridCol w:w="780"/>
      </w:tblGrid>
      <w:tr>
        <w:trPr>
          <w:trHeight w:val="396"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9"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29"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4" w:hRule="exact"/>
        </w:trPr>
        <w:tc>
          <w:tcPr>
            <w:tcW w:w="1429"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158,400,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62,580,99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0.76</w:t>
            </w:r>
          </w:p>
        </w:tc>
        <w:tc>
          <w:tcPr>
            <w:tcW w:w="797" w:type="dxa"/>
            <w:vMerge w:val="restart"/>
            <w:tcBorders>
              <w:top w:val="single" w:sz="21" w:space="0" w:color="D4D4D4"/>
              <w:left w:val="single" w:sz="4" w:space="0" w:color="000000"/>
              <w:right w:val="single" w:sz="4" w:space="0" w:color="000000"/>
            </w:tcBorders>
          </w:tcPr>
          <w:p>
            <w:pPr/>
          </w:p>
        </w:tc>
        <w:tc>
          <w:tcPr>
            <w:tcW w:w="797" w:type="dxa"/>
            <w:vMerge w:val="restart"/>
            <w:tcBorders>
              <w:top w:val="single" w:sz="21"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14,026,83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8.97</w:t>
            </w:r>
          </w:p>
        </w:tc>
        <w:tc>
          <w:tcPr>
            <w:tcW w:w="677" w:type="dxa"/>
            <w:vMerge w:val="restart"/>
            <w:tcBorders>
              <w:top w:val="single" w:sz="21" w:space="0" w:color="D4D4D4"/>
              <w:left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18"/>
                <w:szCs w:val="18"/>
              </w:rPr>
            </w:pPr>
            <w:r>
              <w:rPr>
                <w:rFonts w:ascii="Times New Roman"/>
                <w:sz w:val="18"/>
              </w:rPr>
              <w:t>96,361,</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550.74</w:t>
            </w:r>
          </w:p>
        </w:tc>
        <w:tc>
          <w:tcPr>
            <w:tcW w:w="780" w:type="dxa"/>
            <w:vMerge w:val="restart"/>
            <w:tcBorders>
              <w:top w:val="single" w:sz="21" w:space="0" w:color="D4D4D4"/>
              <w:left w:val="single" w:sz="4" w:space="0" w:color="000000"/>
              <w:right w:val="single" w:sz="4" w:space="0" w:color="000000"/>
            </w:tcBorders>
          </w:tcPr>
          <w:p>
            <w:pPr>
              <w:pStyle w:val="TableParagraph"/>
              <w:spacing w:line="240" w:lineRule="auto" w:before="72"/>
              <w:ind w:left="28" w:right="0"/>
              <w:jc w:val="left"/>
              <w:rPr>
                <w:rFonts w:ascii="Times New Roman" w:hAnsi="Times New Roman" w:cs="Times New Roman" w:eastAsia="Times New Roman" w:hint="default"/>
                <w:sz w:val="18"/>
                <w:szCs w:val="18"/>
              </w:rPr>
            </w:pPr>
            <w:r>
              <w:rPr>
                <w:rFonts w:ascii="Times New Roman"/>
                <w:sz w:val="18"/>
              </w:rPr>
              <w:t>331,369,3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80.47</w:t>
            </w:r>
          </w:p>
        </w:tc>
      </w:tr>
      <w:tr>
        <w:trPr>
          <w:trHeight w:val="391" w:hRule="exact"/>
        </w:trPr>
        <w:tc>
          <w:tcPr>
            <w:tcW w:w="14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744"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line="240" w:lineRule="auto" w:before="1"/>
        <w:rPr>
          <w:rFonts w:ascii="Times New Roman" w:hAnsi="Times New Roman" w:cs="Times New Roman" w:eastAsia="Times New Roman"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158,400,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62,580,99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14,026,83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96,361,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550.74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331,369,3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80.47</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2,338,313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5,204,8</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23.70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7,543,137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23,383,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137.45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23,383,13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7.45</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2,338,313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-18,178,</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313.75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-15,840,0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2,338,313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-2,338,3</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13.75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-15,840,</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-15,840,0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line="240" w:lineRule="auto" w:before="1"/>
        <w:rPr>
          <w:rFonts w:ascii="Times New Roman" w:hAnsi="Times New Roman" w:cs="Times New Roman" w:eastAsia="Times New Roman"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158,400,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62,580,99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16,365,15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101,566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,374.44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338,912,5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17.92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396"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7"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17"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4"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88,000,0</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132,980,9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90.76</w:t>
            </w:r>
          </w:p>
        </w:tc>
        <w:tc>
          <w:tcPr>
            <w:tcW w:w="797" w:type="dxa"/>
            <w:vMerge w:val="restart"/>
            <w:tcBorders>
              <w:top w:val="single" w:sz="21" w:space="0" w:color="D4D4D4"/>
              <w:left w:val="single" w:sz="4" w:space="0" w:color="000000"/>
              <w:right w:val="single" w:sz="4" w:space="0" w:color="000000"/>
            </w:tcBorders>
          </w:tcPr>
          <w:p>
            <w:pPr/>
          </w:p>
        </w:tc>
        <w:tc>
          <w:tcPr>
            <w:tcW w:w="797" w:type="dxa"/>
            <w:vMerge w:val="restart"/>
            <w:tcBorders>
              <w:top w:val="single" w:sz="21"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11,736,07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9.47</w:t>
            </w:r>
          </w:p>
        </w:tc>
        <w:tc>
          <w:tcPr>
            <w:tcW w:w="677" w:type="dxa"/>
            <w:vMerge w:val="restart"/>
            <w:tcBorders>
              <w:top w:val="single" w:sz="21" w:space="0" w:color="D4D4D4"/>
              <w:left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18"/>
                <w:szCs w:val="18"/>
              </w:rPr>
            </w:pPr>
            <w:r>
              <w:rPr>
                <w:rFonts w:ascii="Times New Roman"/>
                <w:sz w:val="18"/>
              </w:rPr>
              <w:t>81,024,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715.27</w:t>
            </w:r>
          </w:p>
        </w:tc>
        <w:tc>
          <w:tcPr>
            <w:tcW w:w="780" w:type="dxa"/>
            <w:vMerge w:val="restart"/>
            <w:tcBorders>
              <w:top w:val="single" w:sz="21" w:space="0" w:color="D4D4D4"/>
              <w:left w:val="single" w:sz="4" w:space="0" w:color="000000"/>
              <w:right w:val="single" w:sz="4" w:space="0" w:color="000000"/>
            </w:tcBorders>
          </w:tcPr>
          <w:p>
            <w:pPr>
              <w:pStyle w:val="TableParagraph"/>
              <w:spacing w:line="240" w:lineRule="auto" w:before="72"/>
              <w:ind w:left="28" w:right="0"/>
              <w:jc w:val="left"/>
              <w:rPr>
                <w:rFonts w:ascii="Times New Roman" w:hAnsi="Times New Roman" w:cs="Times New Roman" w:eastAsia="Times New Roman" w:hint="default"/>
                <w:sz w:val="18"/>
                <w:szCs w:val="18"/>
              </w:rPr>
            </w:pPr>
            <w:r>
              <w:rPr>
                <w:rFonts w:ascii="Times New Roman"/>
                <w:sz w:val="18"/>
              </w:rPr>
              <w:t>313,741,7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85.50</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88,000,0</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132,980,9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90.76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11,736,07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9.47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81,024,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715.27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313,741,7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85.50</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70,400,0</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-70,400,0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2,290,759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15,336,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835.47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17,627,59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4.97</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22,907,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594.97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22,907,59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4.97</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2,290,759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-7,570,7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59.50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-5,280,00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2,290,759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-2,290,7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59.50</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-5,280,0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-5,280,00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70,400,0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-70,400,0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70,400,0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-70,400,0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158,400,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62,580,99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14,026,83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96,361,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550.74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331,369,3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80.47</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2" w:right="0"/>
        <w:jc w:val="left"/>
      </w:pPr>
      <w:r>
        <w:rPr>
          <w:spacing w:val="-2"/>
        </w:rPr>
        <w:t>法定代表人：黄元忠。注册地址：深圳市南山区科技中二路深</w:t>
      </w:r>
      <w:bookmarkStart w:name="三、公司基本情况" w:id="156"/>
      <w:bookmarkEnd w:id="156"/>
      <w:r>
        <w:rPr>
          <w:spacing w:val="-2"/>
        </w:rPr>
        <w:t>圳</w:t>
      </w:r>
      <w:r>
        <w:rPr>
          <w:spacing w:val="-2"/>
        </w:rPr>
        <w:t>软件园</w:t>
      </w:r>
      <w:r>
        <w:rPr>
          <w:rFonts w:ascii="宋体" w:hAnsi="宋体" w:cs="宋体" w:eastAsia="宋体" w:hint="default"/>
          <w:spacing w:val="-2"/>
        </w:rPr>
        <w:t>12#302</w:t>
      </w:r>
      <w:r>
        <w:rPr>
          <w:spacing w:val="-2"/>
        </w:rPr>
        <w:t>。</w:t>
      </w:r>
      <w:r>
        <w:rPr>
          <w:spacing w:val="-36"/>
        </w:rPr>
        <w:t> </w:t>
      </w:r>
      <w:r>
        <w:rPr/>
        <w:t>本公司下属分公司有北京分公司、长沙分公司。</w:t>
      </w:r>
    </w:p>
    <w:p>
      <w:pPr>
        <w:pStyle w:val="BodyText"/>
        <w:spacing w:line="408" w:lineRule="auto"/>
        <w:ind w:left="572" w:right="0" w:firstLine="2"/>
        <w:jc w:val="left"/>
      </w:pPr>
      <w:r>
        <w:rPr>
          <w:rFonts w:ascii="宋体" w:hAnsi="宋体" w:cs="宋体" w:eastAsia="宋体" w:hint="default"/>
          <w:b/>
          <w:bCs/>
        </w:rPr>
        <w:t>经营范围</w:t>
      </w:r>
      <w:r>
        <w:rPr>
          <w:rFonts w:ascii="宋体" w:hAnsi="宋体" w:cs="宋体" w:eastAsia="宋体" w:hint="default"/>
          <w:b/>
          <w:bCs/>
          <w:w w:val="100"/>
        </w:rPr>
        <w:t> </w:t>
      </w:r>
      <w:r>
        <w:rPr>
          <w:spacing w:val="-2"/>
        </w:rPr>
        <w:t>本公司主要的经营业务包括：计算机软、硬件、网络及教育软件和教学资源的开发、销售、咨询及其</w:t>
      </w:r>
    </w:p>
    <w:p>
      <w:pPr>
        <w:pStyle w:val="BodyText"/>
        <w:spacing w:line="408" w:lineRule="auto"/>
        <w:ind w:right="147"/>
        <w:jc w:val="both"/>
      </w:pPr>
      <w:r>
        <w:rPr>
          <w:spacing w:val="-3"/>
        </w:rPr>
        <w:t>技术服务；电子产品的开发、销售（不含二、三类医疗器械等需许可项目）；经营进出口业务（法律、行</w:t>
      </w:r>
      <w:r>
        <w:rPr>
          <w:spacing w:val="-12"/>
        </w:rPr>
        <w:t> </w:t>
      </w:r>
      <w:r>
        <w:rPr>
          <w:spacing w:val="-12"/>
        </w:rPr>
      </w:r>
      <w:r>
        <w:rPr>
          <w:spacing w:val="-2"/>
        </w:rPr>
        <w:t>政法规、国务院决定禁止的项目除外，限制的项目须取得许可后方可经营）；投资兴办实业（具体项目另</w:t>
      </w:r>
      <w:r>
        <w:rPr>
          <w:spacing w:val="-43"/>
        </w:rPr>
        <w:t> </w:t>
      </w:r>
      <w:r>
        <w:rPr>
          <w:spacing w:val="-43"/>
        </w:rPr>
      </w:r>
      <w:r>
        <w:rPr>
          <w:spacing w:val="-2"/>
        </w:rPr>
        <w:t>行申报）；出版物零售；第二类增值电信业务中的信息服务业务（仅限互联网信息服务）（凭</w:t>
      </w:r>
      <w:r>
        <w:rPr>
          <w:rFonts w:ascii="宋体" w:hAnsi="宋体" w:cs="宋体" w:eastAsia="宋体" w:hint="default"/>
          <w:spacing w:val="-2"/>
        </w:rPr>
        <w:t>“</w:t>
      </w:r>
      <w:r>
        <w:rPr>
          <w:spacing w:val="-2"/>
        </w:rPr>
        <w:t>中华人民</w:t>
      </w:r>
      <w:r>
        <w:rPr>
          <w:spacing w:val="-42"/>
        </w:rPr>
        <w:t> </w:t>
      </w:r>
      <w:r>
        <w:rPr>
          <w:spacing w:val="-42"/>
        </w:rPr>
      </w:r>
      <w:r>
        <w:rPr/>
        <w:t>共和国增值电信业务经营许可证粤</w:t>
      </w:r>
      <w:r>
        <w:rPr>
          <w:rFonts w:ascii="宋体" w:hAnsi="宋体" w:cs="宋体" w:eastAsia="宋体" w:hint="default"/>
        </w:rPr>
        <w:t>B2-20110094</w:t>
      </w:r>
      <w:r>
        <w:rPr/>
        <w:t>经营）。</w:t>
      </w:r>
    </w:p>
    <w:p>
      <w:pPr>
        <w:pStyle w:val="BodyText"/>
        <w:spacing w:line="408" w:lineRule="auto" w:before="166"/>
        <w:ind w:left="537" w:right="3294" w:firstLine="38"/>
        <w:jc w:val="left"/>
      </w:pPr>
      <w:r>
        <w:rPr>
          <w:rFonts w:ascii="宋体" w:hAnsi="宋体" w:cs="宋体" w:eastAsia="宋体" w:hint="default"/>
          <w:b/>
          <w:bCs/>
        </w:rPr>
        <w:t>财务报表的批准报出</w:t>
      </w:r>
      <w:r>
        <w:rPr>
          <w:rFonts w:ascii="宋体" w:hAnsi="宋体" w:cs="宋体" w:eastAsia="宋体" w:hint="default"/>
          <w:b/>
          <w:bCs/>
          <w:w w:val="100"/>
        </w:rPr>
        <w:t> </w:t>
      </w:r>
      <w:r>
        <w:rPr/>
        <w:t>本财务报表业经本公司董事会于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w:t>
      </w:r>
      <w:r>
        <w:rPr/>
        <w:t>日批准报出。</w:t>
      </w:r>
      <w:r>
        <w:rPr>
          <w:w w:val="100"/>
        </w:rPr>
        <w:t> </w:t>
      </w:r>
      <w:r>
        <w:rPr/>
        <w:t>本期纳入合并财务报表范围的子公司共一户，主要包括：</w:t>
      </w:r>
    </w:p>
    <w:tbl>
      <w:tblPr>
        <w:tblW w:w="0" w:type="auto"/>
        <w:jc w:val="left"/>
        <w:tblInd w:w="145" w:type="dxa"/>
        <w:tblLayout w:type="fixed"/>
        <w:tblCellMar>
          <w:top w:w="0" w:type="dxa"/>
          <w:left w:w="0" w:type="dxa"/>
          <w:bottom w:w="0" w:type="dxa"/>
          <w:right w:w="0" w:type="dxa"/>
        </w:tblCellMar>
        <w:tblLook w:val="01E0"/>
      </w:tblPr>
      <w:tblGrid>
        <w:gridCol w:w="2657"/>
        <w:gridCol w:w="1764"/>
        <w:gridCol w:w="1342"/>
        <w:gridCol w:w="1519"/>
        <w:gridCol w:w="1517"/>
      </w:tblGrid>
      <w:tr>
        <w:trPr>
          <w:trHeight w:val="355" w:hRule="exact"/>
        </w:trPr>
        <w:tc>
          <w:tcPr>
            <w:tcW w:w="2657"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87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64"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422"/>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482"/>
              <w:jc w:val="right"/>
              <w:rPr>
                <w:rFonts w:ascii="宋体" w:hAnsi="宋体" w:cs="宋体" w:eastAsia="宋体" w:hint="default"/>
                <w:sz w:val="18"/>
                <w:szCs w:val="18"/>
              </w:rPr>
            </w:pPr>
            <w:r>
              <w:rPr>
                <w:rFonts w:ascii="宋体" w:hAnsi="宋体" w:cs="宋体" w:eastAsia="宋体" w:hint="default"/>
                <w:sz w:val="18"/>
                <w:szCs w:val="18"/>
              </w:rPr>
              <w:t>级次</w:t>
            </w:r>
          </w:p>
        </w:tc>
        <w:tc>
          <w:tcPr>
            <w:tcW w:w="1519" w:type="dxa"/>
            <w:tcBorders>
              <w:top w:val="single" w:sz="6" w:space="0" w:color="000000"/>
              <w:left w:val="single" w:sz="6" w:space="0" w:color="000000"/>
              <w:bottom w:val="single" w:sz="12" w:space="0" w:color="000000"/>
              <w:right w:val="single" w:sz="6" w:space="0" w:color="000000"/>
            </w:tcBorders>
          </w:tcPr>
          <w:p>
            <w:pPr>
              <w:pStyle w:val="TableParagraph"/>
              <w:spacing w:line="249" w:lineRule="exact"/>
              <w:ind w:left="136"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9" w:lineRule="exact"/>
              <w:ind w:left="45" w:right="0"/>
              <w:jc w:val="left"/>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2657"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4"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right="42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right="482"/>
              <w:jc w:val="right"/>
              <w:rPr>
                <w:rFonts w:ascii="宋体" w:hAnsi="宋体" w:cs="宋体" w:eastAsia="宋体" w:hint="default"/>
                <w:sz w:val="18"/>
                <w:szCs w:val="18"/>
              </w:rPr>
            </w:pPr>
            <w:r>
              <w:rPr>
                <w:rFonts w:ascii="宋体" w:hAnsi="宋体" w:cs="宋体" w:eastAsia="宋体" w:hint="default"/>
                <w:sz w:val="18"/>
                <w:szCs w:val="18"/>
              </w:rPr>
              <w:t>一级</w:t>
            </w:r>
          </w:p>
        </w:tc>
        <w:tc>
          <w:tcPr>
            <w:tcW w:w="15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2"/>
              <w:ind w:left="1005"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9"/>
          <w:szCs w:val="9"/>
        </w:rPr>
      </w:pPr>
    </w:p>
    <w:p>
      <w:pPr>
        <w:pStyle w:val="BodyText"/>
        <w:spacing w:line="240" w:lineRule="auto" w:before="36"/>
        <w:ind w:left="572" w:right="0"/>
        <w:jc w:val="left"/>
      </w:pPr>
      <w:r>
        <w:rPr/>
        <w:t>本期纳入合并财务报表范围的主体较上期相比，未发生变化。</w:t>
      </w:r>
    </w:p>
    <w:p>
      <w:pPr>
        <w:spacing w:line="240" w:lineRule="auto" w:before="12"/>
        <w:rPr>
          <w:rFonts w:ascii="宋体" w:hAnsi="宋体" w:cs="宋体" w:eastAsia="宋体" w:hint="default"/>
          <w:sz w:val="23"/>
          <w:szCs w:val="23"/>
        </w:rPr>
      </w:pPr>
    </w:p>
    <w:p>
      <w:pPr>
        <w:pStyle w:val="BodyText"/>
        <w:spacing w:line="240" w:lineRule="auto" w:before="0"/>
        <w:ind w:left="572" w:right="0"/>
        <w:jc w:val="left"/>
      </w:pPr>
      <w:r>
        <w:rPr/>
        <w:t>本公司原持有深圳市连邦信息技术有限公司（原名为</w:t>
      </w:r>
      <w:r>
        <w:rPr>
          <w:rFonts w:ascii="宋体" w:hAnsi="宋体" w:cs="宋体" w:eastAsia="宋体" w:hint="default"/>
        </w:rPr>
        <w:t>“</w:t>
      </w:r>
      <w:r>
        <w:rPr/>
        <w:t>深圳市连邦软件有限公司</w:t>
      </w:r>
      <w:r>
        <w:rPr>
          <w:rFonts w:ascii="宋体" w:hAnsi="宋体" w:cs="宋体" w:eastAsia="宋体" w:hint="default"/>
        </w:rPr>
        <w:t>”</w:t>
      </w:r>
      <w:r>
        <w:rPr/>
        <w:t>）</w:t>
      </w:r>
      <w:r>
        <w:rPr>
          <w:rFonts w:ascii="宋体" w:hAnsi="宋体" w:cs="宋体" w:eastAsia="宋体" w:hint="default"/>
        </w:rPr>
        <w:t>37.50%</w:t>
      </w:r>
      <w:r>
        <w:rPr/>
        <w:t>的股权，</w:t>
      </w:r>
    </w:p>
    <w:p>
      <w:pPr>
        <w:spacing w:after="0" w:line="240"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left="153" w:right="106" w:hanging="1"/>
        <w:jc w:val="left"/>
      </w:pPr>
      <w:bookmarkStart w:name="五、重要会计政策及会计估计" w:id="157"/>
      <w:bookmarkEnd w:id="157"/>
      <w:r>
        <w:rPr/>
      </w:r>
      <w:bookmarkStart w:name="1、遵循企业会计准则的声明" w:id="158"/>
      <w:bookmarkEnd w:id="158"/>
      <w:r>
        <w:rPr/>
      </w:r>
      <w:r>
        <w:rPr>
          <w:rFonts w:ascii="宋体" w:hAnsi="宋体" w:cs="宋体" w:eastAsia="宋体" w:hint="default"/>
          <w:spacing w:val="-4"/>
        </w:rPr>
        <w:t>2006</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27</w:t>
      </w:r>
      <w:r>
        <w:rPr>
          <w:spacing w:val="-4"/>
        </w:rPr>
        <w:t>日，经深圳国际高新技术产权交易所以</w:t>
      </w:r>
      <w:r>
        <w:rPr>
          <w:rFonts w:ascii="宋体" w:hAnsi="宋体" w:cs="宋体" w:eastAsia="宋体" w:hint="default"/>
          <w:spacing w:val="-4"/>
        </w:rPr>
        <w:t>“</w:t>
      </w:r>
      <w:r>
        <w:rPr>
          <w:spacing w:val="-4"/>
        </w:rPr>
        <w:t>深高交所见（</w:t>
      </w:r>
      <w:r>
        <w:rPr>
          <w:rFonts w:ascii="宋体" w:hAnsi="宋体" w:cs="宋体" w:eastAsia="宋体" w:hint="default"/>
          <w:spacing w:val="-4"/>
        </w:rPr>
        <w:t>2006</w:t>
      </w:r>
      <w:r>
        <w:rPr>
          <w:spacing w:val="-4"/>
        </w:rPr>
        <w:t>）字第</w:t>
      </w:r>
      <w:r>
        <w:rPr>
          <w:rFonts w:ascii="宋体" w:hAnsi="宋体" w:cs="宋体" w:eastAsia="宋体" w:hint="default"/>
          <w:spacing w:val="-4"/>
        </w:rPr>
        <w:t>688</w:t>
      </w:r>
      <w:r>
        <w:rPr>
          <w:spacing w:val="-4"/>
        </w:rPr>
        <w:t>号</w:t>
      </w:r>
      <w:r>
        <w:rPr>
          <w:rFonts w:ascii="宋体" w:hAnsi="宋体" w:cs="宋体" w:eastAsia="宋体" w:hint="default"/>
          <w:spacing w:val="-4"/>
        </w:rPr>
        <w:t>”</w:t>
      </w:r>
      <w:r>
        <w:rPr>
          <w:spacing w:val="-4"/>
        </w:rPr>
        <w:t>《股权转让见证书》</w:t>
      </w:r>
      <w:r>
        <w:rPr>
          <w:spacing w:val="-37"/>
        </w:rPr>
        <w:t> </w:t>
      </w:r>
      <w:r>
        <w:rPr>
          <w:spacing w:val="-37"/>
        </w:rPr>
      </w:r>
      <w:r>
        <w:rPr/>
        <w:t>见证，刘浪（又名刘乙丁）将所持深圳市连邦信息技术有限公司</w:t>
      </w:r>
      <w:r>
        <w:rPr>
          <w:rFonts w:ascii="宋体" w:hAnsi="宋体" w:cs="宋体" w:eastAsia="宋体" w:hint="default"/>
        </w:rPr>
        <w:t>37.50%</w:t>
      </w:r>
      <w:r>
        <w:rPr/>
        <w:t>的股权以人民币</w:t>
      </w:r>
      <w:r>
        <w:rPr>
          <w:rFonts w:ascii="宋体" w:hAnsi="宋体" w:cs="宋体" w:eastAsia="宋体" w:hint="default"/>
        </w:rPr>
        <w:t>15.00</w:t>
      </w:r>
      <w:r>
        <w:rPr/>
        <w:t>万元的价格</w:t>
      </w:r>
      <w:r>
        <w:rPr>
          <w:spacing w:val="-3"/>
          <w:w w:val="100"/>
        </w:rPr>
        <w:t> </w:t>
      </w:r>
      <w:r>
        <w:rPr/>
        <w:t>转让给本公司，并于</w:t>
      </w:r>
      <w:r>
        <w:rPr>
          <w:rFonts w:ascii="宋体" w:hAnsi="宋体" w:cs="宋体" w:eastAsia="宋体" w:hint="default"/>
        </w:rPr>
        <w:t>2006</w:t>
      </w:r>
      <w:r>
        <w:rPr/>
        <w:t>年</w:t>
      </w:r>
      <w:r>
        <w:rPr>
          <w:rFonts w:ascii="宋体" w:hAnsi="宋体" w:cs="宋体" w:eastAsia="宋体" w:hint="default"/>
        </w:rPr>
        <w:t>3</w:t>
      </w:r>
      <w:r>
        <w:rPr/>
        <w:t>月</w:t>
      </w:r>
      <w:r>
        <w:rPr>
          <w:rFonts w:ascii="宋体" w:hAnsi="宋体" w:cs="宋体" w:eastAsia="宋体" w:hint="default"/>
        </w:rPr>
        <w:t>29</w:t>
      </w:r>
      <w:r>
        <w:rPr/>
        <w:t>日完成股权转让的工商变更登记手续，变更后本公司持有深圳市连邦信</w:t>
      </w:r>
      <w:r>
        <w:rPr>
          <w:w w:val="100"/>
        </w:rPr>
        <w:t> </w:t>
      </w:r>
      <w:r>
        <w:rPr/>
        <w:t>息技术有限公司</w:t>
      </w:r>
      <w:r>
        <w:rPr>
          <w:rFonts w:ascii="宋体" w:hAnsi="宋体" w:cs="宋体" w:eastAsia="宋体" w:hint="default"/>
        </w:rPr>
        <w:t>75%</w:t>
      </w:r>
      <w:r>
        <w:rPr/>
        <w:t>的股权。</w:t>
      </w:r>
    </w:p>
    <w:p>
      <w:pPr>
        <w:pStyle w:val="BodyText"/>
        <w:spacing w:line="408" w:lineRule="auto"/>
        <w:ind w:left="153" w:right="106" w:firstLine="419"/>
        <w:jc w:val="left"/>
      </w:pPr>
      <w:r>
        <w:rPr>
          <w:rFonts w:ascii="宋体" w:hAnsi="宋体" w:cs="宋体" w:eastAsia="宋体" w:hint="default"/>
        </w:rPr>
        <w:t>2007</w:t>
      </w:r>
      <w:r>
        <w:rPr/>
        <w:t>年</w:t>
      </w:r>
      <w:r>
        <w:rPr>
          <w:rFonts w:ascii="宋体" w:hAnsi="宋体" w:cs="宋体" w:eastAsia="宋体" w:hint="default"/>
        </w:rPr>
        <w:t>5</w:t>
      </w:r>
      <w:r>
        <w:rPr/>
        <w:t>月</w:t>
      </w:r>
      <w:r>
        <w:rPr>
          <w:rFonts w:ascii="宋体" w:hAnsi="宋体" w:cs="宋体" w:eastAsia="宋体" w:hint="default"/>
        </w:rPr>
        <w:t>30</w:t>
      </w:r>
      <w:r>
        <w:rPr/>
        <w:t>日，经深圳国际高新技术产权交易所以</w:t>
      </w:r>
      <w:r>
        <w:rPr>
          <w:rFonts w:ascii="宋体" w:hAnsi="宋体" w:cs="宋体" w:eastAsia="宋体" w:hint="default"/>
        </w:rPr>
        <w:t>“</w:t>
      </w:r>
      <w:r>
        <w:rPr/>
        <w:t>深高交所见（</w:t>
      </w:r>
      <w:r>
        <w:rPr>
          <w:rFonts w:ascii="宋体" w:hAnsi="宋体" w:cs="宋体" w:eastAsia="宋体" w:hint="default"/>
        </w:rPr>
        <w:t>2007</w:t>
      </w:r>
      <w:r>
        <w:rPr/>
        <w:t>）字第</w:t>
      </w:r>
      <w:r>
        <w:rPr>
          <w:rFonts w:ascii="宋体" w:hAnsi="宋体" w:cs="宋体" w:eastAsia="宋体" w:hint="default"/>
        </w:rPr>
        <w:t>3225</w:t>
      </w:r>
      <w:r>
        <w:rPr/>
        <w:t>号</w:t>
      </w:r>
      <w:r>
        <w:rPr>
          <w:rFonts w:ascii="宋体" w:hAnsi="宋体" w:cs="宋体" w:eastAsia="宋体" w:hint="default"/>
        </w:rPr>
        <w:t>”</w:t>
      </w:r>
      <w:r>
        <w:rPr/>
        <w:t>《股权转让</w:t>
      </w:r>
      <w:r>
        <w:rPr>
          <w:w w:val="100"/>
        </w:rPr>
        <w:t> </w:t>
      </w:r>
      <w:r>
        <w:rPr>
          <w:spacing w:val="-2"/>
        </w:rPr>
        <w:t>见证书》见证，缪洪将其持有深圳市连邦信息技术有限公司</w:t>
      </w:r>
      <w:r>
        <w:rPr>
          <w:rFonts w:ascii="宋体" w:hAnsi="宋体" w:cs="宋体" w:eastAsia="宋体" w:hint="default"/>
          <w:spacing w:val="-2"/>
        </w:rPr>
        <w:t>25%</w:t>
      </w:r>
      <w:r>
        <w:rPr>
          <w:spacing w:val="-2"/>
        </w:rPr>
        <w:t>的股权以人民币</w:t>
      </w:r>
      <w:r>
        <w:rPr>
          <w:rFonts w:ascii="宋体" w:hAnsi="宋体" w:cs="宋体" w:eastAsia="宋体" w:hint="default"/>
          <w:spacing w:val="-2"/>
        </w:rPr>
        <w:t>10.00</w:t>
      </w:r>
      <w:r>
        <w:rPr>
          <w:spacing w:val="-2"/>
        </w:rPr>
        <w:t>万元的价格转让给本</w:t>
      </w:r>
      <w:r>
        <w:rPr>
          <w:spacing w:val="-51"/>
        </w:rPr>
        <w:t> </w:t>
      </w:r>
      <w:r>
        <w:rPr>
          <w:spacing w:val="-51"/>
        </w:rPr>
      </w:r>
      <w:r>
        <w:rPr>
          <w:spacing w:val="-2"/>
        </w:rPr>
        <w:t>公司，并于</w:t>
      </w:r>
      <w:r>
        <w:rPr>
          <w:rFonts w:ascii="宋体" w:hAnsi="宋体" w:cs="宋体" w:eastAsia="宋体" w:hint="default"/>
          <w:spacing w:val="-2"/>
        </w:rPr>
        <w:t>2007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6</w:t>
      </w:r>
      <w:r>
        <w:rPr>
          <w:spacing w:val="-2"/>
        </w:rPr>
        <w:t>日完成股权转让的工商变更登记手续。变更后深圳市连邦信息技术有限公司成为本</w:t>
      </w:r>
      <w:r>
        <w:rPr>
          <w:spacing w:val="-36"/>
        </w:rPr>
        <w:t> </w:t>
      </w:r>
      <w:r>
        <w:rPr>
          <w:spacing w:val="-36"/>
        </w:rPr>
      </w:r>
      <w:r>
        <w:rPr/>
        <w:t>公司的全资子公司。</w:t>
      </w:r>
    </w:p>
    <w:p>
      <w:pPr>
        <w:pStyle w:val="BodyText"/>
        <w:spacing w:line="408" w:lineRule="auto"/>
        <w:ind w:left="154" w:right="106" w:firstLine="419"/>
        <w:jc w:val="left"/>
      </w:pPr>
      <w:r>
        <w:rPr>
          <w:rFonts w:ascii="宋体" w:hAnsi="宋体" w:cs="宋体" w:eastAsia="宋体" w:hint="default"/>
          <w:spacing w:val="-2"/>
        </w:rPr>
        <w:t>2007</w:t>
      </w:r>
      <w:r>
        <w:rPr>
          <w:spacing w:val="-2"/>
        </w:rPr>
        <w:t>年</w:t>
      </w:r>
      <w:r>
        <w:rPr>
          <w:rFonts w:ascii="宋体" w:hAnsi="宋体" w:cs="宋体" w:eastAsia="宋体" w:hint="default"/>
          <w:spacing w:val="-2"/>
        </w:rPr>
        <w:t>6</w:t>
      </w:r>
      <w:r>
        <w:rPr>
          <w:spacing w:val="-2"/>
        </w:rPr>
        <w:t>月，本公司对深圳市连邦信息技术有限公司增资人民币</w:t>
      </w:r>
      <w:r>
        <w:rPr>
          <w:rFonts w:ascii="宋体" w:hAnsi="宋体" w:cs="宋体" w:eastAsia="宋体" w:hint="default"/>
          <w:spacing w:val="-2"/>
        </w:rPr>
        <w:t>160.00</w:t>
      </w:r>
      <w:r>
        <w:rPr>
          <w:spacing w:val="-2"/>
        </w:rPr>
        <w:t>万元，增资后深圳市连邦信息</w:t>
      </w:r>
      <w:r>
        <w:rPr>
          <w:w w:val="100"/>
        </w:rPr>
        <w:t> </w:t>
      </w:r>
      <w:r>
        <w:rPr/>
        <w:t>技术有限公司注册资本变更为人民币</w:t>
      </w:r>
      <w:r>
        <w:rPr>
          <w:rFonts w:ascii="宋体" w:hAnsi="宋体" w:cs="宋体" w:eastAsia="宋体" w:hint="default"/>
        </w:rPr>
        <w:t>200.00</w:t>
      </w:r>
      <w:r>
        <w:rPr/>
        <w:t>万元。</w:t>
      </w:r>
    </w:p>
    <w:p>
      <w:pPr>
        <w:spacing w:line="240" w:lineRule="auto" w:before="8"/>
        <w:rPr>
          <w:rFonts w:ascii="宋体" w:hAnsi="宋体" w:cs="宋体" w:eastAsia="宋体" w:hint="default"/>
          <w:sz w:val="18"/>
          <w:szCs w:val="18"/>
        </w:rPr>
      </w:pPr>
    </w:p>
    <w:p>
      <w:pPr>
        <w:pStyle w:val="Heading2"/>
        <w:spacing w:line="240" w:lineRule="auto"/>
        <w:ind w:right="106"/>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6"/>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210" w:firstLine="419"/>
        <w:jc w:val="both"/>
      </w:pPr>
      <w:r>
        <w:rPr>
          <w:spacing w:val="-3"/>
        </w:rPr>
        <w:t>本公司根据实际发生的交易和事项，按照财政</w:t>
      </w:r>
      <w:bookmarkStart w:name="四、财务报表的编制基础" w:id="159"/>
      <w:bookmarkEnd w:id="159"/>
      <w:r>
        <w:rPr>
          <w:spacing w:val="-3"/>
        </w:rPr>
        <w:t>部</w:t>
      </w:r>
      <w:r>
        <w:rPr>
          <w:spacing w:val="-3"/>
        </w:rPr>
        <w:t>颁布的《企</w:t>
      </w:r>
      <w:bookmarkStart w:name="1、编制基础" w:id="160"/>
      <w:bookmarkEnd w:id="160"/>
      <w:r>
        <w:rPr>
          <w:spacing w:val="-3"/>
        </w:rPr>
        <w:t>业</w:t>
      </w:r>
      <w:r>
        <w:rPr>
          <w:spacing w:val="-3"/>
        </w:rPr>
        <w:t>会计准则</w:t>
      </w:r>
      <w:r>
        <w:rPr>
          <w:rFonts w:ascii="宋体" w:hAnsi="宋体" w:cs="宋体" w:eastAsia="宋体" w:hint="default"/>
          <w:spacing w:val="-3"/>
        </w:rPr>
        <w:t>——</w:t>
      </w:r>
      <w:r>
        <w:rPr>
          <w:spacing w:val="-3"/>
        </w:rPr>
        <w:t>基本准则》和具体企业会</w:t>
      </w:r>
      <w:r>
        <w:rPr>
          <w:spacing w:val="-3"/>
          <w:w w:val="100"/>
        </w:rPr>
        <w:t> </w:t>
      </w:r>
      <w:r>
        <w:rPr>
          <w:spacing w:val="-3"/>
        </w:rPr>
        <w:t>计准则、企业会计准则应用指南、企业会计准则解释及其他相关规定</w:t>
      </w:r>
      <w:r>
        <w:rPr>
          <w:rFonts w:ascii="宋体" w:hAnsi="宋体" w:cs="宋体" w:eastAsia="宋体" w:hint="default"/>
          <w:spacing w:val="-3"/>
        </w:rPr>
        <w:t>(</w:t>
      </w:r>
      <w:r>
        <w:rPr>
          <w:spacing w:val="-3"/>
        </w:rPr>
        <w:t>以下合称</w:t>
      </w:r>
      <w:r>
        <w:rPr>
          <w:rFonts w:ascii="宋体" w:hAnsi="宋体" w:cs="宋体" w:eastAsia="宋体" w:hint="default"/>
          <w:spacing w:val="-3"/>
        </w:rPr>
        <w:t>“</w:t>
      </w:r>
      <w:r>
        <w:rPr>
          <w:spacing w:val="-3"/>
        </w:rPr>
        <w:t>企业会计准则</w:t>
      </w:r>
      <w:r>
        <w:rPr>
          <w:rFonts w:ascii="宋体" w:hAnsi="宋体" w:cs="宋体" w:eastAsia="宋体" w:hint="default"/>
          <w:spacing w:val="-3"/>
        </w:rPr>
        <w:t>”)</w:t>
      </w:r>
      <w:r>
        <w:rPr>
          <w:spacing w:val="-3"/>
        </w:rPr>
        <w:t>进行确</w:t>
      </w:r>
      <w:r>
        <w:rPr>
          <w:spacing w:val="-7"/>
        </w:rPr>
        <w:t> 认和计量，在此基础上，结合中国证券监督管理委员会《公开发行证券的公司信息披露编报规则第</w:t>
      </w:r>
      <w:r>
        <w:rPr>
          <w:rFonts w:ascii="宋体" w:hAnsi="宋体" w:cs="宋体" w:eastAsia="宋体" w:hint="default"/>
          <w:spacing w:val="-7"/>
        </w:rPr>
        <w:t>15</w:t>
      </w:r>
      <w:r>
        <w:rPr>
          <w:spacing w:val="-7"/>
        </w:rPr>
        <w:t>号</w:t>
      </w:r>
      <w:r>
        <w:rPr>
          <w:rFonts w:ascii="宋体" w:hAnsi="宋体" w:cs="宋体" w:eastAsia="宋体" w:hint="default"/>
          <w:spacing w:val="-7"/>
        </w:rPr>
        <w:t>——</w:t>
      </w:r>
      <w:r>
        <w:rPr>
          <w:rFonts w:ascii="宋体" w:hAnsi="宋体" w:cs="宋体" w:eastAsia="宋体" w:hint="default"/>
          <w:spacing w:val="-21"/>
        </w:rPr>
        <w:t> </w:t>
      </w:r>
      <w:r>
        <w:rPr/>
        <w:t>财务报告的一般规定》</w:t>
      </w:r>
      <w:r>
        <w:rPr>
          <w:rFonts w:ascii="宋体" w:hAnsi="宋体" w:cs="宋体" w:eastAsia="宋体" w:hint="default"/>
        </w:rPr>
        <w:t>(2014</w:t>
      </w:r>
      <w:r>
        <w:rPr/>
        <w:t>年修订</w:t>
      </w:r>
      <w:r>
        <w:rPr>
          <w:rFonts w:ascii="宋体" w:hAnsi="宋体" w:cs="宋体" w:eastAsia="宋体" w:hint="default"/>
        </w:rPr>
        <w:t>)</w:t>
      </w:r>
      <w:r>
        <w:rPr/>
        <w:t>的规定，编制财务报表。</w:t>
      </w:r>
    </w:p>
    <w:p>
      <w:pPr>
        <w:spacing w:line="240" w:lineRule="auto" w:before="8"/>
        <w:rPr>
          <w:rFonts w:ascii="宋体" w:hAnsi="宋体" w:cs="宋体" w:eastAsia="宋体" w:hint="default"/>
          <w:sz w:val="20"/>
          <w:szCs w:val="20"/>
        </w:rPr>
      </w:pPr>
    </w:p>
    <w:p>
      <w:pPr>
        <w:pStyle w:val="Heading3"/>
        <w:spacing w:line="240" w:lineRule="auto"/>
        <w:ind w:right="106"/>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right="106" w:firstLine="419"/>
        <w:jc w:val="left"/>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w:t>
      </w:r>
      <w:bookmarkStart w:name="2、持续经营" w:id="161"/>
      <w:bookmarkEnd w:id="161"/>
      <w:r>
        <w:rPr>
          <w:spacing w:val="-2"/>
        </w:rPr>
        <w:t>生</w:t>
      </w:r>
      <w:r>
        <w:rPr>
          <w:spacing w:val="-2"/>
        </w:rPr>
        <w:t>重大怀疑的事项</w:t>
      </w:r>
      <w:r>
        <w:rPr>
          <w:spacing w:val="-3"/>
          <w:w w:val="100"/>
        </w:rPr>
        <w:t> </w:t>
      </w:r>
      <w:r>
        <w:rPr/>
        <w:t>或情况。因此，本财务报表系在持续经营假设的基础上编制。</w:t>
      </w:r>
    </w:p>
    <w:p>
      <w:pPr>
        <w:spacing w:line="240" w:lineRule="auto" w:before="1"/>
        <w:rPr>
          <w:rFonts w:ascii="宋体" w:hAnsi="宋体" w:cs="宋体" w:eastAsia="宋体" w:hint="default"/>
          <w:sz w:val="20"/>
          <w:szCs w:val="20"/>
        </w:rPr>
      </w:pPr>
    </w:p>
    <w:p>
      <w:pPr>
        <w:pStyle w:val="Heading2"/>
        <w:spacing w:line="240" w:lineRule="auto"/>
        <w:ind w:right="106"/>
        <w:jc w:val="left"/>
        <w:rPr>
          <w:b w:val="0"/>
          <w:bCs w:val="0"/>
        </w:rPr>
      </w:pPr>
      <w:r>
        <w:rPr/>
        <w:t>五、重要会计政策及会计估计</w:t>
      </w:r>
      <w:r>
        <w:rPr>
          <w:b w:val="0"/>
          <w:bCs w:val="0"/>
        </w:rPr>
      </w:r>
    </w:p>
    <w:p>
      <w:pPr>
        <w:spacing w:line="240" w:lineRule="auto" w:before="10"/>
        <w:rPr>
          <w:rFonts w:ascii="宋体" w:hAnsi="宋体" w:cs="宋体" w:eastAsia="宋体" w:hint="default"/>
          <w:b/>
          <w:bCs/>
          <w:sz w:val="30"/>
          <w:szCs w:val="30"/>
        </w:rPr>
      </w:pPr>
    </w:p>
    <w:p>
      <w:pPr>
        <w:pStyle w:val="BodyText"/>
        <w:spacing w:line="444" w:lineRule="auto" w:before="0"/>
        <w:ind w:right="106"/>
        <w:jc w:val="left"/>
      </w:pPr>
      <w:r>
        <w:rPr/>
        <w:t>具体会计政策和会计估计提示：</w:t>
      </w:r>
      <w:r>
        <w:rPr>
          <w:w w:val="100"/>
        </w:rPr>
        <w:t> </w:t>
      </w:r>
      <w:r>
        <w:rPr>
          <w:spacing w:val="-2"/>
        </w:rPr>
        <w:t>以下披露内容已涵盖了本公司根据实际生产经营特点制定的具体会计政策和会计估计。</w:t>
      </w:r>
    </w:p>
    <w:p>
      <w:pPr>
        <w:spacing w:line="240" w:lineRule="auto" w:before="13"/>
        <w:rPr>
          <w:rFonts w:ascii="宋体" w:hAnsi="宋体" w:cs="宋体" w:eastAsia="宋体" w:hint="default"/>
          <w:sz w:val="17"/>
          <w:szCs w:val="17"/>
        </w:rPr>
      </w:pPr>
    </w:p>
    <w:p>
      <w:pPr>
        <w:pStyle w:val="Heading3"/>
        <w:spacing w:line="240" w:lineRule="auto"/>
        <w:ind w:right="106"/>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6" w:firstLine="420"/>
        <w:jc w:val="left"/>
      </w:pPr>
      <w:r>
        <w:rPr>
          <w:spacing w:val="-2"/>
        </w:rPr>
        <w:t>本公司所编制的财务报表符合企业会计准则的要求，真实、完整地反映了报告期公司的财务状况、经</w:t>
      </w:r>
      <w:r>
        <w:rPr>
          <w:w w:val="100"/>
        </w:rPr>
        <w:t> </w:t>
      </w:r>
      <w:r>
        <w:rPr/>
        <w:t>营成果、现金流量等有关信息。</w:t>
      </w:r>
    </w:p>
    <w:p>
      <w:pPr>
        <w:spacing w:after="0" w:line="408" w:lineRule="auto"/>
        <w:jc w:val="left"/>
        <w:sectPr>
          <w:pgSz w:w="11910" w:h="16840"/>
          <w:pgMar w:header="990" w:footer="1066" w:top="1220" w:bottom="1260" w:left="980" w:right="920"/>
        </w:sectPr>
      </w:pPr>
    </w:p>
    <w:p>
      <w:pPr>
        <w:spacing w:line="240" w:lineRule="auto" w:before="5"/>
        <w:rPr>
          <w:rFonts w:ascii="宋体" w:hAnsi="宋体" w:cs="宋体" w:eastAsia="宋体" w:hint="default"/>
          <w:sz w:val="10"/>
          <w:szCs w:val="10"/>
        </w:rPr>
      </w:pPr>
    </w:p>
    <w:p>
      <w:pPr>
        <w:pStyle w:val="Heading3"/>
        <w:spacing w:line="240" w:lineRule="auto" w:before="36"/>
        <w:ind w:right="0"/>
        <w:jc w:val="both"/>
        <w:rPr>
          <w:b w:val="0"/>
          <w:bCs w:val="0"/>
        </w:rPr>
      </w:pPr>
      <w:r>
        <w:rPr>
          <w:rFonts w:ascii="Times New Roman" w:hAnsi="Times New Roman" w:cs="Times New Roman" w:eastAsia="Times New Roman" w:hint="default"/>
        </w:rPr>
        <w:t>2</w:t>
      </w:r>
      <w:bookmarkStart w:name="2、会计期间" w:id="162"/>
      <w:bookmarkEnd w:id="162"/>
      <w:r>
        <w:rPr>
          <w:rFonts w:ascii="Times New Roman" w:hAnsi="Times New Roman" w:cs="Times New Roman" w:eastAsia="Times New Roman" w:hint="default"/>
        </w:rPr>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2"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2" w:right="0"/>
        <w:jc w:val="left"/>
      </w:pPr>
      <w:r>
        <w:rPr/>
        <w:t>本公司</w:t>
      </w:r>
      <w:bookmarkStart w:name="3、营业周期" w:id="163"/>
      <w:bookmarkEnd w:id="163"/>
      <w:r>
        <w:rPr/>
        <w:t>营</w:t>
      </w:r>
      <w:r>
        <w:rPr/>
        <w:t>业周期为</w:t>
      </w:r>
      <w:r>
        <w:rPr>
          <w:rFonts w:ascii="Times New Roman" w:hAnsi="Times New Roman" w:cs="Times New Roman" w:eastAsia="Times New Roman" w:hint="default"/>
        </w:rPr>
        <w:t>12</w:t>
      </w:r>
      <w:r>
        <w:rPr/>
        <w:t>个月，并以营业周期作为资产和负债的流动性划分标准。</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2" w:right="0"/>
        <w:jc w:val="left"/>
      </w:pPr>
      <w:r>
        <w:rPr/>
        <w:t>本公司以人民币为记账本</w:t>
      </w:r>
      <w:bookmarkStart w:name="4、记账本位币" w:id="164"/>
      <w:bookmarkEnd w:id="164"/>
      <w:r>
        <w:rPr/>
        <w:t>位币。</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w:t>
      </w:r>
      <w:bookmarkStart w:name="5、同一控制下和非同一控制下企业合并的会计处理方法" w:id="165"/>
      <w:bookmarkEnd w:id="165"/>
      <w:r>
        <w:rPr/>
        <w:t>制下企业合并的会</w:t>
      </w:r>
      <w:r>
        <w:rPr/>
        <w:t>计处理方法</w:t>
      </w:r>
      <w:r>
        <w:rPr>
          <w:b w:val="0"/>
          <w:bCs w:val="0"/>
        </w:rPr>
      </w:r>
    </w:p>
    <w:p>
      <w:pPr>
        <w:spacing w:line="240" w:lineRule="auto" w:before="8"/>
        <w:rPr>
          <w:rFonts w:ascii="宋体" w:hAnsi="宋体" w:cs="宋体" w:eastAsia="宋体" w:hint="default"/>
          <w:b/>
          <w:bCs/>
          <w:sz w:val="30"/>
          <w:szCs w:val="30"/>
        </w:rPr>
      </w:pPr>
    </w:p>
    <w:p>
      <w:pPr>
        <w:pStyle w:val="Heading3"/>
        <w:spacing w:line="408" w:lineRule="auto"/>
        <w:ind w:right="0" w:firstLine="316"/>
        <w:jc w:val="left"/>
        <w:rPr>
          <w:b w:val="0"/>
          <w:bCs w:val="0"/>
        </w:rPr>
      </w:pPr>
      <w:r>
        <w:rPr>
          <w:spacing w:val="-2"/>
        </w:rPr>
        <w:t>（</w:t>
      </w:r>
      <w:r>
        <w:rPr>
          <w:rFonts w:ascii="宋体" w:hAnsi="宋体" w:cs="宋体" w:eastAsia="宋体" w:hint="default"/>
          <w:spacing w:val="-2"/>
        </w:rPr>
        <w:t>1</w:t>
      </w:r>
      <w:r>
        <w:rPr>
          <w:spacing w:val="-2"/>
        </w:rPr>
        <w:t>）分步实现企业合并过程中的各项交易的条款、条件以及经济影响符合以下一种或多种情况，将多</w:t>
      </w:r>
      <w:r>
        <w:rPr>
          <w:w w:val="100"/>
        </w:rPr>
        <w:t> </w:t>
      </w:r>
      <w:r>
        <w:rPr/>
        <w:t>次交易事项作为一揽子交易进行会计处理：</w:t>
      </w:r>
      <w:r>
        <w:rPr>
          <w:b w:val="0"/>
          <w:bCs w:val="0"/>
        </w:rPr>
      </w:r>
    </w:p>
    <w:p>
      <w:pPr>
        <w:pStyle w:val="BodyText"/>
        <w:spacing w:line="240" w:lineRule="auto"/>
        <w:ind w:left="572" w:right="0"/>
        <w:jc w:val="left"/>
      </w:pPr>
      <w:r>
        <w:rPr/>
        <w:t>①</w:t>
      </w:r>
      <w:r>
        <w:rPr>
          <w:spacing w:val="-7"/>
        </w:rPr>
        <w:t> </w:t>
      </w:r>
      <w:r>
        <w:rPr/>
        <w:t>这些交易是同时或者在考虑了彼此影响的情况下订立的；</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②</w:t>
      </w:r>
      <w:r>
        <w:rPr>
          <w:spacing w:val="-6"/>
        </w:rPr>
        <w:t> </w:t>
      </w:r>
      <w:r>
        <w:rPr/>
        <w:t>这些交易整体才能达成一项完整的商业结果；</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③</w:t>
      </w:r>
      <w:r>
        <w:rPr>
          <w:spacing w:val="-7"/>
        </w:rPr>
        <w:t> </w:t>
      </w:r>
      <w:r>
        <w:rPr/>
        <w:t>一项交易的发生取决于其他至少一项交易的发生；</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④一项交易单独看是不经济的，但是和其他交易一并考虑时是经济的。</w:t>
      </w:r>
    </w:p>
    <w:p>
      <w:pPr>
        <w:spacing w:line="240" w:lineRule="auto" w:before="10"/>
        <w:rPr>
          <w:rFonts w:ascii="宋体" w:hAnsi="宋体" w:cs="宋体" w:eastAsia="宋体" w:hint="default"/>
          <w:sz w:val="14"/>
          <w:szCs w:val="14"/>
        </w:rPr>
      </w:pPr>
    </w:p>
    <w:p>
      <w:pPr>
        <w:spacing w:line="408" w:lineRule="auto" w:before="0"/>
        <w:ind w:left="572" w:right="0" w:hanging="10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本公司在企业合并中取得的资产和负债，按照合并日在被合并方资产、负债（包括最终控制方收购被</w:t>
      </w:r>
    </w:p>
    <w:p>
      <w:pPr>
        <w:pStyle w:val="BodyText"/>
        <w:spacing w:line="408" w:lineRule="auto"/>
        <w:ind w:right="147"/>
        <w:jc w:val="both"/>
      </w:pPr>
      <w:r>
        <w:rPr>
          <w:spacing w:val="-2"/>
        </w:rPr>
        <w:t>合并方而形成的商誉）在最终控制方合并财务报表中的账面价值计量。在合并中取得的净资产账面价值与</w:t>
      </w:r>
      <w:r>
        <w:rPr>
          <w:spacing w:val="-43"/>
        </w:rPr>
        <w:t> </w:t>
      </w:r>
      <w:r>
        <w:rPr>
          <w:spacing w:val="-43"/>
        </w:rPr>
      </w:r>
      <w:r>
        <w:rPr>
          <w:spacing w:val="-3"/>
        </w:rPr>
        <w:t>支付的合并对价账面价值（或发行股份面值总额）的差额，调整资本公积中的股本溢价，资本公积中的股</w:t>
      </w:r>
      <w:r>
        <w:rPr>
          <w:spacing w:val="-8"/>
        </w:rPr>
        <w:t> </w:t>
      </w:r>
      <w:r>
        <w:rPr>
          <w:spacing w:val="-8"/>
        </w:rPr>
      </w:r>
      <w:r>
        <w:rPr/>
        <w:t>本溢价不足冲减的，调整留存收益。</w:t>
      </w:r>
    </w:p>
    <w:p>
      <w:pPr>
        <w:pStyle w:val="BodyText"/>
        <w:spacing w:line="408" w:lineRule="auto"/>
        <w:ind w:right="0" w:firstLine="420"/>
        <w:jc w:val="left"/>
      </w:pPr>
      <w:r>
        <w:rPr>
          <w:spacing w:val="-2"/>
        </w:rPr>
        <w:t>如果存在或有对价并需要确认预计负债或资产，该预计负债或资产金额与后续或有对价结算金额的差</w:t>
      </w:r>
      <w:r>
        <w:rPr>
          <w:w w:val="100"/>
        </w:rPr>
        <w:t> </w:t>
      </w:r>
      <w:r>
        <w:rPr/>
        <w:t>额，调整资本公积（资本溢价或股本溢价），资本公积不足的，调整留存收益。</w:t>
      </w:r>
    </w:p>
    <w:p>
      <w:pPr>
        <w:pStyle w:val="BodyText"/>
        <w:spacing w:line="408" w:lineRule="auto"/>
        <w:ind w:right="125" w:firstLine="420"/>
        <w:jc w:val="both"/>
      </w:pPr>
      <w:r>
        <w:rPr>
          <w:spacing w:val="-2"/>
        </w:rPr>
        <w:t>对于通过多次交易最终实现企业合并的，属于一揽子交易的，将各项交易作为一项取得控制权的交易</w:t>
      </w:r>
      <w:r>
        <w:rPr>
          <w:w w:val="100"/>
        </w:rPr>
        <w:t> </w:t>
      </w:r>
      <w:r>
        <w:rPr>
          <w:spacing w:val="-3"/>
        </w:rPr>
        <w:t>进行会计处理；不属于一揽子交易的，在取得控制权日，长期股权投资初始投资成本，与达到合并前的长</w:t>
      </w:r>
      <w:r>
        <w:rPr>
          <w:spacing w:val="-13"/>
        </w:rPr>
        <w:t> </w:t>
      </w:r>
      <w:r>
        <w:rPr>
          <w:spacing w:val="-13"/>
        </w:rPr>
      </w:r>
      <w:r>
        <w:rPr>
          <w:spacing w:val="-2"/>
        </w:rPr>
        <w:t>期股权投资账面价值加上合并日进一步取得股份新支付对价的账面价值之和的差额，调整资本公积；资本</w:t>
      </w:r>
      <w:r>
        <w:rPr>
          <w:spacing w:val="-43"/>
        </w:rPr>
        <w:t> </w:t>
      </w:r>
      <w:r>
        <w:rPr>
          <w:spacing w:val="-43"/>
        </w:rPr>
      </w:r>
      <w:r>
        <w:rPr>
          <w:spacing w:val="-2"/>
        </w:rPr>
        <w:t>公积不足冲减的，调整留存收益。对于合并日之前持有的股权投资，因采用权益法核算或金融工具确认和</w:t>
      </w:r>
      <w:r>
        <w:rPr>
          <w:spacing w:val="-49"/>
        </w:rPr>
        <w:t> </w:t>
      </w:r>
      <w:r>
        <w:rPr>
          <w:spacing w:val="-49"/>
        </w:rPr>
      </w:r>
      <w:r>
        <w:rPr>
          <w:spacing w:val="-2"/>
        </w:rPr>
        <w:t>计量准则核算而确认的其他综合收益，暂不进行会计处理，直至处置该项投资时采用与被投资单位直接处</w:t>
      </w:r>
      <w:r>
        <w:rPr>
          <w:spacing w:val="-44"/>
        </w:rPr>
        <w:t> </w:t>
      </w:r>
      <w:r>
        <w:rPr>
          <w:spacing w:val="-44"/>
        </w:rPr>
      </w:r>
      <w:r>
        <w:rPr>
          <w:spacing w:val="-2"/>
        </w:rPr>
        <w:t>置相关资产或负债相同的基础进行会计处理；因采用权益法核算而确认的被投资单位净资产中除净损益、</w:t>
      </w:r>
      <w:r>
        <w:rPr>
          <w:spacing w:val="-21"/>
        </w:rPr>
        <w:t> </w:t>
      </w:r>
      <w:r>
        <w:rPr>
          <w:spacing w:val="-21"/>
        </w:rPr>
      </w:r>
      <w:r>
        <w:rPr>
          <w:spacing w:val="-2"/>
        </w:rPr>
        <w:t>其他综合收益和利润分配以外的所有者权益其他变动，暂不进行会计处理，直至处置该项投资时转入当期</w:t>
      </w:r>
    </w:p>
    <w:p>
      <w:pPr>
        <w:spacing w:after="0" w:line="408" w:lineRule="auto"/>
        <w:jc w:val="both"/>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240" w:lineRule="auto" w:before="36"/>
        <w:ind w:right="0"/>
        <w:jc w:val="left"/>
      </w:pPr>
      <w:r>
        <w:rPr/>
        <w:t>损益。</w:t>
      </w:r>
    </w:p>
    <w:p>
      <w:pPr>
        <w:spacing w:line="240" w:lineRule="auto" w:before="10"/>
        <w:rPr>
          <w:rFonts w:ascii="宋体" w:hAnsi="宋体" w:cs="宋体" w:eastAsia="宋体" w:hint="default"/>
          <w:sz w:val="14"/>
          <w:szCs w:val="14"/>
        </w:rPr>
      </w:pPr>
    </w:p>
    <w:p>
      <w:pPr>
        <w:spacing w:line="408" w:lineRule="auto" w:before="0"/>
        <w:ind w:left="572" w:right="0" w:hanging="10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本公司在购买日对作为企业合并对价付出的资产、发生或承担的负债按照公允价值计量，公允价值与</w:t>
      </w:r>
    </w:p>
    <w:p>
      <w:pPr>
        <w:pStyle w:val="BodyText"/>
        <w:spacing w:line="408" w:lineRule="auto"/>
        <w:ind w:left="572" w:right="0" w:hanging="420"/>
        <w:jc w:val="left"/>
      </w:pPr>
      <w:r>
        <w:rPr/>
        <w:t>其账面价值的差额，计入当期损益。</w:t>
      </w:r>
      <w:r>
        <w:rPr>
          <w:w w:val="100"/>
        </w:rPr>
        <w:t> </w:t>
      </w:r>
      <w:r>
        <w:rPr>
          <w:spacing w:val="-2"/>
        </w:rPr>
        <w:t>本公司对合并成本大于合并中取得的被购买方可辨认净资产公允价值份额的差额，确认为商誉；合并</w:t>
      </w:r>
    </w:p>
    <w:p>
      <w:pPr>
        <w:pStyle w:val="BodyText"/>
        <w:spacing w:line="240" w:lineRule="auto"/>
        <w:ind w:right="0"/>
        <w:jc w:val="left"/>
      </w:pPr>
      <w:r>
        <w:rPr/>
        <w:t>成本小于合并中取得的被购买方可辨认净资产公允价值份额的差额，经复核后，计入当期损益。</w:t>
      </w:r>
    </w:p>
    <w:p>
      <w:pPr>
        <w:spacing w:line="240" w:lineRule="auto" w:before="12"/>
        <w:rPr>
          <w:rFonts w:ascii="宋体" w:hAnsi="宋体" w:cs="宋体" w:eastAsia="宋体" w:hint="default"/>
          <w:sz w:val="23"/>
          <w:szCs w:val="23"/>
        </w:rPr>
      </w:pPr>
    </w:p>
    <w:p>
      <w:pPr>
        <w:pStyle w:val="BodyText"/>
        <w:spacing w:line="408" w:lineRule="auto" w:before="0"/>
        <w:ind w:right="147" w:firstLine="420"/>
        <w:jc w:val="both"/>
      </w:pPr>
      <w:r>
        <w:rPr>
          <w:spacing w:val="-2"/>
        </w:rPr>
        <w:t>通过多次交换交易分步实现的非同一控制下企业合并，属于一揽子交易的，将各项交易作为一项取得</w:t>
      </w:r>
      <w:r>
        <w:rPr>
          <w:w w:val="100"/>
        </w:rPr>
        <w:t> </w:t>
      </w:r>
      <w:r>
        <w:rPr>
          <w:spacing w:val="-2"/>
        </w:rPr>
        <w:t>控制权的交易进行会计处理；不属于一揽子交易的，合并日之前持有的股权投资采用权益法核算的，以购</w:t>
      </w:r>
      <w:r>
        <w:rPr>
          <w:spacing w:val="-43"/>
        </w:rPr>
        <w:t> </w:t>
      </w:r>
      <w:r>
        <w:rPr>
          <w:spacing w:val="-43"/>
        </w:rPr>
      </w:r>
      <w:r>
        <w:rPr>
          <w:spacing w:val="2"/>
        </w:rPr>
        <w:t>买日之前所持被购买方的股权投资的账面价值与购买日新增投资成本之和，作为该项投资的初始投资成</w:t>
      </w:r>
      <w:r>
        <w:rPr>
          <w:spacing w:val="-28"/>
        </w:rPr>
        <w:t> </w:t>
      </w:r>
      <w:r>
        <w:rPr>
          <w:spacing w:val="-28"/>
        </w:rPr>
      </w:r>
      <w:r>
        <w:rPr>
          <w:spacing w:val="-2"/>
        </w:rPr>
        <w:t>本；购买日之前持有的股权投资因采用权益法核算而确认的其他综合收益，在处置该项投资时采用与被投</w:t>
      </w:r>
      <w:r>
        <w:rPr>
          <w:spacing w:val="-43"/>
        </w:rPr>
        <w:t> </w:t>
      </w:r>
      <w:r>
        <w:rPr>
          <w:spacing w:val="-43"/>
        </w:rPr>
      </w:r>
      <w:r>
        <w:rPr>
          <w:spacing w:val="-2"/>
        </w:rPr>
        <w:t>资单位直接处置相关资产或负债相同的基础进行会计处理。合并日之前持有的股权投资采用金融工具确认</w:t>
      </w:r>
      <w:r>
        <w:rPr>
          <w:spacing w:val="-43"/>
        </w:rPr>
        <w:t> </w:t>
      </w:r>
      <w:r>
        <w:rPr>
          <w:spacing w:val="-43"/>
        </w:rPr>
      </w:r>
      <w:r>
        <w:rPr>
          <w:spacing w:val="-2"/>
        </w:rPr>
        <w:t>和计量准则核算的，以该股权投资在合并日的公允价值加上新增投资成本之和，作为合并日的初始投资成</w:t>
      </w:r>
      <w:r>
        <w:rPr>
          <w:spacing w:val="-43"/>
        </w:rPr>
        <w:t> </w:t>
      </w:r>
      <w:r>
        <w:rPr>
          <w:spacing w:val="-43"/>
        </w:rPr>
      </w:r>
      <w:r>
        <w:rPr>
          <w:spacing w:val="-2"/>
        </w:rPr>
        <w:t>本。原持有股权的公允价值与账面价值之间的差额以及原计入其他综合收益的累计公允价值变动应全部转</w:t>
      </w:r>
      <w:r>
        <w:rPr>
          <w:spacing w:val="-43"/>
        </w:rPr>
        <w:t> </w:t>
      </w:r>
      <w:r>
        <w:rPr>
          <w:spacing w:val="-43"/>
        </w:rPr>
      </w:r>
      <w:r>
        <w:rPr/>
        <w:t>入合并日当期的投资收益。</w:t>
      </w:r>
    </w:p>
    <w:p>
      <w:pPr>
        <w:pStyle w:val="Heading3"/>
        <w:spacing w:line="240" w:lineRule="auto" w:before="166"/>
        <w:ind w:left="452" w:right="0"/>
        <w:jc w:val="left"/>
        <w:rPr>
          <w:b w:val="0"/>
          <w:bCs w:val="0"/>
        </w:rPr>
      </w:pPr>
      <w:r>
        <w:rPr/>
        <w:t>（</w:t>
      </w:r>
      <w:r>
        <w:rPr>
          <w:rFonts w:ascii="宋体" w:hAnsi="宋体" w:cs="宋体" w:eastAsia="宋体" w:hint="default"/>
        </w:rPr>
        <w:t>4</w:t>
      </w:r>
      <w:r>
        <w:rPr/>
        <w:t>）为合并发生的相关费用</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46" w:firstLine="420"/>
        <w:jc w:val="both"/>
      </w:pPr>
      <w:r>
        <w:rPr>
          <w:spacing w:val="-2"/>
        </w:rPr>
        <w:t>为企业合并发生的审计、法律服务、评估咨询等中介费用以及其他直接相关费用，于发生时计入当期</w:t>
      </w:r>
      <w:r>
        <w:rPr>
          <w:w w:val="100"/>
        </w:rPr>
        <w:t> </w:t>
      </w:r>
      <w:r>
        <w:rPr/>
        <w:t>损益；为企业合并而发行权益性证券的交易费用，可直接归属于权益性交易的从权益中扣减。</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6</w:t>
      </w:r>
      <w:r>
        <w:rPr/>
        <w:t>、合并财务报表的编制方法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left="572" w:right="0"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）合并范围</w:t>
      </w:r>
      <w:r>
        <w:rPr>
          <w:rFonts w:ascii="宋体" w:hAnsi="宋体" w:cs="宋体" w:eastAsia="宋体" w:hint="default"/>
          <w:b/>
          <w:bCs/>
          <w:w w:val="100"/>
        </w:rPr>
        <w:t> </w:t>
      </w:r>
      <w:r>
        <w:rPr>
          <w:spacing w:val="-2"/>
        </w:rPr>
        <w:t>本公司合并财务报表的合并范围以控制为基础确定，所有子公司（包括母公司所控制的</w:t>
      </w:r>
      <w:bookmarkStart w:name="6、合并财务报表的编制方法" w:id="166"/>
      <w:bookmarkEnd w:id="166"/>
      <w:r>
        <w:rPr>
          <w:spacing w:val="-2"/>
        </w:rPr>
        <w:t>单</w:t>
      </w:r>
      <w:r>
        <w:rPr>
          <w:spacing w:val="-2"/>
        </w:rPr>
        <w:t>独主体）均</w:t>
      </w:r>
    </w:p>
    <w:p>
      <w:pPr>
        <w:pStyle w:val="BodyText"/>
        <w:spacing w:line="240" w:lineRule="auto"/>
        <w:ind w:right="0"/>
        <w:jc w:val="left"/>
      </w:pPr>
      <w:r>
        <w:rPr/>
        <w:t>纳入合并财务报表。</w:t>
      </w:r>
    </w:p>
    <w:p>
      <w:pPr>
        <w:spacing w:line="240" w:lineRule="auto" w:before="10"/>
        <w:rPr>
          <w:rFonts w:ascii="宋体" w:hAnsi="宋体" w:cs="宋体" w:eastAsia="宋体" w:hint="default"/>
          <w:sz w:val="14"/>
          <w:szCs w:val="14"/>
        </w:rPr>
      </w:pPr>
    </w:p>
    <w:p>
      <w:pPr>
        <w:pStyle w:val="BodyText"/>
        <w:spacing w:line="408" w:lineRule="auto" w:before="0"/>
        <w:ind w:left="572" w:right="0"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）合并程序</w:t>
      </w:r>
      <w:r>
        <w:rPr>
          <w:rFonts w:ascii="宋体" w:hAnsi="宋体" w:cs="宋体" w:eastAsia="宋体" w:hint="default"/>
          <w:b/>
          <w:bCs/>
          <w:w w:val="100"/>
        </w:rPr>
        <w:t> </w:t>
      </w:r>
      <w:r>
        <w:rPr>
          <w:spacing w:val="-2"/>
        </w:rPr>
        <w:t>本公司以自身和各子公司的财务报表为基础，根据其他有关资料，编制合并财务报表。本公司编制合</w:t>
      </w:r>
    </w:p>
    <w:p>
      <w:pPr>
        <w:pStyle w:val="BodyText"/>
        <w:spacing w:line="408" w:lineRule="auto"/>
        <w:ind w:right="0"/>
        <w:jc w:val="left"/>
      </w:pP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BodyText"/>
        <w:spacing w:line="408" w:lineRule="auto"/>
        <w:ind w:right="147" w:firstLine="420"/>
        <w:jc w:val="both"/>
      </w:pPr>
      <w:r>
        <w:rPr>
          <w:spacing w:val="-2"/>
        </w:rPr>
        <w:t>所有纳入合并财务报表合并范围的子公司所采用的会计政策、会计期间与本公司一致，如子公司采用</w:t>
      </w:r>
      <w:r>
        <w:rPr>
          <w:w w:val="100"/>
        </w:rPr>
        <w:t> </w:t>
      </w:r>
      <w:r>
        <w:rPr>
          <w:spacing w:val="-3"/>
        </w:rPr>
        <w:t>的会计政策、会计期间与本公司不一致的，在编制合并财务报表时，按本公司的会计政策、会计期间进行</w:t>
      </w:r>
      <w:r>
        <w:rPr>
          <w:spacing w:val="-13"/>
        </w:rPr>
        <w:t> </w:t>
      </w:r>
      <w:r>
        <w:rPr>
          <w:spacing w:val="-13"/>
        </w:rPr>
      </w:r>
      <w:r>
        <w:rPr/>
        <w:t>必要的调整。</w:t>
      </w:r>
    </w:p>
    <w:p>
      <w:pPr>
        <w:spacing w:after="0" w:line="408" w:lineRule="auto"/>
        <w:jc w:val="both"/>
        <w:sectPr>
          <w:footerReference w:type="default" r:id="rId53"/>
          <w:pgSz w:w="11910" w:h="16840"/>
          <w:pgMar w:footer="1066" w:header="990" w:top="1220" w:bottom="1260" w:left="980" w:right="980"/>
          <w:pgNumType w:start="162"/>
        </w:sectPr>
      </w:pPr>
    </w:p>
    <w:p>
      <w:pPr>
        <w:spacing w:line="240" w:lineRule="auto" w:before="4"/>
        <w:rPr>
          <w:rFonts w:ascii="宋体" w:hAnsi="宋体" w:cs="宋体" w:eastAsia="宋体" w:hint="default"/>
          <w:sz w:val="16"/>
          <w:szCs w:val="16"/>
        </w:rPr>
      </w:pPr>
    </w:p>
    <w:p>
      <w:pPr>
        <w:pStyle w:val="BodyText"/>
        <w:spacing w:line="408" w:lineRule="auto" w:before="36"/>
        <w:ind w:right="146" w:firstLine="420"/>
        <w:jc w:val="both"/>
      </w:pPr>
      <w:r>
        <w:rPr>
          <w:spacing w:val="-2"/>
        </w:rPr>
        <w:t>合并财务报表时抵销本公司与各子公司、各子公司相互之间发生的内部交易对合并资产负债表、合并</w:t>
      </w:r>
      <w:r>
        <w:rPr>
          <w:w w:val="100"/>
        </w:rPr>
        <w:t> </w:t>
      </w:r>
      <w:r>
        <w:rPr>
          <w:spacing w:val="-2"/>
        </w:rPr>
        <w:t>利润表、合并现金流量表、合并股东权益变动表的影响。如果站在企业集团合并财务报表角度与以本公司</w:t>
      </w:r>
      <w:r>
        <w:rPr>
          <w:spacing w:val="-44"/>
        </w:rPr>
        <w:t> </w:t>
      </w:r>
      <w:r>
        <w:rPr>
          <w:spacing w:val="-44"/>
        </w:rPr>
      </w:r>
      <w:r>
        <w:rPr/>
        <w:t>或子公司为会计主体对同一交易的认定不同时，从企业集团的角度对该交易予以调整。</w:t>
      </w:r>
    </w:p>
    <w:p>
      <w:pPr>
        <w:pStyle w:val="BodyText"/>
        <w:spacing w:line="408" w:lineRule="auto"/>
        <w:ind w:right="146" w:firstLine="420"/>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4"/>
        </w:rPr>
        <w:t> </w:t>
      </w:r>
      <w:r>
        <w:rPr>
          <w:spacing w:val="-44"/>
        </w:rPr>
      </w:r>
      <w:r>
        <w:rPr/>
        <w:t>亏损超过了少数股东在该子公司期初所有者权益中所享有份额而形成的余额，冲减少数股东权益。</w:t>
      </w:r>
    </w:p>
    <w:p>
      <w:pPr>
        <w:pStyle w:val="BodyText"/>
        <w:spacing w:line="408" w:lineRule="auto"/>
        <w:ind w:right="151" w:firstLine="420"/>
        <w:jc w:val="both"/>
      </w:pPr>
      <w:r>
        <w:rPr>
          <w:spacing w:val="-3"/>
        </w:rPr>
        <w:t>对于同一控制下企业合并取得的子公司，以其资产、负债（包括最终控制方收购该子公司而形成的商</w:t>
      </w:r>
      <w:r>
        <w:rPr>
          <w:spacing w:val="-3"/>
          <w:w w:val="100"/>
        </w:rPr>
        <w:t> </w:t>
      </w:r>
      <w:r>
        <w:rPr/>
        <w:t>誉）在最终控制方财务报表中的账面价值为基础对其财务报表进行调整。</w:t>
      </w:r>
    </w:p>
    <w:p>
      <w:pPr>
        <w:pStyle w:val="BodyText"/>
        <w:spacing w:line="408" w:lineRule="auto"/>
        <w:ind w:right="147" w:firstLine="420"/>
        <w:jc w:val="both"/>
      </w:pPr>
      <w:r>
        <w:rPr>
          <w:spacing w:val="-2"/>
        </w:rPr>
        <w:t>对于非同一控制下企业合并取得的子公司，以购买日可辨认净资产公允价值为基础对其财务报表进行</w:t>
      </w:r>
      <w:r>
        <w:rPr>
          <w:w w:val="100"/>
        </w:rPr>
        <w:t> </w:t>
      </w:r>
      <w:r>
        <w:rPr/>
        <w:t>调整。</w:t>
      </w:r>
    </w:p>
    <w:p>
      <w:pPr>
        <w:pStyle w:val="BodyText"/>
        <w:tabs>
          <w:tab w:pos="1038" w:val="left" w:leader="none"/>
        </w:tabs>
        <w:spacing w:line="408" w:lineRule="auto"/>
        <w:ind w:left="573" w:right="180" w:hanging="1"/>
        <w:jc w:val="left"/>
      </w:pPr>
      <w:r>
        <w:rPr/>
        <w:t>①</w:t>
        <w:tab/>
        <w:t>增加子公司或业务</w:t>
      </w:r>
      <w:r>
        <w:rPr>
          <w:w w:val="100"/>
        </w:rPr>
        <w:t> </w:t>
      </w:r>
      <w:r>
        <w:rPr>
          <w:spacing w:val="-2"/>
        </w:rPr>
        <w:t>在报告期内，若因同一控制下企业合并增加子公司或业务的，则调整合并资产负债表的期初数；将子</w:t>
      </w:r>
    </w:p>
    <w:p>
      <w:pPr>
        <w:pStyle w:val="BodyText"/>
        <w:spacing w:line="408" w:lineRule="auto"/>
        <w:ind w:right="14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BodyText"/>
        <w:spacing w:line="408" w:lineRule="auto"/>
        <w:ind w:right="14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408" w:lineRule="auto"/>
        <w:ind w:right="147"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BodyText"/>
        <w:spacing w:line="408" w:lineRule="auto"/>
        <w:ind w:right="147" w:firstLine="42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BodyText"/>
        <w:tabs>
          <w:tab w:pos="1038" w:val="left" w:leader="none"/>
        </w:tabs>
        <w:spacing w:line="240" w:lineRule="auto"/>
        <w:ind w:left="572" w:right="0"/>
        <w:jc w:val="left"/>
      </w:pPr>
      <w:r>
        <w:rPr/>
        <w:t>②</w:t>
        <w:tab/>
        <w:t>处置子公司或业务</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rFonts w:ascii="宋体" w:hAnsi="宋体" w:cs="宋体" w:eastAsia="宋体" w:hint="default"/>
        </w:rPr>
        <w:t>A</w:t>
      </w:r>
      <w:r>
        <w:rPr/>
        <w:t>、 一般处理方法</w:t>
      </w:r>
      <w:r>
        <w:rPr>
          <w:w w:val="100"/>
        </w:rPr>
        <w:t> </w:t>
      </w:r>
      <w:r>
        <w:rPr>
          <w:spacing w:val="-3"/>
        </w:rPr>
        <w:t>在报告期内，本公司处置子公司或业务，则该子公司或业务期初至处置日的收入、费用、利润纳入合</w:t>
      </w:r>
      <w:r>
        <w:rPr/>
      </w:r>
    </w:p>
    <w:p>
      <w:pPr>
        <w:spacing w:after="0" w:line="408"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left="572" w:right="0" w:hanging="421"/>
        <w:jc w:val="left"/>
      </w:pPr>
      <w:r>
        <w:rPr/>
        <w:t>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w:t>
      </w:r>
    </w:p>
    <w:p>
      <w:pPr>
        <w:pStyle w:val="BodyText"/>
        <w:spacing w:line="408" w:lineRule="auto"/>
        <w:ind w:right="146"/>
        <w:jc w:val="both"/>
      </w:pP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BodyText"/>
        <w:spacing w:line="408" w:lineRule="auto"/>
        <w:ind w:left="572" w:right="0"/>
        <w:jc w:val="left"/>
      </w:pPr>
      <w:r>
        <w:rPr>
          <w:rFonts w:ascii="宋体" w:hAnsi="宋体" w:cs="宋体" w:eastAsia="宋体" w:hint="default"/>
        </w:rPr>
        <w:t>B</w:t>
      </w:r>
      <w:r>
        <w:rPr/>
        <w:t>、分步处置子公司</w:t>
      </w:r>
      <w:r>
        <w:rPr>
          <w:spacing w:val="-3"/>
          <w:w w:val="100"/>
        </w:rPr>
        <w:t> </w:t>
      </w:r>
      <w:r>
        <w:rPr>
          <w:spacing w:val="-2"/>
        </w:rPr>
        <w:t>通过多次交易分步处置对子公司股权投资直至丧失控制权的，处置对子公司股权投资的各项交易的条</w:t>
      </w:r>
    </w:p>
    <w:p>
      <w:pPr>
        <w:pStyle w:val="BodyText"/>
        <w:spacing w:line="408" w:lineRule="auto"/>
        <w:ind w:right="146"/>
        <w:jc w:val="both"/>
      </w:pP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BodyText"/>
        <w:tabs>
          <w:tab w:pos="860" w:val="left" w:leader="none"/>
        </w:tabs>
        <w:spacing w:line="240" w:lineRule="auto"/>
        <w:ind w:left="440" w:right="0"/>
        <w:jc w:val="left"/>
      </w:pPr>
      <w:r>
        <w:rPr>
          <w:rFonts w:ascii="宋体" w:hAnsi="宋体" w:cs="宋体" w:eastAsia="宋体" w:hint="default"/>
        </w:rPr>
        <w:t>a)</w:t>
        <w:tab/>
      </w:r>
      <w:r>
        <w:rPr/>
        <w:t>这些交易是同时或者在考虑了彼此影响的情况下订立的；</w:t>
      </w:r>
    </w:p>
    <w:p>
      <w:pPr>
        <w:spacing w:line="240" w:lineRule="auto" w:before="10"/>
        <w:rPr>
          <w:rFonts w:ascii="宋体" w:hAnsi="宋体" w:cs="宋体" w:eastAsia="宋体" w:hint="default"/>
          <w:sz w:val="14"/>
          <w:szCs w:val="14"/>
        </w:rPr>
      </w:pPr>
    </w:p>
    <w:p>
      <w:pPr>
        <w:pStyle w:val="BodyText"/>
        <w:tabs>
          <w:tab w:pos="860" w:val="left" w:leader="none"/>
        </w:tabs>
        <w:spacing w:line="240" w:lineRule="auto" w:before="0"/>
        <w:ind w:left="440" w:right="0"/>
        <w:jc w:val="left"/>
      </w:pPr>
      <w:r>
        <w:rPr>
          <w:rFonts w:ascii="宋体" w:hAnsi="宋体" w:cs="宋体" w:eastAsia="宋体" w:hint="default"/>
        </w:rPr>
        <w:t>b)</w:t>
        <w:tab/>
      </w:r>
      <w:r>
        <w:rPr/>
        <w:t>这些交易整体才能达成一项完整的商业结果；</w:t>
      </w:r>
    </w:p>
    <w:p>
      <w:pPr>
        <w:spacing w:line="240" w:lineRule="auto" w:before="10"/>
        <w:rPr>
          <w:rFonts w:ascii="宋体" w:hAnsi="宋体" w:cs="宋体" w:eastAsia="宋体" w:hint="default"/>
          <w:sz w:val="14"/>
          <w:szCs w:val="14"/>
        </w:rPr>
      </w:pPr>
    </w:p>
    <w:p>
      <w:pPr>
        <w:pStyle w:val="BodyText"/>
        <w:tabs>
          <w:tab w:pos="861" w:val="left" w:leader="none"/>
        </w:tabs>
        <w:spacing w:line="240" w:lineRule="auto" w:before="0"/>
        <w:ind w:left="441" w:right="0"/>
        <w:jc w:val="left"/>
      </w:pPr>
      <w:r>
        <w:rPr>
          <w:rFonts w:ascii="宋体" w:hAnsi="宋体" w:cs="宋体" w:eastAsia="宋体" w:hint="default"/>
        </w:rPr>
        <w:t>c)</w:t>
        <w:tab/>
      </w:r>
      <w:r>
        <w:rPr/>
        <w:t>一项交易的发生取决于其他至少一项交易的发生；</w:t>
      </w:r>
    </w:p>
    <w:p>
      <w:pPr>
        <w:spacing w:line="240" w:lineRule="auto" w:before="10"/>
        <w:rPr>
          <w:rFonts w:ascii="宋体" w:hAnsi="宋体" w:cs="宋体" w:eastAsia="宋体" w:hint="default"/>
          <w:sz w:val="14"/>
          <w:szCs w:val="14"/>
        </w:rPr>
      </w:pPr>
    </w:p>
    <w:p>
      <w:pPr>
        <w:pStyle w:val="BodyText"/>
        <w:tabs>
          <w:tab w:pos="861" w:val="left" w:leader="none"/>
        </w:tabs>
        <w:spacing w:line="408" w:lineRule="auto" w:before="0"/>
        <w:ind w:left="573" w:right="180" w:hanging="132"/>
        <w:jc w:val="left"/>
      </w:pPr>
      <w:r>
        <w:rPr>
          <w:rFonts w:ascii="宋体" w:hAnsi="宋体" w:cs="宋体" w:eastAsia="宋体" w:hint="default"/>
        </w:rPr>
        <w:t>d)</w:t>
        <w:tab/>
      </w:r>
      <w:r>
        <w:rPr/>
        <w:t>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w:t>
      </w:r>
    </w:p>
    <w:p>
      <w:pPr>
        <w:pStyle w:val="BodyText"/>
        <w:spacing w:line="408" w:lineRule="auto"/>
        <w:ind w:left="153" w:right="146"/>
        <w:jc w:val="both"/>
      </w:pP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4"/>
        </w:rPr>
        <w:t> </w:t>
      </w:r>
      <w:r>
        <w:rPr>
          <w:spacing w:val="-44"/>
        </w:rPr>
      </w:r>
      <w:r>
        <w:rPr/>
        <w:t>控制权当期的损益。</w:t>
      </w:r>
    </w:p>
    <w:p>
      <w:pPr>
        <w:pStyle w:val="BodyText"/>
        <w:spacing w:line="408" w:lineRule="auto"/>
        <w:ind w:left="153" w:right="14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BodyText"/>
        <w:spacing w:line="408" w:lineRule="auto"/>
        <w:ind w:left="573" w:right="0"/>
        <w:jc w:val="left"/>
      </w:pPr>
      <w:r>
        <w:rPr>
          <w:rFonts w:ascii="宋体" w:hAnsi="宋体" w:cs="宋体" w:eastAsia="宋体" w:hint="default"/>
        </w:rPr>
        <w:t>C</w:t>
      </w:r>
      <w:r>
        <w:rPr/>
        <w:t>、购买子公司少数股权</w:t>
      </w:r>
      <w:r>
        <w:rPr>
          <w:spacing w:val="-3"/>
          <w:w w:val="100"/>
        </w:rPr>
        <w:t> </w:t>
      </w:r>
      <w:r>
        <w:rPr>
          <w:spacing w:val="-2"/>
        </w:rPr>
        <w:t>本公司因购买少数股权新取得的长期股权投资与按照新增持股比例计算应享有子公司自购买日（或合</w:t>
      </w:r>
    </w:p>
    <w:p>
      <w:pPr>
        <w:pStyle w:val="BodyText"/>
        <w:spacing w:line="408" w:lineRule="auto"/>
        <w:ind w:left="153" w:right="148"/>
        <w:jc w:val="both"/>
      </w:pPr>
      <w:r>
        <w:rPr>
          <w:spacing w:val="-3"/>
        </w:rPr>
        <w:t>并日）开始持续计算的净资产份额之间的差额，调整合并资产负债表中的资本公积中的股本溢价，资本公</w:t>
      </w:r>
      <w:r>
        <w:rPr>
          <w:spacing w:val="-6"/>
        </w:rPr>
        <w:t> </w:t>
      </w:r>
      <w:r>
        <w:rPr>
          <w:spacing w:val="-6"/>
        </w:rPr>
      </w:r>
      <w:r>
        <w:rPr/>
        <w:t>积中的股本溢价不足冲减的，调整留存收益。</w:t>
      </w:r>
    </w:p>
    <w:p>
      <w:pPr>
        <w:pStyle w:val="BodyText"/>
        <w:spacing w:line="408" w:lineRule="auto"/>
        <w:ind w:left="572" w:right="0"/>
        <w:jc w:val="left"/>
      </w:pPr>
      <w:r>
        <w:rPr>
          <w:rFonts w:ascii="宋体" w:hAnsi="宋体" w:cs="宋体" w:eastAsia="宋体" w:hint="default"/>
        </w:rPr>
        <w:t>D</w:t>
      </w:r>
      <w:r>
        <w:rPr/>
        <w:t>、不丧失控制权的情况下部分处置对子公司的股权投资</w:t>
      </w:r>
      <w:r>
        <w:rPr>
          <w:spacing w:val="-3"/>
          <w:w w:val="100"/>
        </w:rPr>
        <w:t> </w:t>
      </w:r>
      <w:r>
        <w:rPr>
          <w:spacing w:val="2"/>
        </w:rPr>
        <w:t>在不丧失控制权的情况下因部分处置对子公司的长期股权投资而取得的处置价款与处置长期股权投</w:t>
      </w:r>
    </w:p>
    <w:p>
      <w:pPr>
        <w:pStyle w:val="BodyText"/>
        <w:spacing w:line="408" w:lineRule="auto"/>
        <w:ind w:right="146"/>
        <w:jc w:val="both"/>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after="0" w:line="408" w:lineRule="auto"/>
        <w:jc w:val="both"/>
        <w:sectPr>
          <w:pgSz w:w="11910" w:h="16840"/>
          <w:pgMar w:header="990" w:footer="1066" w:top="1220" w:bottom="12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3"/>
        <w:spacing w:line="240" w:lineRule="auto" w:before="36"/>
        <w:ind w:right="0"/>
        <w:jc w:val="both"/>
        <w:rPr>
          <w:b w:val="0"/>
          <w:bCs w:val="0"/>
        </w:rPr>
      </w:pPr>
      <w:r>
        <w:rPr>
          <w:rFonts w:ascii="Times New Roman" w:hAnsi="Times New Roman" w:cs="Times New Roman" w:eastAsia="Times New Roman" w:hint="default"/>
        </w:rPr>
        <w:t>7</w:t>
      </w:r>
      <w:bookmarkStart w:name="7、合营安排分类及共同经营会计处理方法" w:id="167"/>
      <w:bookmarkEnd w:id="167"/>
      <w:r>
        <w:rPr>
          <w:rFonts w:ascii="Times New Roman" w:hAnsi="Times New Roman" w:cs="Times New Roman" w:eastAsia="Times New Roman" w:hint="default"/>
        </w:rPr>
      </w:r>
      <w:r>
        <w:rPr/>
        <w:t>、合营安排分类及共同经营会计处理方法</w:t>
      </w:r>
      <w:r>
        <w:rPr>
          <w:b w:val="0"/>
          <w:bCs w:val="0"/>
        </w:rPr>
      </w:r>
    </w:p>
    <w:p>
      <w:pPr>
        <w:spacing w:line="692" w:lineRule="exact" w:before="13"/>
        <w:ind w:left="57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bookmarkStart w:name="8、现金及现金等价物的确定标准" w:id="168"/>
      <w:bookmarkEnd w:id="168"/>
      <w:r>
        <w:rPr>
          <w:rFonts w:ascii="Times New Roman" w:hAnsi="Times New Roman" w:cs="Times New Roman" w:eastAsia="Times New Roman" w:hint="default"/>
          <w:b/>
          <w:bCs/>
          <w:sz w:val="21"/>
          <w:szCs w:val="21"/>
        </w:rPr>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BodyText"/>
        <w:spacing w:line="408" w:lineRule="auto" w:before="84"/>
        <w:ind w:right="152"/>
        <w:jc w:val="both"/>
      </w:pPr>
      <w:r>
        <w:rPr>
          <w:spacing w:val="-2"/>
        </w:rPr>
        <w:t>短（一般从购买日起，三个月内到期）、流动性强、易于转换为已知金额的现金、价值变动风险很小四个</w:t>
      </w:r>
      <w:r>
        <w:rPr>
          <w:spacing w:val="-49"/>
        </w:rPr>
        <w:t> </w:t>
      </w:r>
      <w:r>
        <w:rPr>
          <w:spacing w:val="-49"/>
        </w:rPr>
      </w:r>
      <w:r>
        <w:rPr/>
        <w:t>条件的投资，确定为现金等价物。</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0"/>
          <w:szCs w:val="30"/>
        </w:rPr>
      </w:pPr>
    </w:p>
    <w:p>
      <w:pPr>
        <w:pStyle w:val="BodyText"/>
        <w:spacing w:line="398" w:lineRule="auto" w:before="0"/>
        <w:ind w:left="572" w:right="0" w:firstLine="2"/>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100"/>
        </w:rPr>
        <w:t> </w:t>
      </w:r>
      <w:r>
        <w:rPr/>
        <w:t>外币业务交易在初始确认时，采</w:t>
      </w:r>
      <w:bookmarkStart w:name="9、外币业务和外币报表折算" w:id="169"/>
      <w:bookmarkEnd w:id="169"/>
      <w:r>
        <w:rPr/>
        <w:t>用</w:t>
      </w:r>
      <w:r>
        <w:rPr/>
        <w:t>交易发生日的即期汇率作为折算汇率折合成人民币记账。</w:t>
      </w:r>
      <w:r>
        <w:rPr>
          <w:w w:val="100"/>
        </w:rPr>
        <w:t> </w:t>
      </w:r>
      <w:r>
        <w:rPr>
          <w:spacing w:val="-2"/>
        </w:rPr>
        <w:t>资产负债表日，外币货币性项目按资产负债表日即期汇率折算，由此产生的汇兑差额，除属于与购建</w:t>
      </w:r>
    </w:p>
    <w:p>
      <w:pPr>
        <w:pStyle w:val="BodyText"/>
        <w:spacing w:line="408" w:lineRule="auto" w:before="54"/>
        <w:ind w:right="146"/>
        <w:jc w:val="both"/>
      </w:pPr>
      <w:r>
        <w:rPr>
          <w:spacing w:val="-2"/>
        </w:rPr>
        <w:t>符合资本化条件的资产相关的外币专门借款产生的汇兑差额按照借款费用资本化的原则处理外，均计入当</w:t>
      </w:r>
      <w:r>
        <w:rPr>
          <w:spacing w:val="-43"/>
        </w:rPr>
        <w:t> </w:t>
      </w:r>
      <w:r>
        <w:rPr>
          <w:spacing w:val="-43"/>
        </w:rPr>
      </w:r>
      <w:r>
        <w:rPr>
          <w:spacing w:val="-2"/>
        </w:rPr>
        <w:t>期损益。以历史成本计量的外币非货币性项目，仍采用交易发生日的即期汇率折算，不改变其记账本位币</w:t>
      </w:r>
      <w:r>
        <w:rPr>
          <w:spacing w:val="-43"/>
        </w:rPr>
        <w:t> </w:t>
      </w:r>
      <w:r>
        <w:rPr>
          <w:spacing w:val="-43"/>
        </w:rPr>
      </w:r>
      <w:r>
        <w:rPr/>
        <w:t>金额。</w:t>
      </w:r>
    </w:p>
    <w:p>
      <w:pPr>
        <w:pStyle w:val="BodyText"/>
        <w:spacing w:line="408" w:lineRule="auto"/>
        <w:ind w:right="146" w:firstLine="419"/>
        <w:jc w:val="both"/>
      </w:pPr>
      <w:r>
        <w:rPr>
          <w:spacing w:val="-2"/>
        </w:rPr>
        <w:t>以公允价值计量的外币非货币性项目，采用公允价值确定日的即期汇率折算，由此产生的汇兑差额作</w:t>
      </w:r>
      <w:r>
        <w:rPr>
          <w:w w:val="100"/>
        </w:rPr>
        <w:t> </w:t>
      </w:r>
      <w:r>
        <w:rPr>
          <w:spacing w:val="-2"/>
        </w:rPr>
        <w:t>为公允价值变动损益计入当期损益。如属于可供出售外币非货币性项目的，形成的汇兑差额计入其他综合</w:t>
      </w:r>
      <w:r>
        <w:rPr>
          <w:spacing w:val="-42"/>
        </w:rPr>
        <w:t> </w:t>
      </w:r>
      <w:r>
        <w:rPr>
          <w:spacing w:val="-42"/>
        </w:rPr>
      </w:r>
      <w:r>
        <w:rPr/>
        <w:t>收益。</w:t>
      </w:r>
    </w:p>
    <w:p>
      <w:pPr>
        <w:pStyle w:val="BodyText"/>
        <w:spacing w:line="386" w:lineRule="auto"/>
        <w:ind w:left="572" w:right="0" w:firstLine="2"/>
        <w:jc w:val="left"/>
      </w:pPr>
      <w:r>
        <w:rPr>
          <w:rFonts w:ascii="Times New Roman" w:hAnsi="Times New Roman" w:cs="Times New Roman" w:eastAsia="Times New Roman" w:hint="default"/>
          <w:b/>
          <w:bCs/>
        </w:rPr>
        <w:t>2</w:t>
      </w:r>
      <w:r>
        <w:rPr>
          <w:rFonts w:ascii="宋体" w:hAnsi="宋体" w:cs="宋体" w:eastAsia="宋体" w:hint="default"/>
          <w:b/>
          <w:bCs/>
        </w:rPr>
        <w:t>、外币财务报表折算</w:t>
      </w:r>
      <w:r>
        <w:rPr>
          <w:rFonts w:ascii="宋体" w:hAnsi="宋体" w:cs="宋体" w:eastAsia="宋体" w:hint="default"/>
          <w:b/>
          <w:bCs/>
          <w:w w:val="100"/>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p>
    <w:p>
      <w:pPr>
        <w:pStyle w:val="BodyText"/>
        <w:spacing w:line="386" w:lineRule="auto" w:before="35"/>
        <w:ind w:right="242"/>
        <w:jc w:val="both"/>
      </w:pPr>
      <w:r>
        <w:rPr>
          <w:spacing w:val="-2"/>
        </w:rPr>
        <w:t>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项目外，其他项目采用发生时的即期汇率折算。利润表中的收入和费用项目，采用交易发生日的即期</w:t>
      </w:r>
      <w:r>
        <w:rPr>
          <w:spacing w:val="-23"/>
        </w:rPr>
        <w:t> </w:t>
      </w:r>
      <w:r>
        <w:rPr>
          <w:spacing w:val="-23"/>
        </w:rPr>
      </w:r>
      <w:r>
        <w:rPr/>
        <w:t>汇率折算。按照上述折算产生的外币财务报表折算差额计入其他综合收益。</w:t>
      </w:r>
    </w:p>
    <w:p>
      <w:pPr>
        <w:pStyle w:val="BodyText"/>
        <w:spacing w:line="408" w:lineRule="auto" w:before="65"/>
        <w:ind w:right="146" w:firstLine="420"/>
        <w:jc w:val="both"/>
      </w:pPr>
      <w:r>
        <w:rPr>
          <w:spacing w:val="-2"/>
        </w:rPr>
        <w:t>处置境外经营时，将资产负债表中其他综合收益项目中列示的、与该境外经营相关的外币财务报表折</w:t>
      </w:r>
      <w:r>
        <w:rPr>
          <w:w w:val="100"/>
        </w:rPr>
        <w:t> </w:t>
      </w:r>
      <w:r>
        <w:rPr>
          <w:spacing w:val="-2"/>
        </w:rPr>
        <w:t>算差额，自其他综合收益项目转入处置当期损益；在处置部分股权投资或其他原因导致持有境外经营权益</w:t>
      </w:r>
      <w:r>
        <w:rPr>
          <w:spacing w:val="-43"/>
        </w:rPr>
        <w:t> </w:t>
      </w:r>
      <w:r>
        <w:rPr>
          <w:spacing w:val="-43"/>
        </w:rPr>
      </w:r>
      <w:r>
        <w:rPr>
          <w:spacing w:val="-2"/>
        </w:rPr>
        <w:t>比例降低但不丧失对境外经营控制权时，与该境外经营处置部分相关的外币报表折算差额将归属于少数股</w:t>
      </w:r>
      <w:r>
        <w:rPr>
          <w:spacing w:val="-43"/>
        </w:rPr>
        <w:t> </w:t>
      </w:r>
      <w:r>
        <w:rPr>
          <w:spacing w:val="-43"/>
        </w:rPr>
      </w:r>
      <w:r>
        <w:rPr>
          <w:spacing w:val="-2"/>
        </w:rPr>
        <w:t>东权益，不转入当期损益。在处置境外经营为联营企业或合营企业的部分股权时，与该境外经营相关的外</w:t>
      </w:r>
      <w:r>
        <w:rPr>
          <w:spacing w:val="-44"/>
        </w:rPr>
        <w:t> </w:t>
      </w:r>
      <w:r>
        <w:rPr>
          <w:spacing w:val="-44"/>
        </w:rPr>
      </w:r>
      <w:r>
        <w:rPr/>
        <w:t>币报表折算差额，按处置该境外经营的比例转入处置当期损益。</w:t>
      </w:r>
    </w:p>
    <w:p>
      <w:pPr>
        <w:spacing w:after="0" w:line="408" w:lineRule="auto"/>
        <w:jc w:val="both"/>
        <w:sectPr>
          <w:pgSz w:w="11910" w:h="16840"/>
          <w:pgMar w:header="990" w:footer="1066" w:top="1220" w:bottom="1260" w:left="980" w:right="980"/>
        </w:sectPr>
      </w:pPr>
    </w:p>
    <w:p>
      <w:pPr>
        <w:spacing w:line="240" w:lineRule="auto" w:before="5"/>
        <w:rPr>
          <w:rFonts w:ascii="宋体" w:hAnsi="宋体" w:cs="宋体" w:eastAsia="宋体" w:hint="default"/>
          <w:sz w:val="10"/>
          <w:szCs w:val="10"/>
        </w:rPr>
      </w:pPr>
    </w:p>
    <w:p>
      <w:pPr>
        <w:pStyle w:val="Heading3"/>
        <w:spacing w:line="240" w:lineRule="auto" w:before="36"/>
        <w:ind w:right="0"/>
        <w:jc w:val="left"/>
        <w:rPr>
          <w:b w:val="0"/>
          <w:bCs w:val="0"/>
        </w:rPr>
      </w:pPr>
      <w:r>
        <w:rPr>
          <w:rFonts w:ascii="Times New Roman" w:hAnsi="Times New Roman" w:cs="Times New Roman" w:eastAsia="Times New Roman" w:hint="default"/>
        </w:rPr>
        <w:t>10</w:t>
      </w:r>
      <w:bookmarkStart w:name="10、金融工具" w:id="170"/>
      <w:bookmarkEnd w:id="170"/>
      <w:r>
        <w:rPr>
          <w:rFonts w:ascii="Times New Roman" w:hAnsi="Times New Roman" w:cs="Times New Roman" w:eastAsia="Times New Roman" w:hint="default"/>
        </w:rPr>
      </w:r>
      <w:r>
        <w:rPr/>
        <w:t>、金融工具</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2" w:right="0"/>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BodyText"/>
        <w:spacing w:line="408" w:lineRule="auto" w:before="0"/>
        <w:ind w:left="572" w:right="0" w:firstLine="2"/>
        <w:jc w:val="left"/>
      </w:pPr>
      <w:r>
        <w:rPr>
          <w:rFonts w:ascii="宋体" w:hAnsi="宋体" w:cs="宋体" w:eastAsia="宋体"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管理层根据所发行金融工具的合同条款及其所反映的经济实质而非仅以法律形式，结合取得持有金融</w:t>
      </w:r>
    </w:p>
    <w:p>
      <w:pPr>
        <w:pStyle w:val="BodyText"/>
        <w:spacing w:line="408" w:lineRule="auto"/>
        <w:ind w:right="0"/>
        <w:jc w:val="left"/>
      </w:pPr>
      <w:r>
        <w:rPr>
          <w:spacing w:val="-2"/>
        </w:rPr>
        <w:t>资产和承担金融负债的目的，将金融资产和金融负债分为不同类别：以公允价值计量且其变动计入当期损</w:t>
      </w:r>
      <w:r>
        <w:rPr>
          <w:spacing w:val="-44"/>
        </w:rPr>
        <w:t> </w:t>
      </w:r>
      <w:r>
        <w:rPr>
          <w:spacing w:val="-44"/>
        </w:rPr>
      </w:r>
      <w:r>
        <w:rPr/>
        <w:t>益的金融资产（或金融负债）；持有至到期投资；应收款项；可供出售金融资产；其他金融负债等。</w:t>
      </w:r>
    </w:p>
    <w:p>
      <w:pPr>
        <w:pStyle w:val="Heading3"/>
        <w:spacing w:line="240" w:lineRule="auto" w:before="46"/>
        <w:ind w:left="575" w:right="0"/>
        <w:jc w:val="left"/>
        <w:rPr>
          <w:b w:val="0"/>
          <w:bCs w:val="0"/>
        </w:rPr>
      </w:pPr>
      <w:r>
        <w:rPr>
          <w:rFonts w:ascii="宋体" w:hAnsi="宋体" w:cs="宋体" w:eastAsia="宋体" w:hint="default"/>
        </w:rPr>
        <w:t>2</w:t>
      </w:r>
      <w:r>
        <w:rPr/>
        <w:t>、金融工具的确认依据和计量方法</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2" w:right="0" w:hanging="15"/>
        <w:jc w:val="left"/>
      </w:pPr>
      <w:r>
        <w:rPr/>
        <w:t>（</w:t>
      </w:r>
      <w:r>
        <w:rPr>
          <w:rFonts w:ascii="宋体" w:hAnsi="宋体" w:cs="宋体" w:eastAsia="宋体" w:hint="default"/>
        </w:rPr>
        <w:t>1</w:t>
      </w:r>
      <w:r>
        <w:rPr/>
        <w:t>）以公允价值计量且其变动计入当期损益的金融资产（金融负债）</w:t>
      </w:r>
      <w:r>
        <w:rPr>
          <w:w w:val="100"/>
        </w:rPr>
        <w:t> </w:t>
      </w:r>
      <w:r>
        <w:rPr>
          <w:spacing w:val="-2"/>
        </w:rPr>
        <w:t>以公允价值计量且其变动计入当期损益的金融资产或金融负债，包括交易性金融资产或金融负债和直</w:t>
      </w:r>
    </w:p>
    <w:p>
      <w:pPr>
        <w:pStyle w:val="BodyText"/>
        <w:spacing w:line="408" w:lineRule="auto"/>
        <w:ind w:left="572" w:right="0" w:hanging="421"/>
        <w:jc w:val="left"/>
      </w:pPr>
      <w:r>
        <w:rPr/>
        <w:t>接指定为以公允价值计量且其变动计入当期损益的金融资产或金融负债。</w:t>
      </w:r>
      <w:r>
        <w:rPr>
          <w:w w:val="100"/>
        </w:rPr>
        <w:t> </w:t>
      </w:r>
      <w:r>
        <w:rPr>
          <w:spacing w:val="-2"/>
        </w:rPr>
        <w:t>交易性金融资产或金融负债是指满足下列条件之一的金融资产或金融负债：</w:t>
      </w:r>
      <w:r>
        <w:rPr>
          <w:w w:val="100"/>
        </w:rPr>
        <w:t> </w:t>
      </w:r>
      <w:r>
        <w:rPr>
          <w:rFonts w:ascii="宋体" w:hAnsi="宋体" w:cs="宋体" w:eastAsia="宋体" w:hint="default"/>
        </w:rPr>
        <w:t>1</w:t>
      </w:r>
      <w:r>
        <w:rPr/>
        <w:t>）取得该金融资产或金融负债的目的是为了在短期内出售、回购或赎回；</w:t>
      </w:r>
    </w:p>
    <w:p>
      <w:pPr>
        <w:pStyle w:val="BodyText"/>
        <w:spacing w:line="408" w:lineRule="auto"/>
        <w:ind w:right="0" w:firstLine="420"/>
        <w:jc w:val="left"/>
      </w:pPr>
      <w:r>
        <w:rPr>
          <w:rFonts w:ascii="宋体" w:hAnsi="宋体" w:cs="宋体" w:eastAsia="宋体" w:hint="default"/>
          <w:spacing w:val="-2"/>
        </w:rPr>
        <w:t>2</w:t>
      </w:r>
      <w:r>
        <w:rPr>
          <w:spacing w:val="-2"/>
        </w:rPr>
        <w:t>）属于进行集中管理的可辨认金融工具组合的一部分，且有客观证据表明本公司近期采用短期获利</w:t>
      </w:r>
      <w:r>
        <w:rPr>
          <w:w w:val="100"/>
        </w:rPr>
        <w:t> </w:t>
      </w:r>
      <w:r>
        <w:rPr/>
        <w:t>方式对该组合进行管理；</w:t>
      </w:r>
    </w:p>
    <w:p>
      <w:pPr>
        <w:pStyle w:val="BodyText"/>
        <w:spacing w:line="408" w:lineRule="auto"/>
        <w:ind w:right="0" w:firstLine="420"/>
        <w:jc w:val="left"/>
      </w:pPr>
      <w:r>
        <w:rPr>
          <w:rFonts w:ascii="宋体" w:hAnsi="宋体" w:cs="宋体" w:eastAsia="宋体" w:hint="default"/>
          <w:spacing w:val="-2"/>
        </w:rPr>
        <w:t>3</w:t>
      </w:r>
      <w:r>
        <w:rPr>
          <w:spacing w:val="-2"/>
        </w:rPr>
        <w:t>）属于衍生金融工具，但是被指定为有效套期工具的衍生工具、属于财务担保合同的衍生工具、与</w:t>
      </w:r>
      <w:r>
        <w:rPr>
          <w:w w:val="100"/>
        </w:rPr>
        <w:t> </w:t>
      </w:r>
      <w:r>
        <w:rPr/>
        <w:t>在活跃市场中没有报价且其公允价值不能可靠计量的权益工具投资挂钩并须通过交付该权益工具结算的</w:t>
      </w:r>
      <w:r>
        <w:rPr>
          <w:w w:val="100"/>
        </w:rPr>
        <w:t> </w:t>
      </w:r>
      <w:r>
        <w:rPr/>
        <w:t>衍生工具除外。</w:t>
      </w:r>
    </w:p>
    <w:p>
      <w:pPr>
        <w:pStyle w:val="BodyText"/>
        <w:spacing w:line="408" w:lineRule="auto"/>
        <w:ind w:right="0" w:firstLine="420"/>
        <w:jc w:val="left"/>
      </w:pPr>
      <w:r>
        <w:rPr>
          <w:spacing w:val="-2"/>
        </w:rPr>
        <w:t>只有符合以下条件之一，金融资产或金融负债才可在初始计量时指定为以公允价值计量且其变动计入</w:t>
      </w:r>
      <w:r>
        <w:rPr>
          <w:w w:val="100"/>
        </w:rPr>
        <w:t> </w:t>
      </w:r>
      <w:r>
        <w:rPr/>
        <w:t>损益的金融资产或金融负债：</w:t>
      </w:r>
    </w:p>
    <w:p>
      <w:pPr>
        <w:pStyle w:val="BodyText"/>
        <w:spacing w:line="408" w:lineRule="auto"/>
        <w:ind w:right="0" w:firstLine="420"/>
        <w:jc w:val="left"/>
      </w:pPr>
      <w:r>
        <w:rPr>
          <w:rFonts w:ascii="宋体" w:hAnsi="宋体" w:cs="宋体" w:eastAsia="宋体" w:hint="default"/>
          <w:spacing w:val="-2"/>
        </w:rPr>
        <w:t>1</w:t>
      </w:r>
      <w:r>
        <w:rPr>
          <w:spacing w:val="-2"/>
        </w:rPr>
        <w:t>）该项指定可以消除或明显减少由于金融资产或金融负债的计量基础不同所导致的相关利得或损失</w:t>
      </w:r>
      <w:r>
        <w:rPr>
          <w:w w:val="100"/>
        </w:rPr>
        <w:t> </w:t>
      </w:r>
      <w:r>
        <w:rPr/>
        <w:t>在确认或计量方面不一致的情况；</w:t>
      </w:r>
    </w:p>
    <w:p>
      <w:pPr>
        <w:pStyle w:val="BodyText"/>
        <w:spacing w:line="408" w:lineRule="auto"/>
        <w:ind w:right="0" w:firstLine="420"/>
        <w:jc w:val="left"/>
      </w:pPr>
      <w:r>
        <w:rPr>
          <w:rFonts w:ascii="宋体" w:hAnsi="宋体" w:cs="宋体" w:eastAsia="宋体" w:hint="default"/>
          <w:spacing w:val="-2"/>
        </w:rPr>
        <w:t>2</w:t>
      </w:r>
      <w:r>
        <w:rPr>
          <w:spacing w:val="-2"/>
        </w:rPr>
        <w:t>）风险管理或投资策略的正式书面文件已载明，该金融资产组合、该金融负债组合、或该金融资产</w:t>
      </w:r>
      <w:r>
        <w:rPr>
          <w:w w:val="100"/>
        </w:rPr>
        <w:t> </w:t>
      </w:r>
      <w:r>
        <w:rPr/>
        <w:t>和金融负债组合，以公允价值为基础进行管理、评价并向关键管理人员报告；</w:t>
      </w:r>
    </w:p>
    <w:p>
      <w:pPr>
        <w:pStyle w:val="BodyText"/>
        <w:spacing w:line="408" w:lineRule="auto"/>
        <w:ind w:right="0" w:firstLine="420"/>
        <w:jc w:val="left"/>
      </w:pPr>
      <w:r>
        <w:rPr>
          <w:rFonts w:ascii="宋体" w:hAnsi="宋体" w:cs="宋体" w:eastAsia="宋体" w:hint="default"/>
          <w:spacing w:val="-2"/>
        </w:rPr>
        <w:t>3</w:t>
      </w:r>
      <w:r>
        <w:rPr>
          <w:spacing w:val="-2"/>
        </w:rPr>
        <w:t>）包含一项或多项嵌入衍生工具的混合工具，除非嵌入衍生工具对混合工具的现金流量没有重大改</w:t>
      </w:r>
      <w:r>
        <w:rPr>
          <w:w w:val="100"/>
        </w:rPr>
        <w:t> </w:t>
      </w:r>
      <w:r>
        <w:rPr/>
        <w:t>变，或所嵌入的衍生工具明显不应当从相关混合工具中分拆；</w:t>
      </w:r>
    </w:p>
    <w:p>
      <w:pPr>
        <w:pStyle w:val="BodyText"/>
        <w:spacing w:line="408" w:lineRule="auto"/>
        <w:ind w:right="0" w:firstLine="420"/>
        <w:jc w:val="left"/>
      </w:pPr>
      <w:r>
        <w:rPr>
          <w:rFonts w:ascii="宋体" w:hAnsi="宋体" w:cs="宋体" w:eastAsia="宋体" w:hint="default"/>
          <w:spacing w:val="-2"/>
        </w:rPr>
        <w:t>4</w:t>
      </w:r>
      <w:r>
        <w:rPr>
          <w:spacing w:val="-2"/>
        </w:rPr>
        <w:t>）包含需要分拆但无法在取得时或后续的资产负债表日对其进行单独计量的嵌入衍生工具的混合工</w:t>
      </w:r>
      <w:r>
        <w:rPr>
          <w:w w:val="100"/>
        </w:rPr>
        <w:t> </w:t>
      </w:r>
      <w:r>
        <w:rPr/>
        <w:t>具。</w:t>
      </w:r>
    </w:p>
    <w:p>
      <w:pPr>
        <w:pStyle w:val="BodyText"/>
        <w:spacing w:line="408" w:lineRule="auto"/>
        <w:ind w:right="0" w:firstLine="420"/>
        <w:jc w:val="left"/>
      </w:pPr>
      <w:r>
        <w:rPr>
          <w:spacing w:val="-3"/>
        </w:rPr>
        <w:t>本公司对以公允价值计量且其变动计入当期损益的金融资产或金融负债，在取得时以公允价值（扣除</w:t>
      </w:r>
      <w:r>
        <w:rPr>
          <w:spacing w:val="-3"/>
          <w:w w:val="100"/>
        </w:rPr>
        <w:t> </w:t>
      </w:r>
      <w:r>
        <w:rPr>
          <w:spacing w:val="-2"/>
        </w:rPr>
        <w:t>已宣告但尚未发放的现金股利或已到付息期但尚未领取的债券利息）作为初始确认金额，相关的交易费用</w:t>
      </w:r>
    </w:p>
    <w:p>
      <w:pPr>
        <w:spacing w:after="0" w:line="408"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right="125"/>
        <w:jc w:val="both"/>
      </w:pPr>
      <w:r>
        <w:rPr>
          <w:spacing w:val="-2"/>
        </w:rPr>
        <w:t>计入当期损益。持有期间将取得的利息或现金股利确认为投资收益，期末将公允价值变动计入当期损益。</w:t>
      </w:r>
      <w:r>
        <w:rPr>
          <w:spacing w:val="-21"/>
        </w:rPr>
        <w:t> </w:t>
      </w:r>
      <w:r>
        <w:rPr>
          <w:spacing w:val="-21"/>
        </w:rPr>
      </w:r>
      <w:r>
        <w:rPr/>
        <w:t>处置时，其公允价值与初始入账金额之间的差额确认为投资收益，同时调整公允价值变动损益。</w:t>
      </w:r>
    </w:p>
    <w:p>
      <w:pPr>
        <w:pStyle w:val="BodyText"/>
        <w:spacing w:line="408" w:lineRule="auto"/>
        <w:ind w:left="572" w:right="0" w:hanging="15"/>
        <w:jc w:val="left"/>
      </w:pPr>
      <w:r>
        <w:rPr/>
        <w:t>（</w:t>
      </w:r>
      <w:r>
        <w:rPr>
          <w:rFonts w:ascii="宋体" w:hAnsi="宋体" w:cs="宋体" w:eastAsia="宋体" w:hint="default"/>
        </w:rPr>
        <w:t>2</w:t>
      </w:r>
      <w:r>
        <w:rPr/>
        <w:t>）持有至到期投资</w:t>
      </w:r>
      <w:r>
        <w:rPr>
          <w:w w:val="100"/>
        </w:rPr>
        <w:t> </w:t>
      </w:r>
      <w:r>
        <w:rPr>
          <w:spacing w:val="-2"/>
        </w:rPr>
        <w:t>持有至到期投资是指到期日固定、回收金额固定或可确定，且本公司有明确意图和能力持有至到期的</w:t>
      </w:r>
    </w:p>
    <w:p>
      <w:pPr>
        <w:pStyle w:val="BodyText"/>
        <w:spacing w:line="408" w:lineRule="auto"/>
        <w:ind w:left="572" w:right="0" w:hanging="421"/>
        <w:jc w:val="left"/>
      </w:pPr>
      <w:r>
        <w:rPr/>
        <w:t>非衍生性金融资产。</w:t>
      </w:r>
      <w:r>
        <w:rPr>
          <w:w w:val="100"/>
        </w:rPr>
        <w:t> </w:t>
      </w:r>
      <w:r>
        <w:rPr>
          <w:spacing w:val="-2"/>
        </w:rPr>
        <w:t>本公司对持有至到期投资，在取得时按公允价值（扣除已到付息期但尚未领取的债券利息）和相关交</w:t>
      </w:r>
    </w:p>
    <w:p>
      <w:pPr>
        <w:pStyle w:val="BodyText"/>
        <w:spacing w:line="408" w:lineRule="auto"/>
        <w:ind w:right="146"/>
        <w:jc w:val="both"/>
      </w:pPr>
      <w:r>
        <w:rPr>
          <w:spacing w:val="-2"/>
        </w:rPr>
        <w:t>易费用之和作为初始确认金额。持有期间按照摊余成本和实际利率计算确认利息收入，计入投资收益。实</w:t>
      </w:r>
      <w:r>
        <w:rPr>
          <w:spacing w:val="-44"/>
        </w:rPr>
        <w:t> </w:t>
      </w:r>
      <w:r>
        <w:rPr>
          <w:spacing w:val="-44"/>
        </w:rPr>
      </w:r>
      <w:r>
        <w:rPr>
          <w:spacing w:val="-3"/>
        </w:rPr>
        <w:t>际利率在取得时确定，在该预期存续期间或适用的更短期间内保持不变。处置时，将所取得价款与该投资</w:t>
      </w:r>
      <w:r>
        <w:rPr>
          <w:spacing w:val="-6"/>
        </w:rPr>
        <w:t> </w:t>
      </w:r>
      <w:r>
        <w:rPr>
          <w:spacing w:val="-6"/>
        </w:rPr>
      </w:r>
      <w:r>
        <w:rPr/>
        <w:t>账面价值之间的差额计入投资收益。</w:t>
      </w:r>
    </w:p>
    <w:p>
      <w:pPr>
        <w:pStyle w:val="BodyText"/>
        <w:spacing w:line="408" w:lineRule="auto"/>
        <w:ind w:right="147" w:firstLine="420"/>
        <w:jc w:val="both"/>
      </w:pPr>
      <w:r>
        <w:rPr>
          <w:spacing w:val="-2"/>
        </w:rPr>
        <w:t>如果持有至到期投资处置或重分类为其他类金融资产的金额，相对于本公司全部持有至到期投资在出</w:t>
      </w:r>
      <w:r>
        <w:rPr>
          <w:w w:val="100"/>
        </w:rPr>
        <w:t> </w:t>
      </w:r>
      <w:r>
        <w:rPr>
          <w:spacing w:val="-2"/>
        </w:rPr>
        <w:t>售或重分类前的总额较大，在处置或重分类后应立即将其剩余的持有至到期投资重分类为可供出售金融资</w:t>
      </w:r>
      <w:r>
        <w:rPr>
          <w:spacing w:val="-43"/>
        </w:rPr>
        <w:t> </w:t>
      </w:r>
      <w:r>
        <w:rPr>
          <w:spacing w:val="-43"/>
        </w:rPr>
      </w:r>
      <w:r>
        <w:rPr>
          <w:spacing w:val="-2"/>
        </w:rPr>
        <w:t>产；重分类日，该投资的账面价值与其公允价值之间的差额计入其他综合收益，在该可供出售金融资产发</w:t>
      </w:r>
      <w:r>
        <w:rPr>
          <w:spacing w:val="-43"/>
        </w:rPr>
        <w:t> </w:t>
      </w:r>
      <w:r>
        <w:rPr>
          <w:spacing w:val="-43"/>
        </w:rPr>
      </w:r>
      <w:r>
        <w:rPr/>
        <w:t>生减值或终止确认时转出，计入当期损益。但是，遇到下列情况可以除外：</w:t>
      </w:r>
    </w:p>
    <w:p>
      <w:pPr>
        <w:pStyle w:val="BodyText"/>
        <w:spacing w:line="408" w:lineRule="auto"/>
        <w:ind w:right="232" w:firstLine="419"/>
        <w:jc w:val="both"/>
      </w:pPr>
      <w:r>
        <w:rPr>
          <w:rFonts w:ascii="宋体" w:hAnsi="宋体" w:cs="宋体" w:eastAsia="宋体" w:hint="default"/>
          <w:spacing w:val="-2"/>
        </w:rPr>
        <w:t>1</w:t>
      </w:r>
      <w:r>
        <w:rPr>
          <w:spacing w:val="-2"/>
        </w:rPr>
        <w:t>）出售日或重分类日距离该项投资到期日或赎回日较近</w:t>
      </w:r>
      <w:r>
        <w:rPr>
          <w:rFonts w:ascii="宋体" w:hAnsi="宋体" w:cs="宋体" w:eastAsia="宋体" w:hint="default"/>
          <w:spacing w:val="-2"/>
        </w:rPr>
        <w:t>(</w:t>
      </w:r>
      <w:r>
        <w:rPr>
          <w:spacing w:val="-2"/>
        </w:rPr>
        <w:t>如到期前三个月内</w:t>
      </w:r>
      <w:r>
        <w:rPr>
          <w:rFonts w:ascii="宋体" w:hAnsi="宋体" w:cs="宋体" w:eastAsia="宋体" w:hint="default"/>
          <w:spacing w:val="-2"/>
        </w:rPr>
        <w:t>)</w:t>
      </w:r>
      <w:r>
        <w:rPr>
          <w:spacing w:val="-2"/>
        </w:rPr>
        <w:t>，且市场利率变化对该</w:t>
      </w:r>
      <w:r>
        <w:rPr>
          <w:w w:val="100"/>
        </w:rPr>
        <w:t> </w:t>
      </w:r>
      <w:r>
        <w:rPr/>
        <w:t>项投资的公允价值没有显著影响。</w:t>
      </w:r>
    </w:p>
    <w:p>
      <w:pPr>
        <w:pStyle w:val="BodyText"/>
        <w:spacing w:line="240" w:lineRule="auto"/>
        <w:ind w:left="572" w:right="0"/>
        <w:jc w:val="left"/>
      </w:pPr>
      <w:r>
        <w:rPr>
          <w:rFonts w:ascii="宋体" w:hAnsi="宋体" w:cs="宋体" w:eastAsia="宋体" w:hint="default"/>
        </w:rPr>
        <w:t>2</w:t>
      </w:r>
      <w:r>
        <w:rPr/>
        <w:t>）根据合同约定的偿付方式，企业已收回几乎所有初始本金。</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rFonts w:ascii="宋体" w:hAnsi="宋体" w:cs="宋体" w:eastAsia="宋体" w:hint="default"/>
        </w:rPr>
        <w:t>3</w:t>
      </w:r>
      <w:r>
        <w:rPr/>
        <w:t>）出售或重分类是由于企业无法控制、预期不会重复发生且难以合理预计的独立事件所引起。</w:t>
      </w:r>
    </w:p>
    <w:p>
      <w:pPr>
        <w:spacing w:line="240" w:lineRule="auto" w:before="10"/>
        <w:rPr>
          <w:rFonts w:ascii="宋体" w:hAnsi="宋体" w:cs="宋体" w:eastAsia="宋体" w:hint="default"/>
          <w:sz w:val="14"/>
          <w:szCs w:val="14"/>
        </w:rPr>
      </w:pPr>
    </w:p>
    <w:p>
      <w:pPr>
        <w:pStyle w:val="BodyText"/>
        <w:spacing w:line="408" w:lineRule="auto" w:before="0"/>
        <w:ind w:left="572" w:right="0" w:hanging="15"/>
        <w:jc w:val="left"/>
      </w:pPr>
      <w:r>
        <w:rPr/>
        <w:t>（</w:t>
      </w:r>
      <w:r>
        <w:rPr>
          <w:rFonts w:ascii="宋体" w:hAnsi="宋体" w:cs="宋体" w:eastAsia="宋体" w:hint="default"/>
        </w:rPr>
        <w:t>3</w:t>
      </w:r>
      <w:r>
        <w:rPr/>
        <w:t>）应收款项</w:t>
      </w:r>
      <w:r>
        <w:rPr>
          <w:spacing w:val="-3"/>
          <w:w w:val="100"/>
        </w:rPr>
        <w:t> </w:t>
      </w:r>
      <w:r>
        <w:rPr>
          <w:spacing w:val="-2"/>
        </w:rPr>
        <w:t>本公司对外销售商品或提供劳务形成的应收债权，以及公司持有的其他企业的不包括在活跃市场上有</w:t>
      </w:r>
    </w:p>
    <w:p>
      <w:pPr>
        <w:pStyle w:val="BodyText"/>
        <w:spacing w:line="408" w:lineRule="auto"/>
        <w:ind w:right="147"/>
        <w:jc w:val="both"/>
      </w:pPr>
      <w:r>
        <w:rPr>
          <w:spacing w:val="-2"/>
        </w:rPr>
        <w:t>报价的债务工具的债权，包括应收账款、应收票据、预付款项、其他应收款等，以向购货方应收的合同或</w:t>
      </w:r>
      <w:r>
        <w:rPr>
          <w:spacing w:val="-43"/>
        </w:rPr>
        <w:t> </w:t>
      </w:r>
      <w:r>
        <w:rPr>
          <w:spacing w:val="-43"/>
        </w:rPr>
      </w:r>
      <w:r>
        <w:rPr/>
        <w:t>协议价款作为初始确认金额；具有融资性质的，按其现值进行初始确认。</w:t>
      </w:r>
    </w:p>
    <w:p>
      <w:pPr>
        <w:pStyle w:val="BodyText"/>
        <w:spacing w:line="240" w:lineRule="auto"/>
        <w:ind w:left="572"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408" w:lineRule="auto" w:before="0"/>
        <w:ind w:left="572" w:right="0" w:hanging="15"/>
        <w:jc w:val="left"/>
      </w:pPr>
      <w:r>
        <w:rPr/>
        <w:t>（</w:t>
      </w:r>
      <w:r>
        <w:rPr>
          <w:rFonts w:ascii="宋体" w:hAnsi="宋体" w:cs="宋体" w:eastAsia="宋体" w:hint="default"/>
        </w:rPr>
        <w:t>4</w:t>
      </w:r>
      <w:r>
        <w:rPr/>
        <w:t>）可供出售金融资产</w:t>
      </w:r>
      <w:r>
        <w:rPr>
          <w:spacing w:val="-3"/>
          <w:w w:val="100"/>
        </w:rPr>
        <w:t> </w:t>
      </w:r>
      <w:r>
        <w:rPr>
          <w:spacing w:val="-2"/>
        </w:rPr>
        <w:t>可供出售金融资产，是指初始确认时即指定为可供出售的非衍生金融资产，以及除其他金融资产类别</w:t>
      </w:r>
    </w:p>
    <w:p>
      <w:pPr>
        <w:pStyle w:val="BodyText"/>
        <w:spacing w:line="408" w:lineRule="auto"/>
        <w:ind w:left="572" w:right="0" w:hanging="421"/>
        <w:jc w:val="left"/>
      </w:pPr>
      <w:r>
        <w:rPr/>
        <w:t>以外的金融资产。</w:t>
      </w:r>
      <w:r>
        <w:rPr>
          <w:w w:val="100"/>
        </w:rPr>
        <w:t> </w:t>
      </w:r>
      <w:r>
        <w:rPr>
          <w:spacing w:val="-2"/>
        </w:rPr>
        <w:t>本公司对可供出售金融资产，在取得时按公允价值（扣除已宣告但尚未发放的现金股利或已到付息期</w:t>
      </w:r>
    </w:p>
    <w:p>
      <w:pPr>
        <w:pStyle w:val="BodyText"/>
        <w:spacing w:line="408" w:lineRule="auto"/>
        <w:ind w:right="147"/>
        <w:jc w:val="both"/>
      </w:pPr>
      <w:r>
        <w:rPr>
          <w:spacing w:val="-2"/>
        </w:rPr>
        <w:t>但尚未领取的债券利息）和相关交易费用之和作为初始确认金额。持有期间将取得的利息或现金股利确认</w:t>
      </w:r>
      <w:r>
        <w:rPr>
          <w:spacing w:val="-42"/>
        </w:rPr>
        <w:t> </w:t>
      </w:r>
      <w:r>
        <w:rPr>
          <w:spacing w:val="-42"/>
        </w:rPr>
      </w:r>
      <w:r>
        <w:rPr>
          <w:spacing w:val="-2"/>
        </w:rPr>
        <w:t>为投资收益。可供出售金融资产的公允价值变动形成的利得或损失，除减值损失和外币货币性金融资产形</w:t>
      </w:r>
      <w:r>
        <w:rPr>
          <w:spacing w:val="-45"/>
        </w:rPr>
        <w:t> </w:t>
      </w:r>
      <w:r>
        <w:rPr>
          <w:spacing w:val="-45"/>
        </w:rPr>
      </w:r>
      <w:r>
        <w:rPr>
          <w:spacing w:val="-2"/>
        </w:rPr>
        <w:t>成的汇兑差额外，直接计入其他综合收益。处置可供出售金融资产时，将取得的价款与该金融资产账面价</w:t>
      </w:r>
      <w:r>
        <w:rPr>
          <w:spacing w:val="-44"/>
        </w:rPr>
        <w:t> </w:t>
      </w:r>
      <w:r>
        <w:rPr>
          <w:spacing w:val="-44"/>
        </w:rPr>
      </w:r>
      <w:r>
        <w:rPr>
          <w:spacing w:val="-2"/>
        </w:rPr>
        <w:t>值之间的差额，计入投资损益；同时，将原直接计入其他综合收益的公允价值变动累计额对应处置部分的</w:t>
      </w:r>
    </w:p>
    <w:p>
      <w:pPr>
        <w:spacing w:after="0" w:line="408" w:lineRule="auto"/>
        <w:jc w:val="both"/>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left="572" w:right="0" w:hanging="421"/>
        <w:jc w:val="left"/>
      </w:pPr>
      <w:r>
        <w:rPr/>
        <w:t>金额转出，计入投资损益。</w:t>
      </w:r>
      <w:r>
        <w:rPr>
          <w:w w:val="100"/>
        </w:rPr>
        <w:t> </w:t>
      </w:r>
      <w:r>
        <w:rPr>
          <w:spacing w:val="-2"/>
        </w:rPr>
        <w:t>本公司对在活跃市场中没有报价且其公允价值不能可靠计量的权益工具投资，以及与该权益工具挂钩</w:t>
      </w:r>
    </w:p>
    <w:p>
      <w:pPr>
        <w:pStyle w:val="BodyText"/>
        <w:spacing w:line="240" w:lineRule="auto"/>
        <w:ind w:right="0"/>
        <w:jc w:val="left"/>
      </w:pPr>
      <w:r>
        <w:rPr/>
        <w:t>并须通过交付该权益工具结算的衍生金融资产，按照成本计量。</w:t>
      </w:r>
    </w:p>
    <w:p>
      <w:pPr>
        <w:spacing w:line="240" w:lineRule="auto" w:before="10"/>
        <w:rPr>
          <w:rFonts w:ascii="宋体" w:hAnsi="宋体" w:cs="宋体" w:eastAsia="宋体" w:hint="default"/>
          <w:sz w:val="14"/>
          <w:szCs w:val="14"/>
        </w:rPr>
      </w:pPr>
    </w:p>
    <w:p>
      <w:pPr>
        <w:pStyle w:val="BodyText"/>
        <w:spacing w:line="408" w:lineRule="auto" w:before="0"/>
        <w:ind w:left="572" w:right="0" w:hanging="15"/>
        <w:jc w:val="left"/>
      </w:pPr>
      <w:r>
        <w:rPr/>
        <w:t>（</w:t>
      </w:r>
      <w:r>
        <w:rPr>
          <w:rFonts w:ascii="宋体" w:hAnsi="宋体" w:cs="宋体" w:eastAsia="宋体" w:hint="default"/>
        </w:rPr>
        <w:t>5</w:t>
      </w:r>
      <w:r>
        <w:rPr/>
        <w:t>）其他金融负债</w:t>
      </w:r>
      <w:r>
        <w:rPr>
          <w:spacing w:val="-3"/>
          <w:w w:val="100"/>
        </w:rPr>
        <w:t> </w:t>
      </w:r>
      <w:r>
        <w:rPr/>
        <w:t>按其公允价值和相关交易费用之和作为初始确认金额。采用摊余成本进行后续计量。</w:t>
      </w:r>
      <w:r>
        <w:rPr>
          <w:w w:val="100"/>
        </w:rPr>
        <w:t> </w:t>
      </w:r>
      <w:r>
        <w:rPr>
          <w:rFonts w:ascii="宋体" w:hAnsi="宋体" w:cs="宋体" w:eastAsia="宋体"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100"/>
        </w:rPr>
        <w:t> </w:t>
      </w:r>
      <w:r>
        <w:rPr>
          <w:spacing w:val="-2"/>
        </w:rPr>
        <w:t>本公司发生金融资产转移时，如已将金融资产所有权上几乎所有的风险和报酬转移给转入方，则终止</w:t>
      </w:r>
    </w:p>
    <w:p>
      <w:pPr>
        <w:pStyle w:val="BodyText"/>
        <w:spacing w:line="408" w:lineRule="auto"/>
        <w:ind w:left="572" w:right="0" w:hanging="421"/>
        <w:jc w:val="left"/>
      </w:pPr>
      <w:r>
        <w:rPr/>
        <w:t>确认该金融资产；如保留了金融资产所有权上几乎所有的风险和报酬的，则不终止确认该金融资产。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BodyText"/>
        <w:spacing w:line="408" w:lineRule="auto"/>
        <w:ind w:right="0"/>
        <w:jc w:val="left"/>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ind w:left="452" w:right="0"/>
        <w:jc w:val="left"/>
      </w:pPr>
      <w:r>
        <w:rPr/>
        <w:t>（</w:t>
      </w:r>
      <w:r>
        <w:rPr>
          <w:rFonts w:ascii="宋体" w:hAnsi="宋体" w:cs="宋体" w:eastAsia="宋体" w:hint="default"/>
        </w:rPr>
        <w:t>1</w:t>
      </w:r>
      <w:r>
        <w:rPr/>
        <w:t>）所转移金融资产的账面价值；</w:t>
      </w:r>
    </w:p>
    <w:p>
      <w:pPr>
        <w:spacing w:line="240" w:lineRule="auto" w:before="10"/>
        <w:rPr>
          <w:rFonts w:ascii="宋体" w:hAnsi="宋体" w:cs="宋体" w:eastAsia="宋体" w:hint="default"/>
          <w:sz w:val="14"/>
          <w:szCs w:val="14"/>
        </w:rPr>
      </w:pPr>
    </w:p>
    <w:p>
      <w:pPr>
        <w:pStyle w:val="BodyText"/>
        <w:spacing w:line="408" w:lineRule="auto" w:before="0"/>
        <w:ind w:right="0" w:firstLine="299"/>
        <w:jc w:val="left"/>
      </w:pPr>
      <w:r>
        <w:rPr>
          <w:spacing w:val="-2"/>
        </w:rPr>
        <w:t>（</w:t>
      </w:r>
      <w:r>
        <w:rPr>
          <w:rFonts w:ascii="宋体" w:hAnsi="宋体" w:cs="宋体" w:eastAsia="宋体" w:hint="default"/>
          <w:spacing w:val="-2"/>
        </w:rPr>
        <w:t>2</w:t>
      </w:r>
      <w:r>
        <w:rPr>
          <w:spacing w:val="-2"/>
        </w:rPr>
        <w:t>）因转移而收到的对价，与原直接计入所有者权益的公允价值变动累计额（涉及转移的金融资产为</w:t>
      </w:r>
      <w:r>
        <w:rPr>
          <w:w w:val="100"/>
        </w:rPr>
        <w:t> </w:t>
      </w:r>
      <w:r>
        <w:rPr/>
        <w:t>可供出售金融资产的情形）之和。</w:t>
      </w:r>
    </w:p>
    <w:p>
      <w:pPr>
        <w:pStyle w:val="BodyText"/>
        <w:spacing w:line="408" w:lineRule="auto"/>
        <w:ind w:right="0" w:firstLine="420"/>
        <w:jc w:val="left"/>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ind w:left="452" w:right="0"/>
        <w:jc w:val="left"/>
      </w:pPr>
      <w:r>
        <w:rPr/>
        <w:t>（</w:t>
      </w:r>
      <w:r>
        <w:rPr>
          <w:rFonts w:ascii="宋体" w:hAnsi="宋体" w:cs="宋体" w:eastAsia="宋体" w:hint="default"/>
        </w:rPr>
        <w:t>1</w:t>
      </w:r>
      <w:r>
        <w:rPr/>
        <w:t>）终止确认部分的账面价值；</w:t>
      </w:r>
    </w:p>
    <w:p>
      <w:pPr>
        <w:spacing w:line="240" w:lineRule="auto" w:before="10"/>
        <w:rPr>
          <w:rFonts w:ascii="宋体" w:hAnsi="宋体" w:cs="宋体" w:eastAsia="宋体" w:hint="default"/>
          <w:sz w:val="14"/>
          <w:szCs w:val="14"/>
        </w:rPr>
      </w:pPr>
    </w:p>
    <w:p>
      <w:pPr>
        <w:pStyle w:val="BodyText"/>
        <w:spacing w:line="408" w:lineRule="auto" w:before="0"/>
        <w:ind w:right="0" w:firstLine="299"/>
        <w:jc w:val="left"/>
      </w:pPr>
      <w:r>
        <w:rPr>
          <w:spacing w:val="-2"/>
        </w:rPr>
        <w:t>（</w:t>
      </w:r>
      <w:r>
        <w:rPr>
          <w:rFonts w:ascii="宋体" w:hAnsi="宋体" w:cs="宋体" w:eastAsia="宋体" w:hint="default"/>
          <w:spacing w:val="-2"/>
        </w:rPr>
        <w:t>2</w:t>
      </w:r>
      <w:r>
        <w:rPr>
          <w:spacing w:val="-2"/>
        </w:rPr>
        <w:t>）终止确认部分的对价，与原直接计入所有者权益的公允价值变动累计额中对应终止确认部分的金</w:t>
      </w:r>
      <w:r>
        <w:rPr>
          <w:spacing w:val="-3"/>
          <w:w w:val="100"/>
        </w:rPr>
        <w:t> </w:t>
      </w:r>
      <w:r>
        <w:rPr/>
        <w:t>额（涉及转移的金融资产为可供出售金融资产的情形）之和。</w:t>
      </w:r>
    </w:p>
    <w:p>
      <w:pPr>
        <w:pStyle w:val="BodyText"/>
        <w:spacing w:line="408" w:lineRule="auto"/>
        <w:ind w:left="572" w:right="0" w:hanging="1"/>
        <w:jc w:val="left"/>
      </w:pPr>
      <w:r>
        <w:rPr/>
        <w:t>金融资产转移不满足终止确认条件的，继续确认该金融资产，所收到的对价确认为一项金融负债。</w:t>
      </w:r>
      <w:r>
        <w:rPr>
          <w:w w:val="100"/>
        </w:rPr>
        <w:t> </w:t>
      </w:r>
      <w:r>
        <w:rPr>
          <w:rFonts w:ascii="宋体" w:hAnsi="宋体" w:cs="宋体" w:eastAsia="宋体" w:hint="default"/>
          <w:b/>
          <w:bCs/>
        </w:rPr>
        <w:t>4</w:t>
      </w:r>
      <w:r>
        <w:rPr>
          <w:rFonts w:ascii="宋体" w:hAnsi="宋体" w:cs="宋体" w:eastAsia="宋体" w:hint="default"/>
          <w:b/>
          <w:bCs/>
        </w:rPr>
        <w:t>、金融负债终止确认条件</w:t>
      </w:r>
      <w:r>
        <w:rPr>
          <w:rFonts w:ascii="宋体" w:hAnsi="宋体" w:cs="宋体" w:eastAsia="宋体" w:hint="default"/>
          <w:b/>
          <w:bCs/>
          <w:w w:val="100"/>
        </w:rPr>
        <w:t> </w:t>
      </w:r>
      <w:r>
        <w:rPr>
          <w:spacing w:val="-2"/>
        </w:rPr>
        <w:t>金融负债的现时义务全部或部分已经解除的，则终止确认该金融负债或其一部分；本公司若与债权人</w:t>
      </w:r>
    </w:p>
    <w:p>
      <w:pPr>
        <w:pStyle w:val="BodyText"/>
        <w:spacing w:line="408" w:lineRule="auto"/>
        <w:ind w:right="0"/>
        <w:jc w:val="left"/>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408" w:lineRule="auto"/>
        <w:ind w:right="0" w:firstLine="420"/>
        <w:jc w:val="left"/>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408" w:lineRule="auto"/>
        <w:ind w:right="0" w:firstLine="420"/>
        <w:jc w:val="left"/>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408" w:lineRule="auto"/>
        <w:ind w:right="0" w:firstLine="420"/>
        <w:jc w:val="left"/>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p>
    <w:p>
      <w:pPr>
        <w:spacing w:after="0" w:line="408" w:lineRule="auto"/>
        <w:jc w:val="left"/>
        <w:sectPr>
          <w:footerReference w:type="default" r:id="rId54"/>
          <w:pgSz w:w="11910" w:h="16840"/>
          <w:pgMar w:footer="1066" w:header="990" w:top="1220" w:bottom="1260" w:left="980" w:right="980"/>
          <w:pgNumType w:start="168"/>
        </w:sectPr>
      </w:pPr>
    </w:p>
    <w:p>
      <w:pPr>
        <w:spacing w:line="240" w:lineRule="auto" w:before="4"/>
        <w:rPr>
          <w:rFonts w:ascii="宋体" w:hAnsi="宋体" w:cs="宋体" w:eastAsia="宋体" w:hint="default"/>
          <w:sz w:val="16"/>
          <w:szCs w:val="16"/>
        </w:rPr>
      </w:pPr>
    </w:p>
    <w:p>
      <w:pPr>
        <w:pStyle w:val="BodyText"/>
        <w:spacing w:line="240" w:lineRule="auto" w:before="36"/>
        <w:ind w:right="0"/>
        <w:jc w:val="left"/>
      </w:pPr>
      <w:r>
        <w:rPr/>
        <w:t>或承担的新金融负债）之间的差额，计入当期损益。</w:t>
      </w:r>
    </w:p>
    <w:p>
      <w:pPr>
        <w:spacing w:line="240" w:lineRule="auto" w:before="10"/>
        <w:rPr>
          <w:rFonts w:ascii="宋体" w:hAnsi="宋体" w:cs="宋体" w:eastAsia="宋体" w:hint="default"/>
          <w:sz w:val="14"/>
          <w:szCs w:val="14"/>
        </w:rPr>
      </w:pPr>
    </w:p>
    <w:p>
      <w:pPr>
        <w:spacing w:line="408" w:lineRule="auto" w:before="0"/>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本公司采用公允价值计量的金融资产和金融负债存在活跃市场的金融资产或金融负债，以活跃市场的</w:t>
      </w:r>
    </w:p>
    <w:p>
      <w:pPr>
        <w:pStyle w:val="BodyText"/>
        <w:spacing w:line="408" w:lineRule="auto"/>
        <w:ind w:right="147"/>
        <w:jc w:val="both"/>
      </w:pPr>
      <w:r>
        <w:rPr>
          <w:spacing w:val="-2"/>
        </w:rPr>
        <w:t>报价确定其公允价值；初始取得或衍生的金融资产或承担的金融负债，以市场交易价格作为确定其公允价</w:t>
      </w:r>
      <w:r>
        <w:rPr>
          <w:spacing w:val="-43"/>
        </w:rPr>
        <w:t> </w:t>
      </w:r>
      <w:r>
        <w:rPr>
          <w:spacing w:val="-43"/>
        </w:rPr>
      </w:r>
      <w:r>
        <w:rPr>
          <w:spacing w:val="-3"/>
        </w:rPr>
        <w:t>值的基础；不存在活跃市场的金融资产或金融负债，采用估值技术确定其公允价值。在估值时，本公司采</w:t>
      </w:r>
      <w:r>
        <w:rPr>
          <w:spacing w:val="-12"/>
        </w:rPr>
        <w:t> </w:t>
      </w:r>
      <w:r>
        <w:rPr>
          <w:spacing w:val="-12"/>
        </w:rPr>
      </w:r>
      <w:r>
        <w:rPr>
          <w:spacing w:val="-2"/>
        </w:rPr>
        <w:t>用在当前情况下适用并且有足够可利用数据和其他信息支持的估值技术，选择与市场参与者在相关资产或</w:t>
      </w:r>
      <w:r>
        <w:rPr>
          <w:spacing w:val="-43"/>
        </w:rPr>
        <w:t> </w:t>
      </w:r>
      <w:r>
        <w:rPr>
          <w:spacing w:val="-43"/>
        </w:rPr>
      </w:r>
      <w:r>
        <w:rPr>
          <w:spacing w:val="-2"/>
        </w:rPr>
        <w:t>负债的交易中所考虑的资产或负债特征相一致的输入值，并尽可能优先使用相关可观察输入值。在相关可</w:t>
      </w:r>
      <w:r>
        <w:rPr>
          <w:spacing w:val="-42"/>
        </w:rPr>
        <w:t> </w:t>
      </w:r>
      <w:r>
        <w:rPr>
          <w:spacing w:val="-42"/>
        </w:rPr>
      </w:r>
      <w:r>
        <w:rPr/>
        <w:t>观察输入值无法取得或取得不切实可行的情况下，使用不可观察输入值。</w:t>
      </w:r>
    </w:p>
    <w:p>
      <w:pPr>
        <w:spacing w:line="408" w:lineRule="auto" w:before="4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资产负债表日对以公允价值计量且其变动计入当期损益的金融资产以外的金融资产的账面价值进行</w:t>
      </w:r>
    </w:p>
    <w:p>
      <w:pPr>
        <w:pStyle w:val="BodyText"/>
        <w:spacing w:line="408" w:lineRule="auto"/>
        <w:ind w:left="572" w:right="0" w:hanging="420"/>
        <w:jc w:val="left"/>
      </w:pPr>
      <w:r>
        <w:rPr>
          <w:spacing w:val="-2"/>
        </w:rPr>
        <w:t>检查，如有客观证据表明该金融资产发生减值的，计提减值准备。</w:t>
      </w:r>
      <w:r>
        <w:rPr>
          <w:spacing w:val="-49"/>
        </w:rPr>
        <w:t> </w:t>
      </w:r>
      <w:r>
        <w:rPr>
          <w:spacing w:val="-49"/>
        </w:rPr>
      </w:r>
      <w:r>
        <w:rPr/>
        <w:t>金融资产发生减值的客观证据，包括但不限于：</w:t>
      </w:r>
    </w:p>
    <w:p>
      <w:pPr>
        <w:pStyle w:val="BodyText"/>
        <w:spacing w:line="240" w:lineRule="auto"/>
        <w:ind w:left="572" w:right="0"/>
        <w:jc w:val="left"/>
      </w:pPr>
      <w:r>
        <w:rPr/>
        <w:t>（</w:t>
      </w:r>
      <w:r>
        <w:rPr>
          <w:rFonts w:ascii="宋体" w:hAnsi="宋体" w:cs="宋体" w:eastAsia="宋体" w:hint="default"/>
        </w:rPr>
        <w:t>1</w:t>
      </w:r>
      <w:r>
        <w:rPr/>
        <w:t>）发行方或债务人发生严重财务困难；</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2</w:t>
      </w:r>
      <w:r>
        <w:rPr/>
        <w:t>）债务人违反了合同条款，如偿付利息或本金发生违约或逾期等；</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3</w:t>
      </w:r>
      <w:r>
        <w:rPr/>
        <w:t>）债权人出于经济或法律等方面因素的考虑，对发生财务困难的债务人作出让步；</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4</w:t>
      </w:r>
      <w:r>
        <w:rPr/>
        <w:t>）债务人很可能倒闭或进行其他财务重组；</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5</w:t>
      </w:r>
      <w:r>
        <w:rPr/>
        <w:t>）因发行方发生重大财务困难，该金融资产无法在活跃市场继续交易；</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w:t>
      </w:r>
      <w:r>
        <w:rPr>
          <w:rFonts w:ascii="宋体" w:hAnsi="宋体" w:cs="宋体" w:eastAsia="宋体" w:hint="default"/>
        </w:rPr>
        <w:t>6</w:t>
      </w:r>
      <w:r>
        <w:rPr/>
        <w:t>）无法辨认一组金融资产中的某项资产的现金流量是否已经减少，但根据公开的数据对其进行总</w:t>
      </w:r>
      <w:r>
        <w:rPr>
          <w:w w:val="100"/>
        </w:rPr>
        <w:t> </w:t>
      </w:r>
      <w:r>
        <w:rPr>
          <w:spacing w:val="-2"/>
        </w:rPr>
        <w:t>体评价后发现，该组金融资产自初始确认以来的预计未来现金流量确已减少且可计量，如该组金融资产的</w:t>
      </w:r>
      <w:r>
        <w:rPr>
          <w:spacing w:val="-42"/>
        </w:rPr>
        <w:t> </w:t>
      </w:r>
      <w:r>
        <w:rPr>
          <w:spacing w:val="-42"/>
        </w:rPr>
      </w:r>
      <w:r>
        <w:rPr>
          <w:spacing w:val="-2"/>
        </w:rPr>
        <w:t>债务人支付能力逐步恶化，或债务人所在国家或地区失业率提高、担保物在其所在地区的价格明显下降、</w:t>
      </w:r>
      <w:r>
        <w:rPr>
          <w:spacing w:val="-26"/>
        </w:rPr>
        <w:t> </w:t>
      </w:r>
      <w:r>
        <w:rPr>
          <w:spacing w:val="-26"/>
        </w:rPr>
      </w:r>
      <w:r>
        <w:rPr/>
        <w:t>所处行业不景气等；</w:t>
      </w:r>
    </w:p>
    <w:p>
      <w:pPr>
        <w:pStyle w:val="BodyText"/>
        <w:spacing w:line="408" w:lineRule="auto"/>
        <w:ind w:right="0" w:firstLine="420"/>
        <w:jc w:val="left"/>
      </w:pPr>
      <w:r>
        <w:rPr>
          <w:spacing w:val="-2"/>
        </w:rPr>
        <w:t>（</w:t>
      </w:r>
      <w:r>
        <w:rPr>
          <w:rFonts w:ascii="宋体" w:hAnsi="宋体" w:cs="宋体" w:eastAsia="宋体" w:hint="default"/>
          <w:spacing w:val="-2"/>
        </w:rPr>
        <w:t>7</w:t>
      </w:r>
      <w:r>
        <w:rPr>
          <w:spacing w:val="-2"/>
        </w:rPr>
        <w:t>）权益工具发行方经营所处的技术、市场、经济或法律环境等发生重大不利变化，使权益工具投</w:t>
      </w:r>
      <w:r>
        <w:rPr>
          <w:w w:val="100"/>
        </w:rPr>
        <w:t> </w:t>
      </w:r>
      <w:r>
        <w:rPr/>
        <w:t>资人可能无法收回投资成本；</w:t>
      </w:r>
    </w:p>
    <w:p>
      <w:pPr>
        <w:pStyle w:val="BodyText"/>
        <w:spacing w:line="408" w:lineRule="auto"/>
        <w:ind w:left="572" w:right="1674"/>
        <w:jc w:val="left"/>
      </w:pPr>
      <w:r>
        <w:rPr>
          <w:spacing w:val="-2"/>
        </w:rPr>
        <w:t>（</w:t>
      </w:r>
      <w:r>
        <w:rPr>
          <w:rFonts w:ascii="宋体" w:hAnsi="宋体" w:cs="宋体" w:eastAsia="宋体" w:hint="default"/>
          <w:spacing w:val="-2"/>
        </w:rPr>
        <w:t>8</w:t>
      </w:r>
      <w:r>
        <w:rPr>
          <w:spacing w:val="-2"/>
        </w:rPr>
        <w:t>）权益工具投资的公允价值发生严重或非暂时性下跌。</w:t>
      </w:r>
      <w:r>
        <w:rPr>
          <w:spacing w:val="-56"/>
        </w:rPr>
        <w:t> </w:t>
      </w:r>
      <w:r>
        <w:rPr>
          <w:spacing w:val="-56"/>
        </w:rPr>
      </w:r>
      <w:r>
        <w:rPr/>
        <w:t>金融资产的具体减值方法如下：</w:t>
      </w:r>
    </w:p>
    <w:p>
      <w:pPr>
        <w:pStyle w:val="BodyText"/>
        <w:spacing w:line="408" w:lineRule="auto"/>
        <w:ind w:left="572" w:right="0"/>
        <w:jc w:val="left"/>
      </w:pPr>
      <w:r>
        <w:rPr/>
        <w:t>（</w:t>
      </w:r>
      <w:r>
        <w:rPr>
          <w:rFonts w:ascii="宋体" w:hAnsi="宋体" w:cs="宋体" w:eastAsia="宋体" w:hint="default"/>
        </w:rPr>
        <w:t>1</w:t>
      </w:r>
      <w:r>
        <w:rPr/>
        <w:t>）可供出售金融资产的减值准备</w:t>
      </w:r>
      <w:r>
        <w:rPr>
          <w:w w:val="100"/>
        </w:rPr>
        <w:t> </w:t>
      </w:r>
      <w:r>
        <w:rPr>
          <w:spacing w:val="-2"/>
        </w:rPr>
        <w:t>本公司于资产负债表日对各项可供出售权益工具投资单独进行检查，若该权益工具投资于资产负债表</w:t>
      </w:r>
    </w:p>
    <w:p>
      <w:pPr>
        <w:pStyle w:val="BodyText"/>
        <w:spacing w:line="408" w:lineRule="auto"/>
        <w:ind w:right="0" w:hanging="1"/>
        <w:jc w:val="left"/>
      </w:pPr>
      <w:r>
        <w:rPr>
          <w:spacing w:val="-2"/>
        </w:rPr>
        <w:t>日的公允价值低于其初始投资成本超过</w:t>
      </w:r>
      <w:r>
        <w:rPr>
          <w:rFonts w:ascii="宋体" w:hAnsi="宋体" w:cs="宋体" w:eastAsia="宋体" w:hint="default"/>
          <w:spacing w:val="-2"/>
        </w:rPr>
        <w:t>50%</w:t>
      </w:r>
      <w:r>
        <w:rPr>
          <w:spacing w:val="-2"/>
        </w:rPr>
        <w:t>（含</w:t>
      </w:r>
      <w:r>
        <w:rPr>
          <w:rFonts w:ascii="宋体" w:hAnsi="宋体" w:cs="宋体" w:eastAsia="宋体" w:hint="default"/>
          <w:spacing w:val="-2"/>
        </w:rPr>
        <w:t>50%</w:t>
      </w:r>
      <w:r>
        <w:rPr>
          <w:spacing w:val="-2"/>
        </w:rPr>
        <w:t>）或低于其初始投资成本持续时间超过一年（含一年）</w:t>
      </w:r>
      <w:r>
        <w:rPr>
          <w:spacing w:val="-16"/>
        </w:rPr>
        <w:t> </w:t>
      </w:r>
      <w:r>
        <w:rPr>
          <w:spacing w:val="-16"/>
        </w:rPr>
      </w:r>
      <w:r>
        <w:rPr/>
        <w:t>的，则表明其发生减值；若该权益工具投资于资产负债表日的公允价值低于其初始投资成本超过</w:t>
      </w:r>
      <w:r>
        <w:rPr>
          <w:rFonts w:ascii="宋体" w:hAnsi="宋体" w:cs="宋体" w:eastAsia="宋体" w:hint="default"/>
        </w:rPr>
        <w:t>20%</w:t>
      </w:r>
      <w:r>
        <w:rPr/>
        <w:t>（含</w:t>
      </w:r>
      <w:r>
        <w:rPr>
          <w:spacing w:val="-3"/>
          <w:w w:val="100"/>
        </w:rPr>
        <w:t> </w:t>
      </w:r>
      <w:r>
        <w:rPr>
          <w:rFonts w:ascii="宋体" w:hAnsi="宋体" w:cs="宋体" w:eastAsia="宋体" w:hint="default"/>
          <w:spacing w:val="-2"/>
        </w:rPr>
        <w:t>20%</w:t>
      </w:r>
      <w:r>
        <w:rPr>
          <w:spacing w:val="-2"/>
        </w:rPr>
        <w:t>）但尚未达到</w:t>
      </w:r>
      <w:r>
        <w:rPr>
          <w:rFonts w:ascii="宋体" w:hAnsi="宋体" w:cs="宋体" w:eastAsia="宋体" w:hint="default"/>
          <w:spacing w:val="-2"/>
        </w:rPr>
        <w:t>50%</w:t>
      </w:r>
      <w:r>
        <w:rPr>
          <w:spacing w:val="-2"/>
        </w:rPr>
        <w:t>的，本公司会综合考虑其他相关因素诸如价格波动率等，判断该权益工具投资是否发</w:t>
      </w:r>
    </w:p>
    <w:p>
      <w:pPr>
        <w:spacing w:after="0" w:line="408" w:lineRule="auto"/>
        <w:jc w:val="left"/>
        <w:sectPr>
          <w:footerReference w:type="default" r:id="rId55"/>
          <w:pgSz w:w="11910" w:h="16840"/>
          <w:pgMar w:footer="1066" w:header="990" w:top="1220" w:bottom="1260" w:left="980" w:right="980"/>
          <w:pgNumType w:start="169"/>
        </w:sectPr>
      </w:pPr>
    </w:p>
    <w:p>
      <w:pPr>
        <w:spacing w:line="240" w:lineRule="auto" w:before="4"/>
        <w:rPr>
          <w:rFonts w:ascii="宋体" w:hAnsi="宋体" w:cs="宋体" w:eastAsia="宋体" w:hint="default"/>
          <w:sz w:val="16"/>
          <w:szCs w:val="16"/>
        </w:rPr>
      </w:pPr>
    </w:p>
    <w:p>
      <w:pPr>
        <w:pStyle w:val="BodyText"/>
        <w:spacing w:line="240" w:lineRule="auto" w:before="36"/>
        <w:ind w:right="0"/>
        <w:jc w:val="left"/>
      </w:pPr>
      <w:bookmarkStart w:name="11、应收款项" w:id="171"/>
      <w:bookmarkEnd w:id="171"/>
      <w:r>
        <w:rPr/>
      </w:r>
      <w:bookmarkStart w:name="（1）单项金额重大并单独计提坏账准备的应收款项" w:id="172"/>
      <w:bookmarkEnd w:id="172"/>
      <w:r>
        <w:rPr/>
      </w:r>
      <w:r>
        <w:rPr/>
        <w:t>生减值。</w:t>
      </w:r>
    </w:p>
    <w:p>
      <w:pPr>
        <w:spacing w:line="240" w:lineRule="auto" w:before="10"/>
        <w:rPr>
          <w:rFonts w:ascii="宋体" w:hAnsi="宋体" w:cs="宋体" w:eastAsia="宋体" w:hint="default"/>
          <w:sz w:val="14"/>
          <w:szCs w:val="14"/>
        </w:rPr>
      </w:pPr>
    </w:p>
    <w:p>
      <w:pPr>
        <w:pStyle w:val="BodyText"/>
        <w:spacing w:line="408" w:lineRule="auto" w:before="0"/>
        <w:ind w:right="147" w:firstLine="420"/>
        <w:jc w:val="both"/>
      </w:pPr>
      <w:r>
        <w:rPr>
          <w:spacing w:val="-2"/>
        </w:rPr>
        <w:t>上段所述</w:t>
      </w:r>
      <w:r>
        <w:rPr>
          <w:rFonts w:ascii="宋体" w:hAnsi="宋体" w:cs="宋体" w:eastAsia="宋体" w:hint="default"/>
          <w:spacing w:val="-2"/>
        </w:rPr>
        <w:t>“</w:t>
      </w:r>
      <w:r>
        <w:rPr>
          <w:spacing w:val="-2"/>
        </w:rPr>
        <w:t>成本</w:t>
      </w:r>
      <w:r>
        <w:rPr>
          <w:rFonts w:ascii="宋体" w:hAnsi="宋体" w:cs="宋体" w:eastAsia="宋体" w:hint="default"/>
          <w:spacing w:val="-2"/>
        </w:rPr>
        <w:t>”</w:t>
      </w:r>
      <w:r>
        <w:rPr>
          <w:spacing w:val="-2"/>
        </w:rPr>
        <w:t>按照可供出售权益工具投资的初始取得成本扣除已收回本金和已摊销金额、原已计</w:t>
      </w:r>
      <w:r>
        <w:rPr>
          <w:w w:val="100"/>
        </w:rPr>
        <w:t> </w:t>
      </w:r>
      <w:r>
        <w:rPr/>
        <w:t>入损益的减值损失确定。</w:t>
      </w:r>
    </w:p>
    <w:p>
      <w:pPr>
        <w:pStyle w:val="BodyText"/>
        <w:spacing w:line="408" w:lineRule="auto"/>
        <w:ind w:right="147" w:firstLine="420"/>
        <w:jc w:val="both"/>
      </w:pPr>
      <w:r>
        <w:rPr>
          <w:spacing w:val="-2"/>
        </w:rPr>
        <w:t>可供出售金融资产发生减值时，即使该金融资产没有终止确认，本公司将原直接计入其他综合收益的</w:t>
      </w:r>
      <w:r>
        <w:rPr>
          <w:w w:val="100"/>
        </w:rPr>
        <w:t> </w:t>
      </w:r>
      <w:r>
        <w:rPr>
          <w:spacing w:val="-2"/>
        </w:rPr>
        <w:t>因公允价值下降形成的累计损失从其他综合收益转出，计入当期损益。该转出的累计损失，等于可供出售</w:t>
      </w:r>
      <w:r>
        <w:rPr>
          <w:spacing w:val="-44"/>
        </w:rPr>
        <w:t> </w:t>
      </w:r>
      <w:r>
        <w:rPr>
          <w:spacing w:val="-44"/>
        </w:rPr>
      </w:r>
      <w:r>
        <w:rPr>
          <w:spacing w:val="-2"/>
        </w:rPr>
        <w:t>金融资产的初始取得成本扣除已收回本金和已摊余金额、当前公允价值和原已计入损益的减值损失后的余</w:t>
      </w:r>
      <w:r>
        <w:rPr>
          <w:spacing w:val="-44"/>
        </w:rPr>
        <w:t> </w:t>
      </w:r>
      <w:r>
        <w:rPr>
          <w:spacing w:val="-44"/>
        </w:rPr>
      </w:r>
      <w:r>
        <w:rPr/>
        <w:t>额。</w:t>
      </w:r>
    </w:p>
    <w:p>
      <w:pPr>
        <w:pStyle w:val="BodyText"/>
        <w:spacing w:line="408" w:lineRule="auto"/>
        <w:ind w:right="147" w:firstLine="420"/>
        <w:jc w:val="both"/>
      </w:pPr>
      <w:r>
        <w:rPr>
          <w:spacing w:val="-2"/>
        </w:rPr>
        <w:t>对于已确认减值损失的可供出售债务工具，在随后的会计期间公允价值已上升且客观上与确认原减值</w:t>
      </w:r>
      <w:r>
        <w:rPr>
          <w:w w:val="100"/>
        </w:rPr>
        <w:t> </w:t>
      </w:r>
      <w:r>
        <w:rPr>
          <w:spacing w:val="-2"/>
        </w:rPr>
        <w:t>损失后发生的事项有关的，原确认的减值损失予以转回计入当期损益；对于可供出售权益工具投资发生的</w:t>
      </w:r>
      <w:r>
        <w:rPr>
          <w:spacing w:val="-43"/>
        </w:rPr>
        <w:t> </w:t>
      </w:r>
      <w:r>
        <w:rPr>
          <w:spacing w:val="-43"/>
        </w:rPr>
      </w:r>
      <w:r>
        <w:rPr>
          <w:spacing w:val="-2"/>
        </w:rPr>
        <w:t>减值损失，在该权益工具价值回升时通过权益转回；但在活跃市场中没有报价且其公允价值不能可靠计量</w:t>
      </w:r>
      <w:r>
        <w:rPr>
          <w:spacing w:val="-43"/>
        </w:rPr>
        <w:t> </w:t>
      </w:r>
      <w:r>
        <w:rPr>
          <w:spacing w:val="-43"/>
        </w:rPr>
      </w:r>
      <w:r>
        <w:rPr>
          <w:spacing w:val="-2"/>
        </w:rPr>
        <w:t>的权益工具投资，或与该权益工具挂钩并须通过交付该权益工具结算的衍生金融资产发生的减值损失，不</w:t>
      </w:r>
      <w:r>
        <w:rPr>
          <w:spacing w:val="-44"/>
        </w:rPr>
        <w:t> </w:t>
      </w:r>
      <w:r>
        <w:rPr>
          <w:spacing w:val="-44"/>
        </w:rPr>
      </w:r>
      <w:r>
        <w:rPr/>
        <w:t>得转回。</w:t>
      </w:r>
    </w:p>
    <w:p>
      <w:pPr>
        <w:pStyle w:val="BodyText"/>
        <w:spacing w:line="408" w:lineRule="auto"/>
        <w:ind w:left="572" w:right="0"/>
        <w:jc w:val="left"/>
      </w:pPr>
      <w:r>
        <w:rPr/>
        <w:t>（</w:t>
      </w:r>
      <w:r>
        <w:rPr>
          <w:rFonts w:ascii="宋体" w:hAnsi="宋体" w:cs="宋体" w:eastAsia="宋体" w:hint="default"/>
        </w:rPr>
        <w:t>2</w:t>
      </w:r>
      <w:r>
        <w:rPr/>
        <w:t>）持有至到期投资的减值准备</w:t>
      </w:r>
      <w:r>
        <w:rPr>
          <w:spacing w:val="-3"/>
          <w:w w:val="100"/>
        </w:rPr>
        <w:t> </w:t>
      </w:r>
      <w:r>
        <w:rPr>
          <w:spacing w:val="-2"/>
        </w:rPr>
        <w:t>对于持有至到期投资，有客观证据表明其发生了减值的，根据其账面价值与预计未来现金流量现值之</w:t>
      </w:r>
    </w:p>
    <w:p>
      <w:pPr>
        <w:pStyle w:val="BodyText"/>
        <w:spacing w:line="408" w:lineRule="auto"/>
        <w:ind w:right="0"/>
        <w:jc w:val="left"/>
      </w:pPr>
      <w:r>
        <w:rPr>
          <w:spacing w:val="-2"/>
        </w:rPr>
        <w:t>间差额计算确认减值损失；计提后如有证据表明其价值已恢复，原确认的减值损失可予以转回，记入当期</w:t>
      </w:r>
      <w:r>
        <w:rPr>
          <w:spacing w:val="-43"/>
        </w:rPr>
        <w:t> </w:t>
      </w:r>
      <w:r>
        <w:rPr>
          <w:spacing w:val="-43"/>
        </w:rPr>
      </w:r>
      <w:r>
        <w:rPr/>
        <w:t>损益，但该转回的账面价值不超过假定不计提减值准备情况下该金融资产在转回日的摊余成本。</w:t>
      </w:r>
    </w:p>
    <w:p>
      <w:pPr>
        <w:spacing w:line="408" w:lineRule="auto" w:before="4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金融资产和金融负债在资产负债表内分别列示，没有相互抵销。但是，同时满足下列条件的，以相互</w:t>
      </w:r>
    </w:p>
    <w:p>
      <w:pPr>
        <w:pStyle w:val="BodyText"/>
        <w:spacing w:line="240" w:lineRule="auto"/>
        <w:ind w:right="0"/>
        <w:jc w:val="left"/>
      </w:pPr>
      <w:r>
        <w:rPr/>
        <w:t>抵销后的净额在资产负债表内列示：</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1</w:t>
      </w:r>
      <w:r>
        <w:rPr/>
        <w:t>）本公司具有抵销已确认金额的法定权利，且该种法定权利是当前可执行的；</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2</w:t>
      </w:r>
      <w:r>
        <w:rPr/>
        <w:t>）本公司计划以净额结算，或同时变现该金融资产和清偿该金融负债。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pacing w:val="-15"/>
                <w:sz w:val="18"/>
                <w:szCs w:val="18"/>
              </w:rPr>
              <w:t>：</w:t>
            </w:r>
            <w:r>
              <w:rPr>
                <w:rFonts w:ascii="宋体" w:hAnsi="宋体" w:cs="宋体" w:eastAsia="宋体" w:hint="default"/>
                <w:sz w:val="18"/>
                <w:szCs w:val="18"/>
              </w:rPr>
              <w:t>单项金额在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以</w:t>
            </w:r>
            <w:r>
              <w:rPr>
                <w:rFonts w:ascii="宋体" w:hAnsi="宋体" w:cs="宋体" w:eastAsia="宋体" w:hint="default"/>
                <w:spacing w:val="-15"/>
                <w:sz w:val="18"/>
                <w:szCs w:val="18"/>
              </w:rPr>
              <w:t>上</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其他应收</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款：单项金额在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宋体" w:hAnsi="宋体" w:cs="宋体" w:eastAsia="宋体" w:hint="default"/>
                <w:spacing w:val="-3"/>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027"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after="0" w:line="316" w:lineRule="auto"/>
        <w:jc w:val="both"/>
        <w:rPr>
          <w:rFonts w:ascii="宋体" w:hAnsi="宋体" w:cs="宋体" w:eastAsia="宋体"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b/>
          <w:bCs/>
          <w:sz w:val="10"/>
          <w:szCs w:val="10"/>
        </w:rPr>
      </w:pPr>
    </w:p>
    <w:p>
      <w:pPr>
        <w:pStyle w:val="Heading3"/>
        <w:spacing w:line="240" w:lineRule="auto" w:before="36"/>
        <w:ind w:right="0"/>
        <w:jc w:val="left"/>
        <w:rPr>
          <w:b w:val="0"/>
          <w:bCs w:val="0"/>
        </w:rPr>
      </w:pPr>
      <w:r>
        <w:rPr/>
        <w:t>（</w:t>
      </w:r>
      <w:bookmarkStart w:name="（2）按信用风险特征组合计提坏账准备的应收款项" w:id="173"/>
      <w:bookmarkEnd w:id="173"/>
      <w:r>
        <w:rPr/>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以账龄特征划分为若干应收款项组合。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1027"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bookmarkStart w:name="（3）单项金额不重大但单独计提坏账准备的应收款项" w:id="174"/>
            <w:bookmarkEnd w:id="174"/>
            <w:r>
              <w:rPr/>
            </w:r>
            <w:r>
              <w:rPr>
                <w:rFonts w:ascii="宋体" w:hAnsi="宋体" w:cs="宋体" w:eastAsia="宋体" w:hint="default"/>
                <w:sz w:val="18"/>
                <w:szCs w:val="18"/>
              </w:rPr>
              <w:t>有客观证据表明可能发生了减值，如债务人出现撤销、破产 或死亡，以其破产财产或遗产清偿后，仍不能收回、现金流 量严重不足等情况的。</w:t>
            </w:r>
          </w:p>
        </w:tc>
      </w:tr>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 组合中分离出来，单独进行减值测试，确认减值损失。</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2" w:right="0" w:firstLine="60"/>
        <w:jc w:val="left"/>
      </w:pP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w w:val="100"/>
        </w:rPr>
        <w:t> </w:t>
      </w:r>
      <w:r>
        <w:rPr>
          <w:spacing w:val="2"/>
        </w:rPr>
        <w:t>存货是指本公司在日常活动中持有以备出售的商品、已发送至客户但不符合收入确认</w:t>
      </w:r>
      <w:bookmarkStart w:name="12、存货" w:id="175"/>
      <w:bookmarkEnd w:id="175"/>
      <w:r>
        <w:rPr>
          <w:spacing w:val="2"/>
        </w:rPr>
        <w:t>条</w:t>
      </w:r>
      <w:r>
        <w:rPr>
          <w:spacing w:val="2"/>
        </w:rPr>
        <w:t>件的发出商</w:t>
      </w:r>
    </w:p>
    <w:p>
      <w:pPr>
        <w:pStyle w:val="BodyText"/>
        <w:spacing w:line="240" w:lineRule="auto"/>
        <w:ind w:right="0"/>
        <w:jc w:val="left"/>
      </w:pPr>
      <w:r>
        <w:rPr/>
        <w:t>品、在生产过程或提供劳务过程中耗用的材料和物料等。主要包括原材料、库存商品等。</w:t>
      </w:r>
    </w:p>
    <w:p>
      <w:pPr>
        <w:spacing w:line="240" w:lineRule="auto" w:before="10"/>
        <w:rPr>
          <w:rFonts w:ascii="宋体" w:hAnsi="宋体" w:cs="宋体" w:eastAsia="宋体" w:hint="default"/>
          <w:sz w:val="14"/>
          <w:szCs w:val="14"/>
        </w:rPr>
      </w:pPr>
    </w:p>
    <w:p>
      <w:pPr>
        <w:pStyle w:val="BodyText"/>
        <w:spacing w:line="408" w:lineRule="auto" w:before="0"/>
        <w:ind w:left="572" w:right="0" w:firstLine="2"/>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存货的计价方法</w:t>
      </w:r>
      <w:r>
        <w:rPr>
          <w:rFonts w:ascii="宋体" w:hAnsi="宋体" w:cs="宋体" w:eastAsia="宋体" w:hint="default"/>
          <w:b/>
          <w:bCs/>
          <w:w w:val="100"/>
        </w:rPr>
        <w:t> </w:t>
      </w:r>
      <w:r>
        <w:rPr>
          <w:spacing w:val="-3"/>
        </w:rPr>
        <w:t>存货在取得时，按成本进行初始计量，包括采购成本、加工成本和其他成本。存货发出时按移动加权</w:t>
      </w:r>
    </w:p>
    <w:p>
      <w:pPr>
        <w:pStyle w:val="BodyText"/>
        <w:spacing w:line="240" w:lineRule="auto"/>
        <w:ind w:right="0"/>
        <w:jc w:val="left"/>
      </w:pPr>
      <w:r>
        <w:rPr/>
        <w:t>平均法计价。</w:t>
      </w:r>
    </w:p>
    <w:p>
      <w:pPr>
        <w:spacing w:line="240" w:lineRule="auto" w:before="10"/>
        <w:rPr>
          <w:rFonts w:ascii="宋体" w:hAnsi="宋体" w:cs="宋体" w:eastAsia="宋体" w:hint="default"/>
          <w:sz w:val="14"/>
          <w:szCs w:val="14"/>
        </w:rPr>
      </w:pPr>
    </w:p>
    <w:p>
      <w:pPr>
        <w:spacing w:line="408" w:lineRule="auto" w:before="0"/>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期末对存货进行全面清查后，按存货的成本与可变现净值孰低提取或调整存货跌价准备。库存商品和</w:t>
      </w:r>
    </w:p>
    <w:p>
      <w:pPr>
        <w:pStyle w:val="BodyText"/>
        <w:spacing w:line="408" w:lineRule="auto"/>
        <w:ind w:right="0"/>
        <w:jc w:val="left"/>
      </w:pPr>
      <w:r>
        <w:rPr>
          <w:spacing w:val="-2"/>
        </w:rPr>
        <w:t>用于出售的材料等直接用于出售的商品存货，在正常生产经营过程中，以该存货的估计售价减去估计的销</w:t>
      </w:r>
      <w:r>
        <w:rPr>
          <w:spacing w:val="-42"/>
        </w:rPr>
        <w:t> </w:t>
      </w:r>
      <w:r>
        <w:rPr>
          <w:spacing w:val="-42"/>
        </w:rPr>
      </w:r>
      <w:r>
        <w:rPr>
          <w:spacing w:val="-2"/>
        </w:rPr>
        <w:t>售费用和相关税费后的金额，确定其可变现净值；需要经过加工的材料存货，在正常生产经营过程中，以</w:t>
      </w:r>
    </w:p>
    <w:p>
      <w:pPr>
        <w:spacing w:after="0" w:line="408"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right="146"/>
        <w:jc w:val="both"/>
      </w:pPr>
      <w:r>
        <w:rPr>
          <w:spacing w:val="-2"/>
        </w:rPr>
        <w:t>所生产的产成品的估计售价减去至完工时估计将要发生的成本、估计的销售费用和相关税费后的金额，确</w:t>
      </w:r>
      <w:r>
        <w:rPr>
          <w:spacing w:val="-44"/>
        </w:rPr>
        <w:t> </w:t>
      </w:r>
      <w:r>
        <w:rPr>
          <w:spacing w:val="-44"/>
        </w:rPr>
      </w:r>
      <w:r>
        <w:rPr>
          <w:spacing w:val="-2"/>
        </w:rPr>
        <w:t>定其可变现净值；为执行销售合同或者劳务合同而持有的存货，其可变现净值以合同价格为基础计算，若</w:t>
      </w:r>
      <w:r>
        <w:rPr>
          <w:spacing w:val="-43"/>
        </w:rPr>
        <w:t> </w:t>
      </w:r>
      <w:r>
        <w:rPr>
          <w:spacing w:val="-43"/>
        </w:rPr>
      </w:r>
      <w:r>
        <w:rPr/>
        <w:t>持有存货的数量多于销售合同订购数量的，超出部分的存货的可变现净值以一般销售价格为基础计算。</w:t>
      </w:r>
    </w:p>
    <w:p>
      <w:pPr>
        <w:pStyle w:val="BodyText"/>
        <w:spacing w:line="408" w:lineRule="auto"/>
        <w:ind w:right="14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408" w:lineRule="auto"/>
        <w:ind w:right="147" w:firstLine="420"/>
        <w:jc w:val="both"/>
      </w:pPr>
      <w:r>
        <w:rPr>
          <w:spacing w:val="-2"/>
        </w:rPr>
        <w:t>以前减记存货价值的影响因素已经消失的，减记的金额予以恢复，并在原已计提的存货跌价准备金额</w:t>
      </w:r>
      <w:r>
        <w:rPr>
          <w:w w:val="100"/>
        </w:rPr>
        <w:t> </w:t>
      </w:r>
      <w:r>
        <w:rPr/>
        <w:t>内转回，转回的金额计入当期损益。</w:t>
      </w:r>
    </w:p>
    <w:p>
      <w:pPr>
        <w:spacing w:line="408" w:lineRule="auto" w:before="46"/>
        <w:ind w:left="575" w:right="617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存货采用永续盘存制。</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30"/>
          <w:szCs w:val="30"/>
        </w:rPr>
      </w:pPr>
    </w:p>
    <w:p>
      <w:pPr>
        <w:pStyle w:val="Heading3"/>
        <w:spacing w:line="240" w:lineRule="auto"/>
        <w:ind w:left="575" w:right="0"/>
        <w:jc w:val="left"/>
        <w:rPr>
          <w:b w:val="0"/>
          <w:bCs w:val="0"/>
        </w:rPr>
      </w:pPr>
      <w:r>
        <w:rPr>
          <w:rFonts w:ascii="宋体" w:hAnsi="宋体" w:cs="宋体" w:eastAsia="宋体" w:hint="default"/>
        </w:rPr>
        <w:t>1</w:t>
      </w:r>
      <w:r>
        <w:rPr/>
        <w:t>、投资成本的确定</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230" w:firstLine="420"/>
        <w:jc w:val="both"/>
      </w:pPr>
      <w:r>
        <w:rPr>
          <w:spacing w:val="-2"/>
        </w:rPr>
        <w:t>（</w:t>
      </w:r>
      <w:r>
        <w:rPr>
          <w:rFonts w:ascii="宋体" w:hAnsi="宋体" w:cs="宋体" w:eastAsia="宋体" w:hint="default"/>
          <w:spacing w:val="-2"/>
        </w:rPr>
        <w:t>1</w:t>
      </w:r>
      <w:r>
        <w:rPr>
          <w:spacing w:val="-2"/>
        </w:rPr>
        <w:t>）企业合并形成的长期股权投资，具体会计</w:t>
      </w:r>
      <w:bookmarkStart w:name="13、划分为持有待售资产" w:id="176"/>
      <w:bookmarkEnd w:id="176"/>
      <w:r>
        <w:rPr>
          <w:spacing w:val="-2"/>
        </w:rPr>
        <w:t>政</w:t>
      </w:r>
      <w:r>
        <w:rPr>
          <w:spacing w:val="-2"/>
        </w:rPr>
        <w:t>策详见本</w:t>
      </w:r>
      <w:bookmarkStart w:name="14、长期股权投资" w:id="177"/>
      <w:bookmarkEnd w:id="177"/>
      <w:r>
        <w:rPr>
          <w:spacing w:val="-2"/>
        </w:rPr>
        <w:t>附</w:t>
      </w:r>
      <w:r>
        <w:rPr>
          <w:spacing w:val="-2"/>
        </w:rPr>
        <w:t>注四、（五）同一控制下和非同一控制</w:t>
      </w:r>
      <w:r>
        <w:rPr>
          <w:w w:val="100"/>
        </w:rPr>
        <w:t> </w:t>
      </w:r>
      <w:r>
        <w:rPr/>
        <w:t>下企业合并的会计处理方法</w:t>
      </w:r>
    </w:p>
    <w:p>
      <w:pPr>
        <w:pStyle w:val="BodyText"/>
        <w:spacing w:line="408" w:lineRule="auto"/>
        <w:ind w:left="572" w:right="0"/>
        <w:jc w:val="left"/>
      </w:pPr>
      <w:r>
        <w:rPr/>
        <w:t>（</w:t>
      </w:r>
      <w:r>
        <w:rPr>
          <w:rFonts w:ascii="宋体" w:hAnsi="宋体" w:cs="宋体" w:eastAsia="宋体" w:hint="default"/>
        </w:rPr>
        <w:t>2</w:t>
      </w:r>
      <w:r>
        <w:rPr/>
        <w:t>）其他方式取得的长期股权投资</w:t>
      </w:r>
      <w:r>
        <w:rPr>
          <w:w w:val="100"/>
        </w:rPr>
        <w:t> </w:t>
      </w:r>
      <w:r>
        <w:rPr>
          <w:spacing w:val="-2"/>
        </w:rPr>
        <w:t>以支付现金方式取得的长期股权投资，按照实际支付的购买价款作为初始投资成本。初始投资成本包</w:t>
      </w:r>
    </w:p>
    <w:p>
      <w:pPr>
        <w:pStyle w:val="BodyText"/>
        <w:spacing w:line="408" w:lineRule="auto"/>
        <w:ind w:left="572" w:right="0" w:hanging="420"/>
        <w:jc w:val="left"/>
      </w:pPr>
      <w:r>
        <w:rPr/>
        <w:t>括与取得长期股权投资直接相关的费用、税金及其他必要支出。</w:t>
      </w:r>
      <w:r>
        <w:rPr>
          <w:w w:val="100"/>
        </w:rPr>
        <w:t> </w:t>
      </w:r>
      <w:r>
        <w:rPr>
          <w:spacing w:val="-2"/>
        </w:rPr>
        <w:t>以发行权益性证券取得的长期股权投资，按照发行权益性证券的公允价值作为初始投资成本；发行或</w:t>
      </w:r>
    </w:p>
    <w:p>
      <w:pPr>
        <w:pStyle w:val="BodyText"/>
        <w:spacing w:line="408" w:lineRule="auto"/>
        <w:ind w:left="572" w:right="0" w:hanging="420"/>
        <w:jc w:val="left"/>
      </w:pPr>
      <w:r>
        <w:rPr/>
        <w:t>取得自身权益工具时发生的交易费用，可直接归属于权益性交易的从权益中扣减。</w:t>
      </w:r>
      <w:r>
        <w:rPr>
          <w:w w:val="100"/>
        </w:rPr>
        <w:t> </w:t>
      </w:r>
      <w:r>
        <w:rPr>
          <w:spacing w:val="-2"/>
        </w:rPr>
        <w:t>在非货币性资产交换具备商业实质和换入资产或换出资产的公允价值能够可靠计量的前提下，非货币</w:t>
      </w:r>
    </w:p>
    <w:p>
      <w:pPr>
        <w:pStyle w:val="BodyText"/>
        <w:spacing w:line="408" w:lineRule="auto"/>
        <w:ind w:right="147"/>
        <w:jc w:val="both"/>
      </w:pPr>
      <w:r>
        <w:rPr>
          <w:spacing w:val="-2"/>
        </w:rPr>
        <w:t>性资产交换换入的长期股权投资以换出资产的公允价值为基础确定其初始投资成本，除非有确凿证据表明</w:t>
      </w:r>
      <w:r>
        <w:rPr>
          <w:spacing w:val="-43"/>
        </w:rPr>
        <w:t> </w:t>
      </w:r>
      <w:r>
        <w:rPr>
          <w:spacing w:val="-43"/>
        </w:rPr>
      </w:r>
      <w:r>
        <w:rPr>
          <w:spacing w:val="-2"/>
        </w:rPr>
        <w:t>换入资产的公允价值更加可靠；不满足上述前提的非货币性资产交换，以换出资产的账面价值和应支付的</w:t>
      </w:r>
      <w:r>
        <w:rPr>
          <w:spacing w:val="-42"/>
        </w:rPr>
        <w:t> </w:t>
      </w:r>
      <w:r>
        <w:rPr>
          <w:spacing w:val="-42"/>
        </w:rPr>
      </w:r>
      <w:r>
        <w:rPr/>
        <w:t>相关税费作为换入长期股权投资的初始投资成本。</w:t>
      </w:r>
    </w:p>
    <w:p>
      <w:pPr>
        <w:pStyle w:val="BodyText"/>
        <w:spacing w:line="240" w:lineRule="auto"/>
        <w:ind w:left="572"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Heading3"/>
        <w:spacing w:line="240" w:lineRule="auto"/>
        <w:ind w:left="575" w:right="0"/>
        <w:jc w:val="left"/>
        <w:rPr>
          <w:b w:val="0"/>
          <w:bCs w:val="0"/>
        </w:rPr>
      </w:pPr>
      <w:r>
        <w:rPr>
          <w:rFonts w:ascii="宋体" w:hAnsi="宋体" w:cs="宋体" w:eastAsia="宋体" w:hint="default"/>
        </w:rPr>
        <w:t>2</w:t>
      </w:r>
      <w:r>
        <w:rPr/>
        <w:t>、后续计量及损益确认</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2" w:right="0"/>
        <w:jc w:val="left"/>
      </w:pPr>
      <w:r>
        <w:rPr/>
        <w:t>（</w:t>
      </w:r>
      <w:r>
        <w:rPr>
          <w:rFonts w:ascii="宋体" w:hAnsi="宋体" w:cs="宋体" w:eastAsia="宋体" w:hint="default"/>
        </w:rPr>
        <w:t>1</w:t>
      </w:r>
      <w:r>
        <w:rPr/>
        <w:t>）成本法</w:t>
      </w:r>
      <w:r>
        <w:rPr>
          <w:w w:val="100"/>
        </w:rPr>
        <w:t> </w:t>
      </w:r>
      <w:r>
        <w:rPr>
          <w:spacing w:val="-2"/>
        </w:rPr>
        <w:t>本公司能够对被投资单位实施控制的长期股权投资采用成本法核算，并按照初始投资成本计价，追加</w:t>
      </w:r>
    </w:p>
    <w:p>
      <w:pPr>
        <w:spacing w:after="0" w:line="408"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left="572" w:right="0" w:hanging="421"/>
        <w:jc w:val="left"/>
      </w:pPr>
      <w:r>
        <w:rPr/>
        <w:t>或收回投资调整长期股权投资的成本。</w:t>
      </w:r>
      <w:r>
        <w:rPr>
          <w:w w:val="100"/>
        </w:rPr>
        <w:t> </w:t>
      </w:r>
      <w:r>
        <w:rPr>
          <w:spacing w:val="-2"/>
        </w:rPr>
        <w:t>除取得投资时实际支付的价款或对价中包含的已宣告但尚未发放的现金股利或利润外，本公司按照享</w:t>
      </w:r>
    </w:p>
    <w:p>
      <w:pPr>
        <w:pStyle w:val="BodyText"/>
        <w:spacing w:line="240" w:lineRule="auto"/>
        <w:ind w:right="0"/>
        <w:jc w:val="left"/>
      </w:pPr>
      <w:r>
        <w:rPr/>
        <w:t>有被投资单位宣告分派的现金股利或利润确认为当期投资收益。</w:t>
      </w:r>
    </w:p>
    <w:p>
      <w:pPr>
        <w:spacing w:line="240" w:lineRule="auto" w:before="10"/>
        <w:rPr>
          <w:rFonts w:ascii="宋体" w:hAnsi="宋体" w:cs="宋体" w:eastAsia="宋体" w:hint="default"/>
          <w:sz w:val="14"/>
          <w:szCs w:val="14"/>
        </w:rPr>
      </w:pPr>
    </w:p>
    <w:p>
      <w:pPr>
        <w:pStyle w:val="BodyText"/>
        <w:spacing w:line="408" w:lineRule="auto" w:before="0"/>
        <w:ind w:left="572" w:right="0"/>
        <w:jc w:val="left"/>
      </w:pPr>
      <w:r>
        <w:rPr/>
        <w:t>（</w:t>
      </w:r>
      <w:r>
        <w:rPr>
          <w:rFonts w:ascii="宋体" w:hAnsi="宋体" w:cs="宋体" w:eastAsia="宋体" w:hint="default"/>
        </w:rPr>
        <w:t>2</w:t>
      </w:r>
      <w:r>
        <w:rPr/>
        <w:t>）权益法</w:t>
      </w:r>
      <w:r>
        <w:rPr>
          <w:w w:val="100"/>
        </w:rPr>
        <w:t> </w:t>
      </w:r>
      <w:r>
        <w:rPr>
          <w:spacing w:val="-2"/>
        </w:rPr>
        <w:t>本公司对联营企业和合营企业的长期股权投资采用权益法核算；对于其中一部分通过风险投资机构、</w:t>
      </w:r>
    </w:p>
    <w:p>
      <w:pPr>
        <w:pStyle w:val="BodyText"/>
        <w:spacing w:line="408" w:lineRule="auto"/>
        <w:ind w:right="0"/>
        <w:jc w:val="left"/>
      </w:pPr>
      <w:r>
        <w:rPr>
          <w:spacing w:val="-2"/>
        </w:rPr>
        <w:t>共同基金、信托公司或包括投连险基金在内的类似主体间接持有的联营企业的权益性投资，采用公允价值</w:t>
      </w:r>
      <w:r>
        <w:rPr>
          <w:spacing w:val="-42"/>
        </w:rPr>
        <w:t> </w:t>
      </w:r>
      <w:r>
        <w:rPr>
          <w:spacing w:val="-42"/>
        </w:rPr>
      </w:r>
      <w:r>
        <w:rPr/>
        <w:t>计量且其变动计入损益。</w:t>
      </w:r>
    </w:p>
    <w:p>
      <w:pPr>
        <w:pStyle w:val="BodyText"/>
        <w:spacing w:line="408" w:lineRule="auto"/>
        <w:ind w:right="147" w:firstLine="420"/>
        <w:jc w:val="both"/>
      </w:pPr>
      <w:r>
        <w:rPr>
          <w:spacing w:val="-2"/>
        </w:rPr>
        <w:t>长期股权投资的初始投资成本大于投资时应享有被投资单位可辨认净资产公允价值份额的差额，不调</w:t>
      </w:r>
      <w:r>
        <w:rPr>
          <w:w w:val="100"/>
        </w:rPr>
        <w:t> </w:t>
      </w:r>
      <w:r>
        <w:rPr>
          <w:spacing w:val="-2"/>
        </w:rPr>
        <w:t>整长期股权投资的初始投资成本；初始投资成本小于投资时应享有被投资单位可辨认净资产公允价值份额</w:t>
      </w:r>
      <w:r>
        <w:rPr>
          <w:spacing w:val="-43"/>
        </w:rPr>
        <w:t> </w:t>
      </w:r>
      <w:r>
        <w:rPr>
          <w:spacing w:val="-43"/>
        </w:rPr>
      </w:r>
      <w:r>
        <w:rPr/>
        <w:t>的差额，计入当期损益。</w:t>
      </w:r>
    </w:p>
    <w:p>
      <w:pPr>
        <w:pStyle w:val="BodyText"/>
        <w:spacing w:line="408" w:lineRule="auto"/>
        <w:ind w:right="0" w:firstLine="420"/>
        <w:jc w:val="left"/>
      </w:pPr>
      <w:r>
        <w:rPr/>
        <w:t>本公司取得长期股权投资后，按照应享有或应分担的被投资单位实现的净损益和其他综合收益的份</w:t>
      </w:r>
      <w:r>
        <w:rPr>
          <w:w w:val="100"/>
        </w:rPr>
        <w:t> </w:t>
      </w:r>
      <w:r>
        <w:rPr>
          <w:spacing w:val="-2"/>
        </w:rPr>
        <w:t>额，分别确认投资收益和其他综合收益，同时调整长期股权投资的账面价值；并按照被投资单位宣告分派</w:t>
      </w:r>
      <w:r>
        <w:rPr>
          <w:spacing w:val="-44"/>
        </w:rPr>
        <w:t> </w:t>
      </w:r>
      <w:r>
        <w:rPr>
          <w:spacing w:val="-44"/>
        </w:rPr>
      </w:r>
      <w:r>
        <w:rPr>
          <w:spacing w:val="-2"/>
        </w:rPr>
        <w:t>的利润或现金股利计算应享有的部分，相应减少长期股权投资的账面价值；对于被投资单位除净损益、其</w:t>
      </w:r>
      <w:r>
        <w:rPr>
          <w:spacing w:val="-42"/>
        </w:rPr>
        <w:t> </w:t>
      </w:r>
      <w:r>
        <w:rPr>
          <w:spacing w:val="-42"/>
        </w:rPr>
      </w:r>
      <w:r>
        <w:rPr/>
        <w:t>他综合收益和利润分配以外所有者权益的其他变动，调整长期股权投资的账面价值并计入所有者权益。</w:t>
      </w:r>
    </w:p>
    <w:p>
      <w:pPr>
        <w:pStyle w:val="BodyText"/>
        <w:spacing w:line="408" w:lineRule="auto"/>
        <w:ind w:right="149" w:firstLine="420"/>
        <w:jc w:val="both"/>
      </w:pPr>
      <w:r>
        <w:rPr>
          <w:spacing w:val="-2"/>
        </w:rPr>
        <w:t>本公司在确认应享有被投资单位净损益的份额时，以取得投资时被投资单位各项可辨认资产等的公允</w:t>
      </w:r>
      <w:r>
        <w:rPr>
          <w:spacing w:val="-3"/>
          <w:w w:val="100"/>
        </w:rPr>
        <w:t> </w:t>
      </w:r>
      <w:r>
        <w:rPr>
          <w:spacing w:val="-2"/>
        </w:rPr>
        <w:t>价值为基础，对被投资单位的净利润进行调整后确认。本公司与联营企业、合营企业之间发生的未实现内</w:t>
      </w:r>
      <w:r>
        <w:rPr>
          <w:spacing w:val="-42"/>
        </w:rPr>
        <w:t> </w:t>
      </w:r>
      <w:r>
        <w:rPr>
          <w:spacing w:val="-42"/>
        </w:rPr>
      </w:r>
      <w:r>
        <w:rPr/>
        <w:t>部交易损益按照应享有的比例计算归属于本公司的部分予以抵销，在此基础上确认投资损益。</w:t>
      </w:r>
    </w:p>
    <w:p>
      <w:pPr>
        <w:pStyle w:val="BodyText"/>
        <w:spacing w:line="408" w:lineRule="auto"/>
        <w:ind w:right="147" w:firstLine="420"/>
        <w:jc w:val="both"/>
      </w:pPr>
      <w:r>
        <w:rPr>
          <w:spacing w:val="-2"/>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3"/>
        </w:rPr>
        <w:t>益账面价值为限继续确认投资损失，冲减长期应收项目等的账面价值。最后，经过上述处理，按照投资合</w:t>
      </w:r>
      <w:r>
        <w:rPr>
          <w:spacing w:val="-10"/>
        </w:rPr>
        <w:t> </w:t>
      </w:r>
      <w:r>
        <w:rPr>
          <w:spacing w:val="-10"/>
        </w:rPr>
      </w:r>
      <w:r>
        <w:rPr/>
        <w:t>同或协议约定企业仍承担额外义务的，按预计承担的义务确认预计负债，计入当期投资损失。</w:t>
      </w:r>
    </w:p>
    <w:p>
      <w:pPr>
        <w:pStyle w:val="BodyText"/>
        <w:spacing w:line="408" w:lineRule="auto"/>
        <w:ind w:right="147" w:firstLine="420"/>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43"/>
        </w:rPr>
        <w:t> </w:t>
      </w:r>
      <w:r>
        <w:rPr>
          <w:spacing w:val="-43"/>
        </w:rPr>
      </w:r>
      <w:r>
        <w:rPr/>
        <w:t>面价值后，恢复确认投资收益。</w:t>
      </w:r>
    </w:p>
    <w:p>
      <w:pPr>
        <w:pStyle w:val="Heading3"/>
        <w:spacing w:line="240" w:lineRule="auto" w:before="45"/>
        <w:ind w:left="575" w:right="0"/>
        <w:jc w:val="left"/>
        <w:rPr>
          <w:b w:val="0"/>
          <w:bCs w:val="0"/>
        </w:rPr>
      </w:pPr>
      <w:r>
        <w:rPr>
          <w:rFonts w:ascii="宋体" w:hAnsi="宋体" w:cs="宋体" w:eastAsia="宋体" w:hint="default"/>
        </w:rPr>
        <w:t>3</w:t>
      </w:r>
      <w:r>
        <w:rPr/>
        <w:t>、长期股权投资核算方法的转换</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2" w:right="0"/>
        <w:jc w:val="left"/>
      </w:pPr>
      <w:r>
        <w:rPr/>
        <w:t>（</w:t>
      </w:r>
      <w:r>
        <w:rPr>
          <w:rFonts w:ascii="宋体" w:hAnsi="宋体" w:cs="宋体" w:eastAsia="宋体" w:hint="default"/>
        </w:rPr>
        <w:t>1</w:t>
      </w:r>
      <w:r>
        <w:rPr/>
        <w:t>）公允价值计量转权益法核算</w:t>
      </w:r>
      <w:r>
        <w:rPr>
          <w:spacing w:val="-3"/>
          <w:w w:val="100"/>
        </w:rPr>
        <w:t> </w:t>
      </w:r>
      <w:r>
        <w:rPr>
          <w:spacing w:val="-2"/>
        </w:rPr>
        <w:t>本公司原持有的对被投资单位不具有控制、共同控制或重大影响的按金融工具确认和计量准则进行会</w:t>
      </w:r>
    </w:p>
    <w:p>
      <w:pPr>
        <w:pStyle w:val="BodyText"/>
        <w:spacing w:line="408" w:lineRule="auto"/>
        <w:ind w:right="0"/>
        <w:jc w:val="left"/>
      </w:pPr>
      <w:r>
        <w:rPr/>
        <w:t>计处理的权益性投资，因追加投资等原因能够对被投资单位施加重大影响或实施共同控制但不构成控制</w:t>
      </w:r>
      <w:r>
        <w:rPr>
          <w:w w:val="100"/>
        </w:rPr>
        <w:t> </w:t>
      </w:r>
      <w:r>
        <w:rPr>
          <w:spacing w:val="-2"/>
        </w:rPr>
        <w:t>的，按照《企业会计准则第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金融工具确认和计量》确定的原持有的股权投资的公允价值加上新增</w:t>
      </w:r>
      <w:r>
        <w:rPr>
          <w:spacing w:val="-40"/>
        </w:rPr>
        <w:t> </w:t>
      </w:r>
      <w:r>
        <w:rPr>
          <w:spacing w:val="-40"/>
        </w:rPr>
      </w:r>
      <w:r>
        <w:rPr/>
        <w:t>投资成本之和，作为改按权益法核算的初始投资成本。</w:t>
      </w:r>
    </w:p>
    <w:p>
      <w:pPr>
        <w:spacing w:after="0" w:line="408"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right="106" w:firstLine="420"/>
        <w:jc w:val="left"/>
      </w:pPr>
      <w:r>
        <w:rPr>
          <w:spacing w:val="-2"/>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BodyText"/>
        <w:spacing w:line="408" w:lineRule="auto"/>
        <w:ind w:right="106" w:firstLine="420"/>
        <w:jc w:val="left"/>
      </w:pPr>
      <w:r>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44"/>
        </w:rPr>
        <w:t> </w:t>
      </w:r>
      <w:r>
        <w:rPr>
          <w:spacing w:val="-44"/>
        </w:rPr>
      </w:r>
      <w:r>
        <w:rPr/>
        <w:t>入。</w:t>
      </w:r>
    </w:p>
    <w:p>
      <w:pPr>
        <w:pStyle w:val="BodyText"/>
        <w:spacing w:line="408" w:lineRule="auto"/>
        <w:ind w:left="572" w:right="106"/>
        <w:jc w:val="left"/>
      </w:pPr>
      <w:r>
        <w:rPr/>
        <w:t>（</w:t>
      </w:r>
      <w:r>
        <w:rPr>
          <w:rFonts w:ascii="宋体" w:hAnsi="宋体" w:cs="宋体" w:eastAsia="宋体" w:hint="default"/>
        </w:rPr>
        <w:t>2</w:t>
      </w:r>
      <w:r>
        <w:rPr/>
        <w:t>）公允价值计量或权益法核算转成本法核算</w:t>
      </w:r>
      <w:r>
        <w:rPr>
          <w:spacing w:val="-3"/>
          <w:w w:val="100"/>
        </w:rPr>
        <w:t> </w:t>
      </w:r>
      <w:r>
        <w:rPr>
          <w:spacing w:val="-2"/>
        </w:rPr>
        <w:t>本公司原持有的对被投资单位不具有控制、共同控制或重大影响的按金融工具确认和计量准则进行会</w:t>
      </w:r>
    </w:p>
    <w:p>
      <w:pPr>
        <w:pStyle w:val="BodyText"/>
        <w:spacing w:line="408" w:lineRule="auto"/>
        <w:ind w:right="207"/>
        <w:jc w:val="both"/>
      </w:pPr>
      <w:r>
        <w:rPr>
          <w:spacing w:val="-2"/>
        </w:rPr>
        <w:t>计处理的权益性投资，或原持有对联营企业、合营企业的长期股权投资，因追加投资等原因能够对非同一</w:t>
      </w:r>
      <w:r>
        <w:rPr>
          <w:spacing w:val="-44"/>
        </w:rPr>
        <w:t> </w:t>
      </w:r>
      <w:r>
        <w:rPr>
          <w:spacing w:val="-44"/>
        </w:rPr>
      </w:r>
      <w:r>
        <w:rPr>
          <w:spacing w:val="-2"/>
        </w:rPr>
        <w:t>控制下的被投资单位实施控制的，在编制个别财务报表时，按照原持有的股权投资账面价值加上新增投资</w:t>
      </w:r>
      <w:r>
        <w:rPr>
          <w:spacing w:val="-44"/>
        </w:rPr>
        <w:t> </w:t>
      </w:r>
      <w:r>
        <w:rPr>
          <w:spacing w:val="-44"/>
        </w:rPr>
      </w:r>
      <w:r>
        <w:rPr/>
        <w:t>成本之和，作为改按成本法核算的初始投资成本。</w:t>
      </w:r>
    </w:p>
    <w:p>
      <w:pPr>
        <w:pStyle w:val="BodyText"/>
        <w:spacing w:line="408" w:lineRule="auto"/>
        <w:ind w:right="106" w:firstLine="420"/>
        <w:jc w:val="left"/>
      </w:pPr>
      <w:r>
        <w:rPr>
          <w:spacing w:val="-2"/>
        </w:rPr>
        <w:t>购买日之前持有的股权投资因采用权益法核算而确认的其他综合收益，在处置该项投资时采用与被投</w:t>
      </w:r>
      <w:r>
        <w:rPr>
          <w:w w:val="100"/>
        </w:rPr>
        <w:t> </w:t>
      </w:r>
      <w:r>
        <w:rPr/>
        <w:t>资单位直接处置相关资产或负债相同的基础进行会计处理。</w:t>
      </w:r>
    </w:p>
    <w:p>
      <w:pPr>
        <w:pStyle w:val="BodyText"/>
        <w:spacing w:line="408" w:lineRule="auto"/>
        <w:ind w:right="106" w:firstLine="419"/>
        <w:jc w:val="left"/>
      </w:pPr>
      <w:r>
        <w:rPr>
          <w:spacing w:val="-2"/>
        </w:rPr>
        <w:t>购买日之前持有的股权投资按照《企业会计准则第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金融工具确认和计量》的有关规定进行会</w:t>
      </w:r>
      <w:r>
        <w:rPr>
          <w:w w:val="100"/>
        </w:rPr>
        <w:t> </w:t>
      </w:r>
      <w:r>
        <w:rPr/>
        <w:t>计处理的，原计入其他综合收益的累计公允价值变动在改按成本法核算时转入当期损益。</w:t>
      </w:r>
    </w:p>
    <w:p>
      <w:pPr>
        <w:pStyle w:val="BodyText"/>
        <w:spacing w:line="408" w:lineRule="auto"/>
        <w:ind w:left="572" w:right="106"/>
        <w:jc w:val="left"/>
      </w:pPr>
      <w:r>
        <w:rPr/>
        <w:t>（</w:t>
      </w:r>
      <w:r>
        <w:rPr>
          <w:rFonts w:ascii="宋体" w:hAnsi="宋体" w:cs="宋体" w:eastAsia="宋体" w:hint="default"/>
        </w:rPr>
        <w:t>3</w:t>
      </w:r>
      <w:r>
        <w:rPr/>
        <w:t>）权益法核算转公允价值计量</w:t>
      </w:r>
      <w:r>
        <w:rPr>
          <w:spacing w:val="-3"/>
          <w:w w:val="100"/>
        </w:rPr>
        <w:t> </w:t>
      </w:r>
      <w:r>
        <w:rPr>
          <w:spacing w:val="-2"/>
        </w:rPr>
        <w:t>本公司因处置部分股权投资等原因丧失了对被投资单位的共同控制或重大影响的，处置后的剩余股权</w:t>
      </w:r>
    </w:p>
    <w:p>
      <w:pPr>
        <w:pStyle w:val="BodyText"/>
        <w:spacing w:line="408" w:lineRule="auto"/>
        <w:ind w:right="207"/>
        <w:jc w:val="both"/>
      </w:pPr>
      <w:r>
        <w:rPr>
          <w:spacing w:val="-2"/>
        </w:rPr>
        <w:t>改按《企业会计准则第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金融工具确认和计量》核算，其在丧失共同控制或重大影响之日的公允价</w:t>
      </w:r>
      <w:r>
        <w:rPr>
          <w:spacing w:val="-41"/>
        </w:rPr>
        <w:t> </w:t>
      </w:r>
      <w:r>
        <w:rPr>
          <w:spacing w:val="-41"/>
        </w:rPr>
      </w:r>
      <w:r>
        <w:rPr/>
        <w:t>值与账面价值之间的差额计入当期损益。</w:t>
      </w:r>
    </w:p>
    <w:p>
      <w:pPr>
        <w:pStyle w:val="BodyText"/>
        <w:spacing w:line="408" w:lineRule="auto"/>
        <w:ind w:right="106" w:firstLine="420"/>
        <w:jc w:val="left"/>
      </w:pPr>
      <w:r>
        <w:rPr>
          <w:spacing w:val="-2"/>
        </w:rPr>
        <w:t>原股权投资因采用权益法核算而确认的其他综合收益，在终止采用权益法核算时采用与被投资单位直</w:t>
      </w:r>
      <w:r>
        <w:rPr>
          <w:w w:val="100"/>
        </w:rPr>
        <w:t> </w:t>
      </w:r>
      <w:r>
        <w:rPr/>
        <w:t>接处置相关资产或负债相同的基础进行会计处理。</w:t>
      </w:r>
    </w:p>
    <w:p>
      <w:pPr>
        <w:pStyle w:val="BodyText"/>
        <w:spacing w:line="408" w:lineRule="auto"/>
        <w:ind w:left="572" w:right="106"/>
        <w:jc w:val="left"/>
      </w:pPr>
      <w:r>
        <w:rPr/>
        <w:t>（</w:t>
      </w:r>
      <w:r>
        <w:rPr>
          <w:rFonts w:ascii="宋体" w:hAnsi="宋体" w:cs="宋体" w:eastAsia="宋体" w:hint="default"/>
        </w:rPr>
        <w:t>4</w:t>
      </w:r>
      <w:r>
        <w:rPr/>
        <w:t>）成本法转权益法</w:t>
      </w:r>
      <w:r>
        <w:rPr>
          <w:w w:val="100"/>
        </w:rPr>
        <w:t> </w:t>
      </w:r>
      <w:r>
        <w:rPr>
          <w:spacing w:val="-2"/>
        </w:rPr>
        <w:t>本公司因处置部分权益性投资等原因丧失了对被投资单位的控制的，在编制个别财务报表时，处置后</w:t>
      </w:r>
    </w:p>
    <w:p>
      <w:pPr>
        <w:pStyle w:val="BodyText"/>
        <w:spacing w:line="408" w:lineRule="auto"/>
        <w:ind w:right="207"/>
        <w:jc w:val="both"/>
      </w:pPr>
      <w:r>
        <w:rPr>
          <w:spacing w:val="-2"/>
        </w:rPr>
        <w:t>的剩余股权能够对被投资单位实施共同控制或施加重大影响的，改按权益法核算，并对该剩余股权视同自</w:t>
      </w:r>
      <w:r>
        <w:rPr>
          <w:spacing w:val="-43"/>
        </w:rPr>
        <w:t> </w:t>
      </w:r>
      <w:r>
        <w:rPr>
          <w:spacing w:val="-43"/>
        </w:rPr>
      </w:r>
      <w:r>
        <w:rPr/>
        <w:t>取得时即采用权益法核算进行调整。</w:t>
      </w:r>
    </w:p>
    <w:p>
      <w:pPr>
        <w:pStyle w:val="BodyText"/>
        <w:spacing w:line="408" w:lineRule="auto"/>
        <w:ind w:left="571" w:right="106"/>
        <w:jc w:val="left"/>
      </w:pPr>
      <w:r>
        <w:rPr/>
        <w:t>（</w:t>
      </w:r>
      <w:r>
        <w:rPr>
          <w:rFonts w:ascii="宋体" w:hAnsi="宋体" w:cs="宋体" w:eastAsia="宋体" w:hint="default"/>
        </w:rPr>
        <w:t>5</w:t>
      </w:r>
      <w:r>
        <w:rPr/>
        <w:t>）成本法转公允价值计量</w:t>
      </w:r>
      <w:r>
        <w:rPr>
          <w:spacing w:val="-3"/>
          <w:w w:val="100"/>
        </w:rPr>
        <w:t> </w:t>
      </w:r>
      <w:r>
        <w:rPr>
          <w:spacing w:val="-2"/>
        </w:rPr>
        <w:t>本公司因处置部分权益性投资等原因丧失了对被投资单位的控制的，在编制个别财务报表时，处置后</w:t>
      </w:r>
    </w:p>
    <w:p>
      <w:pPr>
        <w:pStyle w:val="BodyText"/>
        <w:spacing w:line="408" w:lineRule="auto"/>
        <w:ind w:right="106" w:hanging="1"/>
        <w:jc w:val="left"/>
      </w:pPr>
      <w:r>
        <w:rPr>
          <w:spacing w:val="-2"/>
        </w:rPr>
        <w:t>的剩余股权不能对被投资单位实施共同控制或施加重大影响的，改按《企业会计准则第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w:t>
      </w:r>
      <w:r>
        <w:rPr>
          <w:spacing w:val="-43"/>
        </w:rPr>
        <w:t> </w:t>
      </w:r>
      <w:r>
        <w:rPr>
          <w:spacing w:val="-43"/>
        </w:rPr>
      </w:r>
      <w:r>
        <w:rPr>
          <w:spacing w:val="-5"/>
        </w:rPr>
        <w:t>确认和计量》的有关规定进行会计处理，其在丧失控制之日的公允价值与账面价值间的差额计入当期损益。</w:t>
      </w:r>
    </w:p>
    <w:p>
      <w:pPr>
        <w:spacing w:line="408" w:lineRule="auto" w:before="45"/>
        <w:ind w:left="572" w:right="106"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100"/>
          <w:sz w:val="21"/>
          <w:szCs w:val="21"/>
        </w:rPr>
        <w:t> </w:t>
      </w:r>
      <w:r>
        <w:rPr>
          <w:rFonts w:ascii="宋体" w:hAnsi="宋体" w:cs="宋体" w:eastAsia="宋体" w:hint="default"/>
          <w:spacing w:val="-2"/>
          <w:sz w:val="21"/>
          <w:szCs w:val="21"/>
        </w:rPr>
        <w:t>处置长期股权投资，其账面价值与实际取得价款之间的差额，应当计入当期损益。采用权益法核算的</w:t>
      </w:r>
    </w:p>
    <w:p>
      <w:pPr>
        <w:spacing w:after="0" w:line="408" w:lineRule="auto"/>
        <w:jc w:val="left"/>
        <w:rPr>
          <w:rFonts w:ascii="宋体" w:hAnsi="宋体" w:cs="宋体" w:eastAsia="宋体" w:hint="default"/>
          <w:sz w:val="21"/>
          <w:szCs w:val="21"/>
        </w:rPr>
        <w:sectPr>
          <w:pgSz w:w="11910" w:h="16840"/>
          <w:pgMar w:header="990" w:footer="1066" w:top="1220" w:bottom="1260" w:left="980" w:right="920"/>
        </w:sectPr>
      </w:pPr>
    </w:p>
    <w:p>
      <w:pPr>
        <w:spacing w:line="240" w:lineRule="auto" w:before="4"/>
        <w:rPr>
          <w:rFonts w:ascii="宋体" w:hAnsi="宋体" w:cs="宋体" w:eastAsia="宋体" w:hint="default"/>
          <w:sz w:val="16"/>
          <w:szCs w:val="16"/>
        </w:rPr>
      </w:pPr>
    </w:p>
    <w:p>
      <w:pPr>
        <w:pStyle w:val="BodyText"/>
        <w:spacing w:line="408" w:lineRule="auto" w:before="36"/>
        <w:ind w:right="0"/>
        <w:jc w:val="left"/>
      </w:pPr>
      <w:r>
        <w:rPr>
          <w:spacing w:val="-3"/>
        </w:rPr>
        <w:t>长期股权投资，在处置该项投资时，采用与被投资单位直接处置相关资产或负债相同的基础，按相应比例</w:t>
      </w:r>
      <w:r>
        <w:rPr>
          <w:spacing w:val="-7"/>
        </w:rPr>
        <w:t> </w:t>
      </w:r>
      <w:r>
        <w:rPr>
          <w:spacing w:val="-7"/>
        </w:rPr>
      </w:r>
      <w:r>
        <w:rPr/>
        <w:t>对原计入其他综合收益的部分进行会计处理。</w:t>
      </w:r>
    </w:p>
    <w:p>
      <w:pPr>
        <w:pStyle w:val="BodyText"/>
        <w:spacing w:line="408" w:lineRule="auto"/>
        <w:ind w:right="0" w:firstLine="420"/>
        <w:jc w:val="left"/>
      </w:pPr>
      <w:r>
        <w:rPr>
          <w:spacing w:val="-2"/>
        </w:rPr>
        <w:t>处置对子公司股权投资的各项交易的条款、条件以及经济影响符合以下一种或多种情况，将多次交易</w:t>
      </w:r>
      <w:r>
        <w:rPr>
          <w:w w:val="100"/>
        </w:rPr>
        <w:t> </w:t>
      </w:r>
      <w:r>
        <w:rPr/>
        <w:t>事项作为一揽子交易进行会计处理：</w:t>
      </w:r>
    </w:p>
    <w:p>
      <w:pPr>
        <w:pStyle w:val="BodyText"/>
        <w:spacing w:line="240" w:lineRule="auto"/>
        <w:ind w:left="572" w:right="0"/>
        <w:jc w:val="left"/>
      </w:pPr>
      <w:r>
        <w:rPr/>
        <w:t>（</w:t>
      </w:r>
      <w:r>
        <w:rPr>
          <w:rFonts w:ascii="宋体" w:hAnsi="宋体" w:cs="宋体" w:eastAsia="宋体" w:hint="default"/>
        </w:rPr>
        <w:t>1</w:t>
      </w:r>
      <w:r>
        <w:rPr/>
        <w:t>）这些交易是同时或者在考虑了彼此影响的情况下订立的；</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2</w:t>
      </w:r>
      <w:r>
        <w:rPr/>
        <w:t>）这些交易整体才能达成一项完整的商业结果；</w:t>
      </w:r>
    </w:p>
    <w:p>
      <w:pPr>
        <w:spacing w:line="240" w:lineRule="auto" w:before="10"/>
        <w:rPr>
          <w:rFonts w:ascii="宋体" w:hAnsi="宋体" w:cs="宋体" w:eastAsia="宋体" w:hint="default"/>
          <w:sz w:val="14"/>
          <w:szCs w:val="14"/>
        </w:rPr>
      </w:pPr>
    </w:p>
    <w:p>
      <w:pPr>
        <w:pStyle w:val="BodyText"/>
        <w:spacing w:line="240" w:lineRule="auto" w:before="0"/>
        <w:ind w:left="572" w:right="0"/>
        <w:jc w:val="left"/>
      </w:pPr>
      <w:r>
        <w:rPr/>
        <w:t>（</w:t>
      </w:r>
      <w:r>
        <w:rPr>
          <w:rFonts w:ascii="宋体" w:hAnsi="宋体" w:cs="宋体" w:eastAsia="宋体" w:hint="default"/>
        </w:rPr>
        <w:t>3</w:t>
      </w:r>
      <w:r>
        <w:rPr/>
        <w:t>）一项交易的发生取决于其他至少一项交易的发生；</w:t>
      </w:r>
    </w:p>
    <w:p>
      <w:pPr>
        <w:spacing w:line="240" w:lineRule="auto" w:before="10"/>
        <w:rPr>
          <w:rFonts w:ascii="宋体" w:hAnsi="宋体" w:cs="宋体" w:eastAsia="宋体" w:hint="default"/>
          <w:sz w:val="14"/>
          <w:szCs w:val="14"/>
        </w:rPr>
      </w:pPr>
    </w:p>
    <w:p>
      <w:pPr>
        <w:pStyle w:val="BodyText"/>
        <w:spacing w:line="408" w:lineRule="auto" w:before="0"/>
        <w:ind w:left="572" w:right="0"/>
        <w:jc w:val="left"/>
      </w:pPr>
      <w:r>
        <w:rPr/>
        <w:t>（</w:t>
      </w:r>
      <w:r>
        <w:rPr>
          <w:rFonts w:ascii="宋体" w:hAnsi="宋体" w:cs="宋体" w:eastAsia="宋体" w:hint="default"/>
        </w:rPr>
        <w:t>4</w:t>
      </w:r>
      <w:r>
        <w:rPr/>
        <w:t>）一项交易单独看是不经济的，但是和其他交易一并考虑时是经济的。</w:t>
      </w:r>
      <w:r>
        <w:rPr>
          <w:w w:val="100"/>
        </w:rPr>
        <w:t> </w:t>
      </w:r>
      <w:r>
        <w:rPr>
          <w:spacing w:val="-2"/>
        </w:rPr>
        <w:t>因处置部分股权投资或其他原因丧失了对原有子公司控制权的，不属于一揽子交易的，应当区分个别</w:t>
      </w:r>
    </w:p>
    <w:p>
      <w:pPr>
        <w:pStyle w:val="BodyText"/>
        <w:spacing w:line="240" w:lineRule="auto"/>
        <w:ind w:right="0"/>
        <w:jc w:val="left"/>
      </w:pPr>
      <w:r>
        <w:rPr/>
        <w:t>财务报表和合并财务报表进行相关会计处理：</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w:t>
      </w:r>
      <w:r>
        <w:rPr>
          <w:rFonts w:ascii="宋体" w:hAnsi="宋体" w:cs="宋体" w:eastAsia="宋体" w:hint="default"/>
        </w:rPr>
        <w:t>1</w:t>
      </w:r>
      <w:r>
        <w:rPr/>
        <w:t>）在个别财务报表中，对于处置的股权，其账面价值与实际取得价款之间的差额计入当期损益。</w:t>
      </w:r>
      <w:r>
        <w:rPr>
          <w:w w:val="100"/>
        </w:rPr>
        <w:t> </w:t>
      </w:r>
      <w:r>
        <w:rPr>
          <w:spacing w:val="-2"/>
        </w:rPr>
        <w:t>处置后的剩余股权能够对被投资单位实施共同控制或施加重大影响的，改按权益法核算，并对该剩余股权</w:t>
      </w:r>
      <w:r>
        <w:rPr>
          <w:spacing w:val="-43"/>
        </w:rPr>
        <w:t> </w:t>
      </w:r>
      <w:r>
        <w:rPr>
          <w:spacing w:val="-43"/>
        </w:rPr>
      </w:r>
      <w:r>
        <w:rPr>
          <w:spacing w:val="-2"/>
        </w:rPr>
        <w:t>视同自取得时即采用权益法核算进行调整；处置后的剩余股权不能对被投资单位实施共同控制或施加重大</w:t>
      </w:r>
      <w:r>
        <w:rPr>
          <w:spacing w:val="-43"/>
        </w:rPr>
        <w:t> </w:t>
      </w:r>
      <w:r>
        <w:rPr>
          <w:spacing w:val="-43"/>
        </w:rPr>
      </w:r>
      <w:r>
        <w:rPr>
          <w:spacing w:val="-3"/>
        </w:rPr>
        <w:t>影响的，改按《企业会计准则第</w:t>
      </w:r>
      <w:r>
        <w:rPr>
          <w:rFonts w:ascii="宋体" w:hAnsi="宋体" w:cs="宋体" w:eastAsia="宋体" w:hint="default"/>
          <w:spacing w:val="-3"/>
        </w:rPr>
        <w:t>22</w:t>
      </w:r>
      <w:r>
        <w:rPr>
          <w:spacing w:val="-3"/>
        </w:rPr>
        <w:t>号</w:t>
      </w:r>
      <w:r>
        <w:rPr>
          <w:rFonts w:ascii="宋体" w:hAnsi="宋体" w:cs="宋体" w:eastAsia="宋体" w:hint="default"/>
          <w:spacing w:val="-3"/>
        </w:rPr>
        <w:t>——</w:t>
      </w:r>
      <w:r>
        <w:rPr>
          <w:spacing w:val="-3"/>
        </w:rPr>
        <w:t>金融工具确认和计量》的有关规定进行会计处理，其在丧失控制</w:t>
      </w:r>
      <w:r>
        <w:rPr>
          <w:spacing w:val="-6"/>
        </w:rPr>
        <w:t> </w:t>
      </w:r>
      <w:r>
        <w:rPr>
          <w:spacing w:val="-6"/>
        </w:rPr>
      </w:r>
      <w:r>
        <w:rPr/>
        <w:t>之日的公允价值与账面价值间的差额计入当期损益。</w:t>
      </w:r>
    </w:p>
    <w:p>
      <w:pPr>
        <w:pStyle w:val="BodyText"/>
        <w:spacing w:line="408" w:lineRule="auto"/>
        <w:ind w:right="0" w:firstLine="420"/>
        <w:jc w:val="left"/>
      </w:pPr>
      <w:r>
        <w:rPr/>
        <w:t>（</w:t>
      </w:r>
      <w:r>
        <w:rPr>
          <w:rFonts w:ascii="宋体" w:hAnsi="宋体" w:cs="宋体" w:eastAsia="宋体" w:hint="default"/>
        </w:rPr>
        <w:t>2</w:t>
      </w:r>
      <w:r>
        <w:rPr/>
        <w:t>）在合并财务报表中，对于在丧失对子公司控制权以前的各项交易，处置价款与处置长期股权投</w:t>
      </w:r>
      <w:r>
        <w:rPr>
          <w:w w:val="100"/>
        </w:rPr>
        <w:t> </w:t>
      </w:r>
      <w:r>
        <w:rPr/>
        <w:t>资相应对享有子公司自购买日或合并日开始持续计算的净资产份额之间的差额，调整资本公积（股本溢</w:t>
      </w:r>
      <w:r>
        <w:rPr>
          <w:w w:val="100"/>
        </w:rPr>
        <w:t> </w:t>
      </w:r>
      <w:r>
        <w:rPr>
          <w:spacing w:val="-2"/>
        </w:rPr>
        <w:t>价），资本公积不足冲减的，调整留存收益；在丧失对子公司控制权时，对于剩余股权，按照其在丧失控</w:t>
      </w:r>
      <w:r>
        <w:rPr>
          <w:spacing w:val="-42"/>
        </w:rPr>
        <w:t> </w:t>
      </w:r>
      <w:r>
        <w:rPr>
          <w:spacing w:val="-42"/>
        </w:rPr>
      </w:r>
      <w:r>
        <w:rPr>
          <w:spacing w:val="-2"/>
        </w:rPr>
        <w:t>制权日的公允价值进行重新计量。处置股权取得的对价与剩余股权公允价值之和，减去按原持股比例计算</w:t>
      </w:r>
      <w:r>
        <w:rPr>
          <w:spacing w:val="-43"/>
        </w:rPr>
        <w:t> </w:t>
      </w:r>
      <w:r>
        <w:rPr>
          <w:spacing w:val="-43"/>
        </w:rPr>
      </w:r>
      <w:r>
        <w:rPr>
          <w:spacing w:val="-2"/>
        </w:rPr>
        <w:t>应享有原有子公司自购买日开始持续计算的净资产的份额之间的差额，计入丧失控制权当期的投资收益，</w:t>
      </w:r>
      <w:r>
        <w:rPr>
          <w:spacing w:val="-26"/>
        </w:rPr>
        <w:t> </w:t>
      </w:r>
      <w:r>
        <w:rPr>
          <w:spacing w:val="-26"/>
        </w:rPr>
      </w:r>
      <w:r>
        <w:rPr/>
        <w:t>同时冲减商誉。与原有子公司股权投资相关的其他综合收益等，在丧失控制权时转为当期投资收益。</w:t>
      </w:r>
    </w:p>
    <w:p>
      <w:pPr>
        <w:pStyle w:val="BodyText"/>
        <w:spacing w:line="408" w:lineRule="auto"/>
        <w:ind w:right="0" w:firstLine="420"/>
        <w:jc w:val="left"/>
      </w:pPr>
      <w:r>
        <w:rPr>
          <w:spacing w:val="-2"/>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BodyText"/>
        <w:spacing w:line="408" w:lineRule="auto"/>
        <w:ind w:right="0" w:firstLine="420"/>
        <w:jc w:val="left"/>
      </w:pPr>
      <w:r>
        <w:rPr>
          <w:spacing w:val="-2"/>
        </w:rPr>
        <w:t>（</w:t>
      </w:r>
      <w:r>
        <w:rPr>
          <w:rFonts w:ascii="宋体" w:hAnsi="宋体" w:cs="宋体" w:eastAsia="宋体" w:hint="default"/>
          <w:spacing w:val="-2"/>
        </w:rPr>
        <w:t>1</w:t>
      </w:r>
      <w:r>
        <w:rPr>
          <w:spacing w:val="-2"/>
        </w:rPr>
        <w:t>）在个别财务报表中，在丧失控制权之前每一次处置价款与处置的股权对应的长期股权投资账面</w:t>
      </w:r>
      <w:r>
        <w:rPr>
          <w:w w:val="100"/>
        </w:rPr>
        <w:t> </w:t>
      </w:r>
      <w:r>
        <w:rPr/>
        <w:t>价值之间的差额，确认为其他综合收益，在丧失控制权时一并转入丧失控制权当期的损益。</w:t>
      </w:r>
    </w:p>
    <w:p>
      <w:pPr>
        <w:pStyle w:val="BodyText"/>
        <w:spacing w:line="408" w:lineRule="auto"/>
        <w:ind w:right="0" w:firstLine="419"/>
        <w:jc w:val="left"/>
      </w:pPr>
      <w:r>
        <w:rPr>
          <w:spacing w:val="-2"/>
        </w:rPr>
        <w:t>（</w:t>
      </w:r>
      <w:r>
        <w:rPr>
          <w:rFonts w:ascii="宋体" w:hAnsi="宋体" w:cs="宋体" w:eastAsia="宋体" w:hint="default"/>
          <w:spacing w:val="-2"/>
        </w:rPr>
        <w:t>2</w:t>
      </w:r>
      <w:r>
        <w:rPr>
          <w:spacing w:val="-2"/>
        </w:rPr>
        <w:t>）在合并财务报表中，在丧失控制权之前每一次处置价款与处置投资对应的享有该子公司净资产</w:t>
      </w:r>
      <w:r>
        <w:rPr>
          <w:w w:val="100"/>
        </w:rPr>
        <w:t> </w:t>
      </w:r>
      <w:r>
        <w:rPr/>
        <w:t>份额的差额，确认为其他综合收益，在丧失控制权时一并转入丧失控制权当期的损益。</w:t>
      </w:r>
    </w:p>
    <w:p>
      <w:pPr>
        <w:spacing w:line="408" w:lineRule="auto" w:before="45"/>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如果本公司按照相关约定与其他参与方集体控制某项安排，并且对该安排回报具有重大影响的活动决</w:t>
      </w:r>
    </w:p>
    <w:p>
      <w:pPr>
        <w:pStyle w:val="BodyText"/>
        <w:spacing w:line="240" w:lineRule="auto"/>
        <w:ind w:right="0"/>
        <w:jc w:val="left"/>
      </w:pPr>
      <w:r>
        <w:rPr/>
        <w:t>策，需要经过分享控制权的参与方一致同意时才存在，则视为本公司与其他参与方共同控制某项安排，该</w:t>
      </w:r>
    </w:p>
    <w:p>
      <w:pPr>
        <w:spacing w:after="0" w:line="240" w:lineRule="auto"/>
        <w:jc w:val="left"/>
        <w:sectPr>
          <w:footerReference w:type="default" r:id="rId56"/>
          <w:pgSz w:w="11910" w:h="16840"/>
          <w:pgMar w:footer="1066" w:header="990" w:top="1220" w:bottom="1260" w:left="980" w:right="980"/>
          <w:pgNumType w:start="175"/>
        </w:sectPr>
      </w:pPr>
    </w:p>
    <w:p>
      <w:pPr>
        <w:spacing w:line="240" w:lineRule="auto" w:before="4"/>
        <w:rPr>
          <w:rFonts w:ascii="宋体" w:hAnsi="宋体" w:cs="宋体" w:eastAsia="宋体" w:hint="default"/>
          <w:sz w:val="16"/>
          <w:szCs w:val="16"/>
        </w:rPr>
      </w:pPr>
    </w:p>
    <w:p>
      <w:pPr>
        <w:pStyle w:val="BodyText"/>
        <w:spacing w:line="408" w:lineRule="auto" w:before="36"/>
        <w:ind w:left="572" w:right="0" w:hanging="420"/>
        <w:jc w:val="left"/>
      </w:pPr>
      <w:bookmarkStart w:name="（2）折旧方法" w:id="178"/>
      <w:bookmarkEnd w:id="178"/>
      <w:r>
        <w:rPr/>
      </w:r>
      <w:r>
        <w:rPr/>
        <w:t>安排即属于合营安排。</w:t>
      </w:r>
      <w:r>
        <w:rPr>
          <w:w w:val="100"/>
        </w:rPr>
        <w:t> </w:t>
      </w:r>
      <w:r>
        <w:rPr>
          <w:spacing w:val="-2"/>
        </w:rPr>
        <w:t>合营安排通过单独主体达成的，根据相关约定判断本公司对该单独主体的净资产享有权利时，将该单</w:t>
      </w:r>
    </w:p>
    <w:p>
      <w:pPr>
        <w:pStyle w:val="BodyText"/>
        <w:spacing w:line="408" w:lineRule="auto"/>
        <w:ind w:right="146"/>
        <w:jc w:val="both"/>
      </w:pPr>
      <w:r>
        <w:rPr>
          <w:spacing w:val="-2"/>
        </w:rPr>
        <w:t>独主体作为合营企业，采用权益法核算。若根据相关约定判断本公司并非对该单独主体的净资产享有权利</w:t>
      </w:r>
      <w:r>
        <w:rPr>
          <w:spacing w:val="-43"/>
        </w:rPr>
        <w:t> </w:t>
      </w:r>
      <w:r>
        <w:rPr>
          <w:spacing w:val="-43"/>
        </w:rPr>
      </w:r>
      <w:r>
        <w:rPr>
          <w:spacing w:val="-2"/>
        </w:rPr>
        <w:t>时，该单独主体作为共同经营，本公司确认与共同经营利益份额相关的项目，并按照相关企业会计准则的</w:t>
      </w:r>
      <w:r>
        <w:rPr>
          <w:spacing w:val="-44"/>
        </w:rPr>
        <w:t> </w:t>
      </w:r>
      <w:r>
        <w:rPr>
          <w:spacing w:val="-44"/>
        </w:rPr>
      </w:r>
      <w:r>
        <w:rPr/>
        <w:t>规定进行会计处理。</w:t>
      </w:r>
    </w:p>
    <w:p>
      <w:pPr>
        <w:pStyle w:val="BodyText"/>
        <w:spacing w:line="408" w:lineRule="auto"/>
        <w:ind w:right="147" w:firstLine="420"/>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他方一起共同控制这些政策的制定。本公司通过以下一种或多种情形，并综合考虑所有事实和情况后，判</w:t>
      </w:r>
      <w:r>
        <w:rPr>
          <w:spacing w:val="-43"/>
        </w:rPr>
        <w:t> </w:t>
      </w:r>
      <w:r>
        <w:rPr>
          <w:spacing w:val="-43"/>
        </w:rPr>
      </w:r>
      <w:r>
        <w:rPr>
          <w:spacing w:val="-2"/>
        </w:rPr>
        <w:t>断对被投资单位具有重大影响。（</w:t>
      </w:r>
      <w:r>
        <w:rPr>
          <w:rFonts w:ascii="宋体" w:hAnsi="宋体" w:cs="宋体" w:eastAsia="宋体" w:hint="default"/>
          <w:spacing w:val="-2"/>
        </w:rPr>
        <w:t>1</w:t>
      </w:r>
      <w:r>
        <w:rPr>
          <w:spacing w:val="-2"/>
        </w:rPr>
        <w:t>）在被投资单位的董事会或类似权力机构中派有代表；（</w:t>
      </w:r>
      <w:r>
        <w:rPr>
          <w:rFonts w:ascii="宋体" w:hAnsi="宋体" w:cs="宋体" w:eastAsia="宋体" w:hint="default"/>
          <w:spacing w:val="-2"/>
        </w:rPr>
        <w:t>2</w:t>
      </w:r>
      <w:r>
        <w:rPr>
          <w:spacing w:val="-2"/>
        </w:rPr>
        <w:t>）参与被投</w:t>
      </w:r>
      <w:r>
        <w:rPr>
          <w:spacing w:val="-46"/>
        </w:rPr>
        <w:t> </w:t>
      </w:r>
      <w:r>
        <w:rPr>
          <w:spacing w:val="-46"/>
        </w:rPr>
      </w:r>
      <w:r>
        <w:rPr>
          <w:spacing w:val="-2"/>
        </w:rPr>
        <w:t>资单位财务和经营政策制定过程；（</w:t>
      </w:r>
      <w:r>
        <w:rPr>
          <w:rFonts w:ascii="宋体" w:hAnsi="宋体" w:cs="宋体" w:eastAsia="宋体" w:hint="default"/>
          <w:spacing w:val="-2"/>
        </w:rPr>
        <w:t>3</w:t>
      </w:r>
      <w:r>
        <w:rPr>
          <w:spacing w:val="-2"/>
        </w:rPr>
        <w:t>）与被投资单位之间发生重要交易；（</w:t>
      </w:r>
      <w:r>
        <w:rPr>
          <w:rFonts w:ascii="宋体" w:hAnsi="宋体" w:cs="宋体" w:eastAsia="宋体" w:hint="default"/>
          <w:spacing w:val="-2"/>
        </w:rPr>
        <w:t>4</w:t>
      </w:r>
      <w:r>
        <w:rPr>
          <w:spacing w:val="-2"/>
        </w:rPr>
        <w:t>）向被投资单位派出管理人</w:t>
      </w:r>
      <w:r>
        <w:rPr>
          <w:spacing w:val="-48"/>
        </w:rPr>
        <w:t> </w:t>
      </w:r>
      <w:r>
        <w:rPr>
          <w:spacing w:val="-48"/>
        </w:rPr>
      </w:r>
      <w:r>
        <w:rPr/>
        <w:t>员；（</w:t>
      </w:r>
      <w:r>
        <w:rPr>
          <w:rFonts w:ascii="宋体" w:hAnsi="宋体" w:cs="宋体" w:eastAsia="宋体" w:hint="default"/>
        </w:rPr>
        <w:t>5</w:t>
      </w:r>
      <w:r>
        <w:rPr/>
        <w:t>）向被投资单位提供关键技术资料。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15</w:t>
      </w:r>
      <w:r>
        <w:rPr/>
        <w:t>、投资性房地产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41" w:lineRule="auto" w:before="0"/>
        <w:ind w:right="7434"/>
        <w:jc w:val="left"/>
      </w:pPr>
      <w:r>
        <w:rPr>
          <w:spacing w:val="-2"/>
        </w:rPr>
        <w:t>投资性房地产计量模式</w:t>
      </w:r>
      <w:r>
        <w:rPr>
          <w:spacing w:val="-85"/>
        </w:rPr>
        <w:t> </w:t>
      </w:r>
      <w:r>
        <w:rPr>
          <w:spacing w:val="-85"/>
        </w:rPr>
      </w:r>
      <w:r>
        <w:rPr/>
        <w:t>不适用</w:t>
      </w:r>
    </w:p>
    <w:p>
      <w:pPr>
        <w:spacing w:line="240" w:lineRule="auto" w:before="5"/>
        <w:rPr>
          <w:rFonts w:ascii="宋体" w:hAnsi="宋体" w:cs="宋体" w:eastAsia="宋体" w:hint="default"/>
          <w:sz w:val="24"/>
          <w:szCs w:val="24"/>
        </w:rPr>
      </w:pPr>
    </w:p>
    <w:p>
      <w:pPr>
        <w:pStyle w:val="Heading3"/>
        <w:spacing w:line="240" w:lineRule="auto"/>
        <w:ind w:right="0"/>
        <w:jc w:val="both"/>
        <w:rPr>
          <w:b w:val="0"/>
          <w:bCs w:val="0"/>
        </w:rPr>
      </w:pPr>
      <w:r>
        <w:rPr>
          <w:rFonts w:ascii="宋体" w:hAnsi="宋体" w:cs="宋体" w:eastAsia="宋体" w:hint="default"/>
        </w:rPr>
        <w:t>16</w:t>
      </w:r>
      <w:r>
        <w:rPr/>
        <w:t>、固定资产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3"/>
        <w:spacing w:line="240" w:lineRule="auto"/>
        <w:ind w:right="0"/>
        <w:jc w:val="both"/>
        <w:rPr>
          <w:b w:val="0"/>
          <w:bCs w:val="0"/>
        </w:rPr>
      </w:pPr>
      <w:r>
        <w:rPr/>
        <w:t>（</w:t>
      </w:r>
      <w:r>
        <w:rPr>
          <w:rFonts w:ascii="宋体" w:hAnsi="宋体" w:cs="宋体" w:eastAsia="宋体" w:hint="default"/>
        </w:rPr>
        <w:t>1</w:t>
      </w:r>
      <w:r>
        <w:rPr/>
        <w:t>）确认条件</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146" w:firstLine="420"/>
        <w:jc w:val="both"/>
      </w:pPr>
      <w:r>
        <w:rPr>
          <w:spacing w:val="-2"/>
        </w:rPr>
        <w:t>固定资产指为生产商品、提供劳务、出租或经营管</w:t>
      </w:r>
      <w:bookmarkStart w:name="15、投资性房地产" w:id="179"/>
      <w:bookmarkEnd w:id="179"/>
      <w:r>
        <w:rPr>
          <w:spacing w:val="-2"/>
        </w:rPr>
        <w:t>理而</w:t>
      </w:r>
      <w:r>
        <w:rPr>
          <w:spacing w:val="-2"/>
        </w:rPr>
        <w:t>持有，并且使用寿命</w:t>
      </w:r>
      <w:bookmarkStart w:name="16、固定资产" w:id="180"/>
      <w:bookmarkEnd w:id="180"/>
      <w:r>
        <w:rPr>
          <w:spacing w:val="-2"/>
        </w:rPr>
        <w:t>超过</w:t>
      </w:r>
      <w:r>
        <w:rPr>
          <w:spacing w:val="-2"/>
        </w:rPr>
        <w:t>一个会</w:t>
      </w:r>
      <w:bookmarkStart w:name="（1）确认条件" w:id="181"/>
      <w:bookmarkEnd w:id="181"/>
      <w:r>
        <w:rPr>
          <w:spacing w:val="-2"/>
        </w:rPr>
        <w:t>计</w:t>
      </w:r>
      <w:r>
        <w:rPr>
          <w:spacing w:val="-2"/>
        </w:rPr>
        <w:t>年度的有形</w:t>
      </w:r>
      <w:r>
        <w:rPr>
          <w:w w:val="100"/>
        </w:rPr>
        <w:t> </w:t>
      </w:r>
      <w:r>
        <w:rPr/>
        <w:t>资产。固定资产在同时满足下列条件时予以确认：</w:t>
      </w:r>
    </w:p>
    <w:p>
      <w:pPr>
        <w:pStyle w:val="BodyText"/>
        <w:spacing w:line="240" w:lineRule="auto" w:before="87"/>
        <w:ind w:left="572" w:right="0"/>
        <w:jc w:val="left"/>
      </w:pPr>
      <w:r>
        <w:rPr/>
        <w:t>①</w:t>
      </w:r>
      <w:r>
        <w:rPr>
          <w:spacing w:val="-11"/>
        </w:rPr>
        <w:t> </w:t>
      </w:r>
      <w:r>
        <w:rPr/>
        <w:t>与该固定资产有关的经济利益很可能流入企业；</w:t>
      </w:r>
    </w:p>
    <w:p>
      <w:pPr>
        <w:spacing w:line="240" w:lineRule="auto" w:before="12"/>
        <w:rPr>
          <w:rFonts w:ascii="宋体" w:hAnsi="宋体" w:cs="宋体" w:eastAsia="宋体" w:hint="default"/>
          <w:sz w:val="17"/>
          <w:szCs w:val="17"/>
        </w:rPr>
      </w:pPr>
    </w:p>
    <w:p>
      <w:pPr>
        <w:pStyle w:val="BodyText"/>
        <w:spacing w:line="240" w:lineRule="auto" w:before="0"/>
        <w:ind w:left="572" w:right="0"/>
        <w:jc w:val="left"/>
      </w:pPr>
      <w:r>
        <w:rPr/>
        <w:t>②</w:t>
      </w:r>
      <w:r>
        <w:rPr>
          <w:spacing w:val="-5"/>
        </w:rPr>
        <w:t> </w:t>
      </w:r>
      <w:r>
        <w:rPr/>
        <w:t>该固定资产的成本能够可靠地计量。</w:t>
      </w:r>
    </w:p>
    <w:p>
      <w:pPr>
        <w:spacing w:line="240" w:lineRule="auto" w:before="0"/>
        <w:rPr>
          <w:rFonts w:ascii="宋体" w:hAnsi="宋体" w:cs="宋体" w:eastAsia="宋体" w:hint="default"/>
          <w:sz w:val="20"/>
          <w:szCs w:val="20"/>
        </w:rPr>
      </w:pPr>
    </w:p>
    <w:p>
      <w:pPr>
        <w:pStyle w:val="Heading3"/>
        <w:spacing w:line="240" w:lineRule="auto" w:before="152"/>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lef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b/>
          <w:bCs/>
          <w:sz w:val="10"/>
          <w:szCs w:val="10"/>
        </w:rPr>
      </w:pPr>
    </w:p>
    <w:p>
      <w:pPr>
        <w:pStyle w:val="Heading3"/>
        <w:spacing w:line="240" w:lineRule="auto" w:before="36"/>
        <w:ind w:right="0"/>
        <w:jc w:val="both"/>
        <w:rPr>
          <w:b w:val="0"/>
          <w:bCs w:val="0"/>
        </w:rPr>
      </w:pPr>
      <w:r>
        <w:rPr/>
        <w:t>（</w:t>
      </w:r>
      <w:bookmarkStart w:name="（3）融资租入固定资产的认定依据、计价和折旧方法" w:id="182"/>
      <w:bookmarkEnd w:id="182"/>
      <w:r>
        <w:rPr/>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798" w:right="0"/>
        <w:jc w:val="left"/>
      </w:pPr>
      <w:r>
        <w:rPr/>
        <w:t>当本公司租入的固定资产符合下列一项或数项标准时，确认为融资租入固定资产：</w:t>
      </w:r>
    </w:p>
    <w:p>
      <w:pPr>
        <w:spacing w:line="240" w:lineRule="auto" w:before="12"/>
        <w:rPr>
          <w:rFonts w:ascii="宋体" w:hAnsi="宋体" w:cs="宋体" w:eastAsia="宋体" w:hint="default"/>
          <w:sz w:val="17"/>
          <w:szCs w:val="17"/>
        </w:rPr>
      </w:pPr>
    </w:p>
    <w:p>
      <w:pPr>
        <w:pStyle w:val="BodyText"/>
        <w:spacing w:line="240" w:lineRule="auto" w:before="0"/>
        <w:ind w:right="0"/>
        <w:jc w:val="both"/>
      </w:pPr>
      <w:r>
        <w:rPr/>
        <w:t>①</w:t>
      </w:r>
      <w:r>
        <w:rPr>
          <w:spacing w:val="101"/>
        </w:rPr>
        <w:t> </w:t>
      </w:r>
      <w:r>
        <w:rPr/>
        <w:t>在租赁期届满时，租赁资产的所有权转移给本公司。</w:t>
      </w:r>
    </w:p>
    <w:p>
      <w:pPr>
        <w:spacing w:line="240" w:lineRule="auto" w:before="12"/>
        <w:rPr>
          <w:rFonts w:ascii="宋体" w:hAnsi="宋体" w:cs="宋体" w:eastAsia="宋体" w:hint="default"/>
          <w:sz w:val="17"/>
          <w:szCs w:val="17"/>
        </w:rPr>
      </w:pPr>
    </w:p>
    <w:p>
      <w:pPr>
        <w:pStyle w:val="BodyText"/>
        <w:tabs>
          <w:tab w:pos="573" w:val="left" w:leader="none"/>
        </w:tabs>
        <w:spacing w:line="408" w:lineRule="auto" w:before="0"/>
        <w:ind w:left="573" w:right="376" w:hanging="421"/>
        <w:jc w:val="left"/>
      </w:pPr>
      <w:r>
        <w:rPr/>
        <w:t>②</w:t>
        <w:tab/>
      </w:r>
      <w:r>
        <w:rPr>
          <w:spacing w:val="-2"/>
        </w:rPr>
        <w:t>本公司有购买租赁资产的选择权，所订立的购买价款预计将远低于行使选择权时租赁资产的公允价</w:t>
      </w:r>
      <w:r>
        <w:rPr>
          <w:spacing w:val="-25"/>
        </w:rPr>
        <w:t> </w:t>
      </w:r>
      <w:r>
        <w:rPr>
          <w:spacing w:val="-25"/>
        </w:rPr>
      </w:r>
      <w:r>
        <w:rPr/>
        <w:t>值，因而在租赁开始日就可以合理确定本公司将会行使这种选择权。</w:t>
      </w:r>
    </w:p>
    <w:p>
      <w:pPr>
        <w:pStyle w:val="BodyText"/>
        <w:spacing w:line="240" w:lineRule="auto" w:before="84"/>
        <w:ind w:left="153" w:right="0"/>
        <w:jc w:val="both"/>
      </w:pPr>
      <w:r>
        <w:rPr/>
        <w:t>③</w:t>
      </w:r>
      <w:r>
        <w:rPr>
          <w:spacing w:val="101"/>
        </w:rPr>
        <w:t> </w:t>
      </w:r>
      <w:r>
        <w:rPr/>
        <w:t>即使资产的所有权不转移，但租赁期占租赁资产使用寿命的大部分。</w:t>
      </w:r>
    </w:p>
    <w:p>
      <w:pPr>
        <w:spacing w:line="240" w:lineRule="auto" w:before="12"/>
        <w:rPr>
          <w:rFonts w:ascii="宋体" w:hAnsi="宋体" w:cs="宋体" w:eastAsia="宋体" w:hint="default"/>
          <w:sz w:val="17"/>
          <w:szCs w:val="17"/>
        </w:rPr>
      </w:pPr>
    </w:p>
    <w:p>
      <w:pPr>
        <w:pStyle w:val="BodyText"/>
        <w:spacing w:line="240" w:lineRule="auto" w:before="0"/>
        <w:ind w:left="153" w:right="0"/>
        <w:jc w:val="both"/>
      </w:pPr>
      <w:r>
        <w:rPr/>
        <w:t>④</w:t>
      </w:r>
      <w:r>
        <w:rPr>
          <w:spacing w:val="100"/>
        </w:rPr>
        <w:t> </w:t>
      </w:r>
      <w:r>
        <w:rPr/>
        <w:t>本公司在租赁开始日的最低租赁付款额现值，几乎相当于租赁开始日租赁资产公允价值。</w:t>
      </w:r>
    </w:p>
    <w:p>
      <w:pPr>
        <w:spacing w:line="240" w:lineRule="auto" w:before="12"/>
        <w:rPr>
          <w:rFonts w:ascii="宋体" w:hAnsi="宋体" w:cs="宋体" w:eastAsia="宋体" w:hint="default"/>
          <w:sz w:val="17"/>
          <w:szCs w:val="17"/>
        </w:rPr>
      </w:pPr>
    </w:p>
    <w:p>
      <w:pPr>
        <w:pStyle w:val="BodyText"/>
        <w:spacing w:line="408" w:lineRule="auto" w:before="0"/>
        <w:ind w:left="573" w:right="146" w:hanging="421"/>
        <w:jc w:val="both"/>
      </w:pPr>
      <w:r>
        <w:rPr/>
        <w:t>⑤</w:t>
      </w:r>
      <w:r>
        <w:rPr>
          <w:spacing w:val="78"/>
        </w:rPr>
        <w:t> </w:t>
      </w:r>
      <w:r>
        <w:rPr>
          <w:spacing w:val="-3"/>
        </w:rPr>
        <w:t>租赁资产性质特殊，如果不作较大改造，只有本公司才能使用。融资租赁租入的固定资产，按租赁开</w:t>
      </w:r>
      <w:r>
        <w:rPr>
          <w:spacing w:val="-93"/>
        </w:rPr>
        <w:t> </w:t>
      </w:r>
      <w:r>
        <w:rPr>
          <w:spacing w:val="-93"/>
        </w:rPr>
      </w:r>
      <w:r>
        <w:rPr>
          <w:spacing w:val="-2"/>
        </w:rPr>
        <w:t>始日租赁资产公允价值与最低租赁付款额的现值两者中较低者，作为入账价值。最低租赁付款额作为</w:t>
      </w:r>
      <w:r>
        <w:rPr>
          <w:w w:val="100"/>
        </w:rPr>
        <w:t> </w:t>
      </w:r>
      <w:r>
        <w:rPr>
          <w:spacing w:val="-2"/>
        </w:rPr>
        <w:t>长期应付款的入账价值，其差额作为未确认融资费用。在租赁谈判和签订租赁合同过程中发生的，可</w:t>
      </w:r>
      <w:r>
        <w:rPr>
          <w:w w:val="100"/>
        </w:rPr>
        <w:t> </w:t>
      </w:r>
      <w:r>
        <w:rPr>
          <w:spacing w:val="-2"/>
        </w:rPr>
        <w:t>归属于租赁项目的手续费、律师费、差旅费、印花税等初始直接费用，计入租入资产价值。未确认融</w:t>
      </w:r>
      <w:r>
        <w:rPr>
          <w:w w:val="100"/>
        </w:rPr>
        <w:t> </w:t>
      </w:r>
      <w:r>
        <w:rPr>
          <w:spacing w:val="-2"/>
        </w:rPr>
        <w:t>资费用在租赁期内各个期间采用实际利率法进行分摊。本公司采用与自有固定资产相一致的折旧政策</w:t>
      </w:r>
      <w:r>
        <w:rPr>
          <w:w w:val="100"/>
        </w:rPr>
        <w:t> </w:t>
      </w:r>
      <w:r>
        <w:rPr>
          <w:spacing w:val="-2"/>
        </w:rPr>
        <w:t>计提融资租入固定资产折旧。能够合理确定租赁期届满时取得租赁资产所有权的，在租赁资产使用寿</w:t>
      </w:r>
      <w:r>
        <w:rPr>
          <w:w w:val="100"/>
        </w:rPr>
        <w:t> </w:t>
      </w:r>
      <w:r>
        <w:rPr>
          <w:spacing w:val="-2"/>
        </w:rPr>
        <w:t>命内计提折旧。无法合理确定租赁期届满时能够取得租赁资产所有权的，在租赁期与租赁资产使用寿</w:t>
      </w:r>
      <w:r>
        <w:rPr>
          <w:w w:val="100"/>
        </w:rPr>
        <w:t> </w:t>
      </w:r>
      <w:r>
        <w:rPr/>
        <w:t>命两者中较短的期间内计提折旧。</w:t>
      </w:r>
    </w:p>
    <w:p>
      <w:pPr>
        <w:spacing w:line="240" w:lineRule="auto" w:before="5"/>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17</w:t>
      </w:r>
      <w:r>
        <w:rPr/>
        <w:t>、</w:t>
      </w:r>
      <w:r>
        <w:rPr>
          <w:spacing w:val="-82"/>
        </w:rPr>
        <w:t> </w:t>
      </w:r>
      <w:r>
        <w:rPr/>
        <w:t>在建工程</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2" w:right="0" w:hanging="6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）在建工程的类别</w:t>
      </w:r>
      <w:r>
        <w:rPr>
          <w:rFonts w:ascii="宋体" w:hAnsi="宋体" w:cs="宋体" w:eastAsia="宋体" w:hint="default"/>
          <w:b/>
          <w:bCs/>
          <w:spacing w:val="-103"/>
        </w:rPr>
        <w:t> </w:t>
      </w:r>
      <w:r>
        <w:rPr>
          <w:spacing w:val="-2"/>
        </w:rPr>
        <w:t>本公司自行建造的在建工程按实际成本计价，实际成本由建造该项资产达到</w:t>
      </w:r>
      <w:bookmarkStart w:name="17、 在建工程" w:id="183"/>
      <w:bookmarkEnd w:id="183"/>
      <w:r>
        <w:rPr>
          <w:spacing w:val="-2"/>
        </w:rPr>
        <w:t>预定</w:t>
      </w:r>
      <w:r>
        <w:rPr>
          <w:spacing w:val="-2"/>
        </w:rPr>
        <w:t>可使用状态前所发生</w:t>
      </w:r>
    </w:p>
    <w:p>
      <w:pPr>
        <w:pStyle w:val="BodyText"/>
        <w:spacing w:line="408" w:lineRule="auto"/>
        <w:ind w:right="0"/>
        <w:jc w:val="left"/>
      </w:pPr>
      <w:r>
        <w:rPr>
          <w:spacing w:val="-3"/>
        </w:rPr>
        <w:t>的必要支出构成，包括工程用物资成本、人工成本、交纳的相关税费、应予资本化的借款费用以及应分摊</w:t>
      </w:r>
      <w:r>
        <w:rPr>
          <w:spacing w:val="-10"/>
        </w:rPr>
        <w:t> </w:t>
      </w:r>
      <w:r>
        <w:rPr>
          <w:spacing w:val="-10"/>
        </w:rPr>
      </w:r>
      <w:r>
        <w:rPr/>
        <w:t>的间接费用等。本公司的在建工程以项目分类核算。</w:t>
      </w:r>
    </w:p>
    <w:p>
      <w:pPr>
        <w:spacing w:line="408" w:lineRule="auto" w:before="46"/>
        <w:ind w:left="572" w:right="0" w:hanging="10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在建工程项目按建造该项资产达到预定可使用状态前所发生的全部支出，作为固定资产的入账价值。</w:t>
      </w:r>
    </w:p>
    <w:p>
      <w:pPr>
        <w:pStyle w:val="BodyText"/>
        <w:spacing w:line="408" w:lineRule="auto"/>
        <w:ind w:right="146"/>
        <w:jc w:val="both"/>
      </w:pPr>
      <w:r>
        <w:rPr>
          <w:spacing w:val="-2"/>
        </w:rPr>
        <w:t>所建造的在建工程已达到预定可使用状态，但尚未办理竣工决算的，自达到预定可使用状态之日起，根据</w:t>
      </w:r>
      <w:r>
        <w:rPr>
          <w:spacing w:val="-44"/>
        </w:rPr>
        <w:t> </w:t>
      </w:r>
      <w:r>
        <w:rPr>
          <w:spacing w:val="-44"/>
        </w:rPr>
      </w:r>
      <w:r>
        <w:rPr>
          <w:spacing w:val="-2"/>
        </w:rPr>
        <w:t>工程预算、造价或者工程实际成本等，按估计的价值转入固定资产，并按本公司固定资产折旧政策计提固</w:t>
      </w:r>
      <w:r>
        <w:rPr>
          <w:spacing w:val="-44"/>
        </w:rPr>
        <w:t> </w:t>
      </w:r>
      <w:r>
        <w:rPr>
          <w:spacing w:val="-44"/>
        </w:rPr>
      </w:r>
      <w:r>
        <w:rPr/>
        <w:t>定资产的折旧，待办理竣工决算后，再按实际成本调整原来的暂估价值，但不调整原已计提的折旧额。</w:t>
      </w:r>
    </w:p>
    <w:p>
      <w:pPr>
        <w:spacing w:after="0" w:line="408" w:lineRule="auto"/>
        <w:jc w:val="both"/>
        <w:sectPr>
          <w:pgSz w:w="11910" w:h="16840"/>
          <w:pgMar w:header="990" w:footer="1066" w:top="1220" w:bottom="1260" w:left="980" w:right="980"/>
        </w:sectPr>
      </w:pPr>
    </w:p>
    <w:p>
      <w:pPr>
        <w:spacing w:line="240" w:lineRule="auto" w:before="5"/>
        <w:rPr>
          <w:rFonts w:ascii="宋体" w:hAnsi="宋体" w:cs="宋体" w:eastAsia="宋体" w:hint="default"/>
          <w:sz w:val="10"/>
          <w:szCs w:val="10"/>
        </w:rPr>
      </w:pPr>
    </w:p>
    <w:p>
      <w:pPr>
        <w:pStyle w:val="Heading3"/>
        <w:spacing w:line="240" w:lineRule="auto" w:before="36"/>
        <w:ind w:right="0"/>
        <w:jc w:val="left"/>
        <w:rPr>
          <w:b w:val="0"/>
          <w:bCs w:val="0"/>
        </w:rPr>
      </w:pPr>
      <w:r>
        <w:rPr>
          <w:rFonts w:ascii="Times New Roman" w:hAnsi="Times New Roman" w:cs="Times New Roman" w:eastAsia="Times New Roman" w:hint="default"/>
        </w:rPr>
        <w:t>18</w:t>
      </w:r>
      <w:bookmarkStart w:name="18、借款费用" w:id="184"/>
      <w:bookmarkEnd w:id="184"/>
      <w:r>
        <w:rPr>
          <w:rFonts w:ascii="Times New Roman" w:hAnsi="Times New Roman" w:cs="Times New Roman" w:eastAsia="Times New Roman" w:hint="default"/>
        </w:rPr>
      </w:r>
      <w:r>
        <w:rPr/>
        <w:t>、借款费用</w:t>
      </w:r>
      <w:r>
        <w:rPr>
          <w:b w:val="0"/>
          <w:bCs w:val="0"/>
        </w:rPr>
      </w:r>
    </w:p>
    <w:p>
      <w:pPr>
        <w:spacing w:line="240" w:lineRule="auto" w:before="6"/>
        <w:rPr>
          <w:rFonts w:ascii="宋体" w:hAnsi="宋体" w:cs="宋体" w:eastAsia="宋体" w:hint="default"/>
          <w:b/>
          <w:bCs/>
          <w:sz w:val="30"/>
          <w:szCs w:val="30"/>
        </w:rPr>
      </w:pPr>
    </w:p>
    <w:p>
      <w:pPr>
        <w:spacing w:line="408" w:lineRule="auto" w:before="0"/>
        <w:ind w:left="57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公司发生的借款费用，可直接归属于符合资本化条件的资产的购建或者生产的，在符合资本化条件的</w:t>
      </w:r>
    </w:p>
    <w:p>
      <w:pPr>
        <w:pStyle w:val="BodyText"/>
        <w:spacing w:line="408" w:lineRule="auto"/>
        <w:ind w:right="156"/>
        <w:jc w:val="both"/>
      </w:pPr>
      <w:r>
        <w:rPr>
          <w:spacing w:val="-3"/>
        </w:rPr>
        <w:t>情况下开始资本化，计入相关资产成本；其他借款费用，在发生时根据其发生额确认为费用，计入当期损</w:t>
      </w:r>
      <w:r>
        <w:rPr>
          <w:spacing w:val="-13"/>
        </w:rPr>
        <w:t> </w:t>
      </w:r>
      <w:r>
        <w:rPr>
          <w:spacing w:val="-13"/>
        </w:rPr>
      </w:r>
      <w:r>
        <w:rPr/>
        <w:t>益。</w:t>
      </w:r>
    </w:p>
    <w:p>
      <w:pPr>
        <w:pStyle w:val="BodyText"/>
        <w:spacing w:line="408" w:lineRule="auto"/>
        <w:ind w:right="0" w:firstLine="420"/>
        <w:jc w:val="left"/>
      </w:pPr>
      <w:r>
        <w:rPr>
          <w:spacing w:val="-2"/>
        </w:rPr>
        <w:t>符合资本化条件的资产，是指需要经过相当长时间的购建或者生产活动才能达到预定可使用或者可销</w:t>
      </w:r>
      <w:r>
        <w:rPr>
          <w:w w:val="100"/>
        </w:rPr>
        <w:t> </w:t>
      </w:r>
      <w:r>
        <w:rPr/>
        <w:t>售状态的固定资产、投资性房地产和存货等资产。</w:t>
      </w:r>
    </w:p>
    <w:p>
      <w:pPr>
        <w:pStyle w:val="BodyText"/>
        <w:spacing w:line="240" w:lineRule="auto"/>
        <w:ind w:left="572" w:right="0"/>
        <w:jc w:val="left"/>
      </w:pPr>
      <w:r>
        <w:rPr/>
        <w:t>借款费用同时满足下列条件时开始资本化：</w:t>
      </w:r>
    </w:p>
    <w:p>
      <w:pPr>
        <w:spacing w:line="240" w:lineRule="auto" w:before="10"/>
        <w:rPr>
          <w:rFonts w:ascii="宋体" w:hAnsi="宋体" w:cs="宋体" w:eastAsia="宋体" w:hint="default"/>
          <w:sz w:val="14"/>
          <w:szCs w:val="14"/>
        </w:rPr>
      </w:pPr>
    </w:p>
    <w:p>
      <w:pPr>
        <w:pStyle w:val="BodyText"/>
        <w:spacing w:line="408" w:lineRule="auto" w:before="0"/>
        <w:ind w:right="149" w:firstLine="420"/>
        <w:jc w:val="left"/>
      </w:pPr>
      <w:r>
        <w:rPr/>
        <w:t>①</w:t>
      </w:r>
      <w:r>
        <w:rPr>
          <w:spacing w:val="70"/>
        </w:rPr>
        <w:t> </w:t>
      </w:r>
      <w:r>
        <w:rPr/>
        <w:t>资产支出已经发生，资产支出包括为购建或者生产符合资本化条件的资产而以支付现金、转移非</w:t>
      </w:r>
      <w:r>
        <w:rPr>
          <w:w w:val="100"/>
        </w:rPr>
        <w:t> </w:t>
      </w:r>
      <w:r>
        <w:rPr/>
        <w:t>现金资产或者承担带息债务形式发生的支出；</w:t>
      </w:r>
    </w:p>
    <w:p>
      <w:pPr>
        <w:pStyle w:val="BodyText"/>
        <w:tabs>
          <w:tab w:pos="1038" w:val="left" w:leader="none"/>
        </w:tabs>
        <w:spacing w:line="240" w:lineRule="auto"/>
        <w:ind w:left="572" w:right="0"/>
        <w:jc w:val="left"/>
      </w:pPr>
      <w:r>
        <w:rPr/>
        <w:t>③</w:t>
        <w:tab/>
        <w:t>借款费用已经发生；</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③</w:t>
      </w:r>
      <w:r>
        <w:rPr>
          <w:spacing w:val="-7"/>
        </w:rPr>
        <w:t> </w:t>
      </w:r>
      <w:r>
        <w:rPr/>
        <w:t>为使资产达到预定可使用或者可销售状态所必要的购建或者生产活动已经开始。</w:t>
      </w:r>
    </w:p>
    <w:p>
      <w:pPr>
        <w:spacing w:line="240" w:lineRule="auto" w:before="10"/>
        <w:rPr>
          <w:rFonts w:ascii="宋体" w:hAnsi="宋体" w:cs="宋体" w:eastAsia="宋体" w:hint="default"/>
          <w:sz w:val="14"/>
          <w:szCs w:val="14"/>
        </w:rPr>
      </w:pPr>
    </w:p>
    <w:p>
      <w:pPr>
        <w:spacing w:line="408" w:lineRule="auto" w:before="0"/>
        <w:ind w:left="57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资本化期间，指从借款费用开始资本化时点到停止资本化时点的期间，借款费用暂停资本化的期间不</w:t>
      </w:r>
    </w:p>
    <w:p>
      <w:pPr>
        <w:pStyle w:val="BodyText"/>
        <w:spacing w:line="240" w:lineRule="auto"/>
        <w:ind w:right="0"/>
        <w:jc w:val="left"/>
      </w:pPr>
      <w:r>
        <w:rPr/>
        <w:t>包括在内。</w:t>
      </w:r>
    </w:p>
    <w:p>
      <w:pPr>
        <w:spacing w:line="240" w:lineRule="auto" w:before="10"/>
        <w:rPr>
          <w:rFonts w:ascii="宋体" w:hAnsi="宋体" w:cs="宋体" w:eastAsia="宋体" w:hint="default"/>
          <w:sz w:val="14"/>
          <w:szCs w:val="14"/>
        </w:rPr>
      </w:pPr>
    </w:p>
    <w:p>
      <w:pPr>
        <w:pStyle w:val="BodyText"/>
        <w:spacing w:line="408" w:lineRule="auto" w:before="0"/>
        <w:ind w:left="572" w:right="0"/>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ind w:right="0"/>
        <w:jc w:val="left"/>
      </w:pPr>
      <w:r>
        <w:rPr/>
        <w:t>止资本化。</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BodyText"/>
        <w:spacing w:line="408" w:lineRule="auto"/>
        <w:ind w:left="572" w:right="0" w:hanging="420"/>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）暂停资本化期间</w:t>
      </w:r>
      <w:r>
        <w:rPr>
          <w:rFonts w:ascii="宋体" w:hAnsi="宋体" w:cs="宋体" w:eastAsia="宋体" w:hint="default"/>
          <w:b/>
          <w:bCs/>
          <w:spacing w:val="-103"/>
        </w:rPr>
        <w:t> </w:t>
      </w:r>
      <w:r>
        <w:rPr/>
        <w:t>符合资本化条件的资产在购建或生产过程中发生的非正常中断、且中断时间连续超过</w:t>
      </w:r>
      <w:r>
        <w:rPr>
          <w:rFonts w:ascii="宋体" w:hAnsi="宋体" w:cs="宋体" w:eastAsia="宋体" w:hint="default"/>
        </w:rPr>
        <w:t>3</w:t>
      </w:r>
      <w:r>
        <w:rPr/>
        <w:t>个月的，则借</w:t>
      </w:r>
    </w:p>
    <w:p>
      <w:pPr>
        <w:pStyle w:val="BodyText"/>
        <w:spacing w:line="408" w:lineRule="auto"/>
        <w:ind w:right="14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408" w:lineRule="auto" w:before="46"/>
        <w:ind w:left="57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专门借款的利息费用（扣除尚未动用的借款资金存入银行取得的利息收入或者进行暂时性投资取得的</w:t>
      </w:r>
    </w:p>
    <w:p>
      <w:pPr>
        <w:pStyle w:val="BodyText"/>
        <w:spacing w:line="408" w:lineRule="auto"/>
        <w:ind w:right="126"/>
        <w:jc w:val="both"/>
      </w:pPr>
      <w:r>
        <w:rPr>
          <w:spacing w:val="-2"/>
        </w:rPr>
        <w:t>投资收益）及其辅助费用在所购建或者生产的符合资本化条件的资产达到预定可使用或者可销售状态前，</w:t>
      </w:r>
      <w:r>
        <w:rPr>
          <w:spacing w:val="-22"/>
        </w:rPr>
        <w:t> </w:t>
      </w:r>
      <w:r>
        <w:rPr>
          <w:spacing w:val="-22"/>
        </w:rPr>
      </w:r>
      <w:r>
        <w:rPr/>
        <w:t>予以资本化。</w:t>
      </w:r>
    </w:p>
    <w:p>
      <w:pPr>
        <w:spacing w:after="0" w:line="408" w:lineRule="auto"/>
        <w:jc w:val="both"/>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right="147" w:firstLine="420"/>
        <w:jc w:val="both"/>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pStyle w:val="BodyText"/>
        <w:spacing w:line="408" w:lineRule="auto"/>
        <w:ind w:right="147" w:firstLine="420"/>
        <w:jc w:val="both"/>
      </w:pPr>
      <w:r>
        <w:rPr>
          <w:spacing w:val="-2"/>
        </w:rPr>
        <w:t>借款存在折价或者溢价的，按照实际利率法确定每一会计期间应摊销的折价或者溢价金额，调整每期</w:t>
      </w:r>
      <w:r>
        <w:rPr>
          <w:w w:val="100"/>
        </w:rPr>
        <w:t> </w:t>
      </w:r>
      <w:r>
        <w:rPr/>
        <w:t>利息金额。</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768" w:lineRule="exact" w:before="29"/>
        <w:ind w:left="57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bookmarkStart w:name="19、生物资产" w:id="185"/>
      <w:bookmarkEnd w:id="185"/>
      <w:r>
        <w:rPr>
          <w:rFonts w:ascii="宋体" w:hAnsi="宋体" w:cs="宋体" w:eastAsia="宋体" w:hint="default"/>
          <w:b/>
          <w:bCs/>
          <w:sz w:val="21"/>
          <w:szCs w:val="21"/>
        </w:rPr>
      </w:r>
      <w:r>
        <w:rPr>
          <w:rFonts w:ascii="宋体" w:hAnsi="宋体" w:cs="宋体" w:eastAsia="宋体" w:hint="default"/>
          <w:b/>
          <w:bCs/>
          <w:sz w:val="21"/>
          <w:szCs w:val="21"/>
        </w:rPr>
        <w:t>）计价方法、使用寿命</w:t>
      </w:r>
      <w:bookmarkStart w:name="20、油气资产" w:id="186"/>
      <w:bookmarkEnd w:id="186"/>
      <w:r>
        <w:rPr>
          <w:rFonts w:ascii="宋体" w:hAnsi="宋体" w:cs="宋体" w:eastAsia="宋体" w:hint="default"/>
          <w:b/>
          <w:bCs/>
          <w:sz w:val="21"/>
          <w:szCs w:val="21"/>
        </w:rPr>
        <w:t>、减值测试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无形资产是指本公司拥有或者控</w:t>
      </w:r>
      <w:bookmarkStart w:name="21、无形资产" w:id="187"/>
      <w:bookmarkEnd w:id="187"/>
      <w:r>
        <w:rPr>
          <w:rFonts w:ascii="宋体" w:hAnsi="宋体" w:cs="宋体" w:eastAsia="宋体" w:hint="default"/>
          <w:spacing w:val="-2"/>
          <w:sz w:val="21"/>
          <w:szCs w:val="21"/>
        </w:rPr>
        <w:t>制</w:t>
      </w:r>
      <w:r>
        <w:rPr>
          <w:rFonts w:ascii="宋体" w:hAnsi="宋体" w:cs="宋体" w:eastAsia="宋体" w:hint="default"/>
          <w:spacing w:val="-2"/>
          <w:sz w:val="21"/>
          <w:szCs w:val="21"/>
        </w:rPr>
        <w:t>的没有</w:t>
      </w:r>
      <w:bookmarkStart w:name="（1）计价方法、使用寿命、减值测试" w:id="188"/>
      <w:bookmarkEnd w:id="188"/>
      <w:r>
        <w:rPr>
          <w:rFonts w:ascii="宋体" w:hAnsi="宋体" w:cs="宋体" w:eastAsia="宋体" w:hint="default"/>
          <w:spacing w:val="-2"/>
          <w:sz w:val="21"/>
          <w:szCs w:val="21"/>
        </w:rPr>
        <w:t>实</w:t>
      </w:r>
      <w:r>
        <w:rPr>
          <w:rFonts w:ascii="宋体" w:hAnsi="宋体" w:cs="宋体" w:eastAsia="宋体" w:hint="default"/>
          <w:spacing w:val="-2"/>
          <w:sz w:val="21"/>
          <w:szCs w:val="21"/>
        </w:rPr>
        <w:t>物形态的可辨认非货币性资产，包括自行开发软件（同步</w:t>
      </w:r>
    </w:p>
    <w:p>
      <w:pPr>
        <w:pStyle w:val="BodyText"/>
        <w:spacing w:line="240" w:lineRule="auto" w:before="69"/>
        <w:ind w:right="0"/>
        <w:jc w:val="left"/>
      </w:pPr>
      <w:r>
        <w:rPr/>
        <w:t>课堂网络平台、分站式项目、中小学教材同步辅导、金太阳练习测评管理系统）、外购软件等。</w:t>
      </w:r>
    </w:p>
    <w:p>
      <w:pPr>
        <w:spacing w:line="240" w:lineRule="auto" w:before="10"/>
        <w:rPr>
          <w:rFonts w:ascii="宋体" w:hAnsi="宋体" w:cs="宋体" w:eastAsia="宋体" w:hint="default"/>
          <w:sz w:val="14"/>
          <w:szCs w:val="14"/>
        </w:rPr>
      </w:pPr>
    </w:p>
    <w:p>
      <w:pPr>
        <w:spacing w:line="408" w:lineRule="auto" w:before="0"/>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①</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无形资产的初始计量</w:t>
      </w:r>
      <w:r>
        <w:rPr>
          <w:rFonts w:ascii="宋体" w:hAnsi="宋体" w:cs="宋体" w:eastAsia="宋体" w:hint="default"/>
          <w:b/>
          <w:bCs/>
          <w:w w:val="100"/>
          <w:sz w:val="21"/>
          <w:szCs w:val="21"/>
        </w:rPr>
        <w:t> </w:t>
      </w:r>
      <w:r>
        <w:rPr>
          <w:rFonts w:ascii="宋体" w:hAnsi="宋体" w:cs="宋体" w:eastAsia="宋体" w:hint="default"/>
          <w:spacing w:val="-2"/>
          <w:sz w:val="21"/>
          <w:szCs w:val="21"/>
        </w:rPr>
        <w:t>外购无形资产的成本，包括购买价款、相关税费以及直接归属于使该项资产达到预定用途所发生的其</w:t>
      </w:r>
    </w:p>
    <w:p>
      <w:pPr>
        <w:pStyle w:val="BodyText"/>
        <w:spacing w:line="408" w:lineRule="auto"/>
        <w:ind w:right="0"/>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408" w:lineRule="auto"/>
        <w:ind w:right="147"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408" w:lineRule="auto"/>
        <w:ind w:right="147"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408" w:lineRule="auto"/>
        <w:ind w:right="147"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408" w:lineRule="auto"/>
        <w:ind w:right="147"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spacing w:line="408" w:lineRule="auto" w:before="4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②</w:t>
      </w:r>
      <w:r>
        <w:rPr>
          <w:rFonts w:ascii="宋体" w:hAnsi="宋体" w:cs="宋体" w:eastAsia="宋体" w:hint="default"/>
          <w:b/>
          <w:bCs/>
          <w:spacing w:val="-1"/>
          <w:sz w:val="21"/>
          <w:szCs w:val="21"/>
        </w:rPr>
        <w:t> </w:t>
      </w:r>
      <w:r>
        <w:rPr>
          <w:rFonts w:ascii="宋体" w:hAnsi="宋体" w:cs="宋体" w:eastAsia="宋体" w:hint="default"/>
          <w:b/>
          <w:bCs/>
          <w:sz w:val="21"/>
          <w:szCs w:val="21"/>
        </w:rPr>
        <w:t>无形资产的后续计量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本公司在取得无形资产时分析判断其使用寿命，划分为使用寿命有限和使用寿命不确定的无形资产。</w:t>
      </w:r>
    </w:p>
    <w:p>
      <w:pPr>
        <w:spacing w:after="0" w:line="408" w:lineRule="auto"/>
        <w:jc w:val="left"/>
        <w:rPr>
          <w:rFonts w:ascii="宋体" w:hAnsi="宋体" w:cs="宋体" w:eastAsia="宋体" w:hint="default"/>
          <w:sz w:val="21"/>
          <w:szCs w:val="21"/>
        </w:rPr>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left="572" w:right="106"/>
        <w:jc w:val="left"/>
      </w:pPr>
      <w:r>
        <w:rPr>
          <w:rFonts w:ascii="宋体" w:hAnsi="宋体" w:cs="宋体" w:eastAsia="宋体" w:hint="default"/>
        </w:rPr>
        <w:t>A</w:t>
      </w:r>
      <w:r>
        <w:rPr>
          <w:rFonts w:ascii="宋体" w:hAnsi="宋体" w:cs="宋体" w:eastAsia="宋体" w:hint="default"/>
          <w:spacing w:val="-1"/>
        </w:rPr>
        <w:t> </w:t>
      </w:r>
      <w:r>
        <w:rPr/>
        <w:t>、使用寿命有限的无形资产</w:t>
      </w:r>
      <w:r>
        <w:rPr>
          <w:spacing w:val="-3"/>
          <w:w w:val="100"/>
        </w:rPr>
        <w:t> </w:t>
      </w:r>
      <w:r>
        <w:rPr>
          <w:spacing w:val="-2"/>
        </w:rPr>
        <w:t>对于使用寿命有限的无形资产，在为企业带来经济利益的期限内按直线法摊销。使用寿命有限的无形</w:t>
      </w:r>
    </w:p>
    <w:p>
      <w:pPr>
        <w:pStyle w:val="BodyText"/>
        <w:spacing w:line="240" w:lineRule="auto"/>
        <w:ind w:right="106"/>
        <w:jc w:val="left"/>
      </w:pPr>
      <w:r>
        <w:rPr/>
        <w:t>资产预计寿命及依据如下：</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4394"/>
        <w:gridCol w:w="3934"/>
      </w:tblGrid>
      <w:tr>
        <w:trPr>
          <w:trHeight w:val="353" w:hRule="exact"/>
        </w:trPr>
        <w:tc>
          <w:tcPr>
            <w:tcW w:w="43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无形资产类别</w:t>
            </w:r>
          </w:p>
        </w:tc>
        <w:tc>
          <w:tcPr>
            <w:tcW w:w="39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423"/>
              <w:jc w:val="right"/>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53"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自行开发软件</w:t>
            </w:r>
            <w:r>
              <w:rPr>
                <w:rFonts w:ascii="Times New Roman" w:hAnsi="Times New Roman" w:cs="Times New Roman" w:eastAsia="Times New Roman" w:hint="default"/>
                <w:sz w:val="18"/>
                <w:szCs w:val="18"/>
              </w:rPr>
              <w:t>-</w:t>
            </w:r>
            <w:r>
              <w:rPr>
                <w:rFonts w:ascii="宋体" w:hAnsi="宋体" w:cs="宋体" w:eastAsia="宋体" w:hint="default"/>
                <w:sz w:val="18"/>
                <w:szCs w:val="18"/>
              </w:rPr>
              <w:t>同步课堂网络平台</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53"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自行开发软件</w:t>
            </w:r>
            <w:r>
              <w:rPr>
                <w:rFonts w:ascii="Times New Roman" w:hAnsi="Times New Roman" w:cs="Times New Roman" w:eastAsia="Times New Roman" w:hint="default"/>
                <w:sz w:val="18"/>
                <w:szCs w:val="18"/>
              </w:rPr>
              <w:t>-</w:t>
            </w:r>
            <w:r>
              <w:rPr>
                <w:rFonts w:ascii="宋体" w:hAnsi="宋体" w:cs="宋体" w:eastAsia="宋体" w:hint="default"/>
                <w:sz w:val="18"/>
                <w:szCs w:val="18"/>
              </w:rPr>
              <w:t>分站式项目</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50"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自行开发软件</w:t>
            </w:r>
            <w:r>
              <w:rPr>
                <w:rFonts w:ascii="Times New Roman" w:hAnsi="Times New Roman" w:cs="Times New Roman" w:eastAsia="Times New Roman" w:hint="default"/>
                <w:sz w:val="18"/>
                <w:szCs w:val="18"/>
              </w:rPr>
              <w:t>-</w:t>
            </w:r>
            <w:r>
              <w:rPr>
                <w:rFonts w:ascii="宋体" w:hAnsi="宋体" w:cs="宋体" w:eastAsia="宋体" w:hint="default"/>
                <w:sz w:val="18"/>
                <w:szCs w:val="18"/>
              </w:rPr>
              <w:t>中小学教材同步辅导</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1509"/>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r>
      <w:tr>
        <w:trPr>
          <w:trHeight w:val="353"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自行开发软件</w:t>
            </w:r>
            <w:r>
              <w:rPr>
                <w:rFonts w:ascii="Times New Roman" w:hAnsi="Times New Roman" w:cs="Times New Roman" w:eastAsia="Times New Roman" w:hint="default"/>
                <w:sz w:val="18"/>
                <w:szCs w:val="18"/>
              </w:rPr>
              <w:t>-</w:t>
            </w:r>
            <w:r>
              <w:rPr>
                <w:rFonts w:ascii="宋体" w:hAnsi="宋体" w:cs="宋体" w:eastAsia="宋体" w:hint="default"/>
                <w:sz w:val="18"/>
                <w:szCs w:val="18"/>
              </w:rPr>
              <w:t>金太阳练习测评管理系统</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53"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bl>
    <w:p>
      <w:pPr>
        <w:spacing w:line="240" w:lineRule="auto" w:before="4"/>
        <w:rPr>
          <w:rFonts w:ascii="宋体" w:hAnsi="宋体" w:cs="宋体" w:eastAsia="宋体" w:hint="default"/>
          <w:sz w:val="11"/>
          <w:szCs w:val="11"/>
        </w:rPr>
      </w:pPr>
    </w:p>
    <w:p>
      <w:pPr>
        <w:pStyle w:val="BodyText"/>
        <w:spacing w:line="408" w:lineRule="auto" w:before="36"/>
        <w:ind w:right="106" w:firstLine="420"/>
        <w:jc w:val="left"/>
      </w:pPr>
      <w:r>
        <w:rPr>
          <w:spacing w:val="-2"/>
        </w:rPr>
        <w:t>每期末，对使用寿命有限的无形资产的使用寿命及摊销方法进行复核，如与原先估计数存在差异的，</w:t>
      </w:r>
      <w:r>
        <w:rPr>
          <w:w w:val="100"/>
        </w:rPr>
        <w:t> </w:t>
      </w:r>
      <w:r>
        <w:rPr/>
        <w:t>进行相应的调整。</w:t>
      </w:r>
    </w:p>
    <w:p>
      <w:pPr>
        <w:pStyle w:val="BodyText"/>
        <w:spacing w:line="408" w:lineRule="auto"/>
        <w:ind w:left="572" w:right="106"/>
        <w:jc w:val="left"/>
      </w:pPr>
      <w:r>
        <w:rPr/>
        <w:t>经复核，本期期末无形资产的使用寿命及摊销方法与以前估计未有不同。</w:t>
      </w:r>
      <w:r>
        <w:rPr>
          <w:w w:val="100"/>
        </w:rPr>
        <w:t> </w:t>
      </w:r>
      <w:r>
        <w:rPr>
          <w:rFonts w:ascii="宋体" w:hAnsi="宋体" w:cs="宋体" w:eastAsia="宋体" w:hint="default"/>
        </w:rPr>
        <w:t>B</w:t>
      </w:r>
      <w:r>
        <w:rPr/>
        <w:t>、使用寿命不确定的无形资产</w:t>
      </w:r>
      <w:r>
        <w:rPr>
          <w:spacing w:val="-3"/>
          <w:w w:val="100"/>
        </w:rPr>
        <w:t> </w:t>
      </w:r>
      <w:r>
        <w:rPr/>
        <w:t>无法预见无形资产为企业带来经济利益期限的，视为使用寿命不确定的无形资产。</w:t>
      </w:r>
      <w:r>
        <w:rPr>
          <w:w w:val="100"/>
        </w:rPr>
        <w:t> </w:t>
      </w:r>
      <w:r>
        <w:rPr>
          <w:spacing w:val="-2"/>
        </w:rPr>
        <w:t>对于使用寿命不确定的无形资产，在持有期间内不摊销，每期末对无形资产的寿命进行复核。如果期</w:t>
      </w:r>
    </w:p>
    <w:p>
      <w:pPr>
        <w:pStyle w:val="BodyText"/>
        <w:spacing w:line="408" w:lineRule="auto"/>
        <w:ind w:left="572" w:right="106" w:hanging="420"/>
        <w:jc w:val="left"/>
      </w:pPr>
      <w:r>
        <w:rPr>
          <w:spacing w:val="-2"/>
        </w:rPr>
        <w:t>末重新复核后仍为不确定的，在每个会计期间继续进行减值测试。</w:t>
      </w:r>
      <w:r>
        <w:rPr>
          <w:spacing w:val="-49"/>
        </w:rPr>
        <w:t> </w:t>
      </w:r>
      <w:r>
        <w:rPr>
          <w:spacing w:val="-49"/>
        </w:rPr>
      </w:r>
      <w:r>
        <w:rPr/>
        <w:t>经复核，本公司无使用寿命不确定的无形资产。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3"/>
        <w:spacing w:line="240" w:lineRule="auto"/>
        <w:ind w:right="106"/>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30"/>
          <w:szCs w:val="30"/>
        </w:rPr>
      </w:pPr>
    </w:p>
    <w:p>
      <w:pPr>
        <w:spacing w:line="408" w:lineRule="auto" w:before="0"/>
        <w:ind w:left="572" w:right="106" w:firstLine="2"/>
        <w:jc w:val="left"/>
        <w:rPr>
          <w:rFonts w:ascii="宋体" w:hAnsi="宋体" w:cs="宋体" w:eastAsia="宋体" w:hint="default"/>
          <w:sz w:val="21"/>
          <w:szCs w:val="21"/>
        </w:rPr>
      </w:pPr>
      <w:r>
        <w:rPr>
          <w:rFonts w:ascii="宋体" w:hAnsi="宋体" w:cs="宋体" w:eastAsia="宋体" w:hint="default"/>
          <w:b/>
          <w:bCs/>
          <w:sz w:val="21"/>
          <w:szCs w:val="21"/>
        </w:rPr>
        <w:t>①</w:t>
      </w:r>
      <w:r>
        <w:rPr>
          <w:rFonts w:ascii="宋体" w:hAnsi="宋体" w:cs="宋体" w:eastAsia="宋体" w:hint="default"/>
          <w:b/>
          <w:bCs/>
          <w:spacing w:val="-2"/>
          <w:sz w:val="21"/>
          <w:szCs w:val="21"/>
        </w:rPr>
        <w:t> </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z w:val="21"/>
          <w:szCs w:val="21"/>
        </w:rPr>
        <w:t>研究阶段：为获取并理解新的科学或技术知识等而进行的独创性的有计划调查、研</w:t>
      </w:r>
      <w:bookmarkStart w:name="（2）内部研究开发支出会计政策" w:id="189"/>
      <w:bookmarkEnd w:id="189"/>
      <w:r>
        <w:rPr>
          <w:rFonts w:ascii="宋体" w:hAnsi="宋体" w:cs="宋体" w:eastAsia="宋体" w:hint="default"/>
          <w:sz w:val="21"/>
          <w:szCs w:val="21"/>
        </w:rPr>
        <w:t>究</w:t>
      </w:r>
      <w:r>
        <w:rPr>
          <w:rFonts w:ascii="宋体" w:hAnsi="宋体" w:cs="宋体" w:eastAsia="宋体" w:hint="default"/>
          <w:sz w:val="21"/>
          <w:szCs w:val="21"/>
        </w:rPr>
        <w:t>活动的阶段。</w:t>
      </w:r>
      <w:r>
        <w:rPr>
          <w:rFonts w:ascii="宋体" w:hAnsi="宋体" w:cs="宋体" w:eastAsia="宋体" w:hint="default"/>
          <w:w w:val="100"/>
          <w:sz w:val="21"/>
          <w:szCs w:val="21"/>
        </w:rPr>
        <w:t> </w:t>
      </w:r>
      <w:r>
        <w:rPr>
          <w:rFonts w:ascii="宋体" w:hAnsi="宋体" w:cs="宋体" w:eastAsia="宋体" w:hint="default"/>
          <w:spacing w:val="-2"/>
          <w:sz w:val="21"/>
          <w:szCs w:val="21"/>
        </w:rPr>
        <w:t>开发阶段：在进行商业性生产或使用前，将研究成果或其他知识应用于某项计划或设计，以生产出新</w:t>
      </w:r>
    </w:p>
    <w:p>
      <w:pPr>
        <w:pStyle w:val="BodyText"/>
        <w:spacing w:line="408" w:lineRule="auto"/>
        <w:ind w:left="572" w:right="106" w:hanging="421"/>
        <w:jc w:val="left"/>
      </w:pPr>
      <w:r>
        <w:rPr/>
        <w:t>的或具有实质性改进的材料、装置、产品等活动的阶段。</w:t>
      </w:r>
      <w:r>
        <w:rPr>
          <w:w w:val="100"/>
        </w:rPr>
        <w:t> </w:t>
      </w:r>
      <w:r>
        <w:rPr/>
        <w:t>内部研究开发项目研究阶段的支出，在发生时计入当期损益。</w:t>
      </w:r>
      <w:r>
        <w:rPr>
          <w:w w:val="100"/>
        </w:rPr>
        <w:t> </w:t>
      </w:r>
      <w:r>
        <w:rPr>
          <w:spacing w:val="-2"/>
        </w:rPr>
        <w:t>公司根据软件项目开发管理的流程，将开发项目划分研究阶段和开发阶段。其中，项目策划阶段与项</w:t>
      </w:r>
    </w:p>
    <w:p>
      <w:pPr>
        <w:pStyle w:val="BodyText"/>
        <w:spacing w:line="408" w:lineRule="auto"/>
        <w:ind w:left="572" w:right="106" w:hanging="421"/>
        <w:jc w:val="left"/>
      </w:pPr>
      <w:r>
        <w:rPr/>
        <w:t>目立项阶段作为研究阶段；项目计划阶段、项目实施与执行阶段和项目验收阶段作为开发阶段。</w:t>
      </w:r>
      <w:r>
        <w:rPr>
          <w:w w:val="100"/>
        </w:rPr>
        <w:t> </w:t>
      </w:r>
      <w:r>
        <w:rPr>
          <w:spacing w:val="-5"/>
        </w:rPr>
        <w:t>研究阶段起点为项目策划阶段，终点为立项评审通过，表明公司开发部、市场部判断该项目在技术上、</w:t>
      </w:r>
    </w:p>
    <w:p>
      <w:pPr>
        <w:pStyle w:val="BodyText"/>
        <w:spacing w:line="408" w:lineRule="auto"/>
        <w:ind w:right="106"/>
        <w:jc w:val="left"/>
      </w:pPr>
      <w:r>
        <w:rPr>
          <w:spacing w:val="-2"/>
        </w:rPr>
        <w:t>商业上等具有可行性；开发阶段的起点为项目开发立项，终点为项目相关测试完成后可进入商业运营。开</w:t>
      </w:r>
      <w:r>
        <w:rPr>
          <w:spacing w:val="-44"/>
        </w:rPr>
        <w:t> </w:t>
      </w:r>
      <w:r>
        <w:rPr>
          <w:spacing w:val="-44"/>
        </w:rPr>
      </w:r>
      <w:r>
        <w:rPr/>
        <w:t>发项目研究阶段的支出，在发生时计入当期损益。</w:t>
      </w:r>
    </w:p>
    <w:p>
      <w:pPr>
        <w:pStyle w:val="BodyText"/>
        <w:spacing w:line="240" w:lineRule="auto"/>
        <w:ind w:left="572" w:right="106"/>
        <w:jc w:val="left"/>
      </w:pPr>
      <w:r>
        <w:rPr/>
        <w:t>进入开发阶段的项目支出，则予以资本化，先在</w:t>
      </w:r>
      <w:r>
        <w:rPr>
          <w:rFonts w:ascii="宋体" w:hAnsi="宋体" w:cs="宋体" w:eastAsia="宋体" w:hint="default"/>
        </w:rPr>
        <w:t>“</w:t>
      </w:r>
      <w:r>
        <w:rPr/>
        <w:t>开发支出</w:t>
      </w:r>
      <w:r>
        <w:rPr>
          <w:rFonts w:ascii="宋体" w:hAnsi="宋体" w:cs="宋体" w:eastAsia="宋体" w:hint="default"/>
        </w:rPr>
        <w:t>”</w:t>
      </w:r>
      <w:r>
        <w:rPr/>
        <w:t>科目分项目进行明细核算，可商业运营</w:t>
      </w:r>
    </w:p>
    <w:p>
      <w:pPr>
        <w:spacing w:after="0" w:line="240" w:lineRule="auto"/>
        <w:jc w:val="left"/>
        <w:sectPr>
          <w:pgSz w:w="11910" w:h="16840"/>
          <w:pgMar w:header="990" w:footer="1066" w:top="1220" w:bottom="1260" w:left="980" w:right="920"/>
        </w:sectPr>
      </w:pPr>
    </w:p>
    <w:p>
      <w:pPr>
        <w:spacing w:line="240" w:lineRule="auto" w:before="4"/>
        <w:rPr>
          <w:rFonts w:ascii="宋体" w:hAnsi="宋体" w:cs="宋体" w:eastAsia="宋体" w:hint="default"/>
          <w:sz w:val="16"/>
          <w:szCs w:val="16"/>
        </w:rPr>
      </w:pPr>
    </w:p>
    <w:p>
      <w:pPr>
        <w:pStyle w:val="BodyText"/>
        <w:spacing w:line="240" w:lineRule="auto" w:before="36"/>
        <w:ind w:right="0"/>
        <w:jc w:val="left"/>
      </w:pPr>
      <w:r>
        <w:rPr/>
        <w:t>时，再转入</w:t>
      </w:r>
      <w:r>
        <w:rPr>
          <w:rFonts w:ascii="宋体" w:hAnsi="宋体" w:cs="宋体" w:eastAsia="宋体" w:hint="default"/>
        </w:rPr>
        <w:t>“</w:t>
      </w:r>
      <w:r>
        <w:rPr/>
        <w:t>无形资产</w:t>
      </w:r>
      <w:r>
        <w:rPr>
          <w:rFonts w:ascii="宋体" w:hAnsi="宋体" w:cs="宋体" w:eastAsia="宋体" w:hint="default"/>
        </w:rPr>
        <w:t>”</w:t>
      </w:r>
      <w:r>
        <w:rPr/>
        <w:t>科目分项目进行明细核算。</w:t>
      </w:r>
    </w:p>
    <w:p>
      <w:pPr>
        <w:spacing w:line="240" w:lineRule="auto" w:before="10"/>
        <w:rPr>
          <w:rFonts w:ascii="宋体" w:hAnsi="宋体" w:cs="宋体" w:eastAsia="宋体" w:hint="default"/>
          <w:sz w:val="14"/>
          <w:szCs w:val="14"/>
        </w:rPr>
      </w:pPr>
    </w:p>
    <w:p>
      <w:pPr>
        <w:pStyle w:val="BodyText"/>
        <w:spacing w:line="408" w:lineRule="auto" w:before="0"/>
        <w:ind w:left="572" w:right="0" w:firstLine="2"/>
        <w:jc w:val="left"/>
      </w:pPr>
      <w:r>
        <w:rPr>
          <w:rFonts w:ascii="宋体" w:hAnsi="宋体" w:cs="宋体" w:eastAsia="宋体" w:hint="default"/>
          <w:b/>
          <w:bCs/>
        </w:rPr>
        <w:t>②</w:t>
      </w:r>
      <w:r>
        <w:rPr>
          <w:rFonts w:ascii="宋体" w:hAnsi="宋体" w:cs="宋体" w:eastAsia="宋体" w:hint="default"/>
          <w:b/>
          <w:bCs/>
          <w:spacing w:val="-1"/>
        </w:rPr>
        <w:t> </w:t>
      </w:r>
      <w:r>
        <w:rPr>
          <w:rFonts w:ascii="宋体" w:hAnsi="宋体" w:cs="宋体" w:eastAsia="宋体" w:hint="default"/>
          <w:b/>
          <w:bCs/>
        </w:rPr>
        <w:t>开发阶段支出符合资本化的具体标准</w:t>
      </w:r>
      <w:r>
        <w:rPr>
          <w:rFonts w:ascii="宋体" w:hAnsi="宋体" w:cs="宋体" w:eastAsia="宋体" w:hint="default"/>
          <w:b/>
          <w:bCs/>
          <w:w w:val="100"/>
        </w:rPr>
        <w:t> </w:t>
      </w:r>
      <w:r>
        <w:rPr/>
        <w:t>内部研究开发项目开发阶段的支出，同时满足下列条件时确认为无形资产：</w:t>
      </w:r>
      <w:r>
        <w:rPr>
          <w:w w:val="100"/>
        </w:rPr>
        <w:t> </w:t>
      </w:r>
      <w:r>
        <w:rPr>
          <w:rFonts w:ascii="宋体" w:hAnsi="宋体" w:cs="宋体" w:eastAsia="宋体" w:hint="default"/>
        </w:rPr>
        <w:t>A</w:t>
      </w:r>
      <w:r>
        <w:rPr/>
        <w:t>、完成该无形资产以使其能够使用或出售在技术上具有可行性；</w:t>
      </w:r>
      <w:r>
        <w:rPr>
          <w:w w:val="100"/>
        </w:rPr>
        <w:t> </w:t>
      </w:r>
      <w:r>
        <w:rPr>
          <w:rFonts w:ascii="宋体" w:hAnsi="宋体" w:cs="宋体" w:eastAsia="宋体" w:hint="default"/>
        </w:rPr>
        <w:t>B</w:t>
      </w:r>
      <w:r>
        <w:rPr/>
        <w:t>、具有完成该无形资产并使用或出售的意图；</w:t>
      </w:r>
      <w:r>
        <w:rPr>
          <w:spacing w:val="-3"/>
          <w:w w:val="100"/>
        </w:rPr>
        <w:t> </w:t>
      </w:r>
      <w:r>
        <w:rPr>
          <w:rFonts w:ascii="宋体" w:hAnsi="宋体" w:cs="宋体" w:eastAsia="宋体" w:hint="default"/>
        </w:rPr>
        <w:t>C</w:t>
      </w:r>
      <w:r>
        <w:rPr/>
        <w:t>、无形资产产生经济利益的方式，包括能够证明运用该无形资产生产的产品存在市场或无形资产自</w:t>
      </w:r>
    </w:p>
    <w:p>
      <w:pPr>
        <w:pStyle w:val="BodyText"/>
        <w:spacing w:line="240" w:lineRule="auto"/>
        <w:ind w:right="0"/>
        <w:jc w:val="left"/>
      </w:pPr>
      <w:r>
        <w:rPr/>
        <w:t>身存在市场，无形资产将在内部使用的，能够证明其有用性；</w:t>
      </w:r>
    </w:p>
    <w:p>
      <w:pPr>
        <w:spacing w:line="240" w:lineRule="auto" w:before="10"/>
        <w:rPr>
          <w:rFonts w:ascii="宋体" w:hAnsi="宋体" w:cs="宋体" w:eastAsia="宋体" w:hint="default"/>
          <w:sz w:val="14"/>
          <w:szCs w:val="14"/>
        </w:rPr>
      </w:pPr>
    </w:p>
    <w:p>
      <w:pPr>
        <w:pStyle w:val="BodyText"/>
        <w:spacing w:line="408" w:lineRule="auto" w:before="0"/>
        <w:ind w:right="154" w:firstLine="420"/>
        <w:jc w:val="both"/>
      </w:pPr>
      <w:r>
        <w:rPr>
          <w:rFonts w:ascii="宋体" w:hAnsi="宋体" w:cs="宋体" w:eastAsia="宋体" w:hint="default"/>
        </w:rPr>
        <w:t>D</w:t>
      </w:r>
      <w:r>
        <w:rPr/>
        <w:t>、有足够的技术、财务资源和其他资源支持，以完成该无形资产的开发，并有能力使用或出售该无</w:t>
      </w:r>
      <w:r>
        <w:rPr>
          <w:w w:val="100"/>
        </w:rPr>
        <w:t> </w:t>
      </w:r>
      <w:r>
        <w:rPr/>
        <w:t>形资产；</w:t>
      </w:r>
    </w:p>
    <w:p>
      <w:pPr>
        <w:pStyle w:val="BodyText"/>
        <w:spacing w:line="408" w:lineRule="auto"/>
        <w:ind w:left="572" w:right="0"/>
        <w:jc w:val="left"/>
      </w:pPr>
      <w:r>
        <w:rPr>
          <w:rFonts w:ascii="宋体" w:hAnsi="宋体" w:cs="宋体" w:eastAsia="宋体" w:hint="default"/>
        </w:rPr>
        <w:t>E</w:t>
      </w:r>
      <w:r>
        <w:rPr/>
        <w:t>、归属于该无形资产开发阶段的支出能够可靠地计量。</w:t>
      </w:r>
      <w:r>
        <w:rPr>
          <w:spacing w:val="-3"/>
          <w:w w:val="100"/>
        </w:rPr>
        <w:t> </w:t>
      </w:r>
      <w:r>
        <w:rPr>
          <w:spacing w:val="-2"/>
        </w:rPr>
        <w:t>不满足上述条件的开发阶段的支出，于发生时计入当期损益。以前期间已计入损益的开发支出不在以</w:t>
      </w:r>
    </w:p>
    <w:p>
      <w:pPr>
        <w:pStyle w:val="BodyText"/>
        <w:spacing w:line="408" w:lineRule="auto"/>
        <w:ind w:right="0"/>
        <w:jc w:val="left"/>
      </w:pPr>
      <w:r>
        <w:rPr>
          <w:spacing w:val="-2"/>
        </w:rPr>
        <w:t>后期间重新确认为资产。已资本化的开发阶段的支出在资产负债表上列示为开发支出，自该项目达到预定</w:t>
      </w:r>
      <w:r>
        <w:rPr>
          <w:spacing w:val="-42"/>
        </w:rPr>
        <w:t> </w:t>
      </w:r>
      <w:r>
        <w:rPr>
          <w:spacing w:val="-42"/>
        </w:rPr>
      </w:r>
      <w:r>
        <w:rPr/>
        <w:t>用途之日起转为无形资产。</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25" w:firstLine="420"/>
        <w:jc w:val="both"/>
      </w:pPr>
      <w:r>
        <w:rPr>
          <w:spacing w:val="-2"/>
        </w:rPr>
        <w:t>本公司在资产负债表日判断长期资产是否存在可能发生减值的</w:t>
      </w:r>
      <w:bookmarkStart w:name="22、长期资产减值" w:id="190"/>
      <w:bookmarkEnd w:id="190"/>
      <w:r>
        <w:rPr>
          <w:spacing w:val="-2"/>
        </w:rPr>
        <w:t>迹</w:t>
      </w:r>
      <w:r>
        <w:rPr>
          <w:spacing w:val="-2"/>
        </w:rPr>
        <w:t>象。如果长期资产存在减值迹象的，</w:t>
      </w:r>
      <w:r>
        <w:rPr>
          <w:w w:val="100"/>
        </w:rPr>
        <w:t> </w:t>
      </w:r>
      <w:r>
        <w:rPr>
          <w:spacing w:val="-2"/>
        </w:rPr>
        <w:t>以单项资产为基础估计其可收回金额；难以对单项资产的可收回金额进行估计的，以该资产所属的资产组</w:t>
      </w:r>
      <w:r>
        <w:rPr>
          <w:spacing w:val="-43"/>
        </w:rPr>
        <w:t> </w:t>
      </w:r>
      <w:r>
        <w:rPr>
          <w:spacing w:val="-43"/>
        </w:rPr>
      </w:r>
      <w:r>
        <w:rPr/>
        <w:t>为基础确定资产组的可收回金额。</w:t>
      </w:r>
    </w:p>
    <w:p>
      <w:pPr>
        <w:pStyle w:val="BodyText"/>
        <w:spacing w:line="408" w:lineRule="auto"/>
        <w:ind w:right="147" w:firstLine="420"/>
        <w:jc w:val="both"/>
      </w:pPr>
      <w:r>
        <w:rPr>
          <w:spacing w:val="-2"/>
        </w:rPr>
        <w:t>资产可收回金额的估计，根据其公允价值减去处置费用后的净额与资产预计未来现金流量的现值两者</w:t>
      </w:r>
      <w:r>
        <w:rPr>
          <w:w w:val="100"/>
        </w:rPr>
        <w:t> </w:t>
      </w:r>
      <w:r>
        <w:rPr/>
        <w:t>之间较高者确定。</w:t>
      </w:r>
    </w:p>
    <w:p>
      <w:pPr>
        <w:pStyle w:val="BodyText"/>
        <w:spacing w:line="408" w:lineRule="auto"/>
        <w:ind w:right="147" w:firstLine="420"/>
        <w:jc w:val="both"/>
      </w:pPr>
      <w:r>
        <w:rPr>
          <w:spacing w:val="-2"/>
        </w:rPr>
        <w:t>可收回金额的计量结果表明，长期资产的可收回金额低于其账面价值的，将长期资产的账面价值减记</w:t>
      </w:r>
      <w:r>
        <w:rPr>
          <w:w w:val="100"/>
        </w:rPr>
        <w:t> </w:t>
      </w:r>
      <w:r>
        <w:rPr>
          <w:spacing w:val="-3"/>
        </w:rPr>
        <w:t>至可收回金额，减记的金额确认为资产减值损失，计入当期损益，同时计提相应的资产减值准备。资产减</w:t>
      </w:r>
      <w:r>
        <w:rPr>
          <w:spacing w:val="-13"/>
        </w:rPr>
        <w:t> </w:t>
      </w:r>
      <w:r>
        <w:rPr>
          <w:spacing w:val="-13"/>
        </w:rPr>
      </w:r>
      <w:r>
        <w:rPr/>
        <w:t>值损失一经确认，在以后会计期间不得转回。</w:t>
      </w:r>
    </w:p>
    <w:p>
      <w:pPr>
        <w:pStyle w:val="BodyText"/>
        <w:spacing w:line="408" w:lineRule="auto"/>
        <w:ind w:right="147" w:firstLine="420"/>
        <w:jc w:val="both"/>
      </w:pPr>
      <w:r>
        <w:rPr>
          <w:spacing w:val="-2"/>
        </w:rPr>
        <w:t>资产减值损失确认后，减值资产的折旧或者摊销费用在未来期间作相应调整，以使该资产在剩余使用</w:t>
      </w:r>
      <w:r>
        <w:rPr>
          <w:w w:val="100"/>
        </w:rPr>
        <w:t> </w:t>
      </w:r>
      <w:r>
        <w:rPr/>
        <w:t>寿命内，系统地分摊调整后的资产账面价值（扣除预计净残值）。</w:t>
      </w:r>
    </w:p>
    <w:p>
      <w:pPr>
        <w:pStyle w:val="BodyText"/>
        <w:spacing w:line="408" w:lineRule="auto"/>
        <w:ind w:right="147" w:firstLine="420"/>
        <w:jc w:val="both"/>
      </w:pPr>
      <w:r>
        <w:rPr>
          <w:spacing w:val="-2"/>
        </w:rPr>
        <w:t>因企业合并所形成的商誉和使用寿命不确定的无形资产，无论是否存在减值迹象，每年都进行减值测</w:t>
      </w:r>
      <w:r>
        <w:rPr>
          <w:w w:val="100"/>
        </w:rPr>
        <w:t> </w:t>
      </w:r>
      <w:r>
        <w:rPr/>
        <w:t>试。</w:t>
      </w:r>
    </w:p>
    <w:p>
      <w:pPr>
        <w:pStyle w:val="BodyText"/>
        <w:spacing w:line="408" w:lineRule="auto"/>
        <w:ind w:right="147" w:firstLine="420"/>
        <w:jc w:val="both"/>
      </w:pPr>
      <w:r>
        <w:rPr>
          <w:spacing w:val="-2"/>
        </w:rPr>
        <w:t>在对商誉进行减值测试时，将商誉的账面价值分摊至预期从企业合并的协同效应中受益的资产组或资</w:t>
      </w:r>
      <w:r>
        <w:rPr>
          <w:w w:val="100"/>
        </w:rPr>
        <w:t> </w:t>
      </w:r>
      <w:r>
        <w:rPr>
          <w:spacing w:val="-2"/>
        </w:rPr>
        <w:t>产组组合。在对包含商誉的相关资产组或者资产组组合进行减值测试时，如与商誉相关的资产组或者资产</w:t>
      </w:r>
      <w:r>
        <w:rPr>
          <w:spacing w:val="-50"/>
        </w:rPr>
        <w:t> </w:t>
      </w:r>
      <w:r>
        <w:rPr>
          <w:spacing w:val="-50"/>
        </w:rPr>
      </w:r>
      <w:r>
        <w:rPr>
          <w:spacing w:val="-2"/>
        </w:rPr>
        <w:t>组组合存在减值迹象的，先对不包含商誉的资产组或者资产组组合进行减值测试，计算可收回金额，并与</w:t>
      </w:r>
    </w:p>
    <w:p>
      <w:pPr>
        <w:spacing w:after="0" w:line="408" w:lineRule="auto"/>
        <w:jc w:val="both"/>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408" w:lineRule="auto" w:before="36"/>
        <w:ind w:right="206"/>
        <w:jc w:val="both"/>
      </w:pPr>
      <w:bookmarkStart w:name="（2）离职后福利的会计处理方法" w:id="191"/>
      <w:bookmarkEnd w:id="191"/>
      <w:r>
        <w:rPr/>
      </w:r>
      <w:r>
        <w:rPr>
          <w:spacing w:val="-2"/>
        </w:rPr>
        <w:t>相关账面价值相比较，确认相应的减值损失。再对包含商誉的资产组或者资产组组合进行减值测试，比较</w:t>
      </w:r>
      <w:r>
        <w:rPr>
          <w:spacing w:val="-43"/>
        </w:rPr>
        <w:t> </w:t>
      </w:r>
      <w:r>
        <w:rPr>
          <w:spacing w:val="-43"/>
        </w:rPr>
      </w:r>
      <w:r>
        <w:rPr>
          <w:spacing w:val="-2"/>
        </w:rPr>
        <w:t>这些相关资产组或者资产组组合的账面价值（包括所分摊的商誉的账面价值部分）与其可收回金额，如相</w:t>
      </w:r>
      <w:r>
        <w:rPr>
          <w:spacing w:val="-44"/>
        </w:rPr>
        <w:t> </w:t>
      </w:r>
      <w:r>
        <w:rPr>
          <w:spacing w:val="-44"/>
        </w:rPr>
      </w:r>
      <w:r>
        <w:rPr/>
        <w:t>关资产组或者资产组组合的可收回金额低于其账面价值的，确认商誉的减值损失。</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23</w:t>
      </w:r>
      <w:bookmarkStart w:name="23、长期待摊费用" w:id="192"/>
      <w:bookmarkEnd w:id="192"/>
      <w:r>
        <w:rPr>
          <w:rFonts w:ascii="Times New Roman" w:hAnsi="Times New Roman" w:cs="Times New Roman" w:eastAsia="Times New Roman" w:hint="default"/>
        </w:rPr>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321" w:lineRule="auto" w:before="0"/>
        <w:ind w:left="572" w:right="106"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摊销方法</w:t>
      </w:r>
      <w:r>
        <w:rPr>
          <w:rFonts w:ascii="宋体" w:hAnsi="宋体" w:cs="宋体" w:eastAsia="宋体" w:hint="default"/>
          <w:b/>
          <w:bCs/>
          <w:w w:val="100"/>
        </w:rPr>
        <w:t> </w:t>
      </w:r>
      <w:r>
        <w:rPr>
          <w:spacing w:val="-2"/>
        </w:rPr>
        <w:t>长期待摊费用，是指本公司已经发生但应由本期和以后各期负担的分摊期限在</w:t>
      </w:r>
      <w:r>
        <w:rPr>
          <w:rFonts w:ascii="Times New Roman" w:hAnsi="Times New Roman" w:cs="Times New Roman" w:eastAsia="Times New Roman" w:hint="default"/>
          <w:spacing w:val="-2"/>
        </w:rPr>
        <w:t>1</w:t>
      </w:r>
      <w:r>
        <w:rPr>
          <w:spacing w:val="-2"/>
        </w:rPr>
        <w:t>年以上的各项费用。</w:t>
      </w:r>
    </w:p>
    <w:p>
      <w:pPr>
        <w:pStyle w:val="BodyText"/>
        <w:spacing w:line="240" w:lineRule="auto" w:before="98"/>
        <w:ind w:right="0"/>
        <w:jc w:val="both"/>
      </w:pPr>
      <w:r>
        <w:rPr/>
        <w:t>长期待摊费用在受益期内按直线法分期摊销。</w:t>
      </w:r>
    </w:p>
    <w:p>
      <w:pPr>
        <w:spacing w:line="240" w:lineRule="auto" w:before="10"/>
        <w:rPr>
          <w:rFonts w:ascii="宋体" w:hAnsi="宋体" w:cs="宋体" w:eastAsia="宋体" w:hint="default"/>
          <w:sz w:val="14"/>
          <w:szCs w:val="14"/>
        </w:rPr>
      </w:pPr>
    </w:p>
    <w:p>
      <w:pPr>
        <w:pStyle w:val="Heading3"/>
        <w:spacing w:line="240" w:lineRule="auto"/>
        <w:ind w:left="575" w:right="106"/>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8"/>
        <w:rPr>
          <w:rFonts w:ascii="宋体" w:hAnsi="宋体" w:cs="宋体" w:eastAsia="宋体" w:hint="default"/>
          <w:b/>
          <w:bCs/>
          <w:sz w:val="8"/>
          <w:szCs w:val="8"/>
        </w:rPr>
      </w:pPr>
    </w:p>
    <w:tbl>
      <w:tblPr>
        <w:tblW w:w="0" w:type="auto"/>
        <w:jc w:val="left"/>
        <w:tblInd w:w="145" w:type="dxa"/>
        <w:tblLayout w:type="fixed"/>
        <w:tblCellMar>
          <w:top w:w="0" w:type="dxa"/>
          <w:left w:w="0" w:type="dxa"/>
          <w:bottom w:w="0" w:type="dxa"/>
          <w:right w:w="0" w:type="dxa"/>
        </w:tblCellMar>
        <w:tblLook w:val="01E0"/>
      </w:tblPr>
      <w:tblGrid>
        <w:gridCol w:w="4003"/>
        <w:gridCol w:w="4416"/>
      </w:tblGrid>
      <w:tr>
        <w:trPr>
          <w:trHeight w:val="355" w:hRule="exact"/>
        </w:trPr>
        <w:tc>
          <w:tcPr>
            <w:tcW w:w="40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276" w:right="0"/>
              <w:jc w:val="left"/>
              <w:rPr>
                <w:rFonts w:ascii="宋体" w:hAnsi="宋体" w:cs="宋体" w:eastAsia="宋体" w:hint="default"/>
                <w:sz w:val="18"/>
                <w:szCs w:val="18"/>
              </w:rPr>
            </w:pPr>
            <w:r>
              <w:rPr>
                <w:rFonts w:ascii="宋体" w:hAnsi="宋体" w:cs="宋体" w:eastAsia="宋体" w:hint="default"/>
                <w:sz w:val="18"/>
                <w:szCs w:val="18"/>
              </w:rPr>
              <w:t>长期摊销费用类别</w:t>
            </w:r>
          </w:p>
        </w:tc>
        <w:tc>
          <w:tcPr>
            <w:tcW w:w="44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53" w:hRule="exact"/>
        </w:trPr>
        <w:tc>
          <w:tcPr>
            <w:tcW w:w="4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办公楼装修费</w:t>
            </w:r>
          </w:p>
        </w:tc>
        <w:tc>
          <w:tcPr>
            <w:tcW w:w="44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1752"/>
              <w:jc w:val="righ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个月</w:t>
            </w:r>
          </w:p>
        </w:tc>
      </w:tr>
      <w:tr>
        <w:trPr>
          <w:trHeight w:val="350" w:hRule="exact"/>
        </w:trPr>
        <w:tc>
          <w:tcPr>
            <w:tcW w:w="4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仓库装修费</w:t>
            </w:r>
          </w:p>
        </w:tc>
        <w:tc>
          <w:tcPr>
            <w:tcW w:w="44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1752"/>
              <w:jc w:val="righ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个月</w:t>
            </w:r>
          </w:p>
        </w:tc>
      </w:tr>
      <w:tr>
        <w:trPr>
          <w:trHeight w:val="353" w:hRule="exact"/>
        </w:trPr>
        <w:tc>
          <w:tcPr>
            <w:tcW w:w="4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z w:val="18"/>
                <w:szCs w:val="18"/>
              </w:rPr>
              <w:t>QQ</w:t>
            </w:r>
            <w:r>
              <w:rPr>
                <w:rFonts w:ascii="宋体" w:hAnsi="宋体" w:cs="宋体" w:eastAsia="宋体" w:hint="default"/>
                <w:sz w:val="18"/>
                <w:szCs w:val="18"/>
              </w:rPr>
              <w:t>服务费</w:t>
            </w:r>
          </w:p>
        </w:tc>
        <w:tc>
          <w:tcPr>
            <w:tcW w:w="44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1752"/>
              <w:jc w:val="righ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宋体" w:hAnsi="宋体" w:cs="宋体" w:eastAsia="宋体" w:hint="default"/>
                <w:sz w:val="18"/>
                <w:szCs w:val="18"/>
              </w:rPr>
              <w:t>个月</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3"/>
        <w:spacing w:line="240" w:lineRule="auto" w:before="36"/>
        <w:ind w:right="106"/>
        <w:jc w:val="left"/>
        <w:rPr>
          <w:b w:val="0"/>
          <w:bCs w:val="0"/>
        </w:rPr>
      </w:pPr>
      <w:r>
        <w:rPr>
          <w:rFonts w:ascii="Times New Roman" w:hAnsi="Times New Roman" w:cs="Times New Roman" w:eastAsia="Times New Roman" w:hint="default"/>
        </w:rPr>
        <w:t>24</w:t>
      </w:r>
      <w:r>
        <w:rPr/>
        <w:t>、职工薪酬</w:t>
      </w:r>
      <w:r>
        <w:rPr>
          <w:b w:val="0"/>
          <w:bCs w:val="0"/>
        </w:rPr>
      </w:r>
    </w:p>
    <w:p>
      <w:pPr>
        <w:spacing w:line="750" w:lineRule="atLeast" w:before="18"/>
        <w:ind w:left="572" w:right="10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短期薪酬是指本公司在职工提供相关服务的年度报告期间</w:t>
      </w:r>
      <w:bookmarkStart w:name="24、职工薪酬" w:id="193"/>
      <w:bookmarkEnd w:id="193"/>
      <w:r>
        <w:rPr>
          <w:rFonts w:ascii="宋体" w:hAnsi="宋体" w:cs="宋体" w:eastAsia="宋体" w:hint="default"/>
          <w:spacing w:val="-2"/>
          <w:sz w:val="21"/>
          <w:szCs w:val="21"/>
        </w:rPr>
        <w:t>结</w:t>
      </w:r>
      <w:r>
        <w:rPr>
          <w:rFonts w:ascii="宋体" w:hAnsi="宋体" w:cs="宋体" w:eastAsia="宋体" w:hint="default"/>
          <w:spacing w:val="-2"/>
          <w:sz w:val="21"/>
          <w:szCs w:val="21"/>
        </w:rPr>
        <w:t>束后十二个</w:t>
      </w:r>
      <w:bookmarkStart w:name="（1）短期薪酬的会计处理方法" w:id="194"/>
      <w:bookmarkEnd w:id="194"/>
      <w:r>
        <w:rPr>
          <w:rFonts w:ascii="宋体" w:hAnsi="宋体" w:cs="宋体" w:eastAsia="宋体" w:hint="default"/>
          <w:spacing w:val="-2"/>
          <w:sz w:val="21"/>
          <w:szCs w:val="21"/>
        </w:rPr>
        <w:t>月</w:t>
      </w:r>
      <w:r>
        <w:rPr>
          <w:rFonts w:ascii="宋体" w:hAnsi="宋体" w:cs="宋体" w:eastAsia="宋体" w:hint="default"/>
          <w:spacing w:val="-2"/>
          <w:sz w:val="21"/>
          <w:szCs w:val="21"/>
        </w:rPr>
        <w:t>内需要全部予以支付的职</w:t>
      </w:r>
    </w:p>
    <w:p>
      <w:pPr>
        <w:spacing w:line="240" w:lineRule="auto" w:before="10"/>
        <w:rPr>
          <w:rFonts w:ascii="宋体" w:hAnsi="宋体" w:cs="宋体" w:eastAsia="宋体" w:hint="default"/>
          <w:sz w:val="14"/>
          <w:szCs w:val="14"/>
        </w:rPr>
      </w:pPr>
    </w:p>
    <w:p>
      <w:pPr>
        <w:pStyle w:val="BodyText"/>
        <w:spacing w:line="408" w:lineRule="auto" w:before="0"/>
        <w:ind w:right="106"/>
        <w:jc w:val="left"/>
      </w:pPr>
      <w:r>
        <w:rPr>
          <w:spacing w:val="-5"/>
        </w:rPr>
        <w:t>工薪酬，离职后福利和辞退福利除外。本公司在职工提供服务的会计期间，将应付的短期薪酬确认为负债， </w:t>
      </w:r>
      <w:r>
        <w:rPr/>
        <w:t>并根据职工提供服务的受益对象计入相关资产成本和费用。</w:t>
      </w:r>
    </w:p>
    <w:p>
      <w:pPr>
        <w:spacing w:line="240" w:lineRule="auto" w:before="2"/>
        <w:rPr>
          <w:rFonts w:ascii="宋体" w:hAnsi="宋体" w:cs="宋体" w:eastAsia="宋体" w:hint="default"/>
          <w:sz w:val="27"/>
          <w:szCs w:val="27"/>
        </w:rPr>
      </w:pPr>
    </w:p>
    <w:p>
      <w:pPr>
        <w:spacing w:line="750" w:lineRule="atLeast" w:before="0"/>
        <w:ind w:left="572" w:right="10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离职后福利是指本公司为获得职工提供的服务而在职工退休或与企业解除劳动关系后，提供的各种形</w:t>
      </w:r>
    </w:p>
    <w:p>
      <w:pPr>
        <w:spacing w:line="240" w:lineRule="auto" w:before="10"/>
        <w:rPr>
          <w:rFonts w:ascii="宋体" w:hAnsi="宋体" w:cs="宋体" w:eastAsia="宋体" w:hint="default"/>
          <w:sz w:val="14"/>
          <w:szCs w:val="14"/>
        </w:rPr>
      </w:pPr>
    </w:p>
    <w:p>
      <w:pPr>
        <w:pStyle w:val="BodyText"/>
        <w:spacing w:line="408" w:lineRule="auto" w:before="0"/>
        <w:ind w:left="572" w:right="106" w:hanging="421"/>
        <w:jc w:val="left"/>
      </w:pPr>
      <w:r>
        <w:rPr/>
        <w:t>式的报酬和福利，短期薪酬和辞退福利除外。</w:t>
      </w:r>
      <w:r>
        <w:rPr>
          <w:w w:val="100"/>
        </w:rPr>
        <w:t> </w:t>
      </w:r>
      <w:r>
        <w:rPr/>
        <w:t>本公司的离职后福利计划分类为设定提存计划和设定受益计划。</w:t>
      </w:r>
      <w:r>
        <w:rPr>
          <w:w w:val="100"/>
        </w:rPr>
        <w:t> </w:t>
      </w:r>
      <w:r>
        <w:rPr>
          <w:spacing w:val="-2"/>
        </w:rPr>
        <w:t>离职后福利设定提存计划主要为参加由各地劳动及社会保障机构组织实施的社会基本养老保险、失业</w:t>
      </w:r>
    </w:p>
    <w:p>
      <w:pPr>
        <w:pStyle w:val="BodyText"/>
        <w:spacing w:line="408" w:lineRule="auto"/>
        <w:ind w:right="106"/>
        <w:jc w:val="left"/>
      </w:pPr>
      <w:r>
        <w:rPr>
          <w:spacing w:val="-2"/>
        </w:rPr>
        <w:t>保险等。在职工为本公司提供服务的会计期间，将根据设定提存计划计算的应缴存金额确认为负债，并计</w:t>
      </w:r>
      <w:r>
        <w:rPr>
          <w:spacing w:val="-43"/>
        </w:rPr>
        <w:t> </w:t>
      </w:r>
      <w:r>
        <w:rPr>
          <w:spacing w:val="-43"/>
        </w:rPr>
      </w:r>
      <w:r>
        <w:rPr/>
        <w:t>入当期损益或相关资产成本。</w:t>
      </w:r>
    </w:p>
    <w:p>
      <w:pPr>
        <w:pStyle w:val="BodyText"/>
        <w:spacing w:line="240" w:lineRule="auto"/>
        <w:ind w:left="572" w:right="106"/>
        <w:jc w:val="left"/>
      </w:pPr>
      <w:r>
        <w:rPr/>
        <w:t>本公司按照国家规定的标准定期缴付上述款项后，不再有其他的支付义务。</w:t>
      </w:r>
    </w:p>
    <w:p>
      <w:pPr>
        <w:spacing w:after="0" w:line="240" w:lineRule="auto"/>
        <w:jc w:val="left"/>
        <w:sectPr>
          <w:pgSz w:w="11910" w:h="16840"/>
          <w:pgMar w:header="990" w:footer="1066" w:top="1220" w:bottom="12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3"/>
        <w:spacing w:line="240" w:lineRule="auto" w:before="36"/>
        <w:ind w:right="0"/>
        <w:jc w:val="both"/>
        <w:rPr>
          <w:b w:val="0"/>
          <w:bCs w:val="0"/>
        </w:rPr>
      </w:pPr>
      <w:bookmarkStart w:name="25、预计负债" w:id="195"/>
      <w:bookmarkEnd w:id="195"/>
      <w:r>
        <w:rPr>
          <w:b w:val="0"/>
          <w:bCs w:val="0"/>
        </w:rPr>
      </w:r>
      <w:r>
        <w:rPr/>
        <w:t>（</w:t>
      </w:r>
      <w:r>
        <w:rPr>
          <w:rFonts w:ascii="Times New Roman" w:hAnsi="Times New Roman" w:cs="Times New Roman" w:eastAsia="Times New Roman" w:hint="default"/>
        </w:rPr>
        <w:t>3</w:t>
      </w:r>
      <w:bookmarkStart w:name="（3）辞退福利的会计处理方法" w:id="196"/>
      <w:bookmarkEnd w:id="196"/>
      <w:r>
        <w:rPr>
          <w:rFonts w:ascii="Times New Roman" w:hAnsi="Times New Roman" w:cs="Times New Roman" w:eastAsia="Times New Roman" w:hint="default"/>
        </w:rPr>
      </w:r>
      <w:r>
        <w:rPr/>
        <w:t>）辞退福利的会计处理方法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right="146" w:firstLine="420"/>
        <w:jc w:val="both"/>
      </w:pPr>
      <w:r>
        <w:rPr>
          <w:spacing w:val="-3"/>
        </w:rPr>
        <w:t>辞退福利是指本公司在职工劳动合同到期之前解除与职工的劳动关系，或者为鼓励职工自愿接受裁减</w:t>
      </w:r>
      <w:r>
        <w:rPr>
          <w:spacing w:val="-3"/>
          <w:w w:val="100"/>
        </w:rPr>
        <w:t> </w:t>
      </w:r>
      <w:r>
        <w:rPr>
          <w:spacing w:val="-2"/>
        </w:rPr>
        <w:t>而给予职工的补偿，在本公司不能单方面撤回解除劳动关系计划或裁减建议时和确认与涉及支付辞退福利</w:t>
      </w:r>
      <w:r>
        <w:rPr>
          <w:spacing w:val="-43"/>
        </w:rPr>
        <w:t> </w:t>
      </w:r>
      <w:r>
        <w:rPr>
          <w:spacing w:val="-43"/>
        </w:rPr>
      </w:r>
      <w:r>
        <w:rPr>
          <w:spacing w:val="-2"/>
        </w:rPr>
        <w:t>的重组相关的成本费用时两者孰早日，确认因解除与职工的劳动关系给予补偿而产生的负债，同时计入当</w:t>
      </w:r>
      <w:r>
        <w:rPr>
          <w:spacing w:val="-44"/>
        </w:rPr>
        <w:t> </w:t>
      </w:r>
      <w:r>
        <w:rPr>
          <w:spacing w:val="-44"/>
        </w:rPr>
      </w:r>
      <w:r>
        <w:rPr/>
        <w:t>期损益。</w:t>
      </w:r>
    </w:p>
    <w:p>
      <w:pPr>
        <w:pStyle w:val="BodyText"/>
        <w:spacing w:line="408" w:lineRule="auto"/>
        <w:ind w:left="572" w:right="0"/>
        <w:jc w:val="left"/>
      </w:pPr>
      <w:r>
        <w:rPr>
          <w:spacing w:val="-2"/>
        </w:rPr>
        <w:t>本公司向接受内部退休安排的职工提供内退福利。内退福利是指，向未达到国家规定的退休年龄、经</w:t>
      </w:r>
      <w:r>
        <w:rPr>
          <w:spacing w:val="-46"/>
        </w:rPr>
        <w:t> </w:t>
      </w:r>
      <w:r>
        <w:rPr>
          <w:spacing w:val="-46"/>
        </w:rPr>
      </w:r>
      <w:r>
        <w:rPr/>
        <w:t>本公司管理层批准自愿退出工作岗位的职工</w:t>
      </w:r>
    </w:p>
    <w:p>
      <w:pPr>
        <w:pStyle w:val="BodyText"/>
        <w:spacing w:line="408" w:lineRule="auto"/>
        <w:ind w:right="125"/>
        <w:jc w:val="both"/>
      </w:pPr>
      <w:r>
        <w:rPr>
          <w:spacing w:val="-2"/>
        </w:rPr>
        <w:t>支付的工资及为其缴纳的社会保险费等。本公司自内部退休安排开始之日起至职工达到正常退休年龄止，</w:t>
      </w:r>
      <w:r>
        <w:rPr>
          <w:spacing w:val="-21"/>
        </w:rPr>
        <w:t> </w:t>
      </w:r>
      <w:r>
        <w:rPr>
          <w:spacing w:val="-21"/>
        </w:rPr>
      </w:r>
      <w:r>
        <w:rPr>
          <w:spacing w:val="-2"/>
        </w:rPr>
        <w:t>向内退职工支付内部退养福利。对于内退福利，本公司比照辞退福利进行会计处理，在符合辞退福利相关</w:t>
      </w:r>
      <w:r>
        <w:rPr>
          <w:spacing w:val="-43"/>
        </w:rPr>
        <w:t> </w:t>
      </w:r>
      <w:r>
        <w:rPr>
          <w:spacing w:val="-43"/>
        </w:rPr>
      </w:r>
      <w:r>
        <w:rPr>
          <w:spacing w:val="-2"/>
        </w:rPr>
        <w:t>确认条件时，将自职工停止提供服务日至正常退休日期间拟支付的内退职工工资和缴纳的社会保险费等，</w:t>
      </w:r>
      <w:r>
        <w:rPr>
          <w:spacing w:val="-21"/>
        </w:rPr>
        <w:t> </w:t>
      </w:r>
      <w:r>
        <w:rPr>
          <w:spacing w:val="-21"/>
        </w:rPr>
      </w:r>
      <w:r>
        <w:rPr>
          <w:spacing w:val="-2"/>
        </w:rPr>
        <w:t>确认为负债，一次性计入当期损益。内退福利的精算假设变化及福利标准调整引起的差异于发生时计入当</w:t>
      </w:r>
      <w:r>
        <w:rPr>
          <w:spacing w:val="-43"/>
        </w:rPr>
        <w:t> </w:t>
      </w:r>
      <w:r>
        <w:rPr>
          <w:spacing w:val="-43"/>
        </w:rPr>
      </w:r>
      <w:r>
        <w:rPr/>
        <w:t>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572" w:right="0"/>
        <w:jc w:val="left"/>
      </w:pPr>
      <w:r>
        <w:rPr/>
        <w:t>其他长期职工福利是指除短期薪酬、离职后福利、辞退福利之外的其他所有</w:t>
      </w:r>
      <w:bookmarkStart w:name="（4）其他长期职工福利的会计处理方法" w:id="197"/>
      <w:bookmarkEnd w:id="197"/>
      <w:r>
        <w:rPr/>
        <w:t>职工</w:t>
      </w:r>
      <w:r>
        <w:rPr/>
        <w:t>福利。</w:t>
      </w:r>
      <w:r>
        <w:rPr>
          <w:w w:val="100"/>
        </w:rPr>
        <w:t> </w:t>
      </w:r>
      <w:r>
        <w:rPr>
          <w:spacing w:val="-2"/>
        </w:rPr>
        <w:t>对符合设定提存计划条件的其他长期职工福利，在职工为本公司提供服务的会计期间，将应缴存金额</w:t>
      </w:r>
    </w:p>
    <w:p>
      <w:pPr>
        <w:pStyle w:val="BodyText"/>
        <w:spacing w:line="240" w:lineRule="auto"/>
        <w:ind w:right="0"/>
        <w:jc w:val="both"/>
      </w:pPr>
      <w:r>
        <w:rPr/>
        <w:t>确认为负债，并计入当期损益或相关资产成本。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6"/>
        <w:ind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0"/>
        <w:rPr>
          <w:rFonts w:ascii="宋体" w:hAnsi="宋体" w:cs="宋体" w:eastAsia="宋体" w:hint="default"/>
          <w:b/>
          <w:bCs/>
          <w:sz w:val="22"/>
          <w:szCs w:val="22"/>
        </w:rPr>
      </w:pPr>
    </w:p>
    <w:p>
      <w:pPr>
        <w:pStyle w:val="BodyText"/>
        <w:spacing w:line="403" w:lineRule="auto" w:before="189"/>
        <w:ind w:left="572" w:right="2574" w:hanging="243"/>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spacing w:val="-102"/>
        </w:rPr>
        <w:t> </w:t>
      </w:r>
      <w:r>
        <w:rPr>
          <w:spacing w:val="-2"/>
        </w:rPr>
        <w:t>与或有事项相关的义务同时满足下列条件时，本公司确认为预计负债：</w:t>
      </w:r>
      <w:r>
        <w:rPr>
          <w:w w:val="100"/>
        </w:rPr>
        <w:t> </w:t>
      </w:r>
      <w:r>
        <w:rPr/>
        <w:t>该义务是本公司承担的现时义务；</w:t>
      </w:r>
      <w:r>
        <w:rPr>
          <w:w w:val="100"/>
        </w:rPr>
        <w:t> </w:t>
      </w:r>
      <w:r>
        <w:rPr/>
        <w:t>履行该义务很可能导致经济利益流出本公司；</w:t>
      </w:r>
      <w:r>
        <w:rPr>
          <w:w w:val="100"/>
        </w:rPr>
        <w:t> </w:t>
      </w:r>
      <w:r>
        <w:rPr/>
        <w:t>该义务的金额能够可靠地计量。</w:t>
      </w:r>
    </w:p>
    <w:p>
      <w:pPr>
        <w:spacing w:after="0" w:line="403" w:lineRule="auto"/>
        <w:jc w:val="left"/>
        <w:sectPr>
          <w:footerReference w:type="default" r:id="rId57"/>
          <w:pgSz w:w="11910" w:h="16840"/>
          <w:pgMar w:footer="1066" w:header="990" w:top="1220" w:bottom="1260" w:left="980" w:right="980"/>
          <w:pgNumType w:start="183"/>
        </w:sectPr>
      </w:pPr>
    </w:p>
    <w:p>
      <w:pPr>
        <w:spacing w:line="240" w:lineRule="auto" w:before="4"/>
        <w:rPr>
          <w:rFonts w:ascii="宋体" w:hAnsi="宋体" w:cs="宋体" w:eastAsia="宋体" w:hint="default"/>
          <w:sz w:val="16"/>
          <w:szCs w:val="16"/>
        </w:rPr>
      </w:pPr>
    </w:p>
    <w:p>
      <w:pPr>
        <w:spacing w:line="386" w:lineRule="auto" w:before="36"/>
        <w:ind w:left="572" w:right="1757" w:hanging="2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本公司预计负债按履行相关现时义务所需的支出的最佳估计数进行初始计量。</w:t>
      </w:r>
    </w:p>
    <w:p>
      <w:pPr>
        <w:pStyle w:val="BodyText"/>
        <w:spacing w:line="408" w:lineRule="auto" w:before="65"/>
        <w:ind w:right="106" w:firstLine="420"/>
        <w:jc w:val="left"/>
      </w:pPr>
      <w:r>
        <w:rPr>
          <w:spacing w:val="-2"/>
        </w:rPr>
        <w:t>本公司在确定最佳估计数时，综合考虑与或有事项有关的风险、不确定性和货币时间价值等因素。对</w:t>
      </w:r>
      <w:r>
        <w:rPr>
          <w:w w:val="100"/>
        </w:rPr>
        <w:t> </w:t>
      </w:r>
      <w:r>
        <w:rPr/>
        <w:t>于货币时间价值影响重大的，通过对相关未来现金流出进行折现后确定最佳估计数。</w:t>
      </w:r>
    </w:p>
    <w:p>
      <w:pPr>
        <w:pStyle w:val="BodyText"/>
        <w:spacing w:line="408" w:lineRule="auto"/>
        <w:ind w:left="572" w:right="106"/>
        <w:jc w:val="left"/>
      </w:pP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408" w:lineRule="auto"/>
        <w:ind w:left="572" w:right="106" w:hanging="420"/>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408" w:lineRule="auto"/>
        <w:ind w:right="106"/>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408" w:lineRule="auto"/>
        <w:ind w:right="106"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6"/>
        <w:rPr>
          <w:rFonts w:ascii="宋体" w:hAnsi="宋体" w:cs="宋体" w:eastAsia="宋体" w:hint="default"/>
          <w:sz w:val="26"/>
          <w:szCs w:val="26"/>
        </w:rPr>
      </w:pPr>
    </w:p>
    <w:p>
      <w:pPr>
        <w:pStyle w:val="Heading3"/>
        <w:spacing w:line="240" w:lineRule="auto"/>
        <w:ind w:right="106"/>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106"/>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106"/>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0"/>
        <w:rPr>
          <w:rFonts w:ascii="宋体" w:hAnsi="宋体" w:cs="宋体" w:eastAsia="宋体" w:hint="default"/>
          <w:b/>
          <w:bCs/>
          <w:sz w:val="22"/>
          <w:szCs w:val="22"/>
        </w:rPr>
      </w:pPr>
    </w:p>
    <w:p>
      <w:pPr>
        <w:spacing w:line="386" w:lineRule="auto" w:before="189"/>
        <w:ind w:left="642" w:right="106" w:hanging="49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公司已将商品所有权上的主要风险和报酬转移给购买方；公</w:t>
      </w:r>
      <w:bookmarkStart w:name="26、股份支付" w:id="198"/>
      <w:bookmarkEnd w:id="198"/>
      <w:r>
        <w:rPr>
          <w:rFonts w:ascii="宋体" w:hAnsi="宋体" w:cs="宋体" w:eastAsia="宋体" w:hint="default"/>
          <w:spacing w:val="-4"/>
          <w:w w:val="100"/>
          <w:sz w:val="21"/>
          <w:szCs w:val="21"/>
        </w:rPr>
        <w:t>司</w:t>
      </w:r>
      <w:r>
        <w:rPr>
          <w:rFonts w:ascii="宋体" w:hAnsi="宋体" w:cs="宋体" w:eastAsia="宋体" w:hint="default"/>
          <w:spacing w:val="-4"/>
          <w:w w:val="100"/>
          <w:sz w:val="21"/>
          <w:szCs w:val="21"/>
        </w:rPr>
        <w:t>既没有</w:t>
      </w:r>
      <w:bookmarkStart w:name="27、优先股、永续债等其他金融工具" w:id="199"/>
      <w:bookmarkEnd w:id="199"/>
      <w:r>
        <w:rPr>
          <w:rFonts w:ascii="宋体" w:hAnsi="宋体" w:cs="宋体" w:eastAsia="宋体" w:hint="default"/>
          <w:spacing w:val="-4"/>
          <w:w w:val="100"/>
          <w:sz w:val="21"/>
          <w:szCs w:val="21"/>
        </w:rPr>
        <w:t>保</w:t>
      </w:r>
      <w:r>
        <w:rPr>
          <w:rFonts w:ascii="宋体" w:hAnsi="宋体" w:cs="宋体" w:eastAsia="宋体" w:hint="default"/>
          <w:spacing w:val="-4"/>
          <w:w w:val="100"/>
          <w:sz w:val="21"/>
          <w:szCs w:val="21"/>
        </w:rPr>
        <w:t>留与</w:t>
      </w:r>
      <w:bookmarkStart w:name="28、收入" w:id="200"/>
      <w:bookmarkEnd w:id="200"/>
      <w:r>
        <w:rPr>
          <w:rFonts w:ascii="宋体" w:hAnsi="宋体" w:cs="宋体" w:eastAsia="宋体" w:hint="default"/>
          <w:spacing w:val="-4"/>
          <w:w w:val="100"/>
          <w:sz w:val="21"/>
          <w:szCs w:val="21"/>
        </w:rPr>
        <w:t>所有</w:t>
      </w:r>
      <w:r>
        <w:rPr>
          <w:rFonts w:ascii="宋体" w:hAnsi="宋体" w:cs="宋体" w:eastAsia="宋体" w:hint="default"/>
          <w:spacing w:val="-4"/>
          <w:w w:val="100"/>
          <w:sz w:val="21"/>
          <w:szCs w:val="21"/>
        </w:rPr>
        <w:t>权相联系的继续管理</w:t>
      </w:r>
    </w:p>
    <w:p>
      <w:pPr>
        <w:pStyle w:val="BodyText"/>
        <w:spacing w:line="408" w:lineRule="auto" w:before="65"/>
        <w:ind w:right="106"/>
        <w:jc w:val="left"/>
      </w:pPr>
      <w:r>
        <w:rPr>
          <w:spacing w:val="-5"/>
        </w:rPr>
        <w:t>权，也没有对已售出的商品实施有效控制；收入的金额能够可靠地计量；相关的经济利益很可能流入企业；</w:t>
      </w:r>
      <w:r>
        <w:rPr>
          <w:spacing w:val="-6"/>
        </w:rPr>
        <w:t> </w:t>
      </w:r>
      <w:r>
        <w:rPr>
          <w:spacing w:val="-6"/>
        </w:rPr>
      </w:r>
      <w:r>
        <w:rPr>
          <w:spacing w:val="-5"/>
        </w:rPr>
        <w:t>相关的已发生或将发生的成本能够可靠地计量时，确认商品销售收入实现。各销售方式收入确认说明如下：</w:t>
      </w:r>
    </w:p>
    <w:p>
      <w:pPr>
        <w:pStyle w:val="BodyText"/>
        <w:spacing w:line="386" w:lineRule="auto"/>
        <w:ind w:left="572" w:right="106" w:hanging="209"/>
        <w:jc w:val="left"/>
      </w:pPr>
      <w:r>
        <w:rPr/>
        <w:t>（</w:t>
      </w:r>
      <w:r>
        <w:rPr>
          <w:rFonts w:ascii="Times New Roman" w:hAnsi="Times New Roman" w:cs="Times New Roman" w:eastAsia="Times New Roman" w:hint="default"/>
        </w:rPr>
        <w:t>1</w:t>
      </w:r>
      <w:r>
        <w:rPr/>
        <w:t>）直接销售收入确认</w:t>
      </w:r>
      <w:r>
        <w:rPr>
          <w:spacing w:val="-3"/>
          <w:w w:val="100"/>
        </w:rPr>
        <w:t> </w:t>
      </w:r>
      <w:r>
        <w:rPr>
          <w:spacing w:val="-2"/>
        </w:rPr>
        <w:t>公司根据学生或家长的订单情况，通过第三方物流进行配送，由公司当地营销人员负责向中小学生或</w:t>
      </w:r>
    </w:p>
    <w:p>
      <w:pPr>
        <w:pStyle w:val="BodyText"/>
        <w:spacing w:line="240" w:lineRule="auto" w:before="65"/>
        <w:ind w:right="106"/>
        <w:jc w:val="left"/>
      </w:pPr>
      <w:r>
        <w:rPr/>
        <w:t>其家长发放，在与中小学生或其家长进行确认并收款后，直接确认销售收入。</w:t>
      </w:r>
    </w:p>
    <w:p>
      <w:pPr>
        <w:spacing w:line="240" w:lineRule="auto" w:before="10"/>
        <w:rPr>
          <w:rFonts w:ascii="宋体" w:hAnsi="宋体" w:cs="宋体" w:eastAsia="宋体" w:hint="default"/>
          <w:sz w:val="14"/>
          <w:szCs w:val="14"/>
        </w:rPr>
      </w:pPr>
    </w:p>
    <w:p>
      <w:pPr>
        <w:pStyle w:val="BodyText"/>
        <w:spacing w:line="386" w:lineRule="auto" w:before="0"/>
        <w:ind w:left="572" w:right="106" w:hanging="209"/>
        <w:jc w:val="left"/>
      </w:pPr>
      <w:r>
        <w:rPr/>
        <w:t>（</w:t>
      </w:r>
      <w:r>
        <w:rPr>
          <w:rFonts w:ascii="Times New Roman" w:hAnsi="Times New Roman" w:cs="Times New Roman" w:eastAsia="Times New Roman" w:hint="default"/>
        </w:rPr>
        <w:t>2</w:t>
      </w:r>
      <w:r>
        <w:rPr/>
        <w:t>）教育系统征订销售渠道收入确认</w:t>
      </w:r>
      <w:r>
        <w:rPr>
          <w:spacing w:val="-3"/>
          <w:w w:val="100"/>
        </w:rPr>
        <w:t> </w:t>
      </w:r>
      <w:r>
        <w:rPr>
          <w:spacing w:val="-2"/>
        </w:rPr>
        <w:t>根据订单规定的交货时间及送货地址由仓库根据商务开具的发货单明细配送发货；成品送至客户指定</w:t>
      </w:r>
    </w:p>
    <w:p>
      <w:pPr>
        <w:pStyle w:val="BodyText"/>
        <w:spacing w:line="408" w:lineRule="auto" w:before="65"/>
        <w:ind w:right="207"/>
        <w:jc w:val="both"/>
      </w:pPr>
      <w:r>
        <w:rPr>
          <w:spacing w:val="-2"/>
        </w:rPr>
        <w:t>收货点后，由收货单位于送货单上盖章签字确认；相关送货人员将客户盖章签字确认的送货单交财务部门</w:t>
      </w:r>
      <w:r>
        <w:rPr>
          <w:spacing w:val="-42"/>
        </w:rPr>
        <w:t> </w:t>
      </w:r>
      <w:r>
        <w:rPr>
          <w:spacing w:val="-42"/>
        </w:rPr>
      </w:r>
      <w:r>
        <w:rPr>
          <w:spacing w:val="-2"/>
        </w:rPr>
        <w:t>和销售部门各一联；由公司商务部根据客户确认的送货单与客户核对产品品种、数量，根据合同单价制作</w:t>
      </w:r>
      <w:r>
        <w:rPr>
          <w:spacing w:val="-43"/>
        </w:rPr>
        <w:t> </w:t>
      </w:r>
      <w:r>
        <w:rPr>
          <w:spacing w:val="-43"/>
        </w:rPr>
      </w:r>
      <w:r>
        <w:rPr/>
        <w:t>对账结算单并传真至客户，由其盖章确认后回传至公司；根据客户回传确认的对账结算单确认收入。</w:t>
      </w:r>
    </w:p>
    <w:p>
      <w:pPr>
        <w:spacing w:after="0" w:line="408" w:lineRule="auto"/>
        <w:jc w:val="both"/>
        <w:sectPr>
          <w:pgSz w:w="11910" w:h="16840"/>
          <w:pgMar w:header="990" w:footer="1066" w:top="1220" w:bottom="1260" w:left="980" w:right="920"/>
        </w:sectPr>
      </w:pPr>
    </w:p>
    <w:p>
      <w:pPr>
        <w:spacing w:line="240" w:lineRule="auto" w:before="4"/>
        <w:rPr>
          <w:rFonts w:ascii="宋体" w:hAnsi="宋体" w:cs="宋体" w:eastAsia="宋体" w:hint="default"/>
          <w:sz w:val="16"/>
          <w:szCs w:val="16"/>
        </w:rPr>
      </w:pPr>
    </w:p>
    <w:p>
      <w:pPr>
        <w:pStyle w:val="BodyText"/>
        <w:spacing w:line="386" w:lineRule="auto" w:before="36"/>
        <w:ind w:left="572" w:right="0" w:hanging="120"/>
        <w:jc w:val="left"/>
      </w:pPr>
      <w:r>
        <w:rPr/>
        <w:t>（</w:t>
      </w:r>
      <w:r>
        <w:rPr>
          <w:rFonts w:ascii="Times New Roman" w:hAnsi="Times New Roman" w:cs="Times New Roman" w:eastAsia="Times New Roman" w:hint="default"/>
        </w:rPr>
        <w:t>3</w:t>
      </w:r>
      <w:r>
        <w:rPr/>
        <w:t>）系统销售一般收入确认</w:t>
      </w:r>
      <w:r>
        <w:rPr>
          <w:spacing w:val="-3"/>
          <w:w w:val="100"/>
        </w:rPr>
        <w:t> </w:t>
      </w:r>
      <w:r>
        <w:rPr>
          <w:spacing w:val="-2"/>
        </w:rPr>
        <w:t>在客户信用额度内的订货，由商务部门开具发货单通知库房配送产品；本地客户由相关送货人员送至</w:t>
      </w:r>
    </w:p>
    <w:p>
      <w:pPr>
        <w:pStyle w:val="BodyText"/>
        <w:spacing w:line="408" w:lineRule="auto" w:before="65"/>
        <w:ind w:right="147"/>
        <w:jc w:val="both"/>
      </w:pPr>
      <w:r>
        <w:rPr>
          <w:spacing w:val="-2"/>
        </w:rPr>
        <w:t>客户仓库，将客户盖章签字确认的送货单交财务部门和销售部门各一联。异地客户由客户收货员盖章签字</w:t>
      </w:r>
      <w:r>
        <w:rPr>
          <w:spacing w:val="-43"/>
        </w:rPr>
        <w:t> </w:t>
      </w:r>
      <w:r>
        <w:rPr>
          <w:spacing w:val="-43"/>
        </w:rPr>
      </w:r>
      <w:r>
        <w:rPr>
          <w:spacing w:val="-2"/>
        </w:rPr>
        <w:t>后传真给公司商务部门和财务部门留存；每月公司商务部门与书店系统代理进行对账确认。书店系统代理</w:t>
      </w:r>
      <w:r>
        <w:rPr>
          <w:spacing w:val="-42"/>
        </w:rPr>
        <w:t> </w:t>
      </w:r>
      <w:r>
        <w:rPr>
          <w:spacing w:val="-42"/>
        </w:rPr>
      </w:r>
      <w:r>
        <w:rPr/>
        <w:t>销售根据双方确认的对账结算单确认收入。</w:t>
      </w:r>
    </w:p>
    <w:p>
      <w:pPr>
        <w:pStyle w:val="BodyText"/>
        <w:spacing w:line="386" w:lineRule="auto"/>
        <w:ind w:left="572" w:right="0" w:hanging="120"/>
        <w:jc w:val="left"/>
      </w:pPr>
      <w:r>
        <w:rPr/>
        <w:t>（</w:t>
      </w:r>
      <w:r>
        <w:rPr>
          <w:rFonts w:ascii="Times New Roman" w:hAnsi="Times New Roman" w:cs="Times New Roman" w:eastAsia="Times New Roman" w:hint="default"/>
        </w:rPr>
        <w:t>4</w:t>
      </w:r>
      <w:r>
        <w:rPr/>
        <w:t>）邮件系统、其他产品销售收入确认</w:t>
      </w:r>
      <w:r>
        <w:rPr>
          <w:w w:val="100"/>
        </w:rPr>
        <w:t> </w:t>
      </w:r>
      <w:r>
        <w:rPr>
          <w:spacing w:val="-2"/>
        </w:rPr>
        <w:t>邮件系统销售分产品销售与解决方案实施。大部分需进行二次开发、设备安装、上线试运行及验收等</w:t>
      </w:r>
    </w:p>
    <w:p>
      <w:pPr>
        <w:pStyle w:val="BodyText"/>
        <w:spacing w:line="408" w:lineRule="auto" w:before="65"/>
        <w:ind w:right="154"/>
        <w:jc w:val="both"/>
      </w:pPr>
      <w:r>
        <w:rPr>
          <w:spacing w:val="-3"/>
        </w:rPr>
        <w:t>程序；与货物相关的风险、所有权和责任，在验收合格后方转移到买方。公司在取得用户验收合格确认书</w:t>
      </w:r>
      <w:r>
        <w:rPr>
          <w:spacing w:val="-9"/>
        </w:rPr>
        <w:t> </w:t>
      </w:r>
      <w:r>
        <w:rPr>
          <w:spacing w:val="-9"/>
        </w:rPr>
      </w:r>
      <w:r>
        <w:rPr/>
        <w:t>时根据合同约定确认销售收入。</w:t>
      </w:r>
    </w:p>
    <w:p>
      <w:pPr>
        <w:spacing w:line="386" w:lineRule="auto" w:before="46"/>
        <w:ind w:left="536" w:right="0" w:hanging="38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240" w:lineRule="auto" w:before="65"/>
        <w:ind w:right="0"/>
        <w:jc w:val="both"/>
      </w:pPr>
      <w:r>
        <w:rPr/>
        <w:t>使用权收入金额：</w:t>
      </w:r>
    </w:p>
    <w:p>
      <w:pPr>
        <w:spacing w:line="240" w:lineRule="auto" w:before="10"/>
        <w:rPr>
          <w:rFonts w:ascii="宋体" w:hAnsi="宋体" w:cs="宋体" w:eastAsia="宋体" w:hint="default"/>
          <w:sz w:val="14"/>
          <w:szCs w:val="14"/>
        </w:rPr>
      </w:pPr>
    </w:p>
    <w:p>
      <w:pPr>
        <w:pStyle w:val="BodyText"/>
        <w:spacing w:line="240" w:lineRule="auto" w:before="0"/>
        <w:ind w:left="453"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77"/>
        <w:ind w:left="453"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86" w:lineRule="auto" w:before="177"/>
        <w:ind w:left="57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在资产负债表日提供劳务交易的结果能够可靠估计的，采用完工百分比法确认提供劳务收入。提供劳</w:t>
      </w:r>
    </w:p>
    <w:p>
      <w:pPr>
        <w:pStyle w:val="BodyText"/>
        <w:spacing w:line="408" w:lineRule="auto" w:before="65"/>
        <w:ind w:left="572" w:right="0" w:hanging="421"/>
        <w:jc w:val="left"/>
      </w:pPr>
      <w:r>
        <w:rPr/>
        <w:t>务交易的完工进度，依据已完工作的测量确定。</w:t>
      </w:r>
      <w:r>
        <w:rPr>
          <w:spacing w:val="-3"/>
          <w:w w:val="100"/>
        </w:rPr>
        <w:t> </w:t>
      </w:r>
      <w:r>
        <w:rPr>
          <w:spacing w:val="-2"/>
        </w:rPr>
        <w:t>按照已收或应收的合同或协议价款确定提供劳务收入总额，但已收或应收的合同或协议价款不公允的</w:t>
      </w:r>
    </w:p>
    <w:p>
      <w:pPr>
        <w:pStyle w:val="BodyText"/>
        <w:spacing w:line="408" w:lineRule="auto"/>
        <w:ind w:right="146"/>
        <w:jc w:val="both"/>
      </w:pPr>
      <w:r>
        <w:rPr>
          <w:spacing w:val="-2"/>
        </w:rPr>
        <w:t>除外。资产负债表日按照提供劳务收入总额乘以完工进度扣除以前会计期间累计已确认提供劳务收入后的</w:t>
      </w:r>
      <w:r>
        <w:rPr>
          <w:spacing w:val="-43"/>
        </w:rPr>
        <w:t> </w:t>
      </w:r>
      <w:r>
        <w:rPr>
          <w:spacing w:val="-43"/>
        </w:rPr>
      </w:r>
      <w:r>
        <w:rPr>
          <w:spacing w:val="-2"/>
        </w:rPr>
        <w:t>金额，确认当期提供劳务收入；同时，按照提供劳务估计总成本乘以完工进度扣除以前会计期间累计已确</w:t>
      </w:r>
      <w:r>
        <w:rPr>
          <w:spacing w:val="-44"/>
        </w:rPr>
        <w:t> </w:t>
      </w:r>
      <w:r>
        <w:rPr>
          <w:spacing w:val="-44"/>
        </w:rPr>
      </w:r>
      <w:r>
        <w:rPr/>
        <w:t>认劳务成本后的金额，结转当期劳务成本。</w:t>
      </w:r>
    </w:p>
    <w:p>
      <w:pPr>
        <w:pStyle w:val="BodyText"/>
        <w:spacing w:line="240" w:lineRule="auto"/>
        <w:ind w:left="370" w:right="2231"/>
        <w:jc w:val="center"/>
      </w:pPr>
      <w:r>
        <w:rPr/>
        <w:t>在资产负债表日提供劳务交易结果不能够可靠估计的，分别下列情况处理：</w:t>
      </w:r>
    </w:p>
    <w:p>
      <w:pPr>
        <w:spacing w:line="240" w:lineRule="auto" w:before="10"/>
        <w:rPr>
          <w:rFonts w:ascii="宋体" w:hAnsi="宋体" w:cs="宋体" w:eastAsia="宋体" w:hint="default"/>
          <w:sz w:val="14"/>
          <w:szCs w:val="14"/>
        </w:rPr>
      </w:pPr>
    </w:p>
    <w:p>
      <w:pPr>
        <w:pStyle w:val="BodyText"/>
        <w:spacing w:line="386" w:lineRule="auto" w:before="0"/>
        <w:ind w:right="0" w:firstLine="299"/>
        <w:jc w:val="left"/>
      </w:pPr>
      <w:r>
        <w:rPr>
          <w:spacing w:val="-2"/>
        </w:rPr>
        <w:t>（</w:t>
      </w:r>
      <w:r>
        <w:rPr>
          <w:rFonts w:ascii="Times New Roman" w:hAnsi="Times New Roman" w:cs="Times New Roman" w:eastAsia="Times New Roman" w:hint="default"/>
          <w:spacing w:val="-2"/>
        </w:rPr>
        <w:t>1</w:t>
      </w:r>
      <w:r>
        <w:rPr>
          <w:spacing w:val="-2"/>
        </w:rPr>
        <w:t>）已经发生的劳务成本预计能够得到补偿的，按照已经发生的劳务成本金额确认提供劳务收入，并</w:t>
      </w:r>
      <w:r>
        <w:rPr>
          <w:spacing w:val="-3"/>
          <w:w w:val="100"/>
        </w:rPr>
        <w:t> </w:t>
      </w:r>
      <w:r>
        <w:rPr/>
        <w:t>按相同金额结转劳务成本。</w:t>
      </w:r>
    </w:p>
    <w:p>
      <w:pPr>
        <w:pStyle w:val="BodyText"/>
        <w:spacing w:line="386" w:lineRule="auto" w:before="65"/>
        <w:ind w:right="0" w:firstLine="300"/>
        <w:jc w:val="left"/>
      </w:pPr>
      <w:r>
        <w:rPr>
          <w:spacing w:val="-2"/>
        </w:rPr>
        <w:t>（</w:t>
      </w:r>
      <w:r>
        <w:rPr>
          <w:rFonts w:ascii="Times New Roman" w:hAnsi="Times New Roman" w:cs="Times New Roman" w:eastAsia="Times New Roman" w:hint="default"/>
          <w:spacing w:val="-2"/>
        </w:rPr>
        <w:t>2</w:t>
      </w:r>
      <w:r>
        <w:rPr>
          <w:spacing w:val="-2"/>
        </w:rPr>
        <w:t>）已经发生的劳务成本预计不能够得到补偿的，将已经发生的劳务成本计入当期损益，不确认提供</w:t>
      </w:r>
      <w:r>
        <w:rPr>
          <w:w w:val="100"/>
        </w:rPr>
        <w:t> </w:t>
      </w:r>
      <w:r>
        <w:rPr/>
        <w:t>劳务收入。</w:t>
      </w:r>
    </w:p>
    <w:p>
      <w:pPr>
        <w:pStyle w:val="BodyText"/>
        <w:spacing w:line="408" w:lineRule="auto" w:before="65"/>
        <w:ind w:right="147" w:firstLine="420"/>
        <w:jc w:val="both"/>
      </w:pPr>
      <w:r>
        <w:rPr>
          <w:spacing w:val="-2"/>
        </w:rPr>
        <w:t>本公司与其他企业签订的合同或协议包括销售商品和提供劳务时，销售商品部分和提供劳务部分能够</w:t>
      </w:r>
      <w:r>
        <w:rPr>
          <w:w w:val="100"/>
        </w:rPr>
        <w:t> </w:t>
      </w:r>
      <w:r>
        <w:rPr>
          <w:spacing w:val="-2"/>
        </w:rPr>
        <w:t>区分且能够单独计量的，将销售商品的部分作为销售商品处理，将提供劳务的部分作为提供劳务处理。销</w:t>
      </w:r>
      <w:r>
        <w:rPr>
          <w:spacing w:val="-42"/>
        </w:rPr>
        <w:t> </w:t>
      </w:r>
      <w:r>
        <w:rPr>
          <w:spacing w:val="-42"/>
        </w:rPr>
      </w:r>
      <w:r>
        <w:rPr>
          <w:spacing w:val="-2"/>
        </w:rPr>
        <w:t>售商品部分和提供劳务部分不能够区分，或虽能区分但不能够单独计量的，将销售商品部分和提供劳务部</w:t>
      </w:r>
      <w:r>
        <w:rPr>
          <w:spacing w:val="-42"/>
        </w:rPr>
        <w:t> </w:t>
      </w:r>
      <w:r>
        <w:rPr>
          <w:spacing w:val="-42"/>
        </w:rPr>
      </w:r>
      <w:r>
        <w:rPr/>
        <w:t>分全部作为销售商品处理。</w:t>
      </w:r>
    </w:p>
    <w:p>
      <w:pPr>
        <w:spacing w:after="0" w:line="408" w:lineRule="auto"/>
        <w:jc w:val="both"/>
        <w:sectPr>
          <w:pgSz w:w="11910" w:h="16840"/>
          <w:pgMar w:header="990" w:footer="1066" w:top="1220" w:bottom="12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3"/>
        <w:spacing w:line="240" w:lineRule="auto" w:before="36"/>
        <w:ind w:right="0"/>
        <w:jc w:val="left"/>
        <w:rPr>
          <w:b w:val="0"/>
          <w:bCs w:val="0"/>
        </w:rPr>
      </w:pPr>
      <w:r>
        <w:rPr>
          <w:rFonts w:ascii="Times New Roman" w:hAnsi="Times New Roman" w:cs="Times New Roman" w:eastAsia="Times New Roman" w:hint="default"/>
        </w:rPr>
        <w:t>29</w:t>
      </w:r>
      <w:bookmarkStart w:name="29、政府补助" w:id="201"/>
      <w:bookmarkEnd w:id="201"/>
      <w:r>
        <w:rPr>
          <w:rFonts w:ascii="Times New Roman" w:hAnsi="Times New Roman" w:cs="Times New Roman" w:eastAsia="Times New Roman" w:hint="default"/>
        </w:rPr>
      </w:r>
      <w:r>
        <w:rPr/>
        <w:t>、政府补助</w:t>
      </w:r>
      <w:r>
        <w:rPr>
          <w:b w:val="0"/>
          <w:bCs w:val="0"/>
        </w:rPr>
      </w:r>
    </w:p>
    <w:p>
      <w:pPr>
        <w:spacing w:line="240" w:lineRule="auto" w:before="8"/>
        <w:rPr>
          <w:rFonts w:ascii="宋体" w:hAnsi="宋体" w:cs="宋体" w:eastAsia="宋体" w:hint="default"/>
          <w:b/>
          <w:bCs/>
          <w:sz w:val="30"/>
          <w:szCs w:val="30"/>
        </w:rPr>
      </w:pPr>
    </w:p>
    <w:p>
      <w:pPr>
        <w:spacing w:line="506" w:lineRule="auto" w:before="0"/>
        <w:ind w:left="452" w:right="0" w:hanging="30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w:t>
      </w:r>
      <w:bookmarkStart w:name="（1）与资产相关的政府补助判断依据及会计处理方法" w:id="202"/>
      <w:bookmarkEnd w:id="202"/>
      <w:r>
        <w:rPr>
          <w:rFonts w:ascii="宋体" w:hAnsi="宋体" w:cs="宋体" w:eastAsia="宋体" w:hint="default"/>
          <w:b/>
          <w:bCs/>
          <w:sz w:val="21"/>
          <w:szCs w:val="21"/>
        </w:rPr>
        <w:t>政府</w:t>
      </w:r>
      <w:r>
        <w:rPr>
          <w:rFonts w:ascii="宋体" w:hAnsi="宋体" w:cs="宋体" w:eastAsia="宋体" w:hint="default"/>
          <w:b/>
          <w:bCs/>
          <w:sz w:val="21"/>
          <w:szCs w:val="21"/>
        </w:rPr>
        <w:t>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与资产相关的政府补助，确认为递延收益，按照所建造或购买的资产使用年限分期计入营业外收入；</w:t>
      </w:r>
    </w:p>
    <w:p>
      <w:pPr>
        <w:spacing w:line="670" w:lineRule="atLeast" w:before="36"/>
        <w:ind w:left="452" w:right="0" w:hanging="30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w:t>
      </w:r>
      <w:bookmarkStart w:name="（2）与收益相关的政府补助判断依据及会计处理方法" w:id="203"/>
      <w:bookmarkEnd w:id="203"/>
      <w:r>
        <w:rPr>
          <w:rFonts w:ascii="宋体" w:hAnsi="宋体" w:cs="宋体" w:eastAsia="宋体" w:hint="default"/>
          <w:b/>
          <w:bCs/>
          <w:sz w:val="21"/>
          <w:szCs w:val="21"/>
        </w:rPr>
        <w:t>助判断依据及会计</w:t>
      </w:r>
      <w:r>
        <w:rPr>
          <w:rFonts w:ascii="宋体" w:hAnsi="宋体" w:cs="宋体" w:eastAsia="宋体" w:hint="default"/>
          <w:b/>
          <w:bCs/>
          <w:sz w:val="21"/>
          <w:szCs w:val="21"/>
        </w:rPr>
        <w:t>处理方法</w:t>
      </w:r>
      <w:r>
        <w:rPr>
          <w:rFonts w:ascii="宋体" w:hAnsi="宋体" w:cs="宋体" w:eastAsia="宋体" w:hint="default"/>
          <w:b/>
          <w:bCs/>
          <w:w w:val="100"/>
          <w:sz w:val="21"/>
          <w:szCs w:val="21"/>
        </w:rPr>
        <w:t> </w:t>
      </w:r>
      <w:r>
        <w:rPr>
          <w:rFonts w:ascii="宋体" w:hAnsi="宋体" w:cs="宋体" w:eastAsia="宋体" w:hint="default"/>
          <w:sz w:val="21"/>
          <w:szCs w:val="21"/>
        </w:rPr>
        <w:t>与收益相关的政府补助，用于补偿企业以后期间的相关费用或损失的，确认为递延收益，在确认相关</w:t>
      </w:r>
    </w:p>
    <w:p>
      <w:pPr>
        <w:spacing w:line="240" w:lineRule="auto" w:before="10"/>
        <w:rPr>
          <w:rFonts w:ascii="宋体" w:hAnsi="宋体" w:cs="宋体" w:eastAsia="宋体" w:hint="default"/>
          <w:sz w:val="14"/>
          <w:szCs w:val="14"/>
        </w:rPr>
      </w:pPr>
    </w:p>
    <w:p>
      <w:pPr>
        <w:pStyle w:val="BodyText"/>
        <w:spacing w:line="408" w:lineRule="auto" w:before="0"/>
        <w:ind w:right="146"/>
        <w:jc w:val="both"/>
      </w:pPr>
      <w:r>
        <w:rPr>
          <w:spacing w:val="-2"/>
        </w:rPr>
        <w:t>费用的期间计入当期营业外收入；用于补偿企业已发生的相关费用或损失的，取得时直接计入当期营业外</w:t>
      </w:r>
      <w:r>
        <w:rPr>
          <w:spacing w:val="-44"/>
        </w:rPr>
        <w:t> </w:t>
      </w:r>
      <w:r>
        <w:rPr>
          <w:spacing w:val="-44"/>
        </w:rPr>
      </w:r>
      <w:r>
        <w:rPr/>
        <w:t>收入。</w:t>
      </w:r>
    </w:p>
    <w:p>
      <w:pPr>
        <w:pStyle w:val="BodyText"/>
        <w:spacing w:line="408" w:lineRule="auto"/>
        <w:ind w:left="153" w:right="0" w:firstLine="299"/>
        <w:jc w:val="left"/>
      </w:pPr>
      <w:r>
        <w:rPr/>
        <w:t>已确认的政府补助需要返还时，存在相关递延收益余额的，冲减相关递延收益账面余额，超出部分计</w:t>
      </w:r>
      <w:r>
        <w:rPr>
          <w:w w:val="100"/>
        </w:rPr>
        <w:t> </w:t>
      </w:r>
      <w:r>
        <w:rPr/>
        <w:t>入当期损益；不存在相关递延收益的，直接计入当期损益。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760" w:lineRule="atLeast" w:before="0"/>
        <w:ind w:left="572" w:right="0" w:hanging="420"/>
        <w:jc w:val="left"/>
        <w:rPr>
          <w:rFonts w:ascii="宋体" w:hAnsi="宋体" w:cs="宋体" w:eastAsia="宋体" w:hint="default"/>
          <w:sz w:val="21"/>
          <w:szCs w:val="21"/>
        </w:rPr>
      </w:pPr>
      <w:r>
        <w:rPr>
          <w:rFonts w:ascii="宋体" w:hAnsi="宋体" w:cs="宋体" w:eastAsia="宋体" w:hint="default"/>
          <w:b/>
          <w:bCs/>
          <w:sz w:val="21"/>
          <w:szCs w:val="21"/>
        </w:rPr>
        <w:t>30</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递延所得税资产和递延所得税负债根据资产和负债的计税基础与其</w:t>
      </w:r>
      <w:bookmarkStart w:name="30、递延所得税资产/递延所得税负债" w:id="204"/>
      <w:bookmarkEnd w:id="204"/>
      <w:r>
        <w:rPr>
          <w:rFonts w:ascii="宋体" w:hAnsi="宋体" w:cs="宋体" w:eastAsia="宋体" w:hint="default"/>
          <w:spacing w:val="2"/>
          <w:sz w:val="21"/>
          <w:szCs w:val="21"/>
        </w:rPr>
        <w:t>账面</w:t>
      </w:r>
      <w:r>
        <w:rPr>
          <w:rFonts w:ascii="宋体" w:hAnsi="宋体" w:cs="宋体" w:eastAsia="宋体" w:hint="default"/>
          <w:spacing w:val="2"/>
          <w:sz w:val="21"/>
          <w:szCs w:val="21"/>
        </w:rPr>
        <w:t>价值的差额</w:t>
      </w:r>
      <w:r>
        <w:rPr>
          <w:rFonts w:ascii="宋体" w:hAnsi="宋体" w:cs="宋体" w:eastAsia="宋体" w:hint="default"/>
          <w:spacing w:val="2"/>
          <w:sz w:val="21"/>
          <w:szCs w:val="21"/>
        </w:rPr>
        <w:t>(</w:t>
      </w:r>
      <w:r>
        <w:rPr>
          <w:rFonts w:ascii="宋体" w:hAnsi="宋体" w:cs="宋体" w:eastAsia="宋体" w:hint="default"/>
          <w:spacing w:val="2"/>
          <w:sz w:val="21"/>
          <w:szCs w:val="21"/>
        </w:rPr>
        <w:t>暂时性差异</w:t>
      </w:r>
      <w:r>
        <w:rPr>
          <w:rFonts w:ascii="宋体" w:hAnsi="宋体" w:cs="宋体" w:eastAsia="宋体" w:hint="default"/>
          <w:spacing w:val="2"/>
          <w:sz w:val="21"/>
          <w:szCs w:val="21"/>
        </w:rPr>
        <w:t>)</w:t>
      </w:r>
      <w:r>
        <w:rPr>
          <w:rFonts w:ascii="宋体" w:hAnsi="宋体" w:cs="宋体" w:eastAsia="宋体" w:hint="default"/>
          <w:spacing w:val="2"/>
          <w:sz w:val="21"/>
          <w:szCs w:val="21"/>
        </w:rPr>
        <w:t>计</w:t>
      </w:r>
    </w:p>
    <w:p>
      <w:pPr>
        <w:spacing w:line="240" w:lineRule="auto" w:before="10"/>
        <w:rPr>
          <w:rFonts w:ascii="宋体" w:hAnsi="宋体" w:cs="宋体" w:eastAsia="宋体" w:hint="default"/>
          <w:sz w:val="14"/>
          <w:szCs w:val="14"/>
        </w:rPr>
      </w:pPr>
    </w:p>
    <w:p>
      <w:pPr>
        <w:pStyle w:val="BodyText"/>
        <w:spacing w:line="408" w:lineRule="auto" w:before="0"/>
        <w:ind w:right="147"/>
        <w:jc w:val="both"/>
      </w:pPr>
      <w:r>
        <w:rPr>
          <w:spacing w:val="-2"/>
        </w:rPr>
        <w:t>算确认。于资产负债表日，递延所得税资产和递延所得税负债，按照预期收回该资产或清偿该负债期间的</w:t>
      </w:r>
      <w:r>
        <w:rPr>
          <w:spacing w:val="-43"/>
        </w:rPr>
        <w:t> </w:t>
      </w:r>
      <w:r>
        <w:rPr>
          <w:spacing w:val="-43"/>
        </w:rPr>
      </w:r>
      <w:r>
        <w:rPr/>
        <w:t>适用税率计量。</w:t>
      </w:r>
    </w:p>
    <w:p>
      <w:pPr>
        <w:spacing w:line="408" w:lineRule="auto" w:before="4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本公司以很可能取得用来抵扣可抵扣暂时性差异、能够结转以后年度的可抵扣亏损和税款抵减的应纳</w:t>
      </w:r>
    </w:p>
    <w:p>
      <w:pPr>
        <w:pStyle w:val="BodyText"/>
        <w:spacing w:line="408" w:lineRule="auto"/>
        <w:ind w:right="146"/>
        <w:jc w:val="both"/>
      </w:pPr>
      <w:r>
        <w:rPr>
          <w:spacing w:val="-2"/>
        </w:rPr>
        <w:t>税所得额为限，确认由可抵扣暂时性差异产生的递延所得税资产。但是，同时具有下列特征的交易中因资</w:t>
      </w:r>
      <w:r>
        <w:rPr>
          <w:spacing w:val="-44"/>
        </w:rPr>
        <w:t> </w:t>
      </w:r>
      <w:r>
        <w:rPr>
          <w:spacing w:val="-44"/>
        </w:rPr>
      </w:r>
      <w:r>
        <w:rPr>
          <w:spacing w:val="-2"/>
        </w:rPr>
        <w:t>产或负债的初始确认所产生的递延所得税资产不予确认：（</w:t>
      </w:r>
      <w:r>
        <w:rPr>
          <w:rFonts w:ascii="宋体" w:hAnsi="宋体" w:cs="宋体" w:eastAsia="宋体" w:hint="default"/>
          <w:spacing w:val="-2"/>
        </w:rPr>
        <w:t>1</w:t>
      </w:r>
      <w:r>
        <w:rPr>
          <w:spacing w:val="-2"/>
        </w:rPr>
        <w:t>）该交易不是企业合并；（</w:t>
      </w:r>
      <w:r>
        <w:rPr>
          <w:rFonts w:ascii="宋体" w:hAnsi="宋体" w:cs="宋体" w:eastAsia="宋体" w:hint="default"/>
          <w:spacing w:val="-2"/>
        </w:rPr>
        <w:t>2</w:t>
      </w:r>
      <w:r>
        <w:rPr>
          <w:spacing w:val="-2"/>
        </w:rPr>
        <w:t>）交易发生时既</w:t>
      </w:r>
      <w:r>
        <w:rPr>
          <w:spacing w:val="-46"/>
        </w:rPr>
        <w:t> </w:t>
      </w:r>
      <w:r>
        <w:rPr>
          <w:spacing w:val="-46"/>
        </w:rPr>
      </w:r>
      <w:r>
        <w:rPr/>
        <w:t>不影响会计利润也不影响应纳税所得额或可抵扣亏损。</w:t>
      </w:r>
    </w:p>
    <w:p>
      <w:pPr>
        <w:pStyle w:val="BodyText"/>
        <w:spacing w:line="408" w:lineRule="auto"/>
        <w:ind w:right="0" w:firstLine="420"/>
        <w:jc w:val="left"/>
      </w:pPr>
      <w:r>
        <w:rPr>
          <w:spacing w:val="-2"/>
        </w:rPr>
        <w:t>对于与联营企业投资相关的可抵扣暂时性差异，同时满足下列条件的，确认相应的递延所得税资产：</w:t>
      </w:r>
      <w:r>
        <w:rPr>
          <w:w w:val="100"/>
        </w:rPr>
        <w:t> </w:t>
      </w:r>
      <w:r>
        <w:rPr>
          <w:spacing w:val="-2"/>
        </w:rPr>
        <w:t>暂时性差异在可预见的未来很可能转回，且未来很可能获得用来抵扣可抵扣暂时性差异的应纳税所得额。</w:t>
      </w:r>
    </w:p>
    <w:p>
      <w:pPr>
        <w:spacing w:line="408" w:lineRule="auto" w:before="4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spacing w:after="0" w:line="408" w:lineRule="auto"/>
        <w:jc w:val="left"/>
        <w:rPr>
          <w:rFonts w:ascii="宋体" w:hAnsi="宋体" w:cs="宋体" w:eastAsia="宋体" w:hint="default"/>
          <w:sz w:val="21"/>
          <w:szCs w:val="21"/>
        </w:rPr>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240" w:lineRule="auto" w:before="36"/>
        <w:ind w:left="452" w:right="0"/>
        <w:jc w:val="left"/>
      </w:pPr>
      <w:bookmarkStart w:name="（1）重要会计政策变更" w:id="205"/>
      <w:bookmarkEnd w:id="205"/>
      <w:r>
        <w:rPr/>
      </w:r>
      <w:bookmarkStart w:name="（2）重要会计估计变更" w:id="206"/>
      <w:bookmarkEnd w:id="206"/>
      <w:r>
        <w:rPr/>
      </w:r>
      <w:bookmarkStart w:name="六、税项" w:id="207"/>
      <w:bookmarkEnd w:id="207"/>
      <w:r>
        <w:rPr/>
      </w:r>
      <w:bookmarkStart w:name="1、主要税种及税率" w:id="208"/>
      <w:bookmarkEnd w:id="208"/>
      <w:r>
        <w:rPr/>
      </w:r>
      <w:r>
        <w:rPr/>
        <w:t>（</w:t>
      </w:r>
      <w:r>
        <w:rPr>
          <w:rFonts w:ascii="宋体" w:hAnsi="宋体" w:cs="宋体" w:eastAsia="宋体" w:hint="default"/>
        </w:rPr>
        <w:t>1</w:t>
      </w:r>
      <w:r>
        <w:rPr/>
        <w:t>）商誉的初始确认所形成的暂时性差异；</w:t>
      </w:r>
    </w:p>
    <w:p>
      <w:pPr>
        <w:spacing w:line="240" w:lineRule="auto" w:before="10"/>
        <w:rPr>
          <w:rFonts w:ascii="宋体" w:hAnsi="宋体" w:cs="宋体" w:eastAsia="宋体" w:hint="default"/>
          <w:sz w:val="14"/>
          <w:szCs w:val="14"/>
        </w:rPr>
      </w:pPr>
    </w:p>
    <w:p>
      <w:pPr>
        <w:pStyle w:val="BodyText"/>
        <w:spacing w:line="408" w:lineRule="auto" w:before="0"/>
        <w:ind w:right="147" w:firstLine="299"/>
        <w:jc w:val="both"/>
      </w:pPr>
      <w:r>
        <w:rPr>
          <w:spacing w:val="-2"/>
        </w:rPr>
        <w:t>（</w:t>
      </w:r>
      <w:r>
        <w:rPr>
          <w:rFonts w:ascii="宋体" w:hAnsi="宋体" w:cs="宋体" w:eastAsia="宋体" w:hint="default"/>
          <w:spacing w:val="-2"/>
        </w:rPr>
        <w:t>2</w:t>
      </w:r>
      <w:r>
        <w:rPr>
          <w:spacing w:val="-2"/>
        </w:rPr>
        <w:t>）非企业合并形成的交易或事项，且该交易或事项发生时既不影响会计利润，也不影响应纳税所得</w:t>
      </w:r>
      <w:r>
        <w:rPr>
          <w:w w:val="100"/>
        </w:rPr>
        <w:t> </w:t>
      </w:r>
      <w:r>
        <w:rPr/>
        <w:t>额（或可抵扣亏损）所形成的暂时性差异；</w:t>
      </w:r>
    </w:p>
    <w:p>
      <w:pPr>
        <w:pStyle w:val="BodyText"/>
        <w:spacing w:line="408" w:lineRule="auto"/>
        <w:ind w:left="153" w:right="147" w:firstLine="299"/>
        <w:jc w:val="both"/>
      </w:pPr>
      <w:r>
        <w:rPr>
          <w:spacing w:val="-2"/>
        </w:rPr>
        <w:t>（</w:t>
      </w:r>
      <w:r>
        <w:rPr>
          <w:rFonts w:ascii="宋体" w:hAnsi="宋体" w:cs="宋体" w:eastAsia="宋体" w:hint="default"/>
          <w:spacing w:val="-2"/>
        </w:rPr>
        <w:t>3</w:t>
      </w:r>
      <w:r>
        <w:rPr>
          <w:spacing w:val="-2"/>
        </w:rPr>
        <w:t>）对于与子公司、联营企业投资相关的应纳税暂时性差异，该暂时性差异转回的时间能够控制并且</w:t>
      </w:r>
      <w:r>
        <w:rPr>
          <w:w w:val="100"/>
        </w:rPr>
        <w:t> </w:t>
      </w:r>
      <w:r>
        <w:rPr/>
        <w:t>该暂时性差异在可预见的未来很可能不会转回。</w:t>
      </w:r>
    </w:p>
    <w:p>
      <w:pPr>
        <w:pStyle w:val="Heading3"/>
        <w:spacing w:line="240" w:lineRule="auto" w:before="46"/>
        <w:ind w:left="575" w:right="0"/>
        <w:jc w:val="left"/>
        <w:rPr>
          <w:b w:val="0"/>
          <w:bCs w:val="0"/>
        </w:rPr>
      </w:pPr>
      <w:r>
        <w:rPr>
          <w:rFonts w:ascii="宋体" w:hAnsi="宋体" w:cs="宋体" w:eastAsia="宋体" w:hint="default"/>
        </w:rPr>
        <w:t>3</w:t>
      </w:r>
      <w:r>
        <w:rPr/>
        <w:t>、同时满足下列条件时，将递延所得税资产及递延所得税负债以抵销后的净额列示</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452" w:right="0"/>
        <w:jc w:val="left"/>
      </w:pPr>
      <w:r>
        <w:rPr/>
        <w:t>（</w:t>
      </w:r>
      <w:r>
        <w:rPr>
          <w:rFonts w:ascii="宋体" w:hAnsi="宋体" w:cs="宋体" w:eastAsia="宋体" w:hint="default"/>
        </w:rPr>
        <w:t>1</w:t>
      </w:r>
      <w:r>
        <w:rPr/>
        <w:t>）企业拥有以净额结算当期所得税资产及当期所得税负债的法定权利；</w:t>
      </w:r>
    </w:p>
    <w:p>
      <w:pPr>
        <w:spacing w:line="240" w:lineRule="auto" w:before="10"/>
        <w:rPr>
          <w:rFonts w:ascii="宋体" w:hAnsi="宋体" w:cs="宋体" w:eastAsia="宋体" w:hint="default"/>
          <w:sz w:val="14"/>
          <w:szCs w:val="14"/>
        </w:rPr>
      </w:pPr>
    </w:p>
    <w:p>
      <w:pPr>
        <w:pStyle w:val="BodyText"/>
        <w:spacing w:line="408" w:lineRule="auto" w:before="0"/>
        <w:ind w:right="146" w:firstLine="300"/>
        <w:jc w:val="both"/>
      </w:pPr>
      <w:r>
        <w:rPr>
          <w:spacing w:val="-2"/>
        </w:rPr>
        <w:t>（</w:t>
      </w:r>
      <w:r>
        <w:rPr>
          <w:rFonts w:ascii="宋体" w:hAnsi="宋体" w:cs="宋体" w:eastAsia="宋体" w:hint="default"/>
          <w:spacing w:val="-2"/>
        </w:rPr>
        <w:t>2</w:t>
      </w:r>
      <w:r>
        <w:rPr>
          <w:spacing w:val="-2"/>
        </w:rPr>
        <w:t>）递延所得税资产和递延所得税负债是与同一税收征管部门对同一纳税主体征收的所得税相关或者</w:t>
      </w:r>
      <w:r>
        <w:rPr>
          <w:w w:val="100"/>
        </w:rPr>
        <w:t> </w:t>
      </w:r>
      <w:r>
        <w:rPr>
          <w:spacing w:val="-2"/>
        </w:rPr>
        <w:t>对不同的纳税主体相关，但在未来每一具有重要性的递延所得税资产和递延所得税负债转回的期间内，涉</w:t>
      </w:r>
      <w:r>
        <w:rPr>
          <w:spacing w:val="-43"/>
        </w:rPr>
        <w:t> </w:t>
      </w:r>
      <w:r>
        <w:rPr>
          <w:spacing w:val="-43"/>
        </w:rPr>
      </w:r>
      <w:r>
        <w:rPr/>
        <w:t>及的纳税主体体意图以净额结算当期所得税资产及当期所得税负债或是同时取得资产、清偿债务。</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31、租赁" w:id="209"/>
            <w:bookmarkEnd w:id="209"/>
            <w:r>
              <w:rPr/>
            </w: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1）经营租赁的会计处理方法" w:id="210"/>
            <w:bookmarkEnd w:id="210"/>
            <w:r>
              <w:rPr/>
            </w:r>
            <w:bookmarkStart w:name="（2）融资租赁的会计处理方法" w:id="211"/>
            <w:bookmarkEnd w:id="211"/>
            <w:r>
              <w:rPr/>
            </w:r>
            <w:bookmarkStart w:name="32、其他重要的会计政策和会计估计" w:id="212"/>
            <w:bookmarkEnd w:id="212"/>
            <w:r>
              <w:rPr/>
            </w:r>
            <w:bookmarkStart w:name="33、重要会计政策和会计估计变更" w:id="213"/>
            <w:bookmarkEnd w:id="213"/>
            <w:r>
              <w:rPr/>
            </w:r>
            <w:r>
              <w:rPr>
                <w:rFonts w:ascii="宋体" w:hAnsi="宋体" w:cs="宋体" w:eastAsia="宋体" w:hint="default"/>
                <w:sz w:val="18"/>
                <w:szCs w:val="18"/>
              </w:rPr>
              <w:t>税率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316" w:lineRule="auto" w:before="49"/>
              <w:ind w:left="17" w:right="95"/>
              <w:jc w:val="left"/>
              <w:rPr>
                <w:rFonts w:ascii="宋体" w:hAnsi="宋体" w:cs="宋体" w:eastAsia="宋体" w:hint="default"/>
                <w:sz w:val="18"/>
                <w:szCs w:val="18"/>
              </w:rPr>
            </w:pPr>
            <w:r>
              <w:rPr>
                <w:rFonts w:ascii="宋体" w:hAnsi="宋体" w:cs="宋体" w:eastAsia="宋体" w:hint="default"/>
                <w:sz w:val="18"/>
                <w:szCs w:val="18"/>
              </w:rPr>
              <w:t>销售货物、应税劳务收入、应税服务收 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 ,13% ,6%</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b/>
          <w:bCs/>
          <w:sz w:val="14"/>
          <w:szCs w:val="14"/>
        </w:rPr>
      </w:pPr>
    </w:p>
    <w:tbl>
      <w:tblPr>
        <w:tblW w:w="0" w:type="auto"/>
        <w:jc w:val="left"/>
        <w:tblInd w:w="146"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15%,25%</w:t>
            </w:r>
          </w:p>
        </w:tc>
      </w:tr>
    </w:tbl>
    <w:p>
      <w:pPr>
        <w:spacing w:before="49"/>
        <w:ind w:left="152" w:right="0" w:firstLine="0"/>
        <w:jc w:val="left"/>
        <w:rPr>
          <w:rFonts w:ascii="宋体" w:hAnsi="宋体" w:cs="宋体" w:eastAsia="宋体" w:hint="default"/>
          <w:sz w:val="18"/>
          <w:szCs w:val="18"/>
        </w:rPr>
      </w:pPr>
      <w:bookmarkStart w:name="3、其他" w:id="214"/>
      <w:bookmarkEnd w:id="214"/>
      <w:r>
        <w:rPr/>
      </w:r>
      <w:bookmarkStart w:name="七、合并财务报表项目注释" w:id="215"/>
      <w:bookmarkEnd w:id="215"/>
      <w:r>
        <w:rPr/>
      </w:r>
      <w:bookmarkStart w:name="1、货币资金" w:id="216"/>
      <w:bookmarkEnd w:id="216"/>
      <w:r>
        <w:rPr/>
      </w: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BodyText"/>
        <w:spacing w:line="321" w:lineRule="auto" w:before="0"/>
        <w:ind w:left="572" w:right="0" w:firstLine="2"/>
        <w:jc w:val="left"/>
      </w:pP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w w:val="100"/>
        </w:rPr>
        <w:t> </w:t>
      </w:r>
      <w:r>
        <w:rPr>
          <w:spacing w:val="-2"/>
        </w:rPr>
        <w:t>根据财政部、国</w:t>
      </w:r>
      <w:bookmarkStart w:name="2、税收优惠" w:id="217"/>
      <w:bookmarkEnd w:id="217"/>
      <w:r>
        <w:rPr>
          <w:spacing w:val="-2"/>
        </w:rPr>
        <w:t>家</w:t>
      </w:r>
      <w:r>
        <w:rPr>
          <w:spacing w:val="-2"/>
        </w:rPr>
        <w:t>税务总局《关于宣传文化增值税和营业税优惠政策的通知》（财税</w:t>
      </w:r>
      <w:r>
        <w:rPr>
          <w:rFonts w:ascii="Times New Roman" w:hAnsi="Times New Roman" w:cs="Times New Roman" w:eastAsia="Times New Roman" w:hint="default"/>
          <w:spacing w:val="-2"/>
        </w:rPr>
        <w:t>[2006]153</w:t>
      </w:r>
      <w:r>
        <w:rPr>
          <w:spacing w:val="-2"/>
        </w:rPr>
        <w:t>号）、</w:t>
      </w:r>
    </w:p>
    <w:p>
      <w:pPr>
        <w:pStyle w:val="BodyText"/>
        <w:spacing w:line="386" w:lineRule="auto" w:before="98"/>
        <w:ind w:right="168"/>
        <w:jc w:val="both"/>
      </w:pPr>
      <w:r>
        <w:rPr>
          <w:spacing w:val="-7"/>
          <w:w w:val="100"/>
        </w:rPr>
        <w:t>《财政部、国家税务总局关于部分货物适用增值税低税率和简易办法征收增值税政策的通知》（财税</w:t>
      </w:r>
      <w:r>
        <w:rPr>
          <w:rFonts w:ascii="Times New Roman" w:hAnsi="Times New Roman" w:cs="Times New Roman" w:eastAsia="Times New Roman" w:hint="default"/>
          <w:spacing w:val="-7"/>
          <w:w w:val="100"/>
        </w:rPr>
        <w:t>[2009]9</w:t>
      </w:r>
      <w:r>
        <w:rPr>
          <w:rFonts w:ascii="Times New Roman" w:hAnsi="Times New Roman" w:cs="Times New Roman" w:eastAsia="Times New Roman" w:hint="default"/>
          <w:spacing w:val="-31"/>
          <w:w w:val="100"/>
        </w:rPr>
        <w:t> </w:t>
      </w:r>
      <w:r>
        <w:rPr>
          <w:rFonts w:ascii="Times New Roman" w:hAnsi="Times New Roman" w:cs="Times New Roman" w:eastAsia="Times New Roman" w:hint="default"/>
          <w:spacing w:val="-31"/>
          <w:w w:val="100"/>
        </w:rPr>
      </w:r>
      <w:r>
        <w:rPr>
          <w:spacing w:val="-6"/>
        </w:rPr>
        <w:t>号）的相关规定，自</w:t>
      </w:r>
      <w:r>
        <w:rPr>
          <w:spacing w:val="55"/>
        </w:rPr>
        <w:t> </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日起本公司销售自行研发的软件产品（电子出版物）按</w:t>
      </w:r>
      <w:r>
        <w:rPr>
          <w:rFonts w:ascii="Times New Roman" w:hAnsi="Times New Roman" w:cs="Times New Roman" w:eastAsia="Times New Roman" w:hint="default"/>
          <w:spacing w:val="-3"/>
        </w:rPr>
        <w:t>13%</w:t>
      </w:r>
      <w:r>
        <w:rPr>
          <w:spacing w:val="-3"/>
        </w:rPr>
        <w:t>的税率计缴增</w:t>
      </w:r>
      <w:r>
        <w:rPr>
          <w:spacing w:val="-85"/>
        </w:rPr>
        <w:t> </w:t>
      </w:r>
      <w:r>
        <w:rPr>
          <w:spacing w:val="-85"/>
        </w:rPr>
      </w:r>
      <w:r>
        <w:rPr/>
        <w:t>值税，销售其他产品仍按</w:t>
      </w:r>
      <w:r>
        <w:rPr>
          <w:rFonts w:ascii="Times New Roman" w:hAnsi="Times New Roman" w:cs="Times New Roman" w:eastAsia="Times New Roman" w:hint="default"/>
        </w:rPr>
        <w:t>17%</w:t>
      </w:r>
      <w:r>
        <w:rPr/>
        <w:t>的税率计缴增值税。</w:t>
      </w:r>
    </w:p>
    <w:p>
      <w:pPr>
        <w:pStyle w:val="BodyText"/>
        <w:spacing w:line="386" w:lineRule="auto" w:before="35"/>
        <w:ind w:right="168" w:firstLine="419"/>
        <w:jc w:val="both"/>
      </w:pPr>
      <w:r>
        <w:rPr>
          <w:spacing w:val="-7"/>
          <w:w w:val="100"/>
        </w:rPr>
        <w:t>根据国务院《国务院关于印发进一步鼓励软件企业和集成电路产业发展若干政策的通知》（国发</w:t>
      </w:r>
      <w:r>
        <w:rPr>
          <w:rFonts w:ascii="Times New Roman" w:hAnsi="Times New Roman" w:cs="Times New Roman" w:eastAsia="Times New Roman" w:hint="default"/>
          <w:spacing w:val="-7"/>
          <w:w w:val="100"/>
        </w:rPr>
        <w:t>[2011]4</w:t>
      </w:r>
      <w:r>
        <w:rPr>
          <w:rFonts w:ascii="Times New Roman" w:hAnsi="Times New Roman" w:cs="Times New Roman" w:eastAsia="Times New Roman" w:hint="default"/>
          <w:w w:val="100"/>
        </w:rPr>
        <w:t> </w:t>
      </w:r>
      <w:r>
        <w:rPr>
          <w:spacing w:val="-3"/>
        </w:rPr>
        <w:t>号）和财政部、国家税务总局《关于软件产品增值税政策的通知》（财税</w:t>
      </w:r>
      <w:r>
        <w:rPr>
          <w:rFonts w:ascii="Times New Roman" w:hAnsi="Times New Roman" w:cs="Times New Roman" w:eastAsia="Times New Roman" w:hint="default"/>
          <w:spacing w:val="-3"/>
        </w:rPr>
        <w:t>[2011]100</w:t>
      </w:r>
      <w:r>
        <w:rPr>
          <w:spacing w:val="-3"/>
        </w:rPr>
        <w:t>号）文有关规定，</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spacing w:val="-4"/>
        </w:rPr>
        <w:t>年度，本公司自行开发研制软件产品销售收入按法定税率计缴增值税后，对实际税负超过</w:t>
      </w:r>
      <w:r>
        <w:rPr>
          <w:rFonts w:ascii="Times New Roman" w:hAnsi="Times New Roman" w:cs="Times New Roman" w:eastAsia="Times New Roman" w:hint="default"/>
          <w:spacing w:val="-4"/>
        </w:rPr>
        <w:t>3%</w:t>
      </w:r>
      <w:r>
        <w:rPr>
          <w:spacing w:val="-4"/>
        </w:rPr>
        <w:t>的部分实行即</w:t>
      </w:r>
      <w:r>
        <w:rPr>
          <w:spacing w:val="-25"/>
        </w:rPr>
        <w:t> </w:t>
      </w:r>
      <w:r>
        <w:rPr>
          <w:spacing w:val="-25"/>
        </w:rPr>
      </w:r>
      <w:r>
        <w:rPr/>
        <w:t>征即退政策。</w:t>
      </w:r>
    </w:p>
    <w:p>
      <w:pPr>
        <w:pStyle w:val="BodyText"/>
        <w:spacing w:line="386" w:lineRule="auto" w:before="65"/>
        <w:ind w:left="572" w:right="0" w:firstLine="2"/>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宋体" w:hAnsi="宋体" w:cs="宋体" w:eastAsia="宋体" w:hint="default"/>
          <w:b/>
          <w:bCs/>
        </w:rPr>
        <w:t>．企业所得税</w:t>
      </w:r>
      <w:r>
        <w:rPr>
          <w:rFonts w:ascii="宋体" w:hAnsi="宋体" w:cs="宋体" w:eastAsia="宋体" w:hint="default"/>
          <w:b/>
          <w:bCs/>
          <w:w w:val="100"/>
        </w:rPr>
        <w:t> </w:t>
      </w:r>
      <w:r>
        <w:rPr>
          <w:spacing w:val="-2"/>
        </w:rPr>
        <w:t>根据国家税务总局国税函</w:t>
      </w:r>
      <w:r>
        <w:rPr>
          <w:rFonts w:ascii="Times New Roman" w:hAnsi="Times New Roman" w:cs="Times New Roman" w:eastAsia="Times New Roman" w:hint="default"/>
          <w:spacing w:val="-2"/>
        </w:rPr>
        <w:t>[2009]203</w:t>
      </w:r>
      <w:r>
        <w:rPr>
          <w:spacing w:val="-2"/>
        </w:rPr>
        <w:t>号《关于实施高新技术企业所得税优惠有关问题的通知》。</w:t>
      </w:r>
      <w:r>
        <w:rPr>
          <w:rFonts w:ascii="Times New Roman" w:hAnsi="Times New Roman" w:cs="Times New Roman" w:eastAsia="Times New Roman" w:hint="default"/>
          <w:spacing w:val="-2"/>
        </w:rPr>
        <w:t>2015</w:t>
      </w:r>
    </w:p>
    <w:p>
      <w:pPr>
        <w:pStyle w:val="BodyText"/>
        <w:spacing w:line="386" w:lineRule="auto" w:before="35"/>
        <w:ind w:right="0"/>
        <w:jc w:val="left"/>
      </w:pP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日本公司取得深圳市科技创新委员会、深圳市财政委员会、深圳市国家税务局、深圳市地方税务</w:t>
      </w:r>
      <w:r>
        <w:rPr>
          <w:spacing w:val="-20"/>
        </w:rPr>
        <w:t> </w:t>
      </w:r>
      <w:r>
        <w:rPr>
          <w:spacing w:val="-20"/>
        </w:rPr>
      </w:r>
      <w:r>
        <w:rPr/>
        <w:t>局联合颁发的高新技术企业证书</w:t>
      </w:r>
      <w:r>
        <w:rPr>
          <w:rFonts w:ascii="Times New Roman" w:hAnsi="Times New Roman" w:cs="Times New Roman" w:eastAsia="Times New Roman" w:hint="default"/>
        </w:rPr>
        <w:t>,</w:t>
      </w:r>
      <w:r>
        <w:rPr/>
        <w:t>有效期为三年，</w:t>
      </w:r>
      <w:r>
        <w:rPr>
          <w:rFonts w:ascii="Times New Roman" w:hAnsi="Times New Roman" w:cs="Times New Roman" w:eastAsia="Times New Roman" w:hint="default"/>
        </w:rPr>
        <w:t>2015</w:t>
      </w:r>
      <w:r>
        <w:rPr/>
        <w:t>年度企业所得税优惠税率为</w:t>
      </w:r>
      <w:r>
        <w:rPr>
          <w:rFonts w:ascii="Times New Roman" w:hAnsi="Times New Roman" w:cs="Times New Roman" w:eastAsia="Times New Roman" w:hint="default"/>
        </w:rPr>
        <w:t>15%</w:t>
      </w:r>
      <w:r>
        <w:rPr/>
        <w:t>。</w:t>
      </w:r>
    </w:p>
    <w:p>
      <w:pPr>
        <w:pStyle w:val="BodyText"/>
        <w:spacing w:line="386" w:lineRule="auto" w:before="35"/>
        <w:ind w:left="572" w:right="0" w:firstLine="2"/>
        <w:jc w:val="left"/>
      </w:pPr>
      <w:r>
        <w:rPr>
          <w:rFonts w:ascii="Times New Roman" w:hAnsi="Times New Roman" w:cs="Times New Roman" w:eastAsia="Times New Roman" w:hint="default"/>
          <w:b/>
          <w:bCs/>
        </w:rPr>
        <w:t>3</w:t>
      </w:r>
      <w:r>
        <w:rPr>
          <w:rFonts w:ascii="宋体" w:hAnsi="宋体" w:cs="宋体" w:eastAsia="宋体" w:hint="default"/>
          <w:b/>
          <w:bCs/>
        </w:rPr>
        <w:t>．营业税</w:t>
      </w:r>
      <w:r>
        <w:rPr>
          <w:rFonts w:ascii="宋体" w:hAnsi="宋体" w:cs="宋体" w:eastAsia="宋体" w:hint="default"/>
          <w:b/>
          <w:bCs/>
          <w:w w:val="100"/>
        </w:rPr>
        <w:t> </w:t>
      </w:r>
      <w:r>
        <w:rPr>
          <w:spacing w:val="-2"/>
        </w:rPr>
        <w:t>根据《财政部、国家税务总局关于贯彻落实《中共中央国务院关于加强技术创新，发展高科技，实现</w:t>
      </w:r>
    </w:p>
    <w:p>
      <w:pPr>
        <w:pStyle w:val="BodyText"/>
        <w:spacing w:line="386" w:lineRule="auto" w:before="65"/>
        <w:ind w:right="0"/>
        <w:jc w:val="left"/>
      </w:pPr>
      <w:r>
        <w:rPr>
          <w:spacing w:val="-3"/>
        </w:rPr>
        <w:t>产业化的决定》有关税收问题的通知》（财税字</w:t>
      </w:r>
      <w:r>
        <w:rPr>
          <w:rFonts w:ascii="Times New Roman" w:hAnsi="Times New Roman" w:cs="Times New Roman" w:eastAsia="Times New Roman" w:hint="default"/>
          <w:spacing w:val="-3"/>
        </w:rPr>
        <w:t>[1999]273</w:t>
      </w:r>
      <w:r>
        <w:rPr>
          <w:spacing w:val="-3"/>
        </w:rPr>
        <w:t>号）文有关规定，本公司提供技术开发服务取得</w:t>
      </w:r>
      <w:r>
        <w:rPr>
          <w:spacing w:val="-21"/>
        </w:rPr>
        <w:t> </w:t>
      </w:r>
      <w:r>
        <w:rPr>
          <w:spacing w:val="-21"/>
        </w:rPr>
      </w:r>
      <w:r>
        <w:rPr/>
        <w:t>的收入，在经当地科技主管部门认定和主管税务机关审核同意后，免征营业税。</w:t>
      </w:r>
    </w:p>
    <w:p>
      <w:pPr>
        <w:spacing w:line="240" w:lineRule="auto" w:before="12"/>
        <w:rPr>
          <w:rFonts w:ascii="宋体" w:hAnsi="宋体" w:cs="宋体" w:eastAsia="宋体" w:hint="default"/>
          <w:sz w:val="27"/>
          <w:szCs w:val="27"/>
        </w:rPr>
      </w:pPr>
    </w:p>
    <w:p>
      <w:pPr>
        <w:pStyle w:val="Heading3"/>
        <w:spacing w:line="652" w:lineRule="auto"/>
        <w:ind w:right="7276"/>
        <w:jc w:val="left"/>
        <w:rPr>
          <w:b w:val="0"/>
          <w:bCs w:val="0"/>
        </w:rPr>
      </w:pPr>
      <w:r>
        <w:rPr>
          <w:rFonts w:ascii="Times New Roman" w:hAnsi="Times New Roman" w:cs="Times New Roman" w:eastAsia="Times New Roman" w:hint="default"/>
        </w:rPr>
        <w:t>3</w:t>
      </w:r>
      <w:r>
        <w:rPr/>
        <w:t>、其他</w:t>
      </w:r>
      <w:r>
        <w:rPr>
          <w:w w:val="100"/>
        </w:rPr>
        <w:t> </w:t>
      </w:r>
      <w:r>
        <w:rPr>
          <w:spacing w:val="-1"/>
        </w:rPr>
        <w:t>七、合并财务报表项目注释</w:t>
      </w:r>
      <w:r>
        <w:rPr>
          <w:spacing w:val="-96"/>
        </w:rPr>
        <w:t> </w:t>
      </w:r>
      <w:r>
        <w:rPr>
          <w:spacing w:val="-96"/>
        </w:rPr>
      </w:r>
      <w:r>
        <w:rPr>
          <w:rFonts w:ascii="Times New Roman" w:hAnsi="Times New Roman" w:cs="Times New Roman" w:eastAsia="Times New Roman" w:hint="default"/>
        </w:rPr>
        <w:t>1</w:t>
      </w:r>
      <w:r>
        <w:rPr/>
        <w:t>、货币资金</w:t>
      </w:r>
      <w:r>
        <w:rPr>
          <w:b w:val="0"/>
          <w:bCs w:val="0"/>
        </w:rPr>
      </w:r>
    </w:p>
    <w:p>
      <w:pPr>
        <w:spacing w:before="21"/>
        <w:ind w:left="0" w:right="17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90" w:footer="1066" w:top="1220" w:bottom="1260" w:left="980" w:right="960"/>
        </w:sectPr>
      </w:pPr>
    </w:p>
    <w:p>
      <w:pPr>
        <w:spacing w:line="240" w:lineRule="auto" w:before="2"/>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96,230.63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131,510.57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72,763,422.92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121,168,271.33</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72,859,653.55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121,299,781.90</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before="49"/>
        <w:ind w:left="152" w:right="0" w:firstLine="0"/>
        <w:jc w:val="left"/>
        <w:rPr>
          <w:rFonts w:ascii="宋体" w:hAnsi="宋体" w:cs="宋体" w:eastAsia="宋体" w:hint="default"/>
          <w:sz w:val="18"/>
          <w:szCs w:val="18"/>
        </w:rPr>
      </w:pPr>
      <w:bookmarkStart w:name="（3）期末公司已背书或贴现且在资产负债表日尚未到期的应收票据" w:id="218"/>
      <w:bookmarkEnd w:id="218"/>
      <w:r>
        <w:rPr/>
      </w:r>
      <w:bookmarkStart w:name="（4）期末公司因出票人未履约而将其转应收账款的票据" w:id="219"/>
      <w:bookmarkEnd w:id="219"/>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、以公允价值计量且其变</w:t>
      </w:r>
      <w:bookmarkStart w:name="2、以公允价值计量且其变动计入当期损益的金融资产" w:id="220"/>
      <w:bookmarkEnd w:id="220"/>
      <w:r>
        <w:rPr/>
        <w:t>动计入当期损益的</w:t>
      </w:r>
      <w:r>
        <w:rPr/>
        <w:t>金融资产</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衍生金融资产" w:id="221"/>
      <w:bookmarkEnd w:id="221"/>
      <w:r>
        <w:rPr/>
      </w:r>
      <w:bookmarkStart w:name="4、应收票据" w:id="222"/>
      <w:bookmarkEnd w:id="222"/>
      <w:r>
        <w:rPr/>
      </w:r>
      <w:bookmarkStart w:name="（1）应收票据分类列示" w:id="223"/>
      <w:bookmarkEnd w:id="22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期末公司已质押的应收票据" w:id="224"/>
      <w:bookmarkEnd w:id="22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3"/>
        <w:rPr>
          <w:rFonts w:ascii="宋体" w:hAnsi="宋体" w:cs="宋体" w:eastAsia="宋体" w:hint="default"/>
          <w:sz w:val="10"/>
          <w:szCs w:val="10"/>
        </w:rPr>
      </w:pPr>
    </w:p>
    <w:p>
      <w:pPr>
        <w:pStyle w:val="Heading3"/>
        <w:spacing w:line="240" w:lineRule="auto" w:before="36"/>
        <w:ind w:right="0"/>
        <w:jc w:val="left"/>
        <w:rPr>
          <w:b w:val="0"/>
          <w:bCs w:val="0"/>
        </w:rPr>
      </w:pPr>
      <w:r>
        <w:rPr>
          <w:rFonts w:ascii="Times New Roman" w:hAnsi="Times New Roman" w:cs="Times New Roman" w:eastAsia="Times New Roman" w:hint="default"/>
        </w:rPr>
        <w:t>5</w:t>
      </w:r>
      <w:bookmarkStart w:name="5、应收账款" w:id="225"/>
      <w:bookmarkEnd w:id="225"/>
      <w:r>
        <w:rPr>
          <w:rFonts w:ascii="Times New Roman" w:hAnsi="Times New Roman" w:cs="Times New Roman" w:eastAsia="Times New Roman" w:hint="default"/>
        </w:rPr>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bookmarkStart w:name="（1）应收账款分类披露" w:id="226"/>
      <w:bookmarkEnd w:id="226"/>
      <w:r>
        <w:rPr>
          <w:rFonts w:ascii="Times New Roman" w:hAnsi="Times New Roman" w:cs="Times New Roman" w:eastAsia="Times New Roman" w:hint="default"/>
        </w:rPr>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24,852,6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17.85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893,174.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23,959,44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2.97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17,245,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488.79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99.93%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496,079.9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16,749,408.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12,756.0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12,756.0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12,756.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12,756.00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24,865,3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73.85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905,930.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3.64%</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23,959,44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2.97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17,258,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244.79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508,835.9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2.95%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16,749,408.</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23,694,099.58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236,941.00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23,694,099.58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236,941.00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558,093.76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55,809.37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600,424.51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600,424.51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24,852,617.85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893,174.88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w:t>
            </w: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9"/>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期末单项金额虽不重大但单独计提坏账准备的应收账款</w:t>
      </w:r>
    </w:p>
    <w:p>
      <w:pPr>
        <w:spacing w:after="0" w:line="348"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宋体" w:hAnsi="宋体" w:cs="宋体" w:eastAsia="宋体" w:hint="default"/>
          <w:sz w:val="22"/>
          <w:szCs w:val="22"/>
        </w:rPr>
      </w:pPr>
    </w:p>
    <w:p>
      <w:pPr>
        <w:spacing w:line="2595" w:lineRule="exact"/>
        <w:ind w:left="152" w:right="0" w:firstLine="0"/>
        <w:rPr>
          <w:rFonts w:ascii="宋体" w:hAnsi="宋体" w:cs="宋体" w:eastAsia="宋体" w:hint="default"/>
          <w:sz w:val="20"/>
          <w:szCs w:val="20"/>
        </w:rPr>
      </w:pPr>
      <w:bookmarkStart w:name="（4）按欠款方归集的期末余额前五名的应收账款情况" w:id="227"/>
      <w:bookmarkEnd w:id="227"/>
      <w:r>
        <w:rPr/>
      </w:r>
      <w:r>
        <w:rPr>
          <w:rFonts w:ascii="宋体" w:hAnsi="宋体" w:cs="宋体" w:eastAsia="宋体" w:hint="default"/>
          <w:position w:val="-51"/>
          <w:sz w:val="20"/>
          <w:szCs w:val="20"/>
        </w:rPr>
        <w:drawing>
          <wp:inline distT="0" distB="0" distL="0" distR="0">
            <wp:extent cx="5787222" cy="1647825"/>
            <wp:effectExtent l="0" t="0" r="0" b="0"/>
            <wp:docPr id="99" name="image15.png" descr="?"/>
            <wp:cNvGraphicFramePr>
              <a:graphicFrameLocks noChangeAspect="1"/>
            </wp:cNvGraphicFramePr>
            <a:graphic>
              <a:graphicData uri="http://schemas.openxmlformats.org/drawingml/2006/picture">
                <pic:pic>
                  <pic:nvPicPr>
                    <pic:cNvPr id="100" name="image15.png"/>
                    <pic:cNvPicPr/>
                  </pic:nvPicPr>
                  <pic:blipFill>
                    <a:blip r:embed="rId58" cstate="print"/>
                    <a:stretch>
                      <a:fillRect/>
                    </a:stretch>
                  </pic:blipFill>
                  <pic:spPr>
                    <a:xfrm>
                      <a:off x="0" y="0"/>
                      <a:ext cx="5787222" cy="1647825"/>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r>
        <w:rPr/>
        <w:t>（</w:t>
      </w:r>
      <w:r>
        <w:rPr>
          <w:rFonts w:ascii="Times New Roman" w:hAnsi="Times New Roman" w:cs="Times New Roman" w:eastAsia="Times New Roman" w:hint="default"/>
        </w:rPr>
        <w:t>2</w:t>
      </w:r>
      <w:r>
        <w:rPr/>
        <w:t>）本期计提、收回或转</w:t>
      </w:r>
      <w:bookmarkStart w:name="（2）本期计提、收回或转回的坏账准备情况" w:id="228"/>
      <w:bookmarkEnd w:id="228"/>
      <w:r>
        <w:rPr/>
        <w:t>回的坏账准备情况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90" w:footer="1066" w:top="1220" w:bottom="1260" w:left="980" w:right="980"/>
        </w:sectPr>
      </w:pPr>
    </w:p>
    <w:p>
      <w:pPr>
        <w:spacing w:line="340" w:lineRule="auto" w:before="44"/>
        <w:ind w:left="152" w:right="-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905,930.88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6324" w:space="2504"/>
            <w:col w:w="1122"/>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本期实际核销的应收账款情况" w:id="229"/>
      <w:bookmarkEnd w:id="22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p>
      <w:pPr>
        <w:spacing w:line="2925" w:lineRule="exact"/>
        <w:ind w:left="152"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798091" cy="1857375"/>
            <wp:effectExtent l="0" t="0" r="0" b="0"/>
            <wp:docPr id="101" name="image16.png" descr="?"/>
            <wp:cNvGraphicFramePr>
              <a:graphicFrameLocks noChangeAspect="1"/>
            </wp:cNvGraphicFramePr>
            <a:graphic>
              <a:graphicData uri="http://schemas.openxmlformats.org/drawingml/2006/picture">
                <pic:pic>
                  <pic:nvPicPr>
                    <pic:cNvPr id="102" name="image16.png"/>
                    <pic:cNvPicPr/>
                  </pic:nvPicPr>
                  <pic:blipFill>
                    <a:blip r:embed="rId59" cstate="print"/>
                    <a:stretch>
                      <a:fillRect/>
                    </a:stretch>
                  </pic:blipFill>
                  <pic:spPr>
                    <a:xfrm>
                      <a:off x="0" y="0"/>
                      <a:ext cx="4798091" cy="1857375"/>
                    </a:xfrm>
                    <a:prstGeom prst="rect">
                      <a:avLst/>
                    </a:prstGeom>
                  </pic:spPr>
                </pic:pic>
              </a:graphicData>
            </a:graphic>
          </wp:inline>
        </w:drawing>
      </w:r>
      <w:r>
        <w:rPr>
          <w:rFonts w:ascii="宋体" w:hAnsi="宋体" w:cs="宋体" w:eastAsia="宋体" w:hint="default"/>
          <w:position w:val="-58"/>
          <w:sz w:val="20"/>
          <w:szCs w:val="20"/>
        </w:rPr>
      </w:r>
    </w:p>
    <w:p>
      <w:pPr>
        <w:spacing w:after="0" w:line="2925" w:lineRule="exact"/>
        <w:rPr>
          <w:rFonts w:ascii="宋体" w:hAnsi="宋体" w:cs="宋体" w:eastAsia="宋体" w:hint="default"/>
          <w:sz w:val="20"/>
          <w:szCs w:val="20"/>
        </w:rPr>
        <w:sectPr>
          <w:type w:val="continuous"/>
          <w:pgSz w:w="11910" w:h="16840"/>
          <w:pgMar w:top="1060" w:bottom="1180" w:left="980" w:right="980"/>
        </w:sectPr>
      </w:pPr>
    </w:p>
    <w:p>
      <w:pPr>
        <w:spacing w:line="240" w:lineRule="auto" w:before="5"/>
        <w:rPr>
          <w:rFonts w:ascii="宋体" w:hAnsi="宋体" w:cs="宋体" w:eastAsia="宋体" w:hint="default"/>
          <w:b/>
          <w:bCs/>
          <w:sz w:val="10"/>
          <w:szCs w:val="10"/>
        </w:rPr>
      </w:pPr>
    </w:p>
    <w:p>
      <w:pPr>
        <w:pStyle w:val="Heading3"/>
        <w:spacing w:line="240" w:lineRule="auto" w:before="36"/>
        <w:ind w:right="0"/>
        <w:jc w:val="left"/>
        <w:rPr>
          <w:b w:val="0"/>
          <w:bCs w:val="0"/>
        </w:rPr>
      </w:pPr>
      <w:bookmarkStart w:name="7、应收利息" w:id="230"/>
      <w:bookmarkEnd w:id="230"/>
      <w:r>
        <w:rPr>
          <w:b w:val="0"/>
          <w:bCs w:val="0"/>
        </w:rPr>
      </w:r>
      <w:bookmarkStart w:name="（1）应收利息分类" w:id="231"/>
      <w:bookmarkEnd w:id="231"/>
      <w:r>
        <w:rPr>
          <w:b w:val="0"/>
          <w:bCs w:val="0"/>
        </w:rPr>
      </w:r>
      <w:r>
        <w:rPr/>
        <w:t>（</w:t>
      </w:r>
      <w:bookmarkStart w:name="（5）因金融资产转移而终止确认的应收账款" w:id="232"/>
      <w:bookmarkEnd w:id="232"/>
      <w:r>
        <w:rPr/>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bookmarkStart w:name="（6）转移应收账款且继续涉入形成的资产、负债金额" w:id="233"/>
      <w:bookmarkEnd w:id="233"/>
      <w:r>
        <w:rPr>
          <w:rFonts w:ascii="Times New Roman" w:hAnsi="Times New Roman" w:cs="Times New Roman" w:eastAsia="Times New Roman" w:hint="default"/>
        </w:rPr>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w:t>
      </w:r>
      <w:bookmarkStart w:name="6、预付款项" w:id="234"/>
      <w:bookmarkEnd w:id="234"/>
      <w:r>
        <w:rPr/>
        <w:t>龄列示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预付款项按账龄列示" w:id="235"/>
      <w:bookmarkEnd w:id="23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3"/>
        <w:gridCol w:w="1915"/>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840,892.74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49.10%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3,231,207.55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95.92%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764,397.05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137,518.18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107,351.48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1,712,641.27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3,368,725.73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0"/>
          <w:szCs w:val="10"/>
        </w:rPr>
      </w:pPr>
    </w:p>
    <w:p>
      <w:pPr>
        <w:spacing w:line="2688" w:lineRule="exact"/>
        <w:ind w:left="152"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5691187" cy="1707356"/>
            <wp:effectExtent l="0" t="0" r="0" b="0"/>
            <wp:docPr id="103" name="image17.png" descr="?"/>
            <wp:cNvGraphicFramePr>
              <a:graphicFrameLocks noChangeAspect="1"/>
            </wp:cNvGraphicFramePr>
            <a:graphic>
              <a:graphicData uri="http://schemas.openxmlformats.org/drawingml/2006/picture">
                <pic:pic>
                  <pic:nvPicPr>
                    <pic:cNvPr id="104" name="image17.png"/>
                    <pic:cNvPicPr/>
                  </pic:nvPicPr>
                  <pic:blipFill>
                    <a:blip r:embed="rId60" cstate="print"/>
                    <a:stretch>
                      <a:fillRect/>
                    </a:stretch>
                  </pic:blipFill>
                  <pic:spPr>
                    <a:xfrm>
                      <a:off x="0" y="0"/>
                      <a:ext cx="5691187" cy="1707356"/>
                    </a:xfrm>
                    <a:prstGeom prst="rect">
                      <a:avLst/>
                    </a:prstGeom>
                  </pic:spPr>
                </pic:pic>
              </a:graphicData>
            </a:graphic>
          </wp:inline>
        </w:drawing>
      </w:r>
      <w:r>
        <w:rPr>
          <w:rFonts w:ascii="宋体" w:hAnsi="宋体" w:cs="宋体" w:eastAsia="宋体" w:hint="default"/>
          <w:position w:val="-53"/>
          <w:sz w:val="20"/>
          <w:szCs w:val="20"/>
        </w:rPr>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pStyle w:val="BodyText"/>
        <w:spacing w:line="386" w:lineRule="auto" w:before="0"/>
        <w:ind w:right="0" w:firstLine="422"/>
        <w:jc w:val="left"/>
      </w:pPr>
      <w:r>
        <w:rPr>
          <w:spacing w:val="-3"/>
        </w:rPr>
        <w:t>预付款项期末余额较期初减少</w:t>
      </w:r>
      <w:r>
        <w:rPr>
          <w:rFonts w:ascii="Times New Roman" w:hAnsi="Times New Roman" w:cs="Times New Roman" w:eastAsia="Times New Roman" w:hint="default"/>
          <w:spacing w:val="-3"/>
        </w:rPr>
        <w:t>1,656,084.46</w:t>
      </w:r>
      <w:r>
        <w:rPr>
          <w:spacing w:val="-3"/>
        </w:rPr>
        <w:t>元，减幅为</w:t>
      </w:r>
      <w:r>
        <w:rPr>
          <w:rFonts w:ascii="Times New Roman" w:hAnsi="Times New Roman" w:cs="Times New Roman" w:eastAsia="Times New Roman" w:hint="default"/>
          <w:spacing w:val="-3"/>
        </w:rPr>
        <w:t>49.16%</w:t>
      </w:r>
      <w:r>
        <w:rPr>
          <w:spacing w:val="-3"/>
        </w:rPr>
        <w:t>，</w:t>
      </w:r>
      <w:bookmarkStart w:name="（2）按预付对象归集的期末余额前五名的预付款情况" w:id="236"/>
      <w:bookmarkEnd w:id="236"/>
      <w:r>
        <w:rPr>
          <w:spacing w:val="-3"/>
        </w:rPr>
        <w:t>主要</w:t>
      </w:r>
      <w:r>
        <w:rPr>
          <w:spacing w:val="-3"/>
        </w:rPr>
        <w:t>系上期预付教学软件款及版权费本</w:t>
      </w:r>
      <w:r>
        <w:rPr>
          <w:spacing w:val="-3"/>
          <w:w w:val="100"/>
        </w:rPr>
        <w:t> </w:t>
      </w:r>
      <w:r>
        <w:rPr/>
        <w:t>期摊销所致。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4,027.40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288,233.55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449,315.07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1,340,575.34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453,342.47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1,628,808.89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其他应收款分类披露" w:id="237"/>
      <w:bookmarkEnd w:id="237"/>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bookmarkStart w:name="（2）重要逾期利息" w:id="238"/>
            <w:bookmarkEnd w:id="238"/>
            <w:r>
              <w:rPr/>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0"/>
        <w:jc w:val="left"/>
      </w:pPr>
      <w:r>
        <w:rPr/>
        <w:t>应收利息期末余额较期初减少</w:t>
      </w:r>
      <w:r>
        <w:rPr>
          <w:rFonts w:ascii="Times New Roman" w:hAnsi="Times New Roman" w:cs="Times New Roman" w:eastAsia="Times New Roman" w:hint="default"/>
        </w:rPr>
        <w:t>1,175,466.42</w:t>
      </w:r>
      <w:r>
        <w:rPr/>
        <w:t>元，减幅为</w:t>
      </w:r>
      <w:r>
        <w:rPr>
          <w:rFonts w:ascii="Times New Roman" w:hAnsi="Times New Roman" w:cs="Times New Roman" w:eastAsia="Times New Roman" w:hint="default"/>
        </w:rPr>
        <w:t>72.17%</w:t>
      </w:r>
      <w:r>
        <w:rPr/>
        <w:t>，主要系理财产品应收利息减少所致。</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8、应收股利" w:id="239"/>
      <w:bookmarkEnd w:id="239"/>
      <w:r>
        <w:rPr/>
      </w:r>
      <w:bookmarkStart w:name="（1）应收股利" w:id="240"/>
      <w:bookmarkEnd w:id="24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重要的账龄超过1年的应收股利" w:id="241"/>
      <w:bookmarkEnd w:id="24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9、其他应收款" w:id="242"/>
      <w:bookmarkEnd w:id="24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917,735.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323,425.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35.24%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594,309.9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1,478,8</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84.36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340,694.2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23.04%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1,138,190.0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0"/>
              <w:ind w:left="24" w:right="149"/>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319,000.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319,000.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362"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1,236,73</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642,425.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51.95%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594,309.9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1,478,8</w:t>
            </w:r>
          </w:p>
          <w:p>
            <w:pPr>
              <w:pStyle w:val="TableParagraph"/>
              <w:spacing w:line="240" w:lineRule="auto" w:before="102"/>
              <w:ind w:left="199" w:right="0"/>
              <w:jc w:val="center"/>
              <w:rPr>
                <w:rFonts w:ascii="Times New Roman" w:hAnsi="Times New Roman" w:cs="Times New Roman" w:eastAsia="Times New Roman" w:hint="default"/>
                <w:sz w:val="18"/>
                <w:szCs w:val="18"/>
              </w:rPr>
            </w:pPr>
            <w:r>
              <w:rPr>
                <w:rFonts w:ascii="Times New Roman"/>
                <w:sz w:val="18"/>
              </w:rPr>
              <w:t>84.36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340,694.2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23.04%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1,138,190.0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before="49"/>
        <w:ind w:left="152" w:right="-20" w:firstLine="0"/>
        <w:jc w:val="left"/>
        <w:rPr>
          <w:rFonts w:ascii="宋体" w:hAnsi="宋体" w:cs="宋体" w:eastAsia="宋体" w:hint="default"/>
          <w:sz w:val="18"/>
          <w:szCs w:val="18"/>
        </w:rPr>
      </w:pPr>
      <w:bookmarkStart w:name="（2）本期计提、收回或转回的坏账准备情况" w:id="243"/>
      <w:bookmarkEnd w:id="243"/>
      <w:r>
        <w:rPr/>
      </w:r>
      <w:r>
        <w:rPr>
          <w:rFonts w:ascii="宋体" w:hAnsi="宋体" w:cs="宋体" w:eastAsia="宋体" w:hint="default"/>
          <w:sz w:val="18"/>
          <w:szCs w:val="18"/>
        </w:rPr>
        <w:t>期末单项金额重大并单项计提坏账准备的其他应收款：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3" w:space="4354"/>
            <w:col w:w="1123"/>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2"/>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4D4D4"/>
          </w:tcPr>
          <w:p>
            <w:pPr/>
          </w:p>
        </w:tc>
        <w:tc>
          <w:tcPr>
            <w:tcW w:w="7178"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379"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360,698.82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185,797.94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271,238.24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271,238.24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917,735.00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323,425.02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35.24%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8"/>
        <w:rPr>
          <w:rFonts w:ascii="宋体" w:hAnsi="宋体" w:cs="宋体" w:eastAsia="宋体" w:hint="default"/>
          <w:sz w:val="13"/>
          <w:szCs w:val="13"/>
        </w:rPr>
      </w:pPr>
    </w:p>
    <w:p>
      <w:pPr>
        <w:pStyle w:val="BodyText"/>
        <w:spacing w:line="240" w:lineRule="auto" w:before="0"/>
        <w:ind w:left="575" w:right="0"/>
        <w:jc w:val="left"/>
      </w:pPr>
      <w:r>
        <w:rPr>
          <w:rFonts w:ascii="Times New Roman" w:hAnsi="Times New Roman" w:cs="Times New Roman" w:eastAsia="Times New Roman" w:hint="default"/>
        </w:rPr>
        <w:t>3</w:t>
      </w:r>
      <w:r>
        <w:rPr/>
        <w:t>、期末其他应收款中无应收持本公司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）表决权股份的股东及其他关联方的款项。</w:t>
      </w:r>
    </w:p>
    <w:p>
      <w:pPr>
        <w:spacing w:line="240" w:lineRule="auto" w:before="13"/>
        <w:rPr>
          <w:rFonts w:ascii="宋体" w:hAnsi="宋体" w:cs="宋体" w:eastAsia="宋体" w:hint="default"/>
          <w:sz w:val="29"/>
          <w:szCs w:val="2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2"/>
          <w:szCs w:val="12"/>
        </w:rPr>
      </w:pPr>
    </w:p>
    <w:p>
      <w:pPr>
        <w:pStyle w:val="BodyText"/>
        <w:spacing w:line="240" w:lineRule="auto" w:before="0"/>
        <w:ind w:right="0"/>
        <w:jc w:val="left"/>
      </w:pPr>
      <w:r>
        <w:rPr/>
        <w:t>期末单项金额虽不重大但单独计提坏账准备的其他应收款</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526"/>
        <w:gridCol w:w="1277"/>
        <w:gridCol w:w="1416"/>
        <w:gridCol w:w="1133"/>
        <w:gridCol w:w="3492"/>
      </w:tblGrid>
      <w:tr>
        <w:trPr>
          <w:trHeight w:val="353" w:hRule="exact"/>
        </w:trPr>
        <w:tc>
          <w:tcPr>
            <w:tcW w:w="1526" w:type="dxa"/>
            <w:vMerge w:val="restart"/>
            <w:tcBorders>
              <w:top w:val="single" w:sz="6" w:space="0" w:color="000000"/>
              <w:left w:val="single" w:sz="6" w:space="0" w:color="000000"/>
              <w:right w:val="single" w:sz="6" w:space="0" w:color="000000"/>
            </w:tcBorders>
          </w:tcPr>
          <w:p>
            <w:pPr>
              <w:pStyle w:val="TableParagraph"/>
              <w:spacing w:line="240" w:lineRule="auto" w:before="17"/>
              <w:ind w:left="3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318"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1526" w:type="dxa"/>
            <w:vMerge/>
            <w:tcBorders>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665" w:hRule="exact"/>
        </w:trPr>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65"/>
              <w:jc w:val="left"/>
              <w:rPr>
                <w:rFonts w:ascii="宋体" w:hAnsi="宋体" w:cs="宋体" w:eastAsia="宋体" w:hint="default"/>
                <w:sz w:val="18"/>
                <w:szCs w:val="18"/>
              </w:rPr>
            </w:pPr>
            <w:r>
              <w:rPr>
                <w:rFonts w:ascii="宋体" w:hAnsi="宋体" w:cs="宋体" w:eastAsia="宋体" w:hint="default"/>
                <w:sz w:val="18"/>
                <w:szCs w:val="18"/>
              </w:rPr>
              <w:t>北京惟德基业科技 有限公司</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319,000.00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319,000.00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3492"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4" w:right="59"/>
              <w:jc w:val="left"/>
              <w:rPr>
                <w:rFonts w:ascii="宋体" w:hAnsi="宋体" w:cs="宋体" w:eastAsia="宋体" w:hint="default"/>
                <w:sz w:val="18"/>
                <w:szCs w:val="18"/>
              </w:rPr>
            </w:pPr>
            <w:r>
              <w:rPr>
                <w:rFonts w:ascii="宋体" w:hAnsi="宋体" w:cs="宋体" w:eastAsia="宋体" w:hint="default"/>
                <w:sz w:val="18"/>
                <w:szCs w:val="18"/>
              </w:rPr>
              <w:t>该企业工商信息显示经营异常，可收回性不 大，全额计提坏账准备。</w:t>
            </w:r>
          </w:p>
        </w:tc>
      </w:tr>
      <w:tr>
        <w:trPr>
          <w:trHeight w:val="353" w:hRule="exact"/>
        </w:trPr>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319,000.00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319,000.00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349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5013" w:space="3814"/>
            <w:col w:w="1123"/>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5"/>
        <w:rPr>
          <w:rFonts w:ascii="宋体" w:hAnsi="宋体" w:cs="宋体" w:eastAsia="宋体" w:hint="default"/>
          <w:sz w:val="10"/>
          <w:szCs w:val="10"/>
        </w:rPr>
      </w:pPr>
    </w:p>
    <w:p>
      <w:pPr>
        <w:pStyle w:val="Heading3"/>
        <w:spacing w:line="240" w:lineRule="auto" w:before="36"/>
        <w:ind w:right="0"/>
        <w:jc w:val="left"/>
        <w:rPr>
          <w:b w:val="0"/>
          <w:bCs w:val="0"/>
        </w:rPr>
      </w:pPr>
      <w:r>
        <w:rPr/>
        <w:t>（</w:t>
      </w:r>
      <w:bookmarkStart w:name="（3）本期实际核销的其他应收款情况" w:id="244"/>
      <w:bookmarkEnd w:id="244"/>
      <w:r>
        <w:rPr/>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85"/>
      </w:tblGrid>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6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其他应收款按款项性质分类情况" w:id="245"/>
      <w:bookmarkEnd w:id="24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802,378.21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821,036.18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105,056.79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328,848.18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329,000.00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1,236,735.00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1,478,884.36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按欠款方归集的期末余额前五名的其他应收款情况" w:id="246"/>
      <w:bookmarkEnd w:id="24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北京惟德基业科技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319,000.00</w:t>
            </w:r>
          </w:p>
        </w:tc>
      </w:tr>
      <w:tr>
        <w:trPr>
          <w:trHeight w:val="133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9"/>
              <w:jc w:val="left"/>
              <w:rPr>
                <w:rFonts w:ascii="宋体" w:hAnsi="宋体" w:cs="宋体" w:eastAsia="宋体" w:hint="default"/>
                <w:sz w:val="18"/>
                <w:szCs w:val="18"/>
              </w:rPr>
            </w:pPr>
            <w:r>
              <w:rPr>
                <w:rFonts w:ascii="宋体" w:hAnsi="宋体" w:cs="宋体" w:eastAsia="宋体" w:hint="default"/>
                <w:sz w:val="18"/>
                <w:szCs w:val="18"/>
              </w:rPr>
              <w:t>深圳市昱为科技有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198,142.00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3,154.00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元；</w:t>
            </w:r>
            <w:r>
              <w:rPr>
                <w:rFonts w:ascii="Times New Roman" w:hAnsi="Times New Roman" w:cs="Times New Roman" w:eastAsia="Times New Roman" w:hint="default"/>
                <w:spacing w:val="-11"/>
                <w:sz w:val="18"/>
                <w:szCs w:val="18"/>
              </w:rPr>
              <w:t>1-2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52,988.00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142,000.00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147,330.34</w:t>
            </w:r>
          </w:p>
        </w:tc>
      </w:tr>
      <w:tr>
        <w:trPr>
          <w:trHeight w:val="133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19"/>
              <w:jc w:val="left"/>
              <w:rPr>
                <w:rFonts w:ascii="宋体" w:hAnsi="宋体" w:cs="宋体" w:eastAsia="宋体" w:hint="default"/>
                <w:sz w:val="18"/>
                <w:szCs w:val="18"/>
              </w:rPr>
            </w:pPr>
            <w:r>
              <w:rPr>
                <w:rFonts w:ascii="宋体" w:hAnsi="宋体" w:cs="宋体" w:eastAsia="宋体" w:hint="default"/>
                <w:sz w:val="18"/>
                <w:szCs w:val="18"/>
              </w:rPr>
              <w:t>浙江天猫技术有限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40,000.00 </w:t>
            </w:r>
            <w:r>
              <w:rPr>
                <w:rFonts w:ascii="宋体" w:hAnsi="宋体" w:cs="宋体" w:eastAsia="宋体" w:hint="default"/>
                <w:spacing w:val="-11"/>
                <w:sz w:val="18"/>
                <w:szCs w:val="18"/>
              </w:rPr>
              <w:t>元；</w:t>
            </w:r>
            <w:r>
              <w:rPr>
                <w:rFonts w:ascii="Times New Roman" w:hAnsi="Times New Roman" w:cs="Times New Roman" w:eastAsia="Times New Roman" w:hint="default"/>
                <w:spacing w:val="-11"/>
                <w:sz w:val="18"/>
                <w:szCs w:val="18"/>
              </w:rPr>
              <w:t>2-3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34,300.00</w:t>
            </w:r>
          </w:p>
        </w:tc>
      </w:tr>
      <w:tr>
        <w:trPr>
          <w:trHeight w:val="133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9"/>
              <w:jc w:val="left"/>
              <w:rPr>
                <w:rFonts w:ascii="宋体" w:hAnsi="宋体" w:cs="宋体" w:eastAsia="宋体" w:hint="default"/>
                <w:sz w:val="18"/>
                <w:szCs w:val="18"/>
              </w:rPr>
            </w:pPr>
            <w:r>
              <w:rPr>
                <w:rFonts w:ascii="宋体" w:hAnsi="宋体" w:cs="宋体" w:eastAsia="宋体" w:hint="default"/>
                <w:sz w:val="18"/>
                <w:szCs w:val="18"/>
              </w:rPr>
              <w:t>深圳市高新区开发 建设公司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127,116.27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6,044.13</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5"/>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76,871.20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81,351.74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北京当当科文电子 商务有限公司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914,258.27</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73.93%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582,982.08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存货期末余额含有借款费用资本化金额的说明" w:id="247"/>
      <w:bookmarkEnd w:id="247"/>
      <w:r>
        <w:rPr>
          <w:b w:val="0"/>
          <w:bCs w:val="0"/>
        </w:rPr>
      </w:r>
      <w:bookmarkStart w:name="（4）期末建造合同形成的已完工未结算资产情况" w:id="248"/>
      <w:bookmarkEnd w:id="248"/>
      <w:r>
        <w:rPr>
          <w:b w:val="0"/>
          <w:bCs w:val="0"/>
        </w:rPr>
      </w:r>
      <w:r>
        <w:rPr/>
        <w:t>（</w:t>
      </w:r>
      <w:r>
        <w:rPr>
          <w:rFonts w:ascii="Times New Roman" w:hAnsi="Times New Roman" w:cs="Times New Roman" w:eastAsia="Times New Roman" w:hint="default"/>
        </w:rPr>
        <w:t>6</w:t>
      </w:r>
      <w:bookmarkStart w:name="（6）涉及政府补助的应收款项" w:id="249"/>
      <w:bookmarkEnd w:id="249"/>
      <w:r>
        <w:rPr>
          <w:rFonts w:ascii="Times New Roman" w:hAnsi="Times New Roman" w:cs="Times New Roman" w:eastAsia="Times New Roman" w:hint="default"/>
        </w:rPr>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w:t>
      </w:r>
      <w:bookmarkStart w:name="（7）因金融资产转移而终止确认的其他应收款" w:id="250"/>
      <w:bookmarkEnd w:id="250"/>
      <w:r>
        <w:rPr/>
        <w:t>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w:t>
      </w:r>
      <w:bookmarkStart w:name="（8）转移其他应收款且继续涉入形成的资产、负债金额" w:id="251"/>
      <w:bookmarkEnd w:id="251"/>
      <w:r>
        <w:rPr/>
        <w:t>续涉入形成的资产</w:t>
      </w:r>
      <w:r>
        <w:rPr/>
        <w:t>、负债金额</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0、存货" w:id="252"/>
      <w:bookmarkEnd w:id="252"/>
      <w:r>
        <w:rPr/>
      </w:r>
      <w:bookmarkStart w:name="（1）存货分类" w:id="253"/>
      <w:bookmarkEnd w:id="25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7"/>
        <w:gridCol w:w="1379"/>
        <w:gridCol w:w="1368"/>
        <w:gridCol w:w="1366"/>
        <w:gridCol w:w="1368"/>
        <w:gridCol w:w="1366"/>
        <w:gridCol w:w="1368"/>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57"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1,757,046.95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148,757.24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1,608,289.71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1,176,973.52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208,767.21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968,206.31</w:t>
            </w:r>
          </w:p>
        </w:tc>
      </w:tr>
      <w:tr>
        <w:trPr>
          <w:trHeight w:val="401" w:hRule="exact"/>
        </w:trPr>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7,694,863.08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774,820.21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6,920,042.87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4,959,212.75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789,537.49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4,169,675.26</w:t>
            </w:r>
            <w:r>
              <w:rPr>
                <w:rFonts w:ascii="Times New Roman"/>
                <w:sz w:val="18"/>
              </w:rPr>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9,451,910.03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923,577.45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8,528,332.58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6,136,186.27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998,304.70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5,137,881.57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存货跌价准备" w:id="254"/>
      <w:bookmarkEnd w:id="25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right w:val="single" w:sz="4" w:space="0" w:color="000000"/>
            </w:tcBorders>
            <w:shd w:val="clear" w:color="auto" w:fill="D4D4D4"/>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right w:val="single" w:sz="4" w:space="0" w:color="000000"/>
            </w:tcBorders>
            <w:shd w:val="clear" w:color="auto" w:fill="D4D4D4"/>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208,767.21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92,270.55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152,280.52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148,757.24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789,537.49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322,935.40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337,652.68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774,820.21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998,304.70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415,205.95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489,933.20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923,577.45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1"/>
          <w:szCs w:val="11"/>
        </w:rPr>
      </w:pPr>
    </w:p>
    <w:p>
      <w:pPr>
        <w:spacing w:before="44"/>
        <w:ind w:left="152" w:right="0" w:firstLine="0"/>
        <w:jc w:val="left"/>
        <w:rPr>
          <w:rFonts w:ascii="宋体" w:hAnsi="宋体" w:cs="宋体" w:eastAsia="宋体" w:hint="default"/>
          <w:sz w:val="18"/>
          <w:szCs w:val="18"/>
        </w:rPr>
      </w:pPr>
      <w:bookmarkStart w:name="（1）可供出售金融资产情况" w:id="255"/>
      <w:bookmarkEnd w:id="255"/>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11</w:t>
      </w:r>
      <w:bookmarkStart w:name="11、划分为持有待售的资产" w:id="256"/>
      <w:bookmarkEnd w:id="256"/>
      <w:r>
        <w:rPr>
          <w:rFonts w:ascii="Times New Roman" w:hAnsi="Times New Roman" w:cs="Times New Roman" w:eastAsia="Times New Roman" w:hint="default"/>
        </w:rPr>
      </w:r>
      <w:r>
        <w:rPr/>
        <w:t>、划分为持有待售的资产</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12</w:t>
      </w:r>
      <w:r>
        <w:rPr/>
        <w:t>、一年内到期的非流动</w:t>
      </w:r>
      <w:bookmarkStart w:name="12、一年内到期的非流动资产" w:id="257"/>
      <w:bookmarkEnd w:id="257"/>
      <w:r>
        <w:rPr/>
        <w:t>资产</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3、其他流动资产" w:id="258"/>
      <w:bookmarkEnd w:id="25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86" w:lineRule="auto" w:before="0"/>
        <w:ind w:right="150" w:firstLine="336"/>
        <w:jc w:val="both"/>
      </w:pPr>
      <w:r>
        <w:rPr>
          <w:spacing w:val="-3"/>
          <w:w w:val="100"/>
        </w:rPr>
        <w:t>其他流动资产为广发银行的薪加薪</w:t>
      </w:r>
      <w:r>
        <w:rPr>
          <w:rFonts w:ascii="Times New Roman" w:hAnsi="Times New Roman" w:cs="Times New Roman" w:eastAsia="Times New Roman" w:hint="default"/>
          <w:spacing w:val="-3"/>
          <w:w w:val="100"/>
        </w:rPr>
        <w:t>16</w:t>
      </w:r>
      <w:r>
        <w:rPr>
          <w:spacing w:val="-3"/>
          <w:w w:val="100"/>
        </w:rPr>
        <w:t>号理财产品人民币</w:t>
      </w:r>
      <w:r>
        <w:rPr>
          <w:rFonts w:ascii="Times New Roman" w:hAnsi="Times New Roman" w:cs="Times New Roman" w:eastAsia="Times New Roman" w:hint="default"/>
          <w:spacing w:val="-3"/>
          <w:w w:val="100"/>
        </w:rPr>
        <w:t>30,000,000.00</w:t>
      </w:r>
      <w:r>
        <w:rPr>
          <w:spacing w:val="-3"/>
          <w:w w:val="100"/>
        </w:rPr>
        <w:t>元；包商银行的企业佳赢理财产品</w:t>
      </w:r>
      <w:r>
        <w:rPr>
          <w:w w:val="100"/>
        </w:rPr>
        <w:t> </w:t>
      </w:r>
      <w:r>
        <w:rPr/>
        <w:t>人民币</w:t>
      </w:r>
      <w:r>
        <w:rPr>
          <w:rFonts w:ascii="Times New Roman" w:hAnsi="Times New Roman" w:cs="Times New Roman" w:eastAsia="Times New Roman" w:hint="default"/>
        </w:rPr>
        <w:t>30,000,000.00</w:t>
      </w:r>
      <w:r>
        <w:rPr/>
        <w:t>元；宁波银行的启盈智能理财产品人民币</w:t>
      </w:r>
      <w:r>
        <w:rPr>
          <w:rFonts w:ascii="Times New Roman" w:hAnsi="Times New Roman" w:cs="Times New Roman" w:eastAsia="Times New Roman" w:hint="default"/>
        </w:rPr>
        <w:t>10,000,000.00</w:t>
      </w:r>
      <w:r>
        <w:rPr/>
        <w:t>元；浦发银行的利多多理财产</w:t>
      </w:r>
      <w:r>
        <w:rPr>
          <w:spacing w:val="-29"/>
        </w:rPr>
        <w:t> </w:t>
      </w:r>
      <w:r>
        <w:rPr>
          <w:spacing w:val="-29"/>
        </w:rPr>
      </w:r>
      <w:r>
        <w:rPr/>
        <w:t>品人民币</w:t>
      </w:r>
      <w:r>
        <w:rPr>
          <w:rFonts w:ascii="Times New Roman" w:hAnsi="Times New Roman" w:cs="Times New Roman" w:eastAsia="Times New Roman" w:hint="default"/>
        </w:rPr>
        <w:t>82,000,000.00</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bookmarkStart w:name="14、可供出售金融资产" w:id="259"/>
      <w:bookmarkEnd w:id="259"/>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4"/>
        <w:gridCol w:w="1198"/>
        <w:gridCol w:w="1195"/>
        <w:gridCol w:w="1248"/>
        <w:gridCol w:w="1368"/>
        <w:gridCol w:w="1366"/>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4D4D4"/>
          </w:tcPr>
          <w:p>
            <w:pPr/>
          </w:p>
        </w:tc>
        <w:tc>
          <w:tcPr>
            <w:tcW w:w="358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0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4D4D4"/>
          </w:tcPr>
          <w:p>
            <w:pPr/>
          </w:p>
        </w:tc>
        <w:tc>
          <w:tcPr>
            <w:tcW w:w="3982"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000" w:type="dxa"/>
            <w:vMerge/>
            <w:tcBorders>
              <w:left w:val="single" w:sz="4" w:space="0" w:color="000000"/>
              <w:bottom w:val="nil" w:sz="6" w:space="0" w:color="auto"/>
              <w:right w:val="single" w:sz="4" w:space="0" w:color="000000"/>
            </w:tcBorders>
            <w:shd w:val="clear" w:color="auto" w:fill="D4D4D4"/>
          </w:tcPr>
          <w:p>
            <w:pPr/>
          </w:p>
        </w:tc>
        <w:tc>
          <w:tcPr>
            <w:tcW w:w="11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24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0"/>
          <w:szCs w:val="10"/>
        </w:rPr>
      </w:pPr>
    </w:p>
    <w:p>
      <w:pPr>
        <w:pStyle w:val="Heading3"/>
        <w:spacing w:line="240" w:lineRule="auto" w:before="36"/>
        <w:ind w:right="0"/>
        <w:jc w:val="left"/>
        <w:rPr>
          <w:b w:val="0"/>
          <w:bCs w:val="0"/>
        </w:rPr>
      </w:pPr>
      <w:bookmarkStart w:name="15、持有至到期投资" w:id="260"/>
      <w:bookmarkEnd w:id="260"/>
      <w:r>
        <w:rPr>
          <w:b w:val="0"/>
          <w:bCs w:val="0"/>
        </w:rPr>
      </w:r>
      <w:bookmarkStart w:name="（1）持有至到期投资情况" w:id="261"/>
      <w:bookmarkEnd w:id="261"/>
      <w:r>
        <w:rPr>
          <w:b w:val="0"/>
          <w:bCs w:val="0"/>
        </w:rPr>
      </w:r>
      <w:bookmarkStart w:name="（2）期末重要的持有至到期投资" w:id="262"/>
      <w:bookmarkEnd w:id="262"/>
      <w:r>
        <w:rPr>
          <w:b w:val="0"/>
          <w:bCs w:val="0"/>
        </w:rPr>
      </w:r>
      <w:r>
        <w:rPr/>
        <w:t>（</w:t>
      </w:r>
      <w:bookmarkStart w:name="（2）期末按公允价值计量的可供出售金融资产" w:id="263"/>
      <w:bookmarkEnd w:id="263"/>
      <w:r>
        <w:rPr/>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bookmarkStart w:name="（3）期末按成本计量的可供出售金融资产" w:id="264"/>
      <w:bookmarkEnd w:id="264"/>
      <w:r>
        <w:rPr>
          <w:rFonts w:ascii="Times New Roman" w:hAnsi="Times New Roman" w:cs="Times New Roman" w:eastAsia="Times New Roman" w:hint="default"/>
        </w:rPr>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4"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深圳市科 葩信息技 术有限公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报告期内可供出售金融资产减值的变动情况" w:id="265"/>
      <w:bookmarkEnd w:id="26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w:t>
      </w:r>
      <w:bookmarkStart w:name="（5）可供出售权益工具期末公允价值严重下跌或非暂时性下跌但未计提减值准备的相关说" w:id="266"/>
      <w:bookmarkEnd w:id="266"/>
      <w:r>
        <w:rPr/>
        <w:t>准备的相关说明</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8、投资性房地产" w:id="267"/>
      <w:bookmarkEnd w:id="267"/>
      <w:r>
        <w:rPr>
          <w:b w:val="0"/>
          <w:bCs w:val="0"/>
        </w:rPr>
      </w:r>
      <w:bookmarkStart w:name="（1）采用成本计量模式的投资性房地产" w:id="268"/>
      <w:bookmarkEnd w:id="268"/>
      <w:r>
        <w:rPr>
          <w:b w:val="0"/>
          <w:bCs w:val="0"/>
        </w:rPr>
      </w:r>
      <w:bookmarkStart w:name="（2）采用公允价值计量模式的投资性房地产" w:id="269"/>
      <w:bookmarkEnd w:id="269"/>
      <w:r>
        <w:rPr>
          <w:b w:val="0"/>
          <w:bCs w:val="0"/>
        </w:rPr>
      </w:r>
      <w:r>
        <w:rPr/>
        <w:t>（</w:t>
      </w:r>
      <w:r>
        <w:rPr>
          <w:rFonts w:ascii="Times New Roman" w:hAnsi="Times New Roman" w:cs="Times New Roman" w:eastAsia="Times New Roman" w:hint="default"/>
        </w:rPr>
        <w:t>3</w:t>
      </w:r>
      <w:bookmarkStart w:name="（3）本期重分类的持有至到期投资" w:id="270"/>
      <w:bookmarkEnd w:id="270"/>
      <w:r>
        <w:rPr>
          <w:rFonts w:ascii="Times New Roman" w:hAnsi="Times New Roman" w:cs="Times New Roman" w:eastAsia="Times New Roman" w:hint="default"/>
        </w:rPr>
      </w:r>
      <w:r>
        <w:rPr/>
        <w:t>）本期重分类的持有至到期投资</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w:t>
      </w:r>
      <w:bookmarkStart w:name="16、长期应收款" w:id="271"/>
      <w:bookmarkEnd w:id="271"/>
      <w:r>
        <w:rPr/>
        <w:t>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长期应收款情况" w:id="272"/>
      <w:bookmarkEnd w:id="27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6"/>
        <w:gridCol w:w="1166"/>
        <w:gridCol w:w="1169"/>
        <w:gridCol w:w="1166"/>
        <w:gridCol w:w="1166"/>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4D4D4"/>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w:t>
      </w:r>
      <w:bookmarkStart w:name="（2）因金融资产转移而终止确认的长期应收款" w:id="273"/>
      <w:bookmarkEnd w:id="273"/>
      <w:r>
        <w:rPr/>
        <w:t>负</w:t>
      </w:r>
      <w:r>
        <w:rPr/>
        <w:t>债金额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转移长期应收款且继续涉入形成的资产、负债金额" w:id="274"/>
      <w:bookmarkEnd w:id="274"/>
      <w:r>
        <w:rPr/>
      </w:r>
      <w:bookmarkStart w:name="17、长期股权投资" w:id="275"/>
      <w:bookmarkEnd w:id="27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3"/>
        <w:rPr>
          <w:rFonts w:ascii="宋体" w:hAnsi="宋体" w:cs="宋体" w:eastAsia="宋体" w:hint="default"/>
          <w:sz w:val="10"/>
          <w:szCs w:val="10"/>
        </w:rPr>
      </w:pPr>
    </w:p>
    <w:p>
      <w:pPr>
        <w:pStyle w:val="Heading3"/>
        <w:spacing w:line="240" w:lineRule="auto" w:before="36"/>
        <w:ind w:right="0"/>
        <w:jc w:val="left"/>
        <w:rPr>
          <w:b w:val="0"/>
          <w:bCs w:val="0"/>
        </w:rPr>
      </w:pPr>
      <w:r>
        <w:rPr/>
        <w:t>（</w:t>
      </w:r>
      <w:bookmarkStart w:name="（3）未办妥产权证书的投资性房地产情况" w:id="276"/>
      <w:bookmarkEnd w:id="276"/>
      <w:r>
        <w:rPr/>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9、固定资产" w:id="277"/>
      <w:bookmarkEnd w:id="277"/>
      <w:r>
        <w:rPr/>
      </w:r>
      <w:bookmarkStart w:name="（1）固定资产情况" w:id="278"/>
      <w:bookmarkEnd w:id="27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15,840,463.91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2,710,035.00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2,798,263.56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1,108,577.02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22,457,339.00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3,290,128.33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18,547.55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3,308,675.88</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3,290,128.33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18,547.55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3,308,675.88</w:t>
            </w:r>
            <w:r>
              <w:rPr>
                <w:rFonts w:ascii="Times New Roman"/>
                <w:sz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2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239,358.50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12,266.35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251,624.85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239,358.50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12,266.35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251,624.85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15,840,463.91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2,710,035.00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5,849,033.39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1,114,858.22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25,514,390.52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558,874.88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1,217,155.91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1,409,447.81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422,781.27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3,608,259.87</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564,459.72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382,837.72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644,847.55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111,292.86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1,703,437.85</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564,459.72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382,837.72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644,847.55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111,292.86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1,703,437.85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227,390.97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11,653.03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239,044.00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227,390.97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11,653.03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239,044.00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1,123,334.60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1,599,993.63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1,826,904.39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522,421.10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5,072,653.72</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1"/>
          <w:pgSz w:w="11910" w:h="16840"/>
          <w:pgMar w:footer="1066" w:header="990" w:top="1220" w:bottom="1260" w:left="980" w:right="980"/>
        </w:sectPr>
      </w:pPr>
    </w:p>
    <w:p>
      <w:pPr>
        <w:spacing w:line="240" w:lineRule="auto" w:before="2"/>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14,717,129.31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1,110,041.37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4,022,129.00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592,437.12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20,441,736.80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15,281,589.03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1,492,879.09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1,388,815.75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685,795.75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18,849,079.62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办妥产权证书的固定资产情况" w:id="279"/>
      <w:bookmarkEnd w:id="27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暂时闲置的固定资产情况" w:id="280"/>
      <w:bookmarkEnd w:id="28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通过融资租赁租入的固定资产情况" w:id="281"/>
      <w:bookmarkEnd w:id="28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通过经营租赁租出的固定资产" w:id="282"/>
      <w:bookmarkEnd w:id="28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351" w:right="0"/>
        <w:jc w:val="left"/>
      </w:pPr>
      <w:r>
        <w:rPr/>
        <w:t>本公司认为期末固定资产不存在账面价值高于可收回金额的情况，故未计提固定资产减值准备。</w:t>
      </w:r>
    </w:p>
    <w:p>
      <w:pPr>
        <w:spacing w:after="0" w:line="240" w:lineRule="auto"/>
        <w:jc w:val="left"/>
        <w:sectPr>
          <w:footerReference w:type="default" r:id="rId62"/>
          <w:pgSz w:w="11910" w:h="16840"/>
          <w:pgMar w:footer="1066" w:header="990" w:top="1220" w:bottom="1260" w:left="980" w:right="980"/>
          <w:pgNumType w:start="201"/>
        </w:sectPr>
      </w:pPr>
    </w:p>
    <w:p>
      <w:pPr>
        <w:spacing w:line="240" w:lineRule="auto" w:before="5"/>
        <w:rPr>
          <w:rFonts w:ascii="宋体" w:hAnsi="宋体" w:cs="宋体" w:eastAsia="宋体" w:hint="default"/>
          <w:sz w:val="10"/>
          <w:szCs w:val="10"/>
        </w:rPr>
      </w:pPr>
    </w:p>
    <w:p>
      <w:pPr>
        <w:pStyle w:val="Heading3"/>
        <w:spacing w:line="240" w:lineRule="auto" w:before="36"/>
        <w:ind w:right="0"/>
        <w:jc w:val="left"/>
        <w:rPr>
          <w:b w:val="0"/>
          <w:bCs w:val="0"/>
        </w:rPr>
      </w:pPr>
      <w:bookmarkStart w:name="23、生产性生物资产" w:id="283"/>
      <w:bookmarkEnd w:id="283"/>
      <w:r>
        <w:rPr>
          <w:b w:val="0"/>
          <w:bCs w:val="0"/>
        </w:rPr>
      </w:r>
      <w:bookmarkStart w:name="（1）采用成本计量模式的生产性生物资产" w:id="284"/>
      <w:bookmarkEnd w:id="284"/>
      <w:r>
        <w:rPr>
          <w:b w:val="0"/>
          <w:bCs w:val="0"/>
        </w:rPr>
      </w:r>
      <w:r>
        <w:rPr>
          <w:rFonts w:ascii="Times New Roman" w:hAnsi="Times New Roman" w:cs="Times New Roman" w:eastAsia="Times New Roman" w:hint="default"/>
        </w:rPr>
        <w:t>20</w:t>
      </w:r>
      <w:bookmarkStart w:name="20、在建工程" w:id="285"/>
      <w:bookmarkEnd w:id="285"/>
      <w:r>
        <w:rPr>
          <w:rFonts w:ascii="Times New Roman" w:hAnsi="Times New Roman" w:cs="Times New Roman" w:eastAsia="Times New Roman" w:hint="default"/>
        </w:rPr>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bookmarkStart w:name="（1）在建工程情况" w:id="286"/>
      <w:bookmarkEnd w:id="286"/>
      <w:r>
        <w:rPr>
          <w:rFonts w:ascii="Times New Roman" w:hAnsi="Times New Roman" w:cs="Times New Roman" w:eastAsia="Times New Roman" w:hint="default"/>
        </w:rPr>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w:t>
      </w:r>
      <w:bookmarkStart w:name="（2）重要在建工程项目本期变动情况" w:id="287"/>
      <w:bookmarkEnd w:id="287"/>
      <w:r>
        <w:rPr/>
        <w:t>期变动情况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8" w:hRule="exact"/>
        </w:trPr>
        <w:tc>
          <w:tcPr>
            <w:tcW w:w="7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本期计提在建工程减值准备情况" w:id="288"/>
      <w:bookmarkEnd w:id="28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1、工程物资" w:id="289"/>
      <w:bookmarkEnd w:id="28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bookmarkStart w:name="22、固定资产清理" w:id="290"/>
      <w:bookmarkEnd w:id="290"/>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3"/>
        <w:rPr>
          <w:rFonts w:ascii="宋体" w:hAnsi="宋体" w:cs="宋体" w:eastAsia="宋体" w:hint="default"/>
          <w:sz w:val="10"/>
          <w:szCs w:val="10"/>
        </w:rPr>
      </w:pPr>
      <w:r>
        <w:rPr/>
        <w:pict>
          <v:shape style="position:absolute;margin-left:98.639999pt;margin-top:518.279968pt;width:53.55pt;height:15.6pt;mso-position-horizontal-relative:page;mso-position-vertical-relative:page;z-index:-122228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04.760002pt;margin-top:446.879974pt;width:47.4pt;height:28pt;mso-position-horizontal-relative:page;mso-position-vertical-relative:page;z-index:-1222264" coordorigin="2095,8938" coordsize="948,560">
            <v:group style="position:absolute;left:2095;top:8938;width:948;height:156" coordorigin="2095,8938" coordsize="948,156">
              <v:shape style="position:absolute;left:2095;top:8938;width:948;height:156" coordorigin="2095,8938" coordsize="948,156" path="m2095,9094l3043,9094,3043,8938,2095,8938,2095,9094xe" filled="true" fillcolor="#ffffff" stroked="false">
                <v:path arrowok="t"/>
                <v:fill type="solid"/>
              </v:shape>
            </v:group>
            <v:group style="position:absolute;left:2107;top:9094;width:2;height:392" coordorigin="2107,9094" coordsize="2,392">
              <v:shape style="position:absolute;left:2107;top:9094;width:2;height:392" coordorigin="2107,9094" coordsize="0,392" path="m2107,9094l2107,9485e" filled="false" stroked="true" strokeweight="1.2pt" strokecolor="#ffffff">
                <v:path arrowok="t"/>
              </v:shape>
            </v:group>
            <v:group style="position:absolute;left:2119;top:9094;width:900;height:392" coordorigin="2119,9094" coordsize="900,392">
              <v:shape style="position:absolute;left:2119;top:9094;width:900;height:392" coordorigin="2119,9094" coordsize="900,392" path="m2119,9485l3019,9485,3019,9094,2119,9094,2119,9485xe" filled="true" fillcolor="#ffffff" stroked="false">
                <v:path arrowok="t"/>
                <v:fill type="solid"/>
              </v:shape>
            </v:group>
            <w10:wrap type="none"/>
          </v:group>
        </w:pict>
      </w:r>
      <w:r>
        <w:rPr/>
        <w:pict>
          <v:group style="position:absolute;margin-left:104.760002pt;margin-top:482.519989pt;width:47.4pt;height:28.1pt;mso-position-horizontal-relative:page;mso-position-vertical-relative:page;z-index:-1222240" coordorigin="2095,9650" coordsize="948,562">
            <v:group style="position:absolute;left:2095;top:9650;width:948;height:156" coordorigin="2095,9650" coordsize="948,156">
              <v:shape style="position:absolute;left:2095;top:9650;width:948;height:156" coordorigin="2095,9650" coordsize="948,156" path="m2095,9806l3043,9806,3043,9650,2095,9650,2095,9806xe" filled="true" fillcolor="#ffffff" stroked="false">
                <v:path arrowok="t"/>
                <v:fill type="solid"/>
              </v:shape>
            </v:group>
            <v:group style="position:absolute;left:2107;top:9806;width:2;height:394" coordorigin="2107,9806" coordsize="2,394">
              <v:shape style="position:absolute;left:2107;top:9806;width:2;height:394" coordorigin="2107,9806" coordsize="0,394" path="m2107,9806l2107,10200e" filled="false" stroked="true" strokeweight="1.2pt" strokecolor="#ffffff">
                <v:path arrowok="t"/>
              </v:shape>
            </v:group>
            <v:group style="position:absolute;left:2119;top:9806;width:900;height:394" coordorigin="2119,9806" coordsize="900,394">
              <v:shape style="position:absolute;left:2119;top:9806;width:900;height:394" coordorigin="2119,9806" coordsize="900,394" path="m2119,10200l3019,10200,3019,9806,2119,9806,2119,10200xe" filled="true" fillcolor="#ffffff" stroked="false">
                <v:path arrowok="t"/>
                <v:fill type="solid"/>
              </v:shape>
            </v:group>
            <w10:wrap type="none"/>
          </v:group>
        </w:pict>
      </w:r>
      <w:r>
        <w:rPr/>
        <w:pict>
          <v:group style="position:absolute;margin-left:104.760002pt;margin-top:625.320007pt;width:47.4pt;height:28.1pt;mso-position-horizontal-relative:page;mso-position-vertical-relative:page;z-index:-1222216" coordorigin="2095,12506" coordsize="948,562">
            <v:group style="position:absolute;left:2095;top:12506;width:948;height:156" coordorigin="2095,12506" coordsize="948,156">
              <v:shape style="position:absolute;left:2095;top:12506;width:948;height:156" coordorigin="2095,12506" coordsize="948,156" path="m2095,12662l3043,12662,3043,12506,2095,12506,2095,12662xe" filled="true" fillcolor="#ffffff" stroked="false">
                <v:path arrowok="t"/>
                <v:fill type="solid"/>
              </v:shape>
            </v:group>
            <v:group style="position:absolute;left:2107;top:12662;width:2;height:394" coordorigin="2107,12662" coordsize="2,394">
              <v:shape style="position:absolute;left:2107;top:12662;width:2;height:394" coordorigin="2107,12662" coordsize="0,394" path="m2107,12662l2107,13056e" filled="false" stroked="true" strokeweight="1.2pt" strokecolor="#ffffff">
                <v:path arrowok="t"/>
              </v:shape>
            </v:group>
            <v:group style="position:absolute;left:2119;top:12662;width:900;height:394" coordorigin="2119,12662" coordsize="900,394">
              <v:shape style="position:absolute;left:2119;top:12662;width:900;height:394" coordorigin="2119,12662" coordsize="900,394" path="m2119,13056l3019,13056,3019,12662,2119,12662,2119,13056xe" filled="true" fillcolor="#ffffff" stroked="false">
                <v:path arrowok="t"/>
                <v:fill type="solid"/>
              </v:shape>
            </v:group>
            <w10:wrap type="none"/>
          </v:group>
        </w:pict>
      </w:r>
    </w:p>
    <w:p>
      <w:pPr>
        <w:pStyle w:val="Heading3"/>
        <w:spacing w:line="240" w:lineRule="auto" w:before="36"/>
        <w:ind w:right="0"/>
        <w:jc w:val="left"/>
        <w:rPr>
          <w:b w:val="0"/>
          <w:bCs w:val="0"/>
        </w:rPr>
      </w:pPr>
      <w:r>
        <w:rPr/>
        <w:t>（</w:t>
      </w:r>
      <w:bookmarkStart w:name="（2）采用公允价值计量模式的生产性生物资产" w:id="291"/>
      <w:bookmarkEnd w:id="291"/>
      <w:r>
        <w:rPr/>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bookmarkStart w:name="24、油气资产" w:id="292"/>
      <w:bookmarkEnd w:id="292"/>
      <w:r>
        <w:rPr>
          <w:rFonts w:ascii="Times New Roman" w:hAnsi="Times New Roman" w:cs="Times New Roman" w:eastAsia="Times New Roman" w:hint="default"/>
        </w:rPr>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5、无形资产" w:id="293"/>
      <w:bookmarkEnd w:id="293"/>
      <w:r>
        <w:rPr/>
      </w:r>
      <w:bookmarkStart w:name="（1）无形资产情况" w:id="294"/>
      <w:bookmarkEnd w:id="29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35"/>
        <w:gridCol w:w="968"/>
        <w:gridCol w:w="955"/>
        <w:gridCol w:w="958"/>
        <w:gridCol w:w="958"/>
        <w:gridCol w:w="958"/>
        <w:gridCol w:w="955"/>
        <w:gridCol w:w="958"/>
        <w:gridCol w:w="958"/>
        <w:gridCol w:w="958"/>
      </w:tblGrid>
      <w:tr>
        <w:trPr>
          <w:trHeight w:val="473" w:hRule="exact"/>
        </w:trPr>
        <w:tc>
          <w:tcPr>
            <w:tcW w:w="935" w:type="dxa"/>
            <w:tcBorders>
              <w:top w:val="single" w:sz="4" w:space="0" w:color="000000"/>
              <w:left w:val="single" w:sz="4" w:space="0" w:color="000000"/>
              <w:bottom w:val="nil" w:sz="6" w:space="0" w:color="auto"/>
              <w:right w:val="single" w:sz="4" w:space="0" w:color="000000"/>
            </w:tcBorders>
            <w:shd w:val="clear" w:color="auto" w:fill="D4D4D4"/>
          </w:tcPr>
          <w:p>
            <w:pPr/>
          </w:p>
        </w:tc>
        <w:tc>
          <w:tcPr>
            <w:tcW w:w="968" w:type="dxa"/>
            <w:tcBorders>
              <w:top w:val="single" w:sz="4" w:space="0" w:color="000000"/>
              <w:left w:val="single" w:sz="4" w:space="0" w:color="000000"/>
              <w:bottom w:val="nil" w:sz="6" w:space="0" w:color="auto"/>
              <w:right w:val="single" w:sz="4" w:space="0" w:color="000000"/>
            </w:tcBorders>
            <w:shd w:val="clear" w:color="auto" w:fill="D4D4D4"/>
          </w:tcPr>
          <w:p>
            <w:pPr/>
          </w:p>
        </w:tc>
        <w:tc>
          <w:tcPr>
            <w:tcW w:w="955" w:type="dxa"/>
            <w:tcBorders>
              <w:top w:val="single" w:sz="4" w:space="0" w:color="000000"/>
              <w:left w:val="single" w:sz="4" w:space="0" w:color="000000"/>
              <w:bottom w:val="nil" w:sz="6" w:space="0" w:color="auto"/>
              <w:right w:val="single" w:sz="4" w:space="0" w:color="000000"/>
            </w:tcBorders>
            <w:shd w:val="clear" w:color="auto" w:fill="D4D4D4"/>
          </w:tcPr>
          <w:p>
            <w:pPr/>
          </w:p>
        </w:tc>
        <w:tc>
          <w:tcPr>
            <w:tcW w:w="958" w:type="dxa"/>
            <w:tcBorders>
              <w:top w:val="single" w:sz="4" w:space="0" w:color="000000"/>
              <w:left w:val="single" w:sz="4" w:space="0" w:color="000000"/>
              <w:bottom w:val="nil" w:sz="6" w:space="0" w:color="auto"/>
              <w:right w:val="single" w:sz="4" w:space="0" w:color="000000"/>
            </w:tcBorders>
            <w:shd w:val="clear" w:color="auto" w:fill="D4D4D4"/>
          </w:tcPr>
          <w:p>
            <w:pPr/>
          </w:p>
        </w:tc>
        <w:tc>
          <w:tcPr>
            <w:tcW w:w="958" w:type="dxa"/>
            <w:vMerge w:val="restart"/>
            <w:tcBorders>
              <w:top w:val="single" w:sz="4" w:space="0" w:color="000000"/>
              <w:left w:val="single" w:sz="9" w:space="0" w:color="D4D4D4"/>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17" w:right="23"/>
              <w:jc w:val="both"/>
              <w:rPr>
                <w:rFonts w:ascii="宋体" w:hAnsi="宋体" w:cs="宋体" w:eastAsia="宋体" w:hint="default"/>
                <w:sz w:val="18"/>
                <w:szCs w:val="18"/>
              </w:rPr>
            </w:pPr>
            <w:r>
              <w:rPr>
                <w:rFonts w:ascii="宋体" w:hAnsi="宋体" w:cs="宋体" w:eastAsia="宋体" w:hint="default"/>
                <w:sz w:val="18"/>
                <w:szCs w:val="18"/>
              </w:rPr>
              <w:t>自行开发软 件</w:t>
            </w:r>
            <w:r>
              <w:rPr>
                <w:rFonts w:ascii="Times New Roman" w:hAnsi="Times New Roman" w:cs="Times New Roman" w:eastAsia="Times New Roman" w:hint="default"/>
                <w:sz w:val="18"/>
                <w:szCs w:val="18"/>
              </w:rPr>
              <w:t>-</w:t>
            </w:r>
            <w:r>
              <w:rPr>
                <w:rFonts w:ascii="宋体" w:hAnsi="宋体" w:cs="宋体" w:eastAsia="宋体" w:hint="default"/>
                <w:sz w:val="18"/>
                <w:szCs w:val="18"/>
              </w:rPr>
              <w:t>同步课 堂网络平台</w:t>
            </w:r>
          </w:p>
        </w:tc>
        <w:tc>
          <w:tcPr>
            <w:tcW w:w="958"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3" w:right="23"/>
              <w:jc w:val="center"/>
              <w:rPr>
                <w:rFonts w:ascii="宋体" w:hAnsi="宋体" w:cs="宋体" w:eastAsia="宋体" w:hint="default"/>
                <w:sz w:val="18"/>
                <w:szCs w:val="18"/>
              </w:rPr>
            </w:pPr>
            <w:r>
              <w:rPr>
                <w:rFonts w:ascii="宋体" w:hAnsi="宋体" w:cs="宋体" w:eastAsia="宋体" w:hint="default"/>
                <w:sz w:val="18"/>
                <w:szCs w:val="18"/>
              </w:rPr>
              <w:t>自行开发软 件</w:t>
            </w:r>
            <w:r>
              <w:rPr>
                <w:rFonts w:ascii="Times New Roman" w:hAnsi="Times New Roman" w:cs="Times New Roman" w:eastAsia="Times New Roman" w:hint="default"/>
                <w:sz w:val="18"/>
                <w:szCs w:val="18"/>
              </w:rPr>
              <w:t>-</w:t>
            </w:r>
            <w:r>
              <w:rPr>
                <w:rFonts w:ascii="宋体" w:hAnsi="宋体" w:cs="宋体" w:eastAsia="宋体" w:hint="default"/>
                <w:sz w:val="18"/>
                <w:szCs w:val="18"/>
              </w:rPr>
              <w:t>分站式 项目</w:t>
            </w:r>
          </w:p>
        </w:tc>
        <w:tc>
          <w:tcPr>
            <w:tcW w:w="955" w:type="dxa"/>
            <w:vMerge w:val="restart"/>
            <w:tcBorders>
              <w:top w:val="single" w:sz="4" w:space="0" w:color="000000"/>
              <w:left w:val="single" w:sz="4" w:space="0" w:color="000000"/>
              <w:right w:val="single" w:sz="4" w:space="0" w:color="000000"/>
            </w:tcBorders>
            <w:shd w:val="clear" w:color="auto" w:fill="E1FFFF"/>
          </w:tcPr>
          <w:p>
            <w:pPr>
              <w:pStyle w:val="TableParagraph"/>
              <w:spacing w:line="312"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自行开发软 件</w:t>
            </w:r>
            <w:r>
              <w:rPr>
                <w:rFonts w:ascii="Times New Roman" w:hAnsi="Times New Roman" w:cs="Times New Roman" w:eastAsia="Times New Roman" w:hint="default"/>
                <w:sz w:val="18"/>
                <w:szCs w:val="18"/>
              </w:rPr>
              <w:t>-</w:t>
            </w:r>
            <w:r>
              <w:rPr>
                <w:rFonts w:ascii="宋体" w:hAnsi="宋体" w:cs="宋体" w:eastAsia="宋体" w:hint="default"/>
                <w:sz w:val="18"/>
                <w:szCs w:val="18"/>
              </w:rPr>
              <w:t>中小学 教材同步辅 导</w:t>
            </w:r>
          </w:p>
        </w:tc>
        <w:tc>
          <w:tcPr>
            <w:tcW w:w="958" w:type="dxa"/>
            <w:vMerge w:val="restart"/>
            <w:tcBorders>
              <w:top w:val="single" w:sz="4" w:space="0" w:color="000000"/>
              <w:left w:val="single" w:sz="4" w:space="0" w:color="000000"/>
              <w:right w:val="single" w:sz="4" w:space="0" w:color="000000"/>
            </w:tcBorders>
            <w:shd w:val="clear" w:color="auto" w:fill="E1FFFF"/>
          </w:tcPr>
          <w:p>
            <w:pPr>
              <w:pStyle w:val="TableParagraph"/>
              <w:spacing w:line="312"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自行开发软 件</w:t>
            </w:r>
            <w:r>
              <w:rPr>
                <w:rFonts w:ascii="Times New Roman" w:hAnsi="Times New Roman" w:cs="Times New Roman" w:eastAsia="Times New Roman" w:hint="default"/>
                <w:sz w:val="18"/>
                <w:szCs w:val="18"/>
              </w:rPr>
              <w:t>-</w:t>
            </w:r>
            <w:r>
              <w:rPr>
                <w:rFonts w:ascii="宋体" w:hAnsi="宋体" w:cs="宋体" w:eastAsia="宋体" w:hint="default"/>
                <w:sz w:val="18"/>
                <w:szCs w:val="18"/>
              </w:rPr>
              <w:t>金太阳 练习测评管 理系统</w:t>
            </w:r>
          </w:p>
        </w:tc>
        <w:tc>
          <w:tcPr>
            <w:tcW w:w="958"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9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93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5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5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958" w:type="dxa"/>
            <w:vMerge/>
            <w:tcBorders>
              <w:left w:val="single" w:sz="9" w:space="0" w:color="D4D4D4"/>
              <w:right w:val="single" w:sz="4" w:space="0" w:color="000000"/>
            </w:tcBorders>
            <w:shd w:val="clear" w:color="auto" w:fill="E1FFFF"/>
          </w:tcPr>
          <w:p>
            <w:pPr/>
          </w:p>
        </w:tc>
        <w:tc>
          <w:tcPr>
            <w:tcW w:w="958" w:type="dxa"/>
            <w:vMerge/>
            <w:tcBorders>
              <w:left w:val="single" w:sz="4" w:space="0" w:color="000000"/>
              <w:right w:val="single" w:sz="4" w:space="0" w:color="000000"/>
            </w:tcBorders>
            <w:shd w:val="clear" w:color="auto" w:fill="E1FFFF"/>
          </w:tcPr>
          <w:p>
            <w:pPr/>
          </w:p>
        </w:tc>
        <w:tc>
          <w:tcPr>
            <w:tcW w:w="955" w:type="dxa"/>
            <w:vMerge/>
            <w:tcBorders>
              <w:left w:val="single" w:sz="4" w:space="0" w:color="000000"/>
              <w:right w:val="single" w:sz="4" w:space="0" w:color="000000"/>
            </w:tcBorders>
            <w:shd w:val="clear" w:color="auto" w:fill="E1FFFF"/>
          </w:tcPr>
          <w:p>
            <w:pPr/>
          </w:p>
        </w:tc>
        <w:tc>
          <w:tcPr>
            <w:tcW w:w="958" w:type="dxa"/>
            <w:vMerge/>
            <w:tcBorders>
              <w:left w:val="single" w:sz="4" w:space="0" w:color="000000"/>
              <w:right w:val="single" w:sz="4" w:space="0" w:color="000000"/>
            </w:tcBorders>
            <w:shd w:val="clear" w:color="auto" w:fill="E1FFFF"/>
          </w:tcPr>
          <w:p>
            <w:pPr/>
          </w:p>
        </w:tc>
        <w:tc>
          <w:tcPr>
            <w:tcW w:w="958" w:type="dxa"/>
            <w:vMerge/>
            <w:tcBorders>
              <w:left w:val="single" w:sz="4" w:space="0" w:color="000000"/>
              <w:right w:val="single" w:sz="4" w:space="0" w:color="000000"/>
            </w:tcBorders>
            <w:shd w:val="clear" w:color="auto" w:fill="E1FFFF"/>
          </w:tcPr>
          <w:p>
            <w:pPr/>
          </w:p>
        </w:tc>
        <w:tc>
          <w:tcPr>
            <w:tcW w:w="958" w:type="dxa"/>
            <w:vMerge/>
            <w:tcBorders>
              <w:left w:val="single" w:sz="4" w:space="0" w:color="000000"/>
              <w:right w:val="single" w:sz="4" w:space="0" w:color="000000"/>
            </w:tcBorders>
            <w:shd w:val="clear" w:color="auto" w:fill="D4D4D4"/>
          </w:tcPr>
          <w:p>
            <w:pPr/>
          </w:p>
        </w:tc>
      </w:tr>
      <w:tr>
        <w:trPr>
          <w:trHeight w:val="473" w:hRule="exact"/>
        </w:trPr>
        <w:tc>
          <w:tcPr>
            <w:tcW w:w="935" w:type="dxa"/>
            <w:tcBorders>
              <w:top w:val="nil" w:sz="6" w:space="0" w:color="auto"/>
              <w:left w:val="single" w:sz="4" w:space="0" w:color="000000"/>
              <w:bottom w:val="single" w:sz="4" w:space="0" w:color="000000"/>
              <w:right w:val="single" w:sz="4" w:space="0" w:color="000000"/>
            </w:tcBorders>
            <w:shd w:val="clear" w:color="auto" w:fill="D4D4D4"/>
          </w:tcPr>
          <w:p>
            <w:pPr/>
          </w:p>
        </w:tc>
        <w:tc>
          <w:tcPr>
            <w:tcW w:w="968" w:type="dxa"/>
            <w:tcBorders>
              <w:top w:val="nil" w:sz="6" w:space="0" w:color="auto"/>
              <w:left w:val="single" w:sz="4" w:space="0" w:color="000000"/>
              <w:bottom w:val="single" w:sz="4" w:space="0" w:color="000000"/>
              <w:right w:val="single" w:sz="4" w:space="0" w:color="000000"/>
            </w:tcBorders>
            <w:shd w:val="clear" w:color="auto" w:fill="D4D4D4"/>
          </w:tcPr>
          <w:p>
            <w:pPr/>
          </w:p>
        </w:tc>
        <w:tc>
          <w:tcPr>
            <w:tcW w:w="955" w:type="dxa"/>
            <w:tcBorders>
              <w:top w:val="nil" w:sz="6" w:space="0" w:color="auto"/>
              <w:left w:val="single" w:sz="4" w:space="0" w:color="000000"/>
              <w:bottom w:val="single" w:sz="4" w:space="0" w:color="000000"/>
              <w:right w:val="single" w:sz="4" w:space="0" w:color="000000"/>
            </w:tcBorders>
            <w:shd w:val="clear" w:color="auto" w:fill="D4D4D4"/>
          </w:tcPr>
          <w:p>
            <w:pPr/>
          </w:p>
        </w:tc>
        <w:tc>
          <w:tcPr>
            <w:tcW w:w="958" w:type="dxa"/>
            <w:tcBorders>
              <w:top w:val="nil" w:sz="6" w:space="0" w:color="auto"/>
              <w:left w:val="single" w:sz="4" w:space="0" w:color="000000"/>
              <w:bottom w:val="single" w:sz="4" w:space="0" w:color="000000"/>
              <w:right w:val="single" w:sz="4" w:space="0" w:color="000000"/>
            </w:tcBorders>
            <w:shd w:val="clear" w:color="auto" w:fill="D4D4D4"/>
          </w:tcPr>
          <w:p>
            <w:pPr/>
          </w:p>
        </w:tc>
        <w:tc>
          <w:tcPr>
            <w:tcW w:w="958" w:type="dxa"/>
            <w:vMerge/>
            <w:tcBorders>
              <w:left w:val="single" w:sz="9" w:space="0" w:color="D4D4D4"/>
              <w:bottom w:val="single" w:sz="4" w:space="0" w:color="000000"/>
              <w:right w:val="single" w:sz="4" w:space="0" w:color="000000"/>
            </w:tcBorders>
            <w:shd w:val="clear" w:color="auto" w:fill="E1FFFF"/>
          </w:tcPr>
          <w:p>
            <w:pPr/>
          </w:p>
        </w:tc>
        <w:tc>
          <w:tcPr>
            <w:tcW w:w="958" w:type="dxa"/>
            <w:vMerge/>
            <w:tcBorders>
              <w:left w:val="single" w:sz="4" w:space="0" w:color="000000"/>
              <w:bottom w:val="single" w:sz="4" w:space="0" w:color="000000"/>
              <w:right w:val="single" w:sz="4" w:space="0" w:color="000000"/>
            </w:tcBorders>
            <w:shd w:val="clear" w:color="auto" w:fill="E1FFFF"/>
          </w:tcPr>
          <w:p>
            <w:pPr/>
          </w:p>
        </w:tc>
        <w:tc>
          <w:tcPr>
            <w:tcW w:w="955" w:type="dxa"/>
            <w:vMerge/>
            <w:tcBorders>
              <w:left w:val="single" w:sz="4" w:space="0" w:color="000000"/>
              <w:bottom w:val="single" w:sz="4" w:space="0" w:color="000000"/>
              <w:right w:val="single" w:sz="4" w:space="0" w:color="000000"/>
            </w:tcBorders>
            <w:shd w:val="clear" w:color="auto" w:fill="E1FFFF"/>
          </w:tcPr>
          <w:p>
            <w:pPr/>
          </w:p>
        </w:tc>
        <w:tc>
          <w:tcPr>
            <w:tcW w:w="958" w:type="dxa"/>
            <w:vMerge/>
            <w:tcBorders>
              <w:left w:val="single" w:sz="4" w:space="0" w:color="000000"/>
              <w:bottom w:val="single" w:sz="4" w:space="0" w:color="000000"/>
              <w:right w:val="single" w:sz="4" w:space="0" w:color="000000"/>
            </w:tcBorders>
            <w:shd w:val="clear" w:color="auto" w:fill="E1FFFF"/>
          </w:tcPr>
          <w:p>
            <w:pPr/>
          </w:p>
        </w:tc>
        <w:tc>
          <w:tcPr>
            <w:tcW w:w="958" w:type="dxa"/>
            <w:vMerge/>
            <w:tcBorders>
              <w:left w:val="single" w:sz="4" w:space="0" w:color="000000"/>
              <w:bottom w:val="single" w:sz="4" w:space="0" w:color="000000"/>
              <w:right w:val="single" w:sz="4" w:space="0" w:color="000000"/>
            </w:tcBorders>
            <w:shd w:val="clear" w:color="auto" w:fill="E1FFFF"/>
          </w:tcPr>
          <w:p>
            <w:pPr/>
          </w:p>
        </w:tc>
        <w:tc>
          <w:tcPr>
            <w:tcW w:w="958"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1,017,166.9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121,757.76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7,233,324.3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829,475.71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648,465.75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9,850,190.4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1,535,787.3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432,510.02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1,968,297.3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713" w:hRule="exact"/>
        </w:trPr>
        <w:tc>
          <w:tcPr>
            <w:tcW w:w="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9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7,600.00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432,510.02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440,110.02</w:t>
            </w:r>
          </w:p>
        </w:tc>
      </w:tr>
      <w:tr>
        <w:trPr>
          <w:trHeight w:val="715" w:hRule="exact"/>
        </w:trPr>
        <w:tc>
          <w:tcPr>
            <w:tcW w:w="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内部研发</w:t>
            </w:r>
          </w:p>
        </w:tc>
        <w:tc>
          <w:tcPr>
            <w:tcW w:w="9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1,528,187.3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1,528,187.3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49"/>
              <w:ind w:left="12" w:right="1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企业合并增 加</w:t>
            </w:r>
          </w:p>
        </w:tc>
        <w:tc>
          <w:tcPr>
            <w:tcW w:w="968" w:type="dxa"/>
            <w:tcBorders>
              <w:top w:val="single" w:sz="4" w:space="0" w:color="000000"/>
              <w:left w:val="single" w:sz="12" w:space="0" w:color="D4D4D4"/>
              <w:bottom w:val="single" w:sz="4" w:space="0" w:color="000000"/>
              <w:right w:val="single" w:sz="4" w:space="0" w:color="000000"/>
            </w:tcBorders>
          </w:tcPr>
          <w:p>
            <w:pPr>
              <w:pStyle w:val="TableParagraph"/>
              <w:spacing w:line="312" w:lineRule="exact"/>
              <w:ind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47.4pt;height:15.6pt;mso-position-horizontal-relative:char;mso-position-vertical-relative:line" coordorigin="0,0" coordsize="948,312">
                  <v:group style="position:absolute;left:0;top:0;width:948;height:312" coordorigin="0,0" coordsize="948,312">
                    <v:shape style="position:absolute;left:0;top:0;width:948;height:312" coordorigin="0,0" coordsize="948,312" path="m0,312l948,312,948,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968" w:type="dxa"/>
            <w:tcBorders>
              <w:top w:val="single" w:sz="4" w:space="0" w:color="000000"/>
              <w:left w:val="single" w:sz="12" w:space="0" w:color="E1FFFF"/>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5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968" w:type="dxa"/>
            <w:tcBorders>
              <w:top w:val="single" w:sz="4" w:space="0" w:color="000000"/>
              <w:left w:val="single" w:sz="12" w:space="0" w:color="E1FFFF"/>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1,017,166.9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121,757.76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8,769,111.7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829,475.71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1,080,975.7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11,818,487.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r>
      <w:tr>
        <w:trPr>
          <w:trHeight w:val="713" w:hRule="exact"/>
        </w:trPr>
        <w:tc>
          <w:tcPr>
            <w:tcW w:w="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line="240" w:lineRule="auto" w:before="2"/>
        <w:rPr>
          <w:rFonts w:ascii="宋体" w:hAnsi="宋体" w:cs="宋体" w:eastAsia="宋体" w:hint="default"/>
          <w:sz w:val="14"/>
          <w:szCs w:val="14"/>
        </w:rPr>
      </w:pPr>
      <w:r>
        <w:rPr/>
        <w:pict>
          <v:group style="position:absolute;margin-left:104.760002pt;margin-top:142.799988pt;width:47.4pt;height:28pt;mso-position-horizontal-relative:page;mso-position-vertical-relative:page;z-index:-1222192" coordorigin="2095,2856" coordsize="948,560">
            <v:group style="position:absolute;left:2095;top:2856;width:948;height:156" coordorigin="2095,2856" coordsize="948,156">
              <v:shape style="position:absolute;left:2095;top:2856;width:948;height:156" coordorigin="2095,2856" coordsize="948,156" path="m2095,3012l3043,3012,3043,2856,2095,2856,2095,3012xe" filled="true" fillcolor="#ffffff" stroked="false">
                <v:path arrowok="t"/>
                <v:fill type="solid"/>
              </v:shape>
            </v:group>
            <v:group style="position:absolute;left:2107;top:3012;width:2;height:392" coordorigin="2107,3012" coordsize="2,392">
              <v:shape style="position:absolute;left:2107;top:3012;width:2;height:392" coordorigin="2107,3012" coordsize="0,392" path="m2107,3012l2107,3403e" filled="false" stroked="true" strokeweight="1.2pt" strokecolor="#ffffff">
                <v:path arrowok="t"/>
              </v:shape>
            </v:group>
            <v:group style="position:absolute;left:2119;top:3012;width:900;height:392" coordorigin="2119,3012" coordsize="900,392">
              <v:shape style="position:absolute;left:2119;top:3012;width:900;height:392" coordorigin="2119,3012" coordsize="900,392" path="m2119,3403l3019,3403,3019,3012,2119,3012,2119,3403xe" filled="true" fillcolor="#ffffff" stroked="false">
                <v:path arrowok="t"/>
                <v:fill type="solid"/>
              </v:shape>
            </v:group>
            <w10:wrap type="none"/>
          </v:group>
        </w:pict>
      </w:r>
      <w:r>
        <w:rPr/>
        <w:pict>
          <v:group style="position:absolute;margin-left:104.760002pt;margin-top:234.23999pt;width:47.4pt;height:28.1pt;mso-position-horizontal-relative:page;mso-position-vertical-relative:page;z-index:-1222168" coordorigin="2095,4685" coordsize="948,562">
            <v:group style="position:absolute;left:2095;top:4685;width:948;height:156" coordorigin="2095,4685" coordsize="948,156">
              <v:shape style="position:absolute;left:2095;top:4685;width:948;height:156" coordorigin="2095,4685" coordsize="948,156" path="m2095,4841l3043,4841,3043,4685,2095,4685,2095,4841xe" filled="true" fillcolor="#ffffff" stroked="false">
                <v:path arrowok="t"/>
                <v:fill type="solid"/>
              </v:shape>
            </v:group>
            <v:group style="position:absolute;left:2107;top:4841;width:2;height:394" coordorigin="2107,4841" coordsize="2,394">
              <v:shape style="position:absolute;left:2107;top:4841;width:2;height:394" coordorigin="2107,4841" coordsize="0,394" path="m2107,4841l2107,5234e" filled="false" stroked="true" strokeweight="1.2pt" strokecolor="#ffffff">
                <v:path arrowok="t"/>
              </v:shape>
            </v:group>
            <v:group style="position:absolute;left:2119;top:4841;width:900;height:394" coordorigin="2119,4841" coordsize="900,394">
              <v:shape style="position:absolute;left:2119;top:4841;width:900;height:394" coordorigin="2119,4841" coordsize="900,394" path="m2119,5234l3019,5234,3019,4841,2119,4841,2119,5234xe" filled="true" fillcolor="#ffffff" stroked="false">
                <v:path arrowok="t"/>
                <v:fill type="solid"/>
              </v:shape>
            </v:group>
            <w10:wrap type="none"/>
          </v:group>
        </w:pict>
      </w:r>
      <w:r>
        <w:rPr/>
        <w:pict>
          <v:group style="position:absolute;margin-left:104.760002pt;margin-top:432.839996pt;width:47.4pt;height:28.1pt;mso-position-horizontal-relative:page;mso-position-vertical-relative:page;z-index:-1222144" coordorigin="2095,8657" coordsize="948,562">
            <v:group style="position:absolute;left:2095;top:8657;width:948;height:156" coordorigin="2095,8657" coordsize="948,156">
              <v:shape style="position:absolute;left:2095;top:8657;width:948;height:156" coordorigin="2095,8657" coordsize="948,156" path="m2095,8813l3043,8813,3043,8657,2095,8657,2095,8813xe" filled="true" fillcolor="#ffffff" stroked="false">
                <v:path arrowok="t"/>
                <v:fill type="solid"/>
              </v:shape>
            </v:group>
            <v:group style="position:absolute;left:2107;top:8813;width:2;height:394" coordorigin="2107,8813" coordsize="2,394">
              <v:shape style="position:absolute;left:2107;top:8813;width:2;height:394" coordorigin="2107,8813" coordsize="0,394" path="m2107,8813l2107,9206e" filled="false" stroked="true" strokeweight="1.2pt" strokecolor="#ffffff">
                <v:path arrowok="t"/>
              </v:shape>
            </v:group>
            <v:group style="position:absolute;left:2119;top:8813;width:900;height:394" coordorigin="2119,8813" coordsize="900,394">
              <v:shape style="position:absolute;left:2119;top:8813;width:900;height:394" coordorigin="2119,8813" coordsize="900,394" path="m2119,9206l3019,9206,3019,8813,2119,8813,2119,9206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947"/>
        <w:gridCol w:w="968"/>
        <w:gridCol w:w="955"/>
        <w:gridCol w:w="958"/>
        <w:gridCol w:w="958"/>
        <w:gridCol w:w="958"/>
        <w:gridCol w:w="955"/>
        <w:gridCol w:w="958"/>
        <w:gridCol w:w="958"/>
        <w:gridCol w:w="958"/>
      </w:tblGrid>
      <w:tr>
        <w:trPr>
          <w:trHeight w:val="713"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1,017,166.8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117,699.37</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4,244,343.6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511,510.14</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281,170.57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6,171,890.6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4,058.39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1,144,917.3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165,895.20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224,656.08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1,539,527.1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4,058.39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1,144,917.3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165,895.20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224,656.08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1,539,527.1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94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968" w:type="dxa"/>
            <w:tcBorders>
              <w:top w:val="single" w:sz="4" w:space="0" w:color="000000"/>
              <w:left w:val="single" w:sz="12" w:space="0" w:color="E1FFFF"/>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4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968" w:type="dxa"/>
            <w:tcBorders>
              <w:top w:val="single" w:sz="4" w:space="0" w:color="000000"/>
              <w:left w:val="single" w:sz="12" w:space="0" w:color="E1FFFF"/>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1,017,166.9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121,757.76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5,389,261.0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677,405.34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505,826.65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7,711,417.7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4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968" w:type="dxa"/>
            <w:tcBorders>
              <w:top w:val="single" w:sz="4" w:space="0" w:color="000000"/>
              <w:left w:val="single" w:sz="12" w:space="0" w:color="E1FFFF"/>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）处</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4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968" w:type="dxa"/>
            <w:tcBorders>
              <w:top w:val="single" w:sz="4" w:space="0" w:color="000000"/>
              <w:left w:val="single" w:sz="12" w:space="0" w:color="E1FFFF"/>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3,379,850.6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152,070.37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575,149.12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4,107,070.1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968" w:type="dxa"/>
            <w:tcBorders>
              <w:top w:val="single" w:sz="4" w:space="0" w:color="000000"/>
              <w:left w:val="single" w:sz="12"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4,058.39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2,988,980.6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317,965.57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367,295.18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3,678,299.8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3"/>
        <w:rPr>
          <w:rFonts w:ascii="宋体" w:hAnsi="宋体" w:cs="宋体" w:eastAsia="宋体" w:hint="default"/>
          <w:sz w:val="10"/>
          <w:szCs w:val="10"/>
        </w:rPr>
      </w:pPr>
    </w:p>
    <w:p>
      <w:pPr>
        <w:pStyle w:val="Heading3"/>
        <w:spacing w:line="240" w:lineRule="auto" w:before="36"/>
        <w:ind w:right="0"/>
        <w:jc w:val="left"/>
        <w:rPr>
          <w:b w:val="0"/>
          <w:bCs w:val="0"/>
        </w:rPr>
      </w:pPr>
      <w:bookmarkStart w:name="（1）商誉账面原值" w:id="295"/>
      <w:bookmarkEnd w:id="295"/>
      <w:r>
        <w:rPr>
          <w:b w:val="0"/>
          <w:bCs w:val="0"/>
        </w:rPr>
      </w:r>
      <w:bookmarkStart w:name="（2）商誉减值准备" w:id="296"/>
      <w:bookmarkEnd w:id="296"/>
      <w:r>
        <w:rPr>
          <w:b w:val="0"/>
          <w:bCs w:val="0"/>
        </w:rPr>
      </w:r>
      <w:r>
        <w:rPr/>
        <w:t>（</w:t>
      </w:r>
      <w:bookmarkStart w:name="（2）未办妥产权证书的土地使用权情况" w:id="297"/>
      <w:bookmarkEnd w:id="297"/>
      <w:r>
        <w:rPr/>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2"/>
          <w:szCs w:val="22"/>
        </w:rPr>
      </w:pPr>
    </w:p>
    <w:p>
      <w:pPr>
        <w:pStyle w:val="Heading3"/>
        <w:spacing w:line="240" w:lineRule="auto"/>
        <w:ind w:left="575" w:right="0"/>
        <w:jc w:val="left"/>
        <w:rPr>
          <w:b w:val="0"/>
          <w:bCs w:val="0"/>
        </w:rPr>
      </w:pPr>
      <w:r>
        <w:rPr>
          <w:rFonts w:ascii="Times New Roman" w:hAnsi="Times New Roman" w:cs="Times New Roman" w:eastAsia="Times New Roman" w:hint="default"/>
        </w:rPr>
        <w:t>2.</w:t>
      </w:r>
      <w:r>
        <w:rPr/>
        <w:t>本公司认为期末无形资产未出现可收回金额低于账面价值的情形，故未计提无形资产减值准备。</w:t>
      </w:r>
      <w:r>
        <w:rPr>
          <w:b w:val="0"/>
          <w:bCs w:val="0"/>
        </w:rPr>
      </w:r>
    </w:p>
    <w:p>
      <w:pPr>
        <w:pStyle w:val="Heading3"/>
        <w:spacing w:line="240" w:lineRule="auto" w:before="19"/>
        <w:ind w:left="575" w:right="0"/>
        <w:jc w:val="left"/>
        <w:rPr>
          <w:b w:val="0"/>
          <w:bCs w:val="0"/>
        </w:rPr>
      </w:pPr>
      <w:r>
        <w:rPr>
          <w:rFonts w:ascii="Times New Roman" w:hAnsi="Times New Roman" w:cs="Times New Roman" w:eastAsia="Times New Roman" w:hint="default"/>
        </w:rPr>
        <w:t>3</w:t>
      </w:r>
      <w:r>
        <w:rPr/>
        <w:t>．本公司期末无形资产不存在抵押情况。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6"/>
          <w:szCs w:val="26"/>
        </w:rPr>
      </w:pPr>
    </w:p>
    <w:p>
      <w:pPr>
        <w:spacing w:before="0"/>
        <w:ind w:left="0" w:right="193" w:firstLine="0"/>
        <w:jc w:val="right"/>
        <w:rPr>
          <w:rFonts w:ascii="宋体" w:hAnsi="宋体" w:cs="宋体" w:eastAsia="宋体" w:hint="default"/>
          <w:sz w:val="18"/>
          <w:szCs w:val="18"/>
        </w:rPr>
      </w:pPr>
      <w:bookmarkStart w:name="26、开发支出" w:id="298"/>
      <w:bookmarkEnd w:id="29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2"/>
        <w:gridCol w:w="1074"/>
        <w:gridCol w:w="1063"/>
        <w:gridCol w:w="1063"/>
        <w:gridCol w:w="1063"/>
        <w:gridCol w:w="1063"/>
        <w:gridCol w:w="1061"/>
        <w:gridCol w:w="1063"/>
        <w:gridCol w:w="1063"/>
      </w:tblGrid>
      <w:tr>
        <w:trPr>
          <w:trHeight w:val="401" w:hRule="exact"/>
        </w:trPr>
        <w:tc>
          <w:tcPr>
            <w:tcW w:w="10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32"/>
              <w:jc w:val="right"/>
              <w:rPr>
                <w:rFonts w:ascii="宋体" w:hAnsi="宋体" w:cs="宋体" w:eastAsia="宋体" w:hint="default"/>
                <w:sz w:val="18"/>
                <w:szCs w:val="18"/>
              </w:rPr>
            </w:pPr>
            <w:r>
              <w:rPr>
                <w:rFonts w:ascii="宋体" w:hAnsi="宋体" w:cs="宋体" w:eastAsia="宋体" w:hint="default"/>
                <w:sz w:val="18"/>
                <w:szCs w:val="18"/>
              </w:rPr>
              <w:t>项目</w:t>
            </w:r>
          </w:p>
        </w:tc>
        <w:tc>
          <w:tcPr>
            <w:tcW w:w="1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4" w:right="116"/>
              <w:jc w:val="left"/>
              <w:rPr>
                <w:rFonts w:ascii="宋体" w:hAnsi="宋体" w:cs="宋体" w:eastAsia="宋体" w:hint="default"/>
                <w:sz w:val="18"/>
                <w:szCs w:val="18"/>
              </w:rPr>
            </w:pPr>
            <w:r>
              <w:rPr>
                <w:rFonts w:ascii="宋体" w:hAnsi="宋体" w:cs="宋体" w:eastAsia="宋体" w:hint="default"/>
                <w:sz w:val="18"/>
                <w:szCs w:val="18"/>
              </w:rPr>
              <w:t>中小学教材 同步辅导</w:t>
            </w:r>
          </w:p>
        </w:tc>
        <w:tc>
          <w:tcPr>
            <w:tcW w:w="1074" w:type="dxa"/>
            <w:tcBorders>
              <w:top w:val="single" w:sz="4" w:space="0" w:color="000000"/>
              <w:left w:val="single" w:sz="12"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2,421,278.60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1,402,663.92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1,528,187.36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2,295,755.16</w:t>
            </w: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32"/>
              <w:jc w:val="right"/>
              <w:rPr>
                <w:rFonts w:ascii="宋体" w:hAnsi="宋体" w:cs="宋体" w:eastAsia="宋体" w:hint="default"/>
                <w:sz w:val="18"/>
                <w:szCs w:val="18"/>
              </w:rPr>
            </w:pPr>
            <w:r>
              <w:rPr>
                <w:rFonts w:ascii="宋体" w:hAnsi="宋体" w:cs="宋体" w:eastAsia="宋体" w:hint="default"/>
                <w:sz w:val="18"/>
                <w:szCs w:val="18"/>
              </w:rPr>
              <w:t>合计</w:t>
            </w:r>
          </w:p>
        </w:tc>
        <w:tc>
          <w:tcPr>
            <w:tcW w:w="10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2,421,278.60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1,402,663.92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1,528,187.36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2,295,755.16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408" w:lineRule="auto" w:before="0"/>
        <w:ind w:right="0" w:firstLine="420"/>
        <w:jc w:val="left"/>
      </w:pPr>
      <w:r>
        <w:rPr>
          <w:spacing w:val="-2"/>
        </w:rPr>
        <w:t>中小学教材同步辅导项目是按新课标开发中小学英语及其他学科教材多版本同步辅导软件，本期增加</w:t>
      </w:r>
      <w:r>
        <w:rPr>
          <w:w w:val="100"/>
        </w:rPr>
        <w:t> </w:t>
      </w:r>
      <w:r>
        <w:rPr/>
        <w:t>为开发该项目所发生的人力及其他支出。以下按不同版本分别列示资本化开始时点：</w:t>
      </w:r>
    </w:p>
    <w:p>
      <w:pPr>
        <w:spacing w:line="240" w:lineRule="auto" w:before="2"/>
        <w:rPr>
          <w:rFonts w:ascii="宋体" w:hAnsi="宋体" w:cs="宋体" w:eastAsia="宋体" w:hint="default"/>
          <w:sz w:val="26"/>
          <w:szCs w:val="26"/>
        </w:rPr>
      </w:pPr>
    </w:p>
    <w:p>
      <w:pPr>
        <w:spacing w:line="1324" w:lineRule="exact"/>
        <w:ind w:left="572" w:right="0" w:firstLine="0"/>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5936238" cy="841248"/>
            <wp:effectExtent l="0" t="0" r="0" b="0"/>
            <wp:docPr id="105" name="image18.jpeg" descr="?"/>
            <wp:cNvGraphicFramePr>
              <a:graphicFrameLocks noChangeAspect="1"/>
            </wp:cNvGraphicFramePr>
            <a:graphic>
              <a:graphicData uri="http://schemas.openxmlformats.org/drawingml/2006/picture">
                <pic:pic>
                  <pic:nvPicPr>
                    <pic:cNvPr id="106" name="image18.jpeg"/>
                    <pic:cNvPicPr/>
                  </pic:nvPicPr>
                  <pic:blipFill>
                    <a:blip r:embed="rId63" cstate="print"/>
                    <a:stretch>
                      <a:fillRect/>
                    </a:stretch>
                  </pic:blipFill>
                  <pic:spPr>
                    <a:xfrm>
                      <a:off x="0" y="0"/>
                      <a:ext cx="5936238" cy="841248"/>
                    </a:xfrm>
                    <a:prstGeom prst="rect">
                      <a:avLst/>
                    </a:prstGeom>
                  </pic:spPr>
                </pic:pic>
              </a:graphicData>
            </a:graphic>
          </wp:inline>
        </w:drawing>
      </w:r>
      <w:r>
        <w:rPr>
          <w:rFonts w:ascii="宋体" w:hAnsi="宋体" w:cs="宋体" w:eastAsia="宋体" w:hint="default"/>
          <w:position w:val="-25"/>
          <w:sz w:val="20"/>
          <w:szCs w:val="20"/>
        </w:rPr>
      </w:r>
    </w:p>
    <w:p>
      <w:pPr>
        <w:spacing w:line="240" w:lineRule="auto" w:before="1"/>
        <w:rPr>
          <w:rFonts w:ascii="宋体" w:hAnsi="宋体" w:cs="宋体" w:eastAsia="宋体" w:hint="default"/>
          <w:sz w:val="28"/>
          <w:szCs w:val="28"/>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193" w:firstLine="0"/>
        <w:jc w:val="right"/>
        <w:rPr>
          <w:rFonts w:ascii="宋体" w:hAnsi="宋体" w:cs="宋体" w:eastAsia="宋体" w:hint="default"/>
          <w:sz w:val="18"/>
          <w:szCs w:val="18"/>
        </w:rPr>
      </w:pPr>
      <w:bookmarkStart w:name="27、商誉" w:id="299"/>
      <w:bookmarkEnd w:id="29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深圳市连邦信息 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83,940.16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83,940.16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90" w:footer="1066" w:top="1220" w:bottom="1260" w:left="980" w:right="94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6"/>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60" w:lineRule="auto" w:before="49"/>
        <w:ind w:left="152" w:right="5094" w:firstLine="0"/>
        <w:jc w:val="left"/>
        <w:rPr>
          <w:rFonts w:ascii="宋体" w:hAnsi="宋体" w:cs="宋体" w:eastAsia="宋体" w:hint="default"/>
          <w:sz w:val="18"/>
          <w:szCs w:val="18"/>
        </w:rPr>
      </w:pPr>
      <w:bookmarkStart w:name="（2）未经抵销的递延所得税负债" w:id="300"/>
      <w:bookmarkEnd w:id="300"/>
      <w:r>
        <w:rPr/>
      </w:r>
      <w:r>
        <w:rPr>
          <w:rFonts w:ascii="宋体" w:hAnsi="宋体" w:cs="宋体" w:eastAsia="宋体" w:hint="default"/>
          <w:sz w:val="18"/>
          <w:szCs w:val="18"/>
        </w:rPr>
        <w:t>说明商誉减值测试过程、参数及商誉减值损失的确认方法：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8、长期待摊费用" w:id="301"/>
      <w:bookmarkEnd w:id="30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仓库装修费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13,059.39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150,480.80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38,139.50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125,400.69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QQ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18,944.62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6,686.28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12,258.34</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32,004.01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150,480.80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44,825.78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137,659.03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left="351" w:right="0"/>
        <w:jc w:val="left"/>
      </w:pPr>
      <w:r>
        <w:rPr/>
        <w:t>长期待摊费用期末余额较期初增加</w:t>
      </w:r>
      <w:r>
        <w:rPr>
          <w:rFonts w:ascii="Times New Roman" w:hAnsi="Times New Roman" w:cs="Times New Roman" w:eastAsia="Times New Roman" w:hint="default"/>
        </w:rPr>
        <w:t>105,655.02</w:t>
      </w:r>
      <w:r>
        <w:rPr/>
        <w:t>元，增幅为</w:t>
      </w:r>
      <w:r>
        <w:rPr>
          <w:rFonts w:ascii="Times New Roman" w:hAnsi="Times New Roman" w:cs="Times New Roman" w:eastAsia="Times New Roman" w:hint="default"/>
        </w:rPr>
        <w:t>330.13%</w:t>
      </w:r>
      <w:r>
        <w:rPr/>
        <w:t>，主要系本期仓库装修费增加所致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29、递延所得税资产/递延所得税负债" w:id="302"/>
      <w:bookmarkEnd w:id="302"/>
      <w:r>
        <w:rPr/>
      </w:r>
      <w:bookmarkStart w:name="（1）未经抵销的递延所得税资产" w:id="303"/>
      <w:bookmarkEnd w:id="30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1,548,355.90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324,568.08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849,530.18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155,951.96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923,577.45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143,733.93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998,304.70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154,943.02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2,471,933.35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468,302.01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1,847,834.88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310,894.98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2,775,231.19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416,284.68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1,308,229.47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196,234.42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2,775,231.19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416,284.68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1,308,229.47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196,234.42</w:t>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0"/>
          <w:szCs w:val="10"/>
        </w:rPr>
      </w:pPr>
    </w:p>
    <w:p>
      <w:pPr>
        <w:pStyle w:val="Heading3"/>
        <w:spacing w:line="240" w:lineRule="auto" w:before="36"/>
        <w:ind w:right="0"/>
        <w:jc w:val="left"/>
        <w:rPr>
          <w:b w:val="0"/>
          <w:bCs w:val="0"/>
        </w:rPr>
      </w:pPr>
      <w:bookmarkStart w:name="31、短期借款" w:id="304"/>
      <w:bookmarkEnd w:id="304"/>
      <w:r>
        <w:rPr>
          <w:b w:val="0"/>
          <w:bCs w:val="0"/>
        </w:rPr>
      </w:r>
      <w:bookmarkStart w:name="（1）短期借款分类" w:id="305"/>
      <w:bookmarkEnd w:id="305"/>
      <w:r>
        <w:rPr>
          <w:b w:val="0"/>
          <w:bCs w:val="0"/>
        </w:rPr>
      </w:r>
      <w:r>
        <w:rPr/>
        <w:t>（</w:t>
      </w:r>
      <w:bookmarkStart w:name="（3）以抵销后净额列示的递延所得税资产或负债" w:id="306"/>
      <w:bookmarkEnd w:id="306"/>
      <w:r>
        <w:rPr/>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0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c>
          <w:tcPr>
            <w:tcW w:w="1913"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468,302.01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310,894.98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416,284.68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196,234.42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w:t>
      </w:r>
      <w:bookmarkStart w:name="（4）未确认递延所得税资产明细" w:id="307"/>
      <w:bookmarkEnd w:id="307"/>
      <w:r>
        <w:rPr/>
        <w:t>产明细</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w:t>
      </w:r>
      <w:bookmarkStart w:name="（5）未确认递延所得税资产的可抵扣亏损将于以下年度到期" w:id="308"/>
      <w:bookmarkEnd w:id="308"/>
      <w:r>
        <w:rPr/>
        <w:t>以</w:t>
      </w:r>
      <w:r>
        <w:rPr/>
        <w:t>下年度到期</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0、其他非流动资产" w:id="309"/>
      <w:bookmarkEnd w:id="30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74,053,557.00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74,053,557.00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74,053,557.00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74,053,557.00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2"/>
          <w:szCs w:val="22"/>
        </w:rPr>
      </w:pPr>
    </w:p>
    <w:p>
      <w:pPr>
        <w:pStyle w:val="Heading3"/>
        <w:spacing w:line="256" w:lineRule="auto"/>
        <w:ind w:right="0" w:firstLine="516"/>
        <w:jc w:val="left"/>
        <w:rPr>
          <w:b w:val="0"/>
          <w:bCs w:val="0"/>
        </w:rPr>
      </w:pPr>
      <w:r>
        <w:rPr>
          <w:spacing w:val="-1"/>
        </w:rPr>
        <w:t>其他非流动资产期末余额</w:t>
      </w:r>
      <w:r>
        <w:rPr>
          <w:rFonts w:ascii="Times New Roman" w:hAnsi="Times New Roman" w:cs="Times New Roman" w:eastAsia="Times New Roman" w:hint="default"/>
          <w:spacing w:val="-1"/>
        </w:rPr>
        <w:t>74,053,557.00</w:t>
      </w:r>
      <w:r>
        <w:rPr>
          <w:spacing w:val="-1"/>
        </w:rPr>
        <w:t>元系本公司向深圳市大沙河创新走廊建设投资管理有限公司</w:t>
      </w:r>
      <w:r>
        <w:rPr>
          <w:w w:val="100"/>
        </w:rPr>
        <w:t> </w:t>
      </w:r>
      <w:r>
        <w:rPr/>
        <w:t>支付的购房款。</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pStyle w:val="Heading3"/>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3"/>
        <w:rPr>
          <w:rFonts w:ascii="宋体" w:hAnsi="宋体" w:cs="宋体" w:eastAsia="宋体" w:hint="default"/>
          <w:sz w:val="10"/>
          <w:szCs w:val="10"/>
        </w:rPr>
      </w:pPr>
    </w:p>
    <w:p>
      <w:pPr>
        <w:pStyle w:val="Heading3"/>
        <w:spacing w:line="240" w:lineRule="auto" w:before="36"/>
        <w:ind w:right="0"/>
        <w:jc w:val="left"/>
        <w:rPr>
          <w:b w:val="0"/>
          <w:bCs w:val="0"/>
        </w:rPr>
      </w:pPr>
      <w:bookmarkStart w:name="（2）账龄超过1年的重要应付账款" w:id="310"/>
      <w:bookmarkEnd w:id="310"/>
      <w:r>
        <w:rPr>
          <w:b w:val="0"/>
          <w:bCs w:val="0"/>
        </w:rPr>
      </w:r>
      <w:r>
        <w:rPr/>
        <w:t>（</w:t>
      </w:r>
      <w:bookmarkStart w:name="（2）已逾期未偿还的短期借款情况" w:id="311"/>
      <w:bookmarkEnd w:id="311"/>
      <w:r>
        <w:rPr/>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32</w:t>
      </w:r>
      <w:r>
        <w:rPr/>
        <w:t>、以公允价值计量且其</w:t>
      </w:r>
      <w:bookmarkStart w:name="32、以公允价值计量且其变动计入当期损益的金融负债" w:id="312"/>
      <w:bookmarkEnd w:id="312"/>
      <w:r>
        <w:rPr/>
        <w:t>变动计入当期损益</w:t>
      </w:r>
      <w:r>
        <w:rPr/>
        <w:t>的金融负债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3、衍生金融负债" w:id="313"/>
      <w:bookmarkEnd w:id="313"/>
      <w:r>
        <w:rPr/>
      </w:r>
      <w:bookmarkStart w:name="34、应付票据" w:id="314"/>
      <w:bookmarkEnd w:id="31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5、应付账款" w:id="315"/>
      <w:bookmarkEnd w:id="315"/>
      <w:r>
        <w:rPr/>
      </w:r>
      <w:bookmarkStart w:name="（1）应付账款列示" w:id="316"/>
      <w:bookmarkEnd w:id="31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15,260,182.61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5,948,432.34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1,557.21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15,261,364.61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5,949,989.55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3"/>
        <w:rPr>
          <w:rFonts w:ascii="宋体" w:hAnsi="宋体" w:cs="宋体" w:eastAsia="宋体" w:hint="default"/>
          <w:sz w:val="10"/>
          <w:szCs w:val="10"/>
        </w:rPr>
      </w:pPr>
    </w:p>
    <w:p>
      <w:pPr>
        <w:pStyle w:val="Heading3"/>
        <w:spacing w:line="240" w:lineRule="auto" w:before="36"/>
        <w:ind w:right="0"/>
        <w:jc w:val="left"/>
        <w:rPr>
          <w:b w:val="0"/>
          <w:bCs w:val="0"/>
        </w:rPr>
      </w:pPr>
      <w:bookmarkStart w:name="（2）短期薪酬列示" w:id="317"/>
      <w:bookmarkEnd w:id="317"/>
      <w:r>
        <w:rPr>
          <w:b w:val="0"/>
          <w:bCs w:val="0"/>
        </w:rPr>
      </w:r>
      <w:r>
        <w:rPr>
          <w:rFonts w:ascii="Times New Roman" w:hAnsi="Times New Roman" w:cs="Times New Roman" w:eastAsia="Times New Roman" w:hint="default"/>
        </w:rPr>
        <w:t>36</w:t>
      </w:r>
      <w:bookmarkStart w:name="36、预收款项" w:id="318"/>
      <w:bookmarkEnd w:id="318"/>
      <w:r>
        <w:rPr>
          <w:rFonts w:ascii="Times New Roman" w:hAnsi="Times New Roman" w:cs="Times New Roman" w:eastAsia="Times New Roman" w:hint="default"/>
        </w:rPr>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bookmarkStart w:name="（1）预收款项列示" w:id="319"/>
      <w:bookmarkEnd w:id="319"/>
      <w:r>
        <w:rPr>
          <w:rFonts w:ascii="Times New Roman" w:hAnsi="Times New Roman" w:cs="Times New Roman" w:eastAsia="Times New Roman" w:hint="default"/>
        </w:rPr>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648,664.88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1,184,014.22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192,857.93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34,387.70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5,875.60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197.90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847,398.97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1,218,599.82</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账龄超过1年的重要预收款项" w:id="320"/>
      <w:bookmarkEnd w:id="32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期末建造合同形成的已结算未完工项目情况" w:id="321"/>
      <w:bookmarkEnd w:id="32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7、应付职工薪酬" w:id="322"/>
      <w:bookmarkEnd w:id="322"/>
      <w:r>
        <w:rPr/>
      </w:r>
      <w:bookmarkStart w:name="（1）应付职工薪酬列示" w:id="323"/>
      <w:bookmarkEnd w:id="32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833,936.88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26,520,165.49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25,767,403.50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1,586,698.87</w:t>
            </w:r>
            <w:r>
              <w:rPr>
                <w:rFonts w:ascii="Times New Roman"/>
                <w:sz w:val="18"/>
              </w:rPr>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1,653,380.74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1,653,380.74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833,936.88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28,173,546.23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27,420,784.24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1,586,698.87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7" w:right="0"/>
              <w:jc w:val="left"/>
              <w:rPr>
                <w:rFonts w:ascii="Times New Roman" w:hAnsi="Times New Roman" w:cs="Times New Roman" w:eastAsia="Times New Roman" w:hint="default"/>
                <w:sz w:val="18"/>
                <w:szCs w:val="18"/>
              </w:rPr>
            </w:pPr>
            <w:r>
              <w:rPr>
                <w:rFonts w:ascii="Times New Roman"/>
                <w:sz w:val="18"/>
              </w:rPr>
              <w:t>833,936.88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24,220,045.10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1" w:right="0"/>
              <w:jc w:val="left"/>
              <w:rPr>
                <w:rFonts w:ascii="Times New Roman" w:hAnsi="Times New Roman" w:cs="Times New Roman" w:eastAsia="Times New Roman" w:hint="default"/>
                <w:sz w:val="18"/>
                <w:szCs w:val="18"/>
              </w:rPr>
            </w:pPr>
            <w:r>
              <w:rPr>
                <w:rFonts w:ascii="Times New Roman"/>
                <w:sz w:val="18"/>
              </w:rPr>
              <w:t>23,467,283.11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1,586,698.87</w:t>
            </w:r>
          </w:p>
        </w:tc>
      </w:tr>
    </w:tbl>
    <w:p>
      <w:pPr>
        <w:spacing w:after="0" w:line="240" w:lineRule="auto"/>
        <w:jc w:val="lef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1,262,394.03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1,262,394.03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637,287.73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637,287.73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525,050.91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525,050.91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27,888.71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84,348.11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84,348.11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400,438.63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400,438.63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2" w:right="0"/>
              <w:jc w:val="left"/>
              <w:rPr>
                <w:rFonts w:ascii="Times New Roman" w:hAnsi="Times New Roman" w:cs="Times New Roman" w:eastAsia="Times New Roman" w:hint="default"/>
                <w:sz w:val="18"/>
                <w:szCs w:val="18"/>
              </w:rPr>
            </w:pPr>
            <w:r>
              <w:rPr>
                <w:rFonts w:ascii="Times New Roman"/>
                <w:sz w:val="18"/>
              </w:rPr>
              <w:t>833,936.88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26,520,165.49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25,767,403.50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1,586,698.87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9、应付利息" w:id="324"/>
      <w:bookmarkEnd w:id="32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设定提存计划列示" w:id="325"/>
      <w:bookmarkEnd w:id="32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1,555,547.98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1,555,547.98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97,832.76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97,832.76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1,653,380.74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1,653,380.74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56" w:lineRule="auto" w:before="94"/>
        <w:ind w:right="0"/>
        <w:jc w:val="left"/>
        <w:rPr>
          <w:b w:val="0"/>
          <w:bCs w:val="0"/>
        </w:rPr>
      </w:pPr>
      <w:r>
        <w:rPr>
          <w:spacing w:val="-1"/>
        </w:rPr>
        <w:t>应付职工薪酬期末余额较期初增加</w:t>
      </w:r>
      <w:r>
        <w:rPr>
          <w:rFonts w:ascii="Times New Roman" w:hAnsi="Times New Roman" w:cs="Times New Roman" w:eastAsia="Times New Roman" w:hint="default"/>
          <w:spacing w:val="-1"/>
        </w:rPr>
        <w:t>752,761.99</w:t>
      </w:r>
      <w:r>
        <w:rPr>
          <w:spacing w:val="-1"/>
        </w:rPr>
        <w:t>元，增幅为</w:t>
      </w:r>
      <w:r>
        <w:rPr>
          <w:rFonts w:ascii="Times New Roman" w:hAnsi="Times New Roman" w:cs="Times New Roman" w:eastAsia="Times New Roman" w:hint="default"/>
          <w:spacing w:val="-1"/>
        </w:rPr>
        <w:t>90.27%</w:t>
      </w:r>
      <w:r>
        <w:rPr>
          <w:spacing w:val="-1"/>
        </w:rPr>
        <w:t>，主要系本期人力成本增加，期末计提工</w:t>
      </w:r>
      <w:r>
        <w:rPr>
          <w:spacing w:val="-59"/>
        </w:rPr>
        <w:t> </w:t>
      </w:r>
      <w:r>
        <w:rPr>
          <w:spacing w:val="-59"/>
        </w:rPr>
      </w:r>
      <w:r>
        <w:rPr/>
        <w:t>资、奖金较上期增加所致。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38、应交税费" w:id="326"/>
      <w:bookmarkEnd w:id="32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126,992.20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94,556.42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26,511.06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27,289.44</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67,844.92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65,264.80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198,454.93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186,235.06</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30,394.26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29,856.67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21,710.17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21,326.19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471,907.54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424,528.58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0" w:firstLine="0"/>
        <w:jc w:val="left"/>
        <w:rPr>
          <w:rFonts w:ascii="宋体" w:hAnsi="宋体" w:cs="宋体" w:eastAsia="宋体" w:hint="default"/>
          <w:sz w:val="18"/>
          <w:szCs w:val="18"/>
        </w:rPr>
      </w:pPr>
      <w:bookmarkStart w:name="42、划分为持有待售的负债" w:id="327"/>
      <w:bookmarkEnd w:id="327"/>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40</w:t>
      </w:r>
      <w:bookmarkStart w:name="40、应付股利" w:id="328"/>
      <w:bookmarkEnd w:id="328"/>
      <w:r>
        <w:rPr>
          <w:rFonts w:ascii="Times New Roman" w:hAnsi="Times New Roman" w:cs="Times New Roman" w:eastAsia="Times New Roman" w:hint="default"/>
        </w:rPr>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1、其他应付款" w:id="329"/>
      <w:bookmarkEnd w:id="329"/>
      <w:r>
        <w:rPr/>
      </w:r>
      <w:bookmarkStart w:name="（1）按款项性质列示其他应付款" w:id="330"/>
      <w:bookmarkEnd w:id="33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68,469.98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127,022.77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版权费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1,184,581.52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926,481.00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南山区财政局个人住房补助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332,782.76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25,373.48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1,785,834.26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4,478,877.25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账龄超过1年的重要其他应付款" w:id="331"/>
      <w:bookmarkEnd w:id="33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75" w:right="0"/>
        <w:jc w:val="left"/>
      </w:pPr>
      <w:r>
        <w:rPr>
          <w:rFonts w:ascii="Times New Roman" w:hAnsi="Times New Roman" w:cs="Times New Roman" w:eastAsia="Times New Roman" w:hint="default"/>
        </w:rPr>
        <w:t>1</w:t>
      </w:r>
      <w:r>
        <w:rPr/>
        <w:t>、期末无账龄超过一年的重要其他应付款。</w:t>
      </w:r>
    </w:p>
    <w:p>
      <w:pPr>
        <w:pStyle w:val="BodyText"/>
        <w:spacing w:line="240" w:lineRule="auto" w:before="177"/>
        <w:ind w:left="575" w:right="0"/>
        <w:jc w:val="left"/>
      </w:pPr>
      <w:r>
        <w:rPr>
          <w:rFonts w:ascii="Times New Roman" w:hAnsi="Times New Roman" w:cs="Times New Roman" w:eastAsia="Times New Roman" w:hint="default"/>
        </w:rPr>
        <w:t>2</w:t>
      </w:r>
      <w:r>
        <w:rPr/>
        <w:t>、期末余额中无应付本公司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）表决权股份的股东单位及其他关联方的款项。</w:t>
      </w:r>
    </w:p>
    <w:p>
      <w:pPr>
        <w:pStyle w:val="BodyText"/>
        <w:spacing w:line="240" w:lineRule="auto" w:before="177"/>
        <w:ind w:left="570" w:right="0"/>
        <w:jc w:val="left"/>
      </w:pPr>
      <w:r>
        <w:rPr>
          <w:rFonts w:ascii="Times New Roman" w:hAnsi="Times New Roman" w:cs="Times New Roman" w:eastAsia="Times New Roman" w:hint="default"/>
        </w:rPr>
        <w:t>3</w:t>
      </w:r>
      <w:r>
        <w:rPr/>
        <w:t>、其他应付款期末余额较期初减少</w:t>
      </w:r>
      <w:r>
        <w:rPr>
          <w:rFonts w:ascii="Times New Roman" w:hAnsi="Times New Roman" w:cs="Times New Roman" w:eastAsia="Times New Roman" w:hint="default"/>
        </w:rPr>
        <w:t>2,693,042.99</w:t>
      </w:r>
      <w:r>
        <w:rPr/>
        <w:t>元，减幅为</w:t>
      </w:r>
      <w:r>
        <w:rPr>
          <w:rFonts w:ascii="Times New Roman" w:hAnsi="Times New Roman" w:cs="Times New Roman" w:eastAsia="Times New Roman" w:hint="default"/>
        </w:rPr>
        <w:t>60.13%</w:t>
      </w:r>
      <w:r>
        <w:rPr/>
        <w:t>，主要系投资款支付所致。</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2"/>
          <w:szCs w:val="32"/>
        </w:rPr>
      </w:pPr>
    </w:p>
    <w:p>
      <w:pPr>
        <w:pStyle w:val="Heading3"/>
        <w:spacing w:line="240" w:lineRule="auto"/>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3"/>
        <w:rPr>
          <w:rFonts w:ascii="宋体" w:hAnsi="宋体" w:cs="宋体" w:eastAsia="宋体" w:hint="default"/>
          <w:sz w:val="10"/>
          <w:szCs w:val="10"/>
        </w:rPr>
      </w:pPr>
    </w:p>
    <w:p>
      <w:pPr>
        <w:pStyle w:val="Heading3"/>
        <w:spacing w:line="240" w:lineRule="auto" w:before="36"/>
        <w:ind w:right="0"/>
        <w:jc w:val="left"/>
        <w:rPr>
          <w:b w:val="0"/>
          <w:bCs w:val="0"/>
        </w:rPr>
      </w:pPr>
      <w:bookmarkStart w:name="（2）应付债券的增减变动（不包括划分为金融负债的优先股、永续债等其他金融工具）" w:id="332"/>
      <w:bookmarkEnd w:id="332"/>
      <w:r>
        <w:rPr>
          <w:b w:val="0"/>
          <w:bCs w:val="0"/>
        </w:rPr>
      </w:r>
      <w:bookmarkStart w:name="（3）可转换公司债券的转股条件、转股时间说明" w:id="333"/>
      <w:bookmarkEnd w:id="333"/>
      <w:r>
        <w:rPr>
          <w:b w:val="0"/>
          <w:bCs w:val="0"/>
        </w:rPr>
      </w:r>
      <w:bookmarkStart w:name="（4）划分为金融负债的其他金融工具说明" w:id="334"/>
      <w:bookmarkEnd w:id="334"/>
      <w:r>
        <w:rPr>
          <w:b w:val="0"/>
          <w:bCs w:val="0"/>
        </w:rPr>
      </w:r>
      <w:r>
        <w:rPr>
          <w:rFonts w:ascii="Times New Roman" w:hAnsi="Times New Roman" w:cs="Times New Roman" w:eastAsia="Times New Roman" w:hint="default"/>
        </w:rPr>
        <w:t>43</w:t>
      </w:r>
      <w:bookmarkStart w:name="43、一年内到期的非流动负债" w:id="335"/>
      <w:bookmarkEnd w:id="335"/>
      <w:r>
        <w:rPr>
          <w:rFonts w:ascii="Times New Roman" w:hAnsi="Times New Roman" w:cs="Times New Roman" w:eastAsia="Times New Roman" w:hint="default"/>
        </w:rPr>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4、其他流动负债" w:id="336"/>
      <w:bookmarkEnd w:id="33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799"/>
        <w:gridCol w:w="797"/>
        <w:gridCol w:w="799"/>
        <w:gridCol w:w="798"/>
        <w:gridCol w:w="798"/>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5、长期借款" w:id="337"/>
      <w:bookmarkEnd w:id="337"/>
      <w:r>
        <w:rPr/>
      </w:r>
      <w:bookmarkStart w:name="（1）长期借款分类" w:id="338"/>
      <w:bookmarkEnd w:id="33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49"/>
        <w:ind w:left="152" w:right="761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6、应付债券" w:id="339"/>
      <w:bookmarkEnd w:id="339"/>
      <w:r>
        <w:rPr/>
      </w:r>
      <w:r>
        <w:rPr>
          <w:rFonts w:ascii="宋体" w:hAnsi="宋体" w:cs="宋体" w:eastAsia="宋体" w:hint="default"/>
          <w:sz w:val="18"/>
          <w:szCs w:val="18"/>
        </w:rPr>
        <w:t>单位：</w:t>
      </w:r>
      <w:r>
        <w:rPr>
          <w:rFonts w:ascii="宋体" w:hAnsi="宋体" w:cs="宋体" w:eastAsia="宋体" w:hint="default"/>
          <w:spacing w:val="1"/>
          <w:sz w:val="18"/>
          <w:szCs w:val="18"/>
        </w:rPr>
        <w:t> </w:t>
      </w:r>
      <w:bookmarkStart w:name="（1）应付债券" w:id="340"/>
      <w:bookmarkEnd w:id="340"/>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90" w:footer="1066" w:top="1220" w:bottom="12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653" w:space="4174"/>
            <w:col w:w="1123"/>
          </w:cols>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2"/>
        <w:gridCol w:w="1062"/>
        <w:gridCol w:w="1061"/>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52" w:right="6534" w:firstLine="0"/>
        <w:jc w:val="left"/>
        <w:rPr>
          <w:rFonts w:ascii="宋体" w:hAnsi="宋体" w:cs="宋体" w:eastAsia="宋体" w:hint="default"/>
          <w:sz w:val="18"/>
          <w:szCs w:val="18"/>
        </w:rPr>
      </w:pPr>
      <w:bookmarkStart w:name="49、专项应付款" w:id="341"/>
      <w:bookmarkEnd w:id="341"/>
      <w:r>
        <w:rPr/>
      </w:r>
      <w:r>
        <w:rPr>
          <w:rFonts w:ascii="宋体" w:hAnsi="宋体" w:cs="宋体" w:eastAsia="宋体" w:hint="default"/>
          <w:sz w:val="18"/>
          <w:szCs w:val="18"/>
        </w:rPr>
        <w:t>其他金融工具划分为金融负债的依据说明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w:t>
      </w:r>
      <w:bookmarkStart w:name="47、长期应付款" w:id="342"/>
      <w:bookmarkEnd w:id="342"/>
      <w:r>
        <w:rPr/>
        <w:t>示长</w:t>
      </w:r>
      <w:r>
        <w:rPr/>
        <w:t>期</w:t>
      </w:r>
      <w:bookmarkStart w:name="（1）按款项性质列示长期应付款" w:id="343"/>
      <w:bookmarkEnd w:id="343"/>
      <w:r>
        <w:rPr/>
        <w:t>应付款</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8、长期应付职工薪酬" w:id="344"/>
      <w:bookmarkEnd w:id="344"/>
      <w:r>
        <w:rPr/>
      </w:r>
      <w:bookmarkStart w:name="（1）长期应付职工薪酬表" w:id="345"/>
      <w:bookmarkEnd w:id="34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53" w:firstLine="0"/>
        <w:jc w:val="right"/>
        <w:rPr>
          <w:rFonts w:ascii="宋体" w:hAnsi="宋体" w:cs="宋体" w:eastAsia="宋体" w:hint="default"/>
          <w:sz w:val="18"/>
          <w:szCs w:val="18"/>
        </w:rPr>
      </w:pPr>
      <w:bookmarkStart w:name="（2）设定受益计划变动情况" w:id="346"/>
      <w:bookmarkEnd w:id="34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49"/>
        <w:ind w:left="152" w:right="257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3"/>
        <w:rPr>
          <w:rFonts w:ascii="宋体" w:hAnsi="宋体" w:cs="宋体" w:eastAsia="宋体" w:hint="default"/>
          <w:sz w:val="10"/>
          <w:szCs w:val="10"/>
        </w:rPr>
      </w:pPr>
    </w:p>
    <w:p>
      <w:pPr>
        <w:pStyle w:val="Heading3"/>
        <w:spacing w:line="240" w:lineRule="auto" w:before="36"/>
        <w:ind w:right="0"/>
        <w:jc w:val="left"/>
        <w:rPr>
          <w:b w:val="0"/>
          <w:bCs w:val="0"/>
        </w:rPr>
      </w:pPr>
      <w:r>
        <w:rPr>
          <w:rFonts w:ascii="Times New Roman" w:hAnsi="Times New Roman" w:cs="Times New Roman" w:eastAsia="Times New Roman" w:hint="default"/>
        </w:rPr>
        <w:t>50</w:t>
      </w:r>
      <w:bookmarkStart w:name="50、预计负债" w:id="347"/>
      <w:bookmarkEnd w:id="347"/>
      <w:r>
        <w:rPr>
          <w:rFonts w:ascii="Times New Roman" w:hAnsi="Times New Roman" w:cs="Times New Roman" w:eastAsia="Times New Roman" w:hint="default"/>
        </w:rPr>
      </w:r>
      <w:r>
        <w:rPr/>
        <w:t>、预计负债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1、递延收益" w:id="348"/>
      <w:bookmarkEnd w:id="34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5,184,433.36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1,025,900.80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4,158,532.56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在线培训递延收益</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（金太阳口语专家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59" w:lineRule="exact"/>
              <w:ind w:left="753" w:right="0"/>
              <w:jc w:val="left"/>
              <w:rPr>
                <w:rFonts w:ascii="Times New Roman" w:hAnsi="Times New Roman" w:cs="Times New Roman" w:eastAsia="Times New Roman" w:hint="default"/>
                <w:sz w:val="18"/>
                <w:szCs w:val="18"/>
              </w:rPr>
            </w:pPr>
            <w:r>
              <w:rPr>
                <w:rFonts w:ascii="Times New Roman"/>
                <w:sz w:val="18"/>
              </w:rPr>
              <w:t>221,368.00</w:t>
            </w:r>
          </w:p>
          <w:p>
            <w:pPr>
              <w:pStyle w:val="TableParagraph"/>
              <w:spacing w:line="188"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967,140.75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652,743.14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535,765.61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5,405,801.36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967,140.75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1,678,643.94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4,694,298.17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pict>
          <v:group style="position:absolute;margin-left:136.679993pt;margin-top:-48.538292pt;width:79.350pt;height:27.9pt;mso-position-horizontal-relative:page;mso-position-vertical-relative:paragraph;z-index:-1222120" coordorigin="2734,-971" coordsize="1587,558">
            <v:group style="position:absolute;left:2744;top:-960;width:2;height:392" coordorigin="2744,-960" coordsize="2,392">
              <v:shape style="position:absolute;left:2744;top:-960;width:2;height:392" coordorigin="2744,-960" coordsize="0,392" path="m2744,-960l2744,-569e" filled="false" stroked="true" strokeweight="1.08pt" strokecolor="#ffffff">
                <v:path arrowok="t"/>
              </v:shape>
            </v:group>
            <v:group style="position:absolute;left:2734;top:-569;width:1587;height:156" coordorigin="2734,-569" coordsize="1587,156">
              <v:shape style="position:absolute;left:2734;top:-569;width:1587;height:156" coordorigin="2734,-569" coordsize="1587,156" path="m2734,-413l4320,-413,4320,-569,2734,-569,2734,-413xe" filled="true" fillcolor="#ffffff" stroked="false">
                <v:path arrowok="t"/>
                <v:fill type="solid"/>
              </v:shape>
            </v:group>
            <v:group style="position:absolute;left:2755;top:-960;width:1541;height:392" coordorigin="2755,-960" coordsize="1541,392">
              <v:shape style="position:absolute;left:2755;top:-960;width:1541;height:392" coordorigin="2755,-960" coordsize="1541,392" path="m2755,-569l4296,-569,4296,-960,2755,-960,2755,-569xe" filled="true" fillcolor="#ffffff" stroked="false">
                <v:path arrowok="t"/>
                <v:fill type="solid"/>
              </v:shape>
            </v:group>
            <w10:wrap type="none"/>
          </v:group>
        </w:pict>
      </w:r>
      <w:r>
        <w:rPr>
          <w:rFonts w:ascii="宋体" w:hAnsi="宋体" w:cs="宋体" w:eastAsia="宋体" w:hint="default"/>
          <w:sz w:val="18"/>
          <w:szCs w:val="18"/>
        </w:rPr>
        <w:t>涉及政府补助的项目：</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）基于互联网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的中小学英语在 线智能记忆平台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51,248.70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19,996.56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31,252.14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）基于云计算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的教育质量监测 与评价系统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272,036.42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202,036.46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）外语互动学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习平台创新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247,861.28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42,864.09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204,997.19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4-1</w:t>
            </w:r>
            <w:r>
              <w:rPr>
                <w:rFonts w:ascii="宋体" w:hAnsi="宋体" w:cs="宋体" w:eastAsia="宋体" w:hint="default"/>
                <w:sz w:val="18"/>
                <w:szCs w:val="18"/>
              </w:rPr>
              <w:t>）中小学教 育游戏平台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240,043.81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49,182.00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190,861.81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4-2</w:t>
            </w:r>
            <w:r>
              <w:rPr>
                <w:rFonts w:ascii="宋体" w:hAnsi="宋体" w:cs="宋体" w:eastAsia="宋体" w:hint="default"/>
                <w:sz w:val="18"/>
                <w:szCs w:val="18"/>
              </w:rPr>
              <w:t>）中小学教 育游戏平台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73,243.15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73,243.15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5-1</w:t>
            </w:r>
            <w:r>
              <w:rPr>
                <w:rFonts w:ascii="宋体" w:hAnsi="宋体" w:cs="宋体" w:eastAsia="宋体" w:hint="default"/>
                <w:sz w:val="18"/>
                <w:szCs w:val="18"/>
              </w:rPr>
              <w:t>）基于移动 平台的小学英语 同步课程资源系 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82,999.98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417,000.02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宋体" w:hAnsi="宋体" w:cs="宋体" w:eastAsia="宋体" w:hint="default"/>
                <w:sz w:val="18"/>
                <w:szCs w:val="18"/>
              </w:rPr>
              <w:t>）基于移动 平台的小学英语 同步课程资源系 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94,281.74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405,718.26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）青少年书法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多媒体学习软件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）基于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的云智能个性化 教育综合互动平 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193,333.32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2,706,666.68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5,184,433.36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1,025,900.80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4,158,532.56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其他说明：</w:t>
      </w:r>
    </w:p>
    <w:p>
      <w:pPr>
        <w:spacing w:line="240" w:lineRule="auto" w:before="9"/>
        <w:rPr>
          <w:rFonts w:ascii="宋体" w:hAnsi="宋体" w:cs="宋体" w:eastAsia="宋体" w:hint="default"/>
          <w:sz w:val="17"/>
          <w:szCs w:val="17"/>
        </w:rPr>
      </w:pPr>
    </w:p>
    <w:p>
      <w:pPr>
        <w:pStyle w:val="BodyText"/>
        <w:spacing w:line="408" w:lineRule="auto" w:before="0"/>
        <w:ind w:right="0" w:firstLine="419"/>
        <w:jc w:val="left"/>
      </w:pPr>
      <w:r>
        <w:rPr/>
        <w:t>（</w:t>
      </w:r>
      <w:r>
        <w:rPr>
          <w:rFonts w:ascii="宋体" w:hAnsi="宋体" w:cs="宋体" w:eastAsia="宋体" w:hint="default"/>
        </w:rPr>
        <w:t>1</w:t>
      </w:r>
      <w:r>
        <w:rPr/>
        <w:t>）根据深圳市发展与改革委员会的深发改</w:t>
      </w:r>
      <w:r>
        <w:rPr>
          <w:rFonts w:ascii="宋体" w:hAnsi="宋体" w:cs="宋体" w:eastAsia="宋体" w:hint="default"/>
        </w:rPr>
        <w:t>[2011]1673</w:t>
      </w:r>
      <w:r>
        <w:rPr/>
        <w:t>号文件相关规定，本公司获得深圳市科技工</w:t>
      </w:r>
      <w:r>
        <w:rPr>
          <w:spacing w:val="-3"/>
          <w:w w:val="100"/>
        </w:rPr>
        <w:t> </w:t>
      </w:r>
      <w:r>
        <w:rPr>
          <w:spacing w:val="-2"/>
        </w:rPr>
        <w:t>贸和信息化委员会的深圳市生物、互联网、新能源产业发展专项基金项目基于互联网的中小学英语在线智</w:t>
      </w:r>
      <w:r>
        <w:rPr>
          <w:spacing w:val="-43"/>
        </w:rPr>
        <w:t> </w:t>
      </w:r>
      <w:r>
        <w:rPr>
          <w:spacing w:val="-43"/>
        </w:rPr>
      </w:r>
      <w:r>
        <w:rPr/>
        <w:t>能记忆平台无偿资助款</w:t>
      </w:r>
      <w:r>
        <w:rPr>
          <w:rFonts w:ascii="宋体" w:hAnsi="宋体" w:cs="宋体" w:eastAsia="宋体" w:hint="default"/>
        </w:rPr>
        <w:t>80</w:t>
      </w:r>
      <w:r>
        <w:rPr/>
        <w:t>万元。截止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日，该项目已使用</w:t>
      </w:r>
      <w:r>
        <w:rPr>
          <w:rFonts w:ascii="宋体" w:hAnsi="宋体" w:cs="宋体" w:eastAsia="宋体" w:hint="default"/>
        </w:rPr>
        <w:t>768,747.86</w:t>
      </w:r>
      <w:r>
        <w:rPr/>
        <w:t>元。</w:t>
      </w:r>
    </w:p>
    <w:p>
      <w:pPr>
        <w:pStyle w:val="BodyText"/>
        <w:spacing w:line="408" w:lineRule="auto"/>
        <w:ind w:left="153" w:right="150" w:firstLine="422"/>
        <w:jc w:val="both"/>
      </w:pPr>
      <w:r>
        <w:rPr/>
        <w:t>（</w:t>
      </w:r>
      <w:r>
        <w:rPr>
          <w:rFonts w:ascii="宋体" w:hAnsi="宋体" w:cs="宋体" w:eastAsia="宋体" w:hint="default"/>
        </w:rPr>
        <w:t>2</w:t>
      </w:r>
      <w:r>
        <w:rPr/>
        <w:t>）根据深圳市发展与改革委员会的深发改</w:t>
      </w:r>
      <w:r>
        <w:rPr>
          <w:rFonts w:ascii="宋体" w:hAnsi="宋体" w:cs="宋体" w:eastAsia="宋体" w:hint="default"/>
        </w:rPr>
        <w:t>[2012]1241</w:t>
      </w:r>
      <w:r>
        <w:rPr/>
        <w:t>号文件相关规定，本公司获得深圳市科技创</w:t>
      </w:r>
      <w:r>
        <w:rPr>
          <w:w w:val="100"/>
        </w:rPr>
        <w:t> </w:t>
      </w:r>
      <w:r>
        <w:rPr>
          <w:spacing w:val="2"/>
        </w:rPr>
        <w:t>新委员会的深圳市战略性新兴产业发展专项资金项目基于云计算的教育质量监测与评价系统无偿资助款</w:t>
      </w:r>
      <w:r>
        <w:rPr>
          <w:spacing w:val="-28"/>
        </w:rPr>
        <w:t> </w:t>
      </w:r>
      <w:r>
        <w:rPr>
          <w:spacing w:val="-28"/>
        </w:rPr>
      </w:r>
      <w:r>
        <w:rPr>
          <w:rFonts w:ascii="宋体" w:hAnsi="宋体" w:cs="宋体" w:eastAsia="宋体" w:hint="default"/>
        </w:rPr>
        <w:t>200</w:t>
      </w:r>
      <w:r>
        <w:rPr/>
        <w:t>万元。截止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日，该项目资金补助已使用</w:t>
      </w:r>
      <w:r>
        <w:rPr>
          <w:rFonts w:ascii="宋体" w:hAnsi="宋体" w:cs="宋体" w:eastAsia="宋体" w:hint="default"/>
        </w:rPr>
        <w:t>1,797,963.54</w:t>
      </w:r>
      <w:r>
        <w:rPr/>
        <w:t>元。</w:t>
      </w:r>
    </w:p>
    <w:p>
      <w:pPr>
        <w:pStyle w:val="BodyText"/>
        <w:spacing w:line="408" w:lineRule="auto"/>
        <w:ind w:right="145" w:firstLine="422"/>
        <w:jc w:val="both"/>
      </w:pPr>
      <w:r>
        <w:rPr>
          <w:spacing w:val="-2"/>
        </w:rPr>
        <w:t>（</w:t>
      </w:r>
      <w:r>
        <w:rPr>
          <w:rFonts w:ascii="宋体" w:hAnsi="宋体" w:cs="宋体" w:eastAsia="宋体" w:hint="default"/>
          <w:spacing w:val="-2"/>
        </w:rPr>
        <w:t>3</w:t>
      </w:r>
      <w:r>
        <w:rPr>
          <w:spacing w:val="-2"/>
        </w:rPr>
        <w:t>）根据深圳市发展与改革委员会深发改</w:t>
      </w:r>
      <w:r>
        <w:rPr>
          <w:rFonts w:ascii="宋体" w:hAnsi="宋体" w:cs="宋体" w:eastAsia="宋体" w:hint="default"/>
          <w:spacing w:val="-2"/>
        </w:rPr>
        <w:t>[2013]535</w:t>
      </w:r>
      <w:r>
        <w:rPr>
          <w:spacing w:val="-2"/>
        </w:rPr>
        <w:t>号文件相关规定，本公司获得深圳市经济贸易和</w:t>
      </w:r>
      <w:r>
        <w:rPr>
          <w:w w:val="100"/>
        </w:rPr>
        <w:t> </w:t>
      </w:r>
      <w:r>
        <w:rPr>
          <w:spacing w:val="6"/>
        </w:rPr>
        <w:t>信息化委员会的外语互动学习平台创新项目无偿资助款</w:t>
      </w:r>
      <w:r>
        <w:rPr>
          <w:rFonts w:ascii="宋体" w:hAnsi="宋体" w:cs="宋体" w:eastAsia="宋体" w:hint="default"/>
          <w:spacing w:val="6"/>
        </w:rPr>
        <w:t>80</w:t>
      </w:r>
      <w:r>
        <w:rPr>
          <w:spacing w:val="6"/>
        </w:rPr>
        <w:t>万元。截止</w:t>
      </w:r>
      <w:r>
        <w:rPr>
          <w:rFonts w:ascii="宋体" w:hAnsi="宋体" w:cs="宋体" w:eastAsia="宋体" w:hint="default"/>
          <w:spacing w:val="6"/>
        </w:rPr>
        <w:t>2015</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日，该项目已使用</w:t>
      </w:r>
      <w:r>
        <w:rPr>
          <w:spacing w:val="-8"/>
        </w:rPr>
        <w:t> </w:t>
      </w:r>
      <w:r>
        <w:rPr>
          <w:spacing w:val="-8"/>
        </w:rPr>
      </w:r>
      <w:r>
        <w:rPr>
          <w:rFonts w:ascii="宋体" w:hAnsi="宋体" w:cs="宋体" w:eastAsia="宋体" w:hint="default"/>
        </w:rPr>
        <w:t>595,002.81</w:t>
      </w:r>
      <w:r>
        <w:rPr/>
        <w:t>元。</w:t>
      </w:r>
    </w:p>
    <w:p>
      <w:pPr>
        <w:pStyle w:val="BodyText"/>
        <w:spacing w:line="408" w:lineRule="auto"/>
        <w:ind w:right="150" w:firstLine="422"/>
        <w:jc w:val="both"/>
      </w:pPr>
      <w:r>
        <w:rPr/>
        <w:t>（</w:t>
      </w:r>
      <w:r>
        <w:rPr>
          <w:rFonts w:ascii="宋体" w:hAnsi="宋体" w:cs="宋体" w:eastAsia="宋体" w:hint="default"/>
        </w:rPr>
        <w:t>4</w:t>
      </w:r>
      <w:r>
        <w:rPr/>
        <w:t>）为落实《深圳市文化创意产业发展专项资金管理办法》所规定的优惠政策，本公司获得深圳市</w:t>
      </w:r>
      <w:r>
        <w:rPr>
          <w:w w:val="100"/>
        </w:rPr>
        <w:t> </w:t>
      </w:r>
      <w:r>
        <w:rPr>
          <w:spacing w:val="17"/>
        </w:rPr>
        <w:t>文体旅游局的中小学教育游戏平台项目无偿资助款</w:t>
      </w:r>
      <w:r>
        <w:rPr>
          <w:spacing w:val="-76"/>
        </w:rPr>
        <w:t> </w:t>
      </w:r>
      <w:r>
        <w:rPr>
          <w:rFonts w:ascii="宋体" w:hAnsi="宋体" w:cs="宋体" w:eastAsia="宋体" w:hint="default"/>
        </w:rPr>
        <w:t>91</w:t>
      </w:r>
      <w:r>
        <w:rPr>
          <w:rFonts w:ascii="宋体" w:hAnsi="宋体" w:cs="宋体" w:eastAsia="宋体" w:hint="default"/>
          <w:spacing w:val="-78"/>
        </w:rPr>
        <w:t> </w:t>
      </w:r>
      <w:r>
        <w:rPr>
          <w:spacing w:val="14"/>
        </w:rPr>
        <w:t>万元。截止</w:t>
      </w:r>
      <w:r>
        <w:rPr>
          <w:spacing w:val="-76"/>
        </w:rPr>
        <w:t> </w:t>
      </w:r>
      <w:r>
        <w:rPr>
          <w:rFonts w:ascii="宋体" w:hAnsi="宋体" w:cs="宋体" w:eastAsia="宋体" w:hint="default"/>
        </w:rPr>
        <w:t>2015</w:t>
      </w:r>
      <w:r>
        <w:rPr>
          <w:rFonts w:ascii="宋体" w:hAnsi="宋体" w:cs="宋体" w:eastAsia="宋体" w:hint="default"/>
          <w:spacing w:val="-78"/>
        </w:rPr>
        <w:t> </w:t>
      </w:r>
      <w:r>
        <w:rPr/>
        <w:t>年</w:t>
      </w:r>
      <w:r>
        <w:rPr>
          <w:spacing w:val="-76"/>
        </w:rPr>
        <w:t> </w:t>
      </w:r>
      <w:r>
        <w:rPr>
          <w:rFonts w:ascii="宋体" w:hAnsi="宋体" w:cs="宋体" w:eastAsia="宋体" w:hint="default"/>
        </w:rPr>
        <w:t>12</w:t>
      </w:r>
      <w:r>
        <w:rPr>
          <w:rFonts w:ascii="宋体" w:hAnsi="宋体" w:cs="宋体" w:eastAsia="宋体" w:hint="default"/>
          <w:spacing w:val="-78"/>
        </w:rPr>
        <w:t> </w:t>
      </w:r>
      <w:r>
        <w:rPr/>
        <w:t>月</w:t>
      </w:r>
      <w:r>
        <w:rPr>
          <w:spacing w:val="-76"/>
        </w:rPr>
        <w:t> </w:t>
      </w:r>
      <w:r>
        <w:rPr>
          <w:rFonts w:ascii="宋体" w:hAnsi="宋体" w:cs="宋体" w:eastAsia="宋体" w:hint="default"/>
        </w:rPr>
        <w:t>31</w:t>
      </w:r>
      <w:r>
        <w:rPr>
          <w:rFonts w:ascii="宋体" w:hAnsi="宋体" w:cs="宋体" w:eastAsia="宋体" w:hint="default"/>
          <w:spacing w:val="-78"/>
        </w:rPr>
        <w:t> </w:t>
      </w:r>
      <w:r>
        <w:rPr>
          <w:spacing w:val="16"/>
        </w:rPr>
        <w:t>日，该项目已使用</w:t>
      </w:r>
      <w:r>
        <w:rPr>
          <w:spacing w:val="-97"/>
        </w:rPr>
        <w:t> </w:t>
      </w:r>
      <w:r>
        <w:rPr>
          <w:spacing w:val="-97"/>
        </w:rPr>
      </w:r>
      <w:r>
        <w:rPr>
          <w:rFonts w:ascii="宋体" w:hAnsi="宋体" w:cs="宋体" w:eastAsia="宋体" w:hint="default"/>
        </w:rPr>
        <w:t>719,138.19</w:t>
      </w:r>
      <w:r>
        <w:rPr/>
        <w:t>元。</w:t>
      </w:r>
    </w:p>
    <w:p>
      <w:pPr>
        <w:pStyle w:val="BodyText"/>
        <w:spacing w:line="408" w:lineRule="auto"/>
        <w:ind w:right="149" w:firstLine="422"/>
        <w:jc w:val="both"/>
      </w:pPr>
      <w:r>
        <w:rPr>
          <w:spacing w:val="-2"/>
        </w:rPr>
        <w:t>（</w:t>
      </w:r>
      <w:r>
        <w:rPr>
          <w:rFonts w:ascii="宋体" w:hAnsi="宋体" w:cs="宋体" w:eastAsia="宋体" w:hint="default"/>
          <w:spacing w:val="-2"/>
        </w:rPr>
        <w:t>5</w:t>
      </w:r>
      <w:r>
        <w:rPr>
          <w:spacing w:val="-2"/>
        </w:rPr>
        <w:t>）为落实深圳市发展与改革委员会的深发改</w:t>
      </w:r>
      <w:r>
        <w:rPr>
          <w:rFonts w:ascii="宋体" w:hAnsi="宋体" w:cs="宋体" w:eastAsia="宋体" w:hint="default"/>
          <w:spacing w:val="-2"/>
        </w:rPr>
        <w:t>[2014]939</w:t>
      </w:r>
      <w:r>
        <w:rPr>
          <w:spacing w:val="-2"/>
        </w:rPr>
        <w:t>号文件相关规定，本公司获得深圳市科技创</w:t>
      </w:r>
      <w:r>
        <w:rPr>
          <w:w w:val="100"/>
        </w:rPr>
        <w:t> </w:t>
      </w:r>
      <w:r>
        <w:rPr/>
        <w:t>新委员会的基于移动平台的小学英语同步课程资源系统无偿资助款</w:t>
      </w:r>
      <w:r>
        <w:rPr>
          <w:rFonts w:ascii="宋体" w:hAnsi="宋体" w:cs="宋体" w:eastAsia="宋体" w:hint="default"/>
        </w:rPr>
        <w:t>100</w:t>
      </w:r>
      <w:r>
        <w:rPr/>
        <w:t>万元。截止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日，该项</w:t>
      </w:r>
      <w:r>
        <w:rPr>
          <w:spacing w:val="-30"/>
        </w:rPr>
        <w:t> </w:t>
      </w:r>
      <w:r>
        <w:rPr>
          <w:spacing w:val="-30"/>
        </w:rPr>
      </w:r>
      <w:r>
        <w:rPr/>
        <w:t>目已使用</w:t>
      </w:r>
      <w:r>
        <w:rPr>
          <w:rFonts w:ascii="宋体" w:hAnsi="宋体" w:cs="宋体" w:eastAsia="宋体" w:hint="default"/>
        </w:rPr>
        <w:t>177,281.72</w:t>
      </w:r>
      <w:r>
        <w:rPr/>
        <w:t>元。</w:t>
      </w:r>
    </w:p>
    <w:p>
      <w:pPr>
        <w:pStyle w:val="BodyText"/>
        <w:spacing w:line="408" w:lineRule="auto"/>
        <w:ind w:left="153" w:right="149" w:firstLine="422"/>
        <w:jc w:val="both"/>
      </w:pPr>
      <w:r>
        <w:rPr/>
        <w:t>（</w:t>
      </w:r>
      <w:r>
        <w:rPr>
          <w:rFonts w:ascii="宋体" w:hAnsi="宋体" w:cs="宋体" w:eastAsia="宋体" w:hint="default"/>
        </w:rPr>
        <w:t>6</w:t>
      </w:r>
      <w:r>
        <w:rPr/>
        <w:t>）根据《南山区文化产业发展专项资金管理暂行办会》的规定，本公司获得深圳市南山区人民政</w:t>
      </w:r>
      <w:r>
        <w:rPr>
          <w:w w:val="100"/>
        </w:rPr>
        <w:t> </w:t>
      </w:r>
      <w:r>
        <w:rPr>
          <w:spacing w:val="-2"/>
        </w:rPr>
        <w:t>府文化产业发展办公室的青少年书法多媒体学习软件项目无偿资助款</w:t>
      </w:r>
      <w:r>
        <w:rPr>
          <w:rFonts w:ascii="宋体" w:hAnsi="宋体" w:cs="宋体" w:eastAsia="宋体" w:hint="default"/>
          <w:spacing w:val="-2"/>
        </w:rPr>
        <w:t>40</w:t>
      </w:r>
      <w:r>
        <w:rPr>
          <w:spacing w:val="-2"/>
        </w:rPr>
        <w:t>万元。截止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日，该项</w:t>
      </w:r>
      <w:r>
        <w:rPr>
          <w:spacing w:val="-34"/>
        </w:rPr>
        <w:t> </w:t>
      </w:r>
      <w:r>
        <w:rPr>
          <w:spacing w:val="-34"/>
        </w:rPr>
      </w:r>
      <w:r>
        <w:rPr/>
        <w:t>目资金已全部使用。</w:t>
      </w:r>
    </w:p>
    <w:p>
      <w:pPr>
        <w:pStyle w:val="BodyText"/>
        <w:spacing w:line="408" w:lineRule="auto"/>
        <w:ind w:left="153" w:right="146" w:firstLine="422"/>
        <w:jc w:val="both"/>
      </w:pPr>
      <w:r>
        <w:rPr>
          <w:spacing w:val="-2"/>
        </w:rPr>
        <w:t>（</w:t>
      </w:r>
      <w:r>
        <w:rPr>
          <w:rFonts w:ascii="宋体" w:hAnsi="宋体" w:cs="宋体" w:eastAsia="宋体" w:hint="default"/>
          <w:spacing w:val="-2"/>
        </w:rPr>
        <w:t>7</w:t>
      </w:r>
      <w:r>
        <w:rPr>
          <w:spacing w:val="-2"/>
        </w:rPr>
        <w:t>）根据深发改</w:t>
      </w:r>
      <w:r>
        <w:rPr>
          <w:rFonts w:ascii="宋体" w:hAnsi="宋体" w:cs="宋体" w:eastAsia="宋体" w:hint="default"/>
          <w:spacing w:val="-2"/>
        </w:rPr>
        <w:t>[2013]535</w:t>
      </w:r>
      <w:r>
        <w:rPr>
          <w:spacing w:val="-2"/>
        </w:rPr>
        <w:t>号文件相关规定，本公司获得深圳市发展改革委员会、深圳市经济贸易和</w:t>
      </w:r>
      <w:r>
        <w:rPr>
          <w:w w:val="100"/>
        </w:rPr>
        <w:t> </w:t>
      </w:r>
      <w:r>
        <w:rPr>
          <w:spacing w:val="-2"/>
        </w:rPr>
        <w:t>信息化委员会、深圳市科技创新委员会、深圳市财政委员会文件的深圳市战略性新兴产业发展专项资金项</w:t>
      </w:r>
      <w:r>
        <w:rPr>
          <w:spacing w:val="-42"/>
        </w:rPr>
        <w:t> </w:t>
      </w:r>
      <w:r>
        <w:rPr>
          <w:spacing w:val="-42"/>
        </w:rPr>
      </w:r>
      <w:r>
        <w:rPr>
          <w:spacing w:val="3"/>
        </w:rPr>
        <w:t>目基于</w:t>
      </w:r>
      <w:r>
        <w:rPr>
          <w:rFonts w:ascii="宋体" w:hAnsi="宋体" w:cs="宋体" w:eastAsia="宋体" w:hint="default"/>
          <w:spacing w:val="3"/>
        </w:rPr>
        <w:t>SAAS</w:t>
      </w:r>
      <w:r>
        <w:rPr>
          <w:spacing w:val="3"/>
        </w:rPr>
        <w:t>的云智能个性化教育综合互动平台无偿资助</w:t>
      </w:r>
      <w:r>
        <w:rPr>
          <w:rFonts w:ascii="宋体" w:hAnsi="宋体" w:cs="宋体" w:eastAsia="宋体" w:hint="default"/>
          <w:spacing w:val="3"/>
        </w:rPr>
        <w:t>290</w:t>
      </w:r>
      <w:r>
        <w:rPr>
          <w:spacing w:val="3"/>
        </w:rPr>
        <w:t>万元。截止</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日，该项目已使用</w:t>
      </w:r>
      <w:r>
        <w:rPr>
          <w:spacing w:val="11"/>
        </w:rPr>
        <w:t> </w:t>
      </w:r>
      <w:r>
        <w:rPr>
          <w:spacing w:val="11"/>
        </w:rPr>
      </w:r>
      <w:r>
        <w:rPr>
          <w:rFonts w:ascii="宋体" w:hAnsi="宋体" w:cs="宋体" w:eastAsia="宋体" w:hint="default"/>
        </w:rPr>
        <w:t>193,333.32</w:t>
      </w:r>
      <w:r>
        <w:rPr/>
        <w:t>元。</w:t>
      </w:r>
    </w:p>
    <w:p>
      <w:pPr>
        <w:spacing w:after="0" w:line="408" w:lineRule="auto"/>
        <w:jc w:val="both"/>
        <w:sectPr>
          <w:pgSz w:w="11910" w:h="16840"/>
          <w:pgMar w:header="990" w:footer="1066" w:top="1220" w:bottom="1260" w:left="980" w:right="980"/>
        </w:sectPr>
      </w:pPr>
    </w:p>
    <w:p>
      <w:pPr>
        <w:spacing w:line="240" w:lineRule="auto" w:before="5"/>
        <w:rPr>
          <w:rFonts w:ascii="宋体" w:hAnsi="宋体" w:cs="宋体" w:eastAsia="宋体" w:hint="default"/>
          <w:sz w:val="10"/>
          <w:szCs w:val="10"/>
        </w:rPr>
      </w:pPr>
    </w:p>
    <w:p>
      <w:pPr>
        <w:pStyle w:val="Heading3"/>
        <w:spacing w:line="240" w:lineRule="auto" w:before="36"/>
        <w:ind w:right="0"/>
        <w:jc w:val="left"/>
        <w:rPr>
          <w:b w:val="0"/>
          <w:bCs w:val="0"/>
        </w:rPr>
      </w:pPr>
      <w:bookmarkStart w:name="56、库存股" w:id="349"/>
      <w:bookmarkEnd w:id="349"/>
      <w:r>
        <w:rPr>
          <w:b w:val="0"/>
          <w:bCs w:val="0"/>
        </w:rPr>
      </w:r>
      <w:r>
        <w:rPr>
          <w:rFonts w:ascii="Times New Roman" w:hAnsi="Times New Roman" w:cs="Times New Roman" w:eastAsia="Times New Roman" w:hint="default"/>
        </w:rPr>
        <w:t>52</w:t>
      </w:r>
      <w:bookmarkStart w:name="52、其他非流动负债" w:id="350"/>
      <w:bookmarkEnd w:id="350"/>
      <w:r>
        <w:rPr>
          <w:rFonts w:ascii="Times New Roman" w:hAnsi="Times New Roman" w:cs="Times New Roman" w:eastAsia="Times New Roman" w:hint="default"/>
        </w:rPr>
      </w:r>
      <w:r>
        <w:rPr/>
        <w:t>、其他非流动负债</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3、股本" w:id="351"/>
      <w:bookmarkEnd w:id="351"/>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84"/>
        <w:gridCol w:w="1208"/>
      </w:tblGrid>
      <w:tr>
        <w:trPr>
          <w:trHeight w:val="204" w:hRule="exact"/>
        </w:trPr>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96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195" w:type="dxa"/>
            <w:vMerge w:val="restart"/>
            <w:tcBorders>
              <w:top w:val="nil" w:sz="6" w:space="0" w:color="auto"/>
              <w:left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8"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95" w:type="dxa"/>
            <w:vMerge/>
            <w:tcBorders>
              <w:left w:val="single" w:sz="4" w:space="0" w:color="000000"/>
              <w:bottom w:val="nil" w:sz="6" w:space="0" w:color="auto"/>
              <w:right w:val="single" w:sz="4" w:space="0" w:color="000000"/>
            </w:tcBorders>
            <w:shd w:val="clear" w:color="auto" w:fill="D4D4D4"/>
          </w:tcPr>
          <w:p>
            <w:pPr/>
          </w:p>
        </w:tc>
        <w:tc>
          <w:tcPr>
            <w:tcW w:w="1198"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158,400,000.00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158,400,000.00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w:t>
      </w:r>
      <w:bookmarkStart w:name="54、其他权益工具" w:id="352"/>
      <w:bookmarkEnd w:id="352"/>
      <w:r>
        <w:rPr/>
      </w:r>
      <w:bookmarkStart w:name="（1）期末发行在外的优先股、永续债等其他金融工具基本情况" w:id="353"/>
      <w:bookmarkEnd w:id="353"/>
      <w:r>
        <w:rPr/>
        <w:t>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期末发行在外的优先股、永续债等金融工具变动情况表" w:id="354"/>
      <w:bookmarkEnd w:id="35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2"/>
        <w:gridCol w:w="1062"/>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5、资本公积" w:id="355"/>
      <w:bookmarkEnd w:id="35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62,580,990.76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62,580,990.76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62,580,990.76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62,580,990.76</w:t>
            </w:r>
          </w:p>
        </w:tc>
      </w:tr>
    </w:tbl>
    <w:p>
      <w:pPr>
        <w:spacing w:line="357" w:lineRule="auto" w:before="49"/>
        <w:ind w:left="152" w:right="563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3"/>
        <w:rPr>
          <w:rFonts w:ascii="宋体" w:hAnsi="宋体" w:cs="宋体" w:eastAsia="宋体" w:hint="default"/>
          <w:sz w:val="10"/>
          <w:szCs w:val="10"/>
        </w:rPr>
      </w:pPr>
    </w:p>
    <w:p>
      <w:pPr>
        <w:pStyle w:val="Heading3"/>
        <w:spacing w:line="240" w:lineRule="auto" w:before="36"/>
        <w:ind w:right="0"/>
        <w:jc w:val="left"/>
        <w:rPr>
          <w:b w:val="0"/>
          <w:bCs w:val="0"/>
        </w:rPr>
      </w:pPr>
      <w:r>
        <w:rPr>
          <w:rFonts w:ascii="Times New Roman" w:hAnsi="Times New Roman" w:cs="Times New Roman" w:eastAsia="Times New Roman" w:hint="default"/>
        </w:rPr>
        <w:t>57</w:t>
      </w:r>
      <w:bookmarkStart w:name="57、其他综合收益" w:id="356"/>
      <w:bookmarkEnd w:id="356"/>
      <w:r>
        <w:rPr>
          <w:rFonts w:ascii="Times New Roman" w:hAnsi="Times New Roman" w:cs="Times New Roman" w:eastAsia="Times New Roman" w:hint="default"/>
        </w:rPr>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09"/>
        <w:gridCol w:w="1068"/>
        <w:gridCol w:w="936"/>
        <w:gridCol w:w="1152"/>
        <w:gridCol w:w="934"/>
        <w:gridCol w:w="936"/>
        <w:gridCol w:w="936"/>
        <w:gridCol w:w="799"/>
      </w:tblGrid>
      <w:tr>
        <w:trPr>
          <w:trHeight w:val="403" w:hRule="exact"/>
        </w:trPr>
        <w:tc>
          <w:tcPr>
            <w:tcW w:w="280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2809" w:type="dxa"/>
            <w:vMerge/>
            <w:tcBorders>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4D4D4"/>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8、专项储备" w:id="357"/>
      <w:bookmarkEnd w:id="35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9、盈余公积" w:id="358"/>
      <w:bookmarkEnd w:id="35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14,026,838.97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2,338,313.75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16,365,152.72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14,026,838.97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2,338,313.75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16,365,152.72</w:t>
            </w:r>
          </w:p>
        </w:tc>
      </w:tr>
    </w:tbl>
    <w:p>
      <w:pPr>
        <w:spacing w:line="360"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0、未分配利润" w:id="359"/>
      <w:bookmarkEnd w:id="35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101,236,053.71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86,282,907.86</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101,236,053.71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86,282,907.86</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22,228,072.58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22,523,905.35</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2,338,313.75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2,290,759.50</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15,840,000.00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5,280,000.00</w:t>
            </w:r>
            <w:r>
              <w:rPr>
                <w:rFonts w:ascii="Times New Roman"/>
                <w:sz w:val="18"/>
              </w:rPr>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105,285,812.54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101,236,053.71</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1"/>
          <w:szCs w:val="11"/>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61</w:t>
      </w:r>
      <w:bookmarkStart w:name="61、营业收入和营业成本" w:id="360"/>
      <w:bookmarkEnd w:id="360"/>
      <w:r>
        <w:rPr>
          <w:rFonts w:ascii="Times New Roman" w:hAnsi="Times New Roman" w:cs="Times New Roman" w:eastAsia="Times New Roman" w:hint="default"/>
        </w:rPr>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99,441,831.01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34,863,885.73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82,827,812.22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21,566,659.94</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99,441,831.01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34,863,885.73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82,827,812.22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21,566,659.94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2、营业税金及附加" w:id="361"/>
      <w:bookmarkEnd w:id="36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26,978.58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40,307.79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468,103.47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503,877.19</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334,359.64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359,912.27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3,791.23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829,441.69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907,888.48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3、销售费用" w:id="362"/>
      <w:bookmarkEnd w:id="36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11,850,362.54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9,632,627.61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1,327,610.58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1,323,355.43</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2,876,311.32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3,621,310.05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171,151.19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323,822.86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1,288,994.05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1,127,934.21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790,063.88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671,262.69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1,920,063.62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1,660,105.62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606,354.87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618,972.01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会务费及培训费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712,745.60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674,781.84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通讯费及网络费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133,955.32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136,805.78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362,897.56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51,398.48</w:t>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22,040,510.53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19,842,376.58</w:t>
            </w:r>
          </w:p>
        </w:tc>
      </w:tr>
    </w:tbl>
    <w:p>
      <w:pPr>
        <w:spacing w:before="49"/>
        <w:ind w:left="152" w:right="0" w:firstLine="0"/>
        <w:jc w:val="left"/>
        <w:rPr>
          <w:rFonts w:ascii="宋体" w:hAnsi="宋体" w:cs="宋体" w:eastAsia="宋体" w:hint="default"/>
          <w:sz w:val="18"/>
          <w:szCs w:val="18"/>
        </w:rPr>
      </w:pPr>
      <w:bookmarkStart w:name="66、资产减值损失" w:id="363"/>
      <w:bookmarkEnd w:id="363"/>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64</w:t>
      </w:r>
      <w:bookmarkStart w:name="64、管理费用" w:id="364"/>
      <w:bookmarkEnd w:id="364"/>
      <w:r>
        <w:rPr>
          <w:rFonts w:ascii="Times New Roman" w:hAnsi="Times New Roman" w:cs="Times New Roman" w:eastAsia="Times New Roman" w:hint="default"/>
        </w:rPr>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17,052,542.10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17,256,623.60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5,568,232.41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5,775,313.10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332,197.68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268,701.31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456,799.32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406,284.88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130,116.90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86,532.89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913,237.40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643,147.10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153,313.19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151,414.97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477,292.91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580,990.96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158,658.73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77,601.90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会费及年审费、中介机构费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1,103,277.71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1,490,292.80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通讯费及网络费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172,660.15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223,443.72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436,058.76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493,919.70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26,954,387.26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27,454,266.93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5、财务费用" w:id="365"/>
      <w:bookmarkEnd w:id="36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826,425.82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3,004,769.69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-19,262.83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-30,857.31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其他杂费</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24,974.03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22,494.36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-820,714.62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-3,013,132.64</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698,825.72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410,698.33</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404,109.46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1,552,732.21</w:t>
            </w:r>
            <w:r>
              <w:rPr>
                <w:rFonts w:ascii="Times New Roman"/>
                <w:sz w:val="18"/>
              </w:rPr>
            </w:r>
          </w:p>
        </w:tc>
      </w:tr>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1,102,935.18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1,963,430.54</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67</w:t>
      </w:r>
      <w:bookmarkStart w:name="67、公允价值变动收益" w:id="366"/>
      <w:bookmarkEnd w:id="366"/>
      <w:r>
        <w:rPr>
          <w:rFonts w:ascii="Times New Roman" w:hAnsi="Times New Roman" w:cs="Times New Roman" w:eastAsia="Times New Roman" w:hint="default"/>
        </w:rPr>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8、投资收益" w:id="367"/>
      <w:bookmarkEnd w:id="36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4,424,106.13</w:t>
            </w:r>
            <w:r>
              <w:rPr>
                <w:rFonts w:ascii="Times New Roman"/>
                <w:sz w:val="18"/>
              </w:rPr>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4,424,106.13</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256" w:lineRule="auto" w:before="0"/>
        <w:ind w:right="0" w:firstLine="427"/>
        <w:jc w:val="left"/>
      </w:pPr>
      <w:r>
        <w:rPr>
          <w:spacing w:val="-3"/>
        </w:rPr>
        <w:t>投资收益本期发生额较上期增加</w:t>
      </w:r>
      <w:r>
        <w:rPr>
          <w:rFonts w:ascii="Times New Roman" w:hAnsi="Times New Roman" w:cs="Times New Roman" w:eastAsia="Times New Roman" w:hint="default"/>
          <w:spacing w:val="-3"/>
        </w:rPr>
        <w:t>2,711,073.35</w:t>
      </w:r>
      <w:r>
        <w:rPr>
          <w:spacing w:val="-3"/>
        </w:rPr>
        <w:t>元，增幅为</w:t>
      </w:r>
      <w:r>
        <w:rPr>
          <w:rFonts w:ascii="Times New Roman" w:hAnsi="Times New Roman" w:cs="Times New Roman" w:eastAsia="Times New Roman" w:hint="default"/>
          <w:spacing w:val="-3"/>
        </w:rPr>
        <w:t>61.28%</w:t>
      </w:r>
      <w:r>
        <w:rPr>
          <w:spacing w:val="-3"/>
        </w:rPr>
        <w:t>，主要系理财产品产生的投资收益增加</w:t>
      </w:r>
      <w:r>
        <w:rPr>
          <w:w w:val="100"/>
        </w:rPr>
        <w:t> </w:t>
      </w:r>
      <w:r>
        <w:rPr/>
        <w:t>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69、营业外收入" w:id="368"/>
      <w:bookmarkEnd w:id="36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10" w:space="0" w:color="D4D4D4"/>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234,476.00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10" w:space="0" w:color="D4D4D4"/>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234,476.00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税收返还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2,637,415.11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3,564,977.33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1,025,900.80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3,587,217.65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1,025,900.80</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680.97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680.97</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3,663,996.88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7,386,670.98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1,026,581.77</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3"/>
        <w:gridCol w:w="1061"/>
        <w:gridCol w:w="1063"/>
        <w:gridCol w:w="1063"/>
        <w:gridCol w:w="1064"/>
        <w:gridCol w:w="1062"/>
      </w:tblGrid>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7"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75"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2,637,415.11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3,564,977.33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left"/>
              <w:rPr>
                <w:rFonts w:ascii="宋体" w:hAnsi="宋体" w:cs="宋体" w:eastAsia="宋体" w:hint="default"/>
                <w:sz w:val="18"/>
                <w:szCs w:val="18"/>
              </w:rPr>
            </w:pPr>
            <w:r>
              <w:rPr>
                <w:rFonts w:ascii="宋体" w:hAnsi="宋体" w:cs="宋体" w:eastAsia="宋体" w:hint="default"/>
                <w:sz w:val="18"/>
                <w:szCs w:val="18"/>
              </w:rPr>
              <w:t>其他政府补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567,524.89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3,496,917.02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left"/>
              <w:rPr>
                <w:rFonts w:ascii="宋体" w:hAnsi="宋体" w:cs="宋体" w:eastAsia="宋体" w:hint="default"/>
                <w:sz w:val="18"/>
                <w:szCs w:val="18"/>
              </w:rPr>
            </w:pPr>
            <w:r>
              <w:rPr>
                <w:rFonts w:ascii="宋体" w:hAnsi="宋体" w:cs="宋体" w:eastAsia="宋体" w:hint="default"/>
                <w:sz w:val="18"/>
                <w:szCs w:val="18"/>
              </w:rPr>
              <w:t>其他政府补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458,375.91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90,300.63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3,663,315.91</w:t>
            </w:r>
            <w:r>
              <w:rPr>
                <w:rFonts w:ascii="Times New Roman"/>
                <w:sz w:val="18"/>
              </w:rPr>
            </w:r>
          </w:p>
        </w:tc>
        <w:tc>
          <w:tcPr>
            <w:tcW w:w="106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7,152,194.98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06" w:firstLine="0"/>
        <w:jc w:val="left"/>
        <w:rPr>
          <w:rFonts w:ascii="宋体" w:hAnsi="宋体" w:cs="宋体" w:eastAsia="宋体" w:hint="default"/>
          <w:sz w:val="18"/>
          <w:szCs w:val="18"/>
        </w:rPr>
      </w:pPr>
      <w:bookmarkStart w:name="70、营业外支出" w:id="369"/>
      <w:bookmarkEnd w:id="369"/>
      <w:r>
        <w:rPr/>
      </w:r>
      <w:r>
        <w:rPr>
          <w:rFonts w:ascii="宋体" w:hAnsi="宋体" w:cs="宋体" w:eastAsia="宋体" w:hint="default"/>
          <w:sz w:val="18"/>
          <w:szCs w:val="18"/>
        </w:rPr>
        <w:t>其他说明：</w:t>
      </w:r>
    </w:p>
    <w:p>
      <w:pPr>
        <w:pStyle w:val="BodyText"/>
        <w:spacing w:line="240" w:lineRule="auto" w:before="96"/>
        <w:ind w:right="106"/>
        <w:jc w:val="left"/>
      </w:pPr>
      <w:r>
        <w:rPr>
          <w:rFonts w:ascii="Times New Roman" w:hAnsi="Times New Roman" w:cs="Times New Roman" w:eastAsia="Times New Roman" w:hint="default"/>
        </w:rPr>
        <w:t>1</w:t>
      </w:r>
      <w:r>
        <w:rPr/>
        <w:t>．税收返还为本公司收到的按增值税实际税负超过</w:t>
      </w:r>
      <w:r>
        <w:rPr>
          <w:rFonts w:ascii="Times New Roman" w:hAnsi="Times New Roman" w:cs="Times New Roman" w:eastAsia="Times New Roman" w:hint="default"/>
        </w:rPr>
        <w:t>3</w:t>
      </w:r>
      <w:r>
        <w:rPr/>
        <w:t>％的部分即征即退的增值税。</w:t>
      </w:r>
    </w:p>
    <w:p>
      <w:pPr>
        <w:pStyle w:val="BodyText"/>
        <w:spacing w:line="240" w:lineRule="auto" w:before="59"/>
        <w:ind w:left="153" w:right="106"/>
        <w:jc w:val="left"/>
      </w:pPr>
      <w:r>
        <w:rPr>
          <w:rFonts w:ascii="Times New Roman" w:hAnsi="Times New Roman" w:cs="Times New Roman" w:eastAsia="Times New Roman" w:hint="default"/>
        </w:rPr>
        <w:t>2</w:t>
      </w:r>
      <w:r>
        <w:rPr/>
        <w:t>．其他政府补助主要系：</w:t>
      </w:r>
    </w:p>
    <w:p>
      <w:pPr>
        <w:pStyle w:val="BodyText"/>
        <w:spacing w:line="256" w:lineRule="auto" w:before="62"/>
        <w:ind w:left="153" w:right="208" w:firstLine="420"/>
        <w:jc w:val="both"/>
      </w:pPr>
      <w:r>
        <w:rPr/>
        <w:t>（</w:t>
      </w:r>
      <w:r>
        <w:rPr>
          <w:rFonts w:ascii="Times New Roman" w:hAnsi="Times New Roman" w:cs="Times New Roman" w:eastAsia="Times New Roman" w:hint="default"/>
        </w:rPr>
        <w:t>1</w:t>
      </w:r>
      <w:r>
        <w:rPr/>
        <w:t>）本公司收到深圳市科技工贸和信息化委员会的深圳市生物、互联网、新能源产业发展专项基金</w:t>
      </w:r>
      <w:r>
        <w:rPr>
          <w:w w:val="100"/>
        </w:rPr>
        <w:t> </w:t>
      </w:r>
      <w:r>
        <w:rPr>
          <w:spacing w:val="-2"/>
        </w:rPr>
        <w:t>项目基于互联网的中小学英语在线智能记忆平台无偿资助</w:t>
      </w:r>
      <w:r>
        <w:rPr>
          <w:rFonts w:ascii="Times New Roman" w:hAnsi="Times New Roman" w:cs="Times New Roman" w:eastAsia="Times New Roman" w:hint="default"/>
          <w:spacing w:val="-2"/>
        </w:rPr>
        <w:t>80</w:t>
      </w:r>
      <w:r>
        <w:rPr>
          <w:spacing w:val="-2"/>
        </w:rPr>
        <w:t>万元。本期计入营业外收入</w:t>
      </w:r>
      <w:r>
        <w:rPr>
          <w:rFonts w:ascii="Times New Roman" w:hAnsi="Times New Roman" w:cs="Times New Roman" w:eastAsia="Times New Roman" w:hint="default"/>
          <w:spacing w:val="-2"/>
        </w:rPr>
        <w:t>19,996.56</w:t>
      </w:r>
      <w:r>
        <w:rPr>
          <w:spacing w:val="-2"/>
        </w:rPr>
        <w:t>元，详见</w:t>
      </w:r>
      <w:r>
        <w:rPr>
          <w:spacing w:val="-31"/>
        </w:rPr>
        <w:t> </w:t>
      </w:r>
      <w:r>
        <w:rPr>
          <w:spacing w:val="-31"/>
        </w:rPr>
      </w:r>
      <w:r>
        <w:rPr/>
        <w:t>附注六、（二十一）</w:t>
      </w:r>
      <w:r>
        <w:rPr>
          <w:rFonts w:ascii="Times New Roman" w:hAnsi="Times New Roman" w:cs="Times New Roman" w:eastAsia="Times New Roman" w:hint="default"/>
        </w:rPr>
        <w:t>2</w:t>
      </w:r>
      <w:r>
        <w:rPr/>
        <w:t>。</w:t>
      </w:r>
    </w:p>
    <w:p>
      <w:pPr>
        <w:pStyle w:val="BodyText"/>
        <w:spacing w:line="256" w:lineRule="auto" w:before="45"/>
        <w:ind w:left="153" w:right="188" w:firstLine="420"/>
        <w:jc w:val="both"/>
      </w:pPr>
      <w:r>
        <w:rPr/>
        <w:t>（</w:t>
      </w:r>
      <w:r>
        <w:rPr>
          <w:rFonts w:ascii="Times New Roman" w:hAnsi="Times New Roman" w:cs="Times New Roman" w:eastAsia="Times New Roman" w:hint="default"/>
        </w:rPr>
        <w:t>2</w:t>
      </w:r>
      <w:r>
        <w:rPr/>
        <w:t>）本公司收到深圳市科技创新委员会的深圳市战略性新兴产业发展专项资金项目基于云计算的教</w:t>
      </w:r>
      <w:r>
        <w:rPr>
          <w:w w:val="100"/>
        </w:rPr>
        <w:t> </w:t>
      </w:r>
      <w:r>
        <w:rPr>
          <w:spacing w:val="-2"/>
        </w:rPr>
        <w:t>育质量监测与评价系统无偿资助</w:t>
      </w:r>
      <w:r>
        <w:rPr>
          <w:rFonts w:ascii="Times New Roman" w:hAnsi="Times New Roman" w:cs="Times New Roman" w:eastAsia="Times New Roman" w:hint="default"/>
          <w:spacing w:val="-2"/>
        </w:rPr>
        <w:t>200</w:t>
      </w:r>
      <w:r>
        <w:rPr>
          <w:spacing w:val="-2"/>
        </w:rPr>
        <w:t>万元。本期计入营业外收入</w:t>
      </w:r>
      <w:r>
        <w:rPr>
          <w:rFonts w:ascii="Times New Roman" w:hAnsi="Times New Roman" w:cs="Times New Roman" w:eastAsia="Times New Roman" w:hint="default"/>
          <w:spacing w:val="-2"/>
        </w:rPr>
        <w:t>69,999.96</w:t>
      </w:r>
      <w:r>
        <w:rPr>
          <w:spacing w:val="-2"/>
        </w:rPr>
        <w:t>元，详见附注六、（二十一）</w:t>
      </w:r>
      <w:r>
        <w:rPr>
          <w:rFonts w:ascii="Times New Roman" w:hAnsi="Times New Roman" w:cs="Times New Roman" w:eastAsia="Times New Roman" w:hint="default"/>
          <w:spacing w:val="-2"/>
        </w:rPr>
        <w:t>2</w:t>
      </w:r>
      <w:r>
        <w:rPr>
          <w:spacing w:val="-2"/>
        </w:rPr>
        <w:t>。</w:t>
      </w:r>
    </w:p>
    <w:p>
      <w:pPr>
        <w:pStyle w:val="BodyText"/>
        <w:spacing w:line="256" w:lineRule="auto" w:before="43"/>
        <w:ind w:left="153" w:right="210" w:firstLine="420"/>
        <w:jc w:val="both"/>
      </w:pPr>
      <w:r>
        <w:rPr/>
        <w:t>（</w:t>
      </w:r>
      <w:r>
        <w:rPr>
          <w:rFonts w:ascii="Times New Roman" w:hAnsi="Times New Roman" w:cs="Times New Roman" w:eastAsia="Times New Roman" w:hint="default"/>
        </w:rPr>
        <w:t>3</w:t>
      </w:r>
      <w:r>
        <w:rPr/>
        <w:t>）根据深发改</w:t>
      </w:r>
      <w:r>
        <w:rPr>
          <w:rFonts w:ascii="Times New Roman" w:hAnsi="Times New Roman" w:cs="Times New Roman" w:eastAsia="Times New Roman" w:hint="default"/>
        </w:rPr>
        <w:t>[2013]535</w:t>
      </w:r>
      <w:r>
        <w:rPr/>
        <w:t>号文件相关规定，本公司获得深圳市经济贸易和信息化委员会的外语互动</w:t>
      </w:r>
      <w:r>
        <w:rPr>
          <w:w w:val="100"/>
        </w:rPr>
        <w:t> </w:t>
      </w:r>
      <w:r>
        <w:rPr/>
        <w:t>学习平台创新项目无偿资助</w:t>
      </w:r>
      <w:r>
        <w:rPr>
          <w:rFonts w:ascii="Times New Roman" w:hAnsi="Times New Roman" w:cs="Times New Roman" w:eastAsia="Times New Roman" w:hint="default"/>
        </w:rPr>
        <w:t>80</w:t>
      </w:r>
      <w:r>
        <w:rPr/>
        <w:t>万元。本期计入营业外收入</w:t>
      </w:r>
      <w:r>
        <w:rPr>
          <w:rFonts w:ascii="Times New Roman" w:hAnsi="Times New Roman" w:cs="Times New Roman" w:eastAsia="Times New Roman" w:hint="default"/>
        </w:rPr>
        <w:t>42,864.09</w:t>
      </w:r>
      <w:r>
        <w:rPr/>
        <w:t>元，详见附注六、（二十一）</w:t>
      </w:r>
      <w:r>
        <w:rPr>
          <w:rFonts w:ascii="Times New Roman" w:hAnsi="Times New Roman" w:cs="Times New Roman" w:eastAsia="Times New Roman" w:hint="default"/>
        </w:rPr>
        <w:t>2</w:t>
      </w:r>
      <w:r>
        <w:rPr/>
        <w:t>。</w:t>
      </w:r>
    </w:p>
    <w:p>
      <w:pPr>
        <w:pStyle w:val="BodyText"/>
        <w:spacing w:line="256" w:lineRule="auto" w:before="45"/>
        <w:ind w:left="153" w:right="101" w:firstLine="420"/>
        <w:jc w:val="both"/>
      </w:pPr>
      <w:r>
        <w:rPr/>
        <w:t>（</w:t>
      </w:r>
      <w:r>
        <w:rPr>
          <w:rFonts w:ascii="Times New Roman" w:hAnsi="Times New Roman" w:cs="Times New Roman" w:eastAsia="Times New Roman" w:hint="default"/>
        </w:rPr>
        <w:t>4</w:t>
      </w:r>
      <w:r>
        <w:rPr/>
        <w:t>）为落实《深圳市文化创意产业发展专项资金管理办法》所规定的优惠政策，本公司获得深圳市</w:t>
      </w:r>
      <w:r>
        <w:rPr>
          <w:w w:val="100"/>
        </w:rPr>
        <w:t> </w:t>
      </w:r>
      <w:r>
        <w:rPr>
          <w:spacing w:val="-2"/>
        </w:rPr>
        <w:t>文体旅游局的中小学教育游戏平台项目无偿资助</w:t>
      </w:r>
      <w:r>
        <w:rPr>
          <w:rFonts w:ascii="Times New Roman" w:hAnsi="Times New Roman" w:cs="Times New Roman" w:eastAsia="Times New Roman" w:hint="default"/>
          <w:spacing w:val="-2"/>
        </w:rPr>
        <w:t>91</w:t>
      </w:r>
      <w:r>
        <w:rPr>
          <w:spacing w:val="-2"/>
        </w:rPr>
        <w:t>万元。本期计入营业外收入</w:t>
      </w:r>
      <w:r>
        <w:rPr>
          <w:rFonts w:ascii="Times New Roman" w:hAnsi="Times New Roman" w:cs="Times New Roman" w:eastAsia="Times New Roman" w:hint="default"/>
          <w:spacing w:val="-2"/>
        </w:rPr>
        <w:t>122,425.15</w:t>
      </w:r>
      <w:r>
        <w:rPr>
          <w:spacing w:val="-2"/>
        </w:rPr>
        <w:t>元，详见附注六、</w:t>
      </w:r>
    </w:p>
    <w:p>
      <w:pPr>
        <w:pStyle w:val="BodyText"/>
        <w:spacing w:line="240" w:lineRule="auto" w:before="5"/>
        <w:ind w:left="153" w:right="106"/>
        <w:jc w:val="left"/>
      </w:pPr>
      <w:r>
        <w:rPr/>
        <w:t>（二十一）</w:t>
      </w:r>
      <w:r>
        <w:rPr>
          <w:rFonts w:ascii="Times New Roman" w:hAnsi="Times New Roman" w:cs="Times New Roman" w:eastAsia="Times New Roman" w:hint="default"/>
        </w:rPr>
        <w:t>2</w:t>
      </w:r>
      <w:r>
        <w:rPr/>
        <w:t>。</w:t>
      </w:r>
    </w:p>
    <w:p>
      <w:pPr>
        <w:pStyle w:val="BodyText"/>
        <w:spacing w:line="256" w:lineRule="auto" w:before="62"/>
        <w:ind w:left="153" w:right="191" w:firstLine="420"/>
        <w:jc w:val="both"/>
      </w:pPr>
      <w:r>
        <w:rPr/>
        <w:t>（</w:t>
      </w:r>
      <w:r>
        <w:rPr>
          <w:rFonts w:ascii="Times New Roman" w:hAnsi="Times New Roman" w:cs="Times New Roman" w:eastAsia="Times New Roman" w:hint="default"/>
        </w:rPr>
        <w:t>5</w:t>
      </w:r>
      <w:r>
        <w:rPr/>
        <w:t>）为落实深圳市发展与改革委员会的深发改</w:t>
      </w:r>
      <w:r>
        <w:rPr>
          <w:rFonts w:ascii="Times New Roman" w:hAnsi="Times New Roman" w:cs="Times New Roman" w:eastAsia="Times New Roman" w:hint="default"/>
        </w:rPr>
        <w:t>[2014]939</w:t>
      </w:r>
      <w:r>
        <w:rPr/>
        <w:t>号文件相关规定，本公司获得深圳市科技创</w:t>
      </w:r>
      <w:r>
        <w:rPr>
          <w:w w:val="100"/>
        </w:rPr>
        <w:t> </w:t>
      </w:r>
      <w:r>
        <w:rPr>
          <w:spacing w:val="13"/>
        </w:rPr>
        <w:t>新委员会的基于移动平台的小学英语同步课程资源系统无偿资助款</w:t>
      </w:r>
      <w:r>
        <w:rPr>
          <w:rFonts w:ascii="Times New Roman" w:hAnsi="Times New Roman" w:cs="Times New Roman" w:eastAsia="Times New Roman" w:hint="default"/>
          <w:spacing w:val="13"/>
        </w:rPr>
        <w:t>100</w:t>
      </w:r>
      <w:r>
        <w:rPr>
          <w:spacing w:val="13"/>
        </w:rPr>
        <w:t>万元。本期计入营业外收入</w:t>
      </w:r>
      <w:r>
        <w:rPr>
          <w:spacing w:val="26"/>
        </w:rPr>
        <w:t> </w:t>
      </w:r>
      <w:r>
        <w:rPr>
          <w:spacing w:val="26"/>
        </w:rPr>
      </w:r>
      <w:r>
        <w:rPr>
          <w:rFonts w:ascii="Times New Roman" w:hAnsi="Times New Roman" w:cs="Times New Roman" w:eastAsia="Times New Roman" w:hint="default"/>
        </w:rPr>
        <w:t>177,281.72</w:t>
      </w:r>
      <w:r>
        <w:rPr/>
        <w:t>元，详见附注六、（二十一）</w:t>
      </w:r>
      <w:r>
        <w:rPr>
          <w:rFonts w:ascii="Times New Roman" w:hAnsi="Times New Roman" w:cs="Times New Roman" w:eastAsia="Times New Roman" w:hint="default"/>
        </w:rPr>
        <w:t>2</w:t>
      </w:r>
      <w:r>
        <w:rPr/>
        <w:t>。</w:t>
      </w:r>
    </w:p>
    <w:p>
      <w:pPr>
        <w:pStyle w:val="BodyText"/>
        <w:spacing w:line="256" w:lineRule="auto" w:before="43"/>
        <w:ind w:left="153" w:right="213" w:firstLine="420"/>
        <w:jc w:val="both"/>
      </w:pPr>
      <w:r>
        <w:rPr/>
        <w:t>（</w:t>
      </w:r>
      <w:r>
        <w:rPr>
          <w:rFonts w:ascii="Times New Roman" w:hAnsi="Times New Roman" w:cs="Times New Roman" w:eastAsia="Times New Roman" w:hint="default"/>
        </w:rPr>
        <w:t>6</w:t>
      </w:r>
      <w:r>
        <w:rPr/>
        <w:t>）根据《南山区文化产业发展专项资金管理暂行办会》的规定，本公司获得深圳市南山区人民政</w:t>
      </w:r>
      <w:r>
        <w:rPr>
          <w:w w:val="100"/>
        </w:rPr>
        <w:t> </w:t>
      </w:r>
      <w:r>
        <w:rPr/>
        <w:t>府文化产业发展办公室的青少年书法多媒体学习软件项目无偿资助款</w:t>
      </w:r>
      <w:r>
        <w:rPr>
          <w:rFonts w:ascii="Times New Roman" w:hAnsi="Times New Roman" w:cs="Times New Roman" w:eastAsia="Times New Roman" w:hint="default"/>
        </w:rPr>
        <w:t>40</w:t>
      </w:r>
      <w:r>
        <w:rPr/>
        <w:t>万元。本期全部计入营业外收入</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详见附注六、（二十一）</w:t>
      </w:r>
      <w:r>
        <w:rPr>
          <w:rFonts w:ascii="Times New Roman" w:hAnsi="Times New Roman" w:cs="Times New Roman" w:eastAsia="Times New Roman" w:hint="default"/>
        </w:rPr>
        <w:t>2</w:t>
      </w:r>
      <w:r>
        <w:rPr/>
        <w:t>。</w:t>
      </w:r>
    </w:p>
    <w:p>
      <w:pPr>
        <w:pStyle w:val="BodyText"/>
        <w:spacing w:line="261" w:lineRule="auto" w:before="45"/>
        <w:ind w:left="153" w:right="206" w:firstLine="420"/>
        <w:jc w:val="both"/>
      </w:pPr>
      <w:r>
        <w:rPr/>
        <w:t>（</w:t>
      </w:r>
      <w:r>
        <w:rPr>
          <w:rFonts w:ascii="Times New Roman" w:hAnsi="Times New Roman" w:cs="Times New Roman" w:eastAsia="Times New Roman" w:hint="default"/>
        </w:rPr>
        <w:t>7</w:t>
      </w:r>
      <w:r>
        <w:rPr/>
        <w:t>）根据深发改</w:t>
      </w:r>
      <w:r>
        <w:rPr>
          <w:rFonts w:ascii="Times New Roman" w:hAnsi="Times New Roman" w:cs="Times New Roman" w:eastAsia="Times New Roman" w:hint="default"/>
        </w:rPr>
        <w:t>[2013]535</w:t>
      </w:r>
      <w:r>
        <w:rPr/>
        <w:t>号文件相关规定，本公司获得深圳市发展改革委员会、深圳市经济贸易和</w:t>
      </w:r>
      <w:r>
        <w:rPr>
          <w:w w:val="100"/>
        </w:rPr>
        <w:t> </w:t>
      </w:r>
      <w:r>
        <w:rPr>
          <w:spacing w:val="-2"/>
        </w:rPr>
        <w:t>信息化委员会、深圳市科技创新委员会、深圳市财政委员会文件的深圳市战略性新兴产业发展专项资金项</w:t>
      </w:r>
      <w:r>
        <w:rPr>
          <w:spacing w:val="-42"/>
        </w:rPr>
        <w:t> </w:t>
      </w:r>
      <w:r>
        <w:rPr>
          <w:spacing w:val="-42"/>
        </w:rPr>
      </w:r>
      <w:r>
        <w:rPr/>
        <w:t>目基于</w:t>
      </w:r>
      <w:r>
        <w:rPr>
          <w:rFonts w:ascii="Times New Roman" w:hAnsi="Times New Roman" w:cs="Times New Roman" w:eastAsia="Times New Roman" w:hint="default"/>
        </w:rPr>
        <w:t>SAAS</w:t>
      </w:r>
      <w:r>
        <w:rPr/>
        <w:t>的云智能个性化教育综合互动平台无偿资助</w:t>
      </w:r>
      <w:r>
        <w:rPr>
          <w:rFonts w:ascii="Times New Roman" w:hAnsi="Times New Roman" w:cs="Times New Roman" w:eastAsia="Times New Roman" w:hint="default"/>
        </w:rPr>
        <w:t>290</w:t>
      </w:r>
      <w:r>
        <w:rPr/>
        <w:t>万元。本期计入营业外收入</w:t>
      </w:r>
      <w:r>
        <w:rPr>
          <w:rFonts w:ascii="Times New Roman" w:hAnsi="Times New Roman" w:cs="Times New Roman" w:eastAsia="Times New Roman" w:hint="default"/>
        </w:rPr>
        <w:t>193,333.32</w:t>
      </w:r>
      <w:r>
        <w:rPr/>
        <w:t>元，详</w:t>
      </w:r>
      <w:r>
        <w:rPr>
          <w:spacing w:val="-37"/>
        </w:rPr>
        <w:t> </w:t>
      </w:r>
      <w:r>
        <w:rPr>
          <w:spacing w:val="-37"/>
        </w:rPr>
      </w:r>
      <w:r>
        <w:rPr/>
        <w:t>见附注六、（二十一）</w:t>
      </w:r>
      <w:r>
        <w:rPr>
          <w:rFonts w:ascii="Times New Roman" w:hAnsi="Times New Roman" w:cs="Times New Roman" w:eastAsia="Times New Roman" w:hint="default"/>
        </w:rPr>
        <w:t>2</w:t>
      </w:r>
      <w:r>
        <w:rPr/>
        <w:t>。</w:t>
      </w:r>
    </w:p>
    <w:p>
      <w:pPr>
        <w:spacing w:line="240" w:lineRule="auto" w:before="1"/>
        <w:rPr>
          <w:rFonts w:ascii="宋体" w:hAnsi="宋体" w:cs="宋体" w:eastAsia="宋体" w:hint="default"/>
          <w:sz w:val="23"/>
          <w:szCs w:val="23"/>
        </w:rPr>
      </w:pPr>
    </w:p>
    <w:p>
      <w:pPr>
        <w:pStyle w:val="Heading3"/>
        <w:spacing w:line="240" w:lineRule="auto"/>
        <w:ind w:right="106"/>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6"/>
          <w:szCs w:val="26"/>
        </w:rPr>
      </w:pPr>
    </w:p>
    <w:p>
      <w:pPr>
        <w:spacing w:before="0"/>
        <w:ind w:left="0" w:right="2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w w:val="95"/>
                <w:sz w:val="18"/>
              </w:rPr>
              <w:t>11,560.85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11,560.85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w w:val="95"/>
                <w:sz w:val="18"/>
              </w:rPr>
              <w:t>11,560.85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7,770.68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11,560.85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22.23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w w:val="95"/>
                <w:sz w:val="18"/>
              </w:rPr>
              <w:t>11,633.08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11,633.08</w:t>
            </w:r>
          </w:p>
        </w:tc>
      </w:tr>
    </w:tbl>
    <w:p>
      <w:pPr>
        <w:spacing w:before="49"/>
        <w:ind w:left="152" w:right="10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90" w:footer="1066" w:top="1220" w:bottom="1260" w:left="980" w:right="920"/>
        </w:sectPr>
      </w:pPr>
    </w:p>
    <w:p>
      <w:pPr>
        <w:spacing w:line="240" w:lineRule="auto" w:before="3"/>
        <w:rPr>
          <w:rFonts w:ascii="宋体" w:hAnsi="宋体" w:cs="宋体" w:eastAsia="宋体" w:hint="default"/>
          <w:sz w:val="10"/>
          <w:szCs w:val="10"/>
        </w:rPr>
      </w:pPr>
    </w:p>
    <w:p>
      <w:pPr>
        <w:pStyle w:val="Heading3"/>
        <w:spacing w:line="240" w:lineRule="auto" w:before="36"/>
        <w:ind w:right="0"/>
        <w:jc w:val="left"/>
        <w:rPr>
          <w:b w:val="0"/>
          <w:bCs w:val="0"/>
        </w:rPr>
      </w:pPr>
      <w:bookmarkStart w:name="（1）收到的其他与经营活动有关的现金" w:id="370"/>
      <w:bookmarkEnd w:id="370"/>
      <w:r>
        <w:rPr>
          <w:b w:val="0"/>
          <w:bCs w:val="0"/>
        </w:rPr>
      </w:r>
      <w:r>
        <w:rPr>
          <w:rFonts w:ascii="Times New Roman" w:hAnsi="Times New Roman" w:cs="Times New Roman" w:eastAsia="Times New Roman" w:hint="default"/>
        </w:rPr>
        <w:t>71</w:t>
      </w:r>
      <w:bookmarkStart w:name="71、所得税费用" w:id="371"/>
      <w:bookmarkEnd w:id="371"/>
      <w:r>
        <w:rPr>
          <w:rFonts w:ascii="Times New Roman" w:hAnsi="Times New Roman" w:cs="Times New Roman" w:eastAsia="Times New Roman" w:hint="default"/>
        </w:rPr>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bookmarkStart w:name="（1）所得税费用表" w:id="372"/>
      <w:bookmarkEnd w:id="372"/>
      <w:r>
        <w:rPr>
          <w:rFonts w:ascii="Times New Roman" w:hAnsi="Times New Roman" w:cs="Times New Roman" w:eastAsia="Times New Roman" w:hint="default"/>
        </w:rPr>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2,968,212.71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3,304,664.78</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62,643.23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80,758.69</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3,030,855.94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3,385,423.47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会计利润与所得税费用调整过程" w:id="373"/>
      <w:bookmarkEnd w:id="37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25,258,928.52</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6,314,732.13</w:t>
            </w:r>
            <w:r>
              <w:rPr>
                <w:rFonts w:ascii="Times New Roman"/>
                <w:sz w:val="18"/>
              </w:rPr>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-626,478.88</w:t>
            </w:r>
            <w:r>
              <w:rPr>
                <w:rFonts w:ascii="Times New Roman"/>
                <w:sz w:val="18"/>
              </w:rPr>
            </w:r>
          </w:p>
        </w:tc>
      </w:tr>
      <w:tr>
        <w:trPr>
          <w:trHeight w:val="71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母公司减免所得税额影响</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-2,657,397.31</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3,030,855.94</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72、其他综合收益" w:id="374"/>
      <w:bookmarkEnd w:id="374"/>
      <w:r>
        <w:rPr/>
      </w:r>
      <w:r>
        <w:rPr>
          <w:rFonts w:ascii="宋体" w:hAnsi="宋体" w:cs="宋体" w:eastAsia="宋体" w:hint="default"/>
          <w:sz w:val="18"/>
          <w:szCs w:val="18"/>
        </w:rPr>
        <w:t>单位：</w:t>
      </w:r>
      <w:r>
        <w:rPr>
          <w:rFonts w:ascii="宋体" w:hAnsi="宋体" w:cs="宋体" w:eastAsia="宋体" w:hint="default"/>
          <w:spacing w:val="1"/>
          <w:sz w:val="18"/>
          <w:szCs w:val="18"/>
        </w:rPr>
        <w:t> </w:t>
      </w:r>
      <w:bookmarkStart w:name="73、现金流量表项目" w:id="375"/>
      <w:bookmarkEnd w:id="375"/>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594,565.39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1,156,802.10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4,216,600.00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48,245.16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76,901.15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642,810.55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5,450,303.25</w:t>
            </w:r>
            <w:r>
              <w:rPr>
                <w:rFonts w:ascii="Times New Roman"/>
                <w:sz w:val="18"/>
              </w:rPr>
            </w:r>
          </w:p>
        </w:tc>
      </w:tr>
    </w:tbl>
    <w:p>
      <w:pPr>
        <w:spacing w:line="360"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 无</w:t>
      </w:r>
    </w:p>
    <w:p>
      <w:pPr>
        <w:spacing w:after="0" w:line="360" w:lineRule="auto"/>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0"/>
          <w:szCs w:val="10"/>
        </w:rPr>
      </w:pPr>
    </w:p>
    <w:p>
      <w:pPr>
        <w:pStyle w:val="Heading3"/>
        <w:spacing w:line="240" w:lineRule="auto" w:before="36"/>
        <w:ind w:right="0"/>
        <w:jc w:val="left"/>
        <w:rPr>
          <w:b w:val="0"/>
          <w:bCs w:val="0"/>
        </w:rPr>
      </w:pPr>
      <w:bookmarkStart w:name="（6）支付的其他与筹资活动有关的现金" w:id="376"/>
      <w:bookmarkEnd w:id="376"/>
      <w:r>
        <w:rPr>
          <w:b w:val="0"/>
          <w:bCs w:val="0"/>
        </w:rPr>
      </w:r>
      <w:r>
        <w:rPr/>
        <w:t>（</w:t>
      </w:r>
      <w:bookmarkStart w:name="（2）支付的其他与经营活动有关的现金" w:id="377"/>
      <w:bookmarkEnd w:id="377"/>
      <w:r>
        <w:rPr/>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19,284,158.61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19,151,117.84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27,541.46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19,284,158.61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19,178,659.30</w:t>
            </w:r>
          </w:p>
        </w:tc>
      </w:tr>
    </w:tbl>
    <w:p>
      <w:pPr>
        <w:spacing w:line="360"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w:t>
      </w:r>
      <w:bookmarkStart w:name="（3）收到的其他与投资活动有关的现金" w:id="378"/>
      <w:bookmarkEnd w:id="378"/>
      <w:r>
        <w:rPr/>
        <w:t>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支付的其他与投资活动有关的现金" w:id="379"/>
      <w:bookmarkEnd w:id="37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0"/>
        <w:ind w:left="152" w:right="6534"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收到的其他与筹资活动有关的现金" w:id="380"/>
      <w:bookmarkEnd w:id="38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516,066.58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1,560,939.09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516,066.58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1,560,939.09</w:t>
            </w:r>
            <w:r>
              <w:rPr>
                <w:rFonts w:ascii="Times New Roman"/>
                <w:sz w:val="18"/>
              </w:rPr>
            </w:r>
          </w:p>
        </w:tc>
      </w:tr>
    </w:tbl>
    <w:p>
      <w:pPr>
        <w:spacing w:line="357"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1,205.06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1,205.06</w:t>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1"/>
          <w:szCs w:val="11"/>
        </w:rPr>
      </w:pPr>
      <w:r>
        <w:rPr/>
        <w:pict>
          <v:group style="position:absolute;margin-left:223.320007pt;margin-top:430.139984pt;width:151.2pt;height:40.8pt;mso-position-horizontal-relative:page;mso-position-vertical-relative:page;z-index:-1222096" coordorigin="4466,8603" coordsize="3024,816">
            <v:group style="position:absolute;left:4477;top:8614;width:2;height:394" coordorigin="4477,8614" coordsize="2,394">
              <v:shape style="position:absolute;left:4477;top:8614;width:2;height:394" coordorigin="4477,8614" coordsize="0,394" path="m4477,8614l4477,9007e" filled="false" stroked="true" strokeweight="1.08pt" strokecolor="#ffffff">
                <v:path arrowok="t"/>
              </v:shape>
            </v:group>
            <v:group style="position:absolute;left:4488;top:8614;width:3003;height:394" coordorigin="4488,8614" coordsize="3003,394">
              <v:shape style="position:absolute;left:4488;top:8614;width:3003;height:394" coordorigin="4488,8614" coordsize="3003,394" path="m4488,9007l7490,9007,7490,8614,4488,8614,4488,9007xe" filled="true" fillcolor="#ffffff" stroked="false">
                <v:path arrowok="t"/>
                <v:fill type="solid"/>
              </v:shape>
            </v:group>
            <v:group style="position:absolute;left:4477;top:9017;width:2;height:392" coordorigin="4477,9017" coordsize="2,392">
              <v:shape style="position:absolute;left:4477;top:9017;width:2;height:392" coordorigin="4477,9017" coordsize="0,392" path="m4477,9017l4477,9408e" filled="false" stroked="true" strokeweight="1.08pt" strokecolor="#ffffff">
                <v:path arrowok="t"/>
              </v:shape>
            </v:group>
            <v:group style="position:absolute;left:4488;top:9017;width:3003;height:392" coordorigin="4488,9017" coordsize="3003,392">
              <v:shape style="position:absolute;left:4488;top:9017;width:3003;height:392" coordorigin="4488,9017" coordsize="3003,392" path="m4488,9408l7490,9408,7490,9017,4488,9017,4488,9408xe" filled="true" fillcolor="#ffffff" stroked="false">
                <v:path arrowok="t"/>
                <v:fill type="solid"/>
              </v:shape>
            </v:group>
            <w10:wrap type="none"/>
          </v:group>
        </w:pict>
      </w:r>
    </w:p>
    <w:p>
      <w:pPr>
        <w:spacing w:line="357" w:lineRule="auto" w:before="44"/>
        <w:ind w:left="152" w:right="6534" w:firstLine="0"/>
        <w:jc w:val="left"/>
        <w:rPr>
          <w:rFonts w:ascii="宋体" w:hAnsi="宋体" w:cs="宋体" w:eastAsia="宋体" w:hint="default"/>
          <w:sz w:val="18"/>
          <w:szCs w:val="18"/>
        </w:rPr>
      </w:pPr>
      <w:bookmarkStart w:name="（2）本期支付的取得子公司的现金净额" w:id="381"/>
      <w:bookmarkEnd w:id="381"/>
      <w:r>
        <w:rPr/>
      </w:r>
      <w:r>
        <w:rPr>
          <w:rFonts w:ascii="宋体" w:hAnsi="宋体" w:cs="宋体" w:eastAsia="宋体" w:hint="default"/>
          <w:sz w:val="18"/>
          <w:szCs w:val="18"/>
        </w:rPr>
        <w:t>支付的其他与筹资活动有关的现金说明：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74</w:t>
      </w:r>
      <w:bookmarkStart w:name="74、现金流量表补充资料" w:id="382"/>
      <w:bookmarkEnd w:id="382"/>
      <w:r>
        <w:rPr>
          <w:rFonts w:ascii="Times New Roman" w:hAnsi="Times New Roman" w:cs="Times New Roman" w:eastAsia="Times New Roman" w:hint="default"/>
        </w:rPr>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w:t>
      </w:r>
      <w:bookmarkStart w:name="（1）现金流量表补充资料" w:id="383"/>
      <w:bookmarkEnd w:id="383"/>
      <w:r>
        <w:rPr/>
        <w:t>充资料</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1121"/>
        <w:gridCol w:w="1948"/>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22,228,072.58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22,523,905.35</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1,102,935.18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1,963,430.54</w:t>
            </w:r>
            <w:r>
              <w:rPr>
                <w:rFonts w:ascii="Times New Roman"/>
                <w:sz w:val="18"/>
              </w:rPr>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1,703,437.85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1,541,561.55</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1,539,527.11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1,644,633.74</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44,825.78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67,411.98</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11,560.85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-226,705.32</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-516,066.58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-1,733,271.70</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-7,135,179.48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-4,424,106.13</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1"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-157,407.03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-115,475.73</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1"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220,050.26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196,234.42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-3,315,723.76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342,036.99</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-2,353,229.45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-671,406.41</w:t>
            </w:r>
            <w:r>
              <w:rPr>
                <w:rFonts w:ascii="Times New Roman"/>
                <w:sz w:val="18"/>
              </w:rPr>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6,042,900.91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-470,403.53</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19,415,704.22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20,637,845.75</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49"/>
              <w:ind w:left="1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3304" w:type="dxa"/>
            <w:vMerge/>
            <w:tcBorders>
              <w:left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72,859,653.55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121,299,781.90</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121,299,781.90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126,386,318.45</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-48,440,128.35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-5,086,536.55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bookmarkStart w:name="77、外币货币性项目" w:id="384"/>
      <w:bookmarkEnd w:id="384"/>
      <w:r>
        <w:rPr/>
      </w:r>
      <w:bookmarkStart w:name="（1）外币货币性项目" w:id="385"/>
      <w:bookmarkEnd w:id="385"/>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w:t>
      </w:r>
      <w:bookmarkStart w:name="（3）本期收到的处置子公司的现金净额" w:id="386"/>
      <w:bookmarkEnd w:id="386"/>
      <w:r>
        <w:rPr/>
        <w:t>置子</w:t>
      </w:r>
      <w:r>
        <w:rPr/>
        <w:t>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现金和现金等价物的构成" w:id="387"/>
      <w:bookmarkEnd w:id="38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72,859,653.55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121,299,781.90</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72,859,653.55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121,299,781.90</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4" w:lineRule="auto" w:before="118"/>
        <w:ind w:left="152" w:right="4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9"/>
        <w:ind w:left="0" w:right="153" w:firstLine="0"/>
        <w:jc w:val="right"/>
        <w:rPr>
          <w:rFonts w:ascii="宋体" w:hAnsi="宋体" w:cs="宋体" w:eastAsia="宋体" w:hint="default"/>
          <w:sz w:val="18"/>
          <w:szCs w:val="18"/>
        </w:rPr>
      </w:pPr>
      <w:bookmarkStart w:name="75、所有者权益变动表项目注释" w:id="388"/>
      <w:bookmarkEnd w:id="388"/>
      <w:r>
        <w:rPr/>
      </w:r>
      <w:r>
        <w:rPr>
          <w:rFonts w:ascii="宋体" w:hAnsi="宋体" w:cs="宋体" w:eastAsia="宋体" w:hint="default"/>
          <w:sz w:val="18"/>
          <w:szCs w:val="18"/>
        </w:rPr>
        <w:t>单位：</w:t>
      </w:r>
      <w:r>
        <w:rPr>
          <w:rFonts w:ascii="宋体" w:hAnsi="宋体" w:cs="宋体" w:eastAsia="宋体" w:hint="default"/>
          <w:spacing w:val="1"/>
          <w:sz w:val="18"/>
          <w:szCs w:val="18"/>
        </w:rPr>
        <w:t> </w:t>
      </w:r>
      <w:bookmarkStart w:name="76、所有权或使用权受到限制的资产" w:id="389"/>
      <w:bookmarkEnd w:id="389"/>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3058"/>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2"/>
        <w:gridCol w:w="2390"/>
        <w:gridCol w:w="2390"/>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3"/>
        <w:rPr>
          <w:rFonts w:ascii="宋体" w:hAnsi="宋体" w:cs="宋体" w:eastAsia="宋体" w:hint="default"/>
          <w:sz w:val="10"/>
          <w:szCs w:val="10"/>
        </w:rPr>
      </w:pPr>
    </w:p>
    <w:p>
      <w:pPr>
        <w:pStyle w:val="Heading3"/>
        <w:spacing w:line="259" w:lineRule="auto" w:before="36"/>
        <w:ind w:right="0"/>
        <w:jc w:val="left"/>
        <w:rPr>
          <w:b w:val="0"/>
          <w:bCs w:val="0"/>
        </w:rPr>
      </w:pPr>
      <w:bookmarkStart w:name="（3）被购买方于购买日可辨认资产、负债" w:id="390"/>
      <w:bookmarkEnd w:id="390"/>
      <w:r>
        <w:rPr>
          <w:b w:val="0"/>
          <w:bCs w:val="0"/>
        </w:rPr>
      </w:r>
      <w:r>
        <w:rPr/>
        <w:t>（</w:t>
      </w:r>
      <w:bookmarkStart w:name="（2）境外经营实体说明，包括对于重要的境外经营实体，应披露其境外主要经营地、记账" w:id="391"/>
      <w:bookmarkEnd w:id="391"/>
      <w:r>
        <w:rPr/>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bookmarkStart w:name="78、套期" w:id="392"/>
      <w:bookmarkEnd w:id="392"/>
      <w:r>
        <w:rPr/>
      </w: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7" w:lineRule="auto" w:before="120"/>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1"/>
        <w:ind w:right="0"/>
        <w:jc w:val="left"/>
        <w:rPr>
          <w:b w:val="0"/>
          <w:bCs w:val="0"/>
        </w:rPr>
      </w:pPr>
      <w:r>
        <w:rPr/>
        <w:t>（</w:t>
      </w:r>
      <w:r>
        <w:rPr>
          <w:rFonts w:ascii="Times New Roman" w:hAnsi="Times New Roman" w:cs="Times New Roman" w:eastAsia="Times New Roman" w:hint="default"/>
        </w:rPr>
        <w:t>1</w:t>
      </w:r>
      <w:r>
        <w:rPr/>
        <w:t>）本期发生的非同一控</w:t>
      </w:r>
      <w:bookmarkStart w:name="79、其他" w:id="393"/>
      <w:bookmarkEnd w:id="393"/>
      <w:r>
        <w:rPr/>
      </w:r>
      <w:bookmarkStart w:name="八、合并范围的变更" w:id="394"/>
      <w:bookmarkEnd w:id="394"/>
      <w:r>
        <w:rPr/>
        <w:t>制下企业合并</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1、非同一控制下企业合并" w:id="395"/>
      <w:bookmarkEnd w:id="395"/>
      <w:r>
        <w:rPr/>
      </w:r>
      <w:bookmarkStart w:name="（1）本期发生的非同一控制下企业合并" w:id="396"/>
      <w:bookmarkEnd w:id="39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3"/>
        <w:gridCol w:w="1061"/>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合并成本及商誉" w:id="397"/>
      <w:bookmarkEnd w:id="39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e1ffff">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e1ffff">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6;top:10;width:4784;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4"/>
        <w:ind w:left="152" w:right="509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380" w:type="dxa"/>
            <w:gridSpan w:val="2"/>
            <w:tcBorders>
              <w:top w:val="single" w:sz="4" w:space="0" w:color="000000"/>
              <w:left w:val="single" w:sz="10" w:space="0" w:color="D4D4D4"/>
              <w:bottom w:val="single" w:sz="4" w:space="0" w:color="000000"/>
              <w:right w:val="single" w:sz="4" w:space="0" w:color="000000"/>
            </w:tcBorders>
            <w:shd w:val="clear" w:color="auto" w:fill="E1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49"/>
        <w:ind w:left="152" w:right="655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after="0" w:line="357" w:lineRule="auto"/>
        <w:jc w:val="both"/>
        <w:rPr>
          <w:rFonts w:ascii="宋体" w:hAnsi="宋体" w:cs="宋体" w:eastAsia="宋体" w:hint="default"/>
          <w:sz w:val="18"/>
          <w:szCs w:val="18"/>
        </w:rPr>
        <w:sectPr>
          <w:pgSz w:w="11910" w:h="16840"/>
          <w:pgMar w:header="990" w:footer="1066" w:top="1220" w:bottom="1260" w:left="980" w:right="980"/>
        </w:sectPr>
      </w:pPr>
    </w:p>
    <w:p>
      <w:pPr>
        <w:spacing w:line="240" w:lineRule="auto" w:before="3"/>
        <w:rPr>
          <w:rFonts w:ascii="宋体" w:hAnsi="宋体" w:cs="宋体" w:eastAsia="宋体" w:hint="default"/>
          <w:sz w:val="10"/>
          <w:szCs w:val="10"/>
        </w:rPr>
      </w:pPr>
    </w:p>
    <w:p>
      <w:pPr>
        <w:pStyle w:val="Heading3"/>
        <w:spacing w:line="240" w:lineRule="auto" w:before="36"/>
        <w:ind w:right="0"/>
        <w:jc w:val="left"/>
        <w:rPr>
          <w:b w:val="0"/>
          <w:bCs w:val="0"/>
        </w:rPr>
      </w:pPr>
      <w:bookmarkStart w:name="3、反向购买" w:id="398"/>
      <w:bookmarkEnd w:id="398"/>
      <w:r>
        <w:rPr>
          <w:b w:val="0"/>
          <w:bCs w:val="0"/>
        </w:rPr>
      </w:r>
      <w:bookmarkStart w:name="4、处置子公司" w:id="399"/>
      <w:bookmarkEnd w:id="399"/>
      <w:r>
        <w:rPr>
          <w:b w:val="0"/>
          <w:bCs w:val="0"/>
        </w:rPr>
      </w:r>
      <w:r>
        <w:rPr/>
        <w:t>（</w:t>
      </w:r>
      <w:bookmarkStart w:name="（4）购买日之前持有的股权按照公允价值重新计量产生的利得或损失" w:id="400"/>
      <w:bookmarkEnd w:id="400"/>
      <w:r>
        <w:rPr/>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bookmarkStart w:name="（5）购买日或合并当期期末无法合理确定合并对价或被购买方可辨认资产、负债公允价值" w:id="401"/>
      <w:bookmarkEnd w:id="401"/>
      <w:r>
        <w:rPr>
          <w:rFonts w:ascii="Times New Roman" w:hAnsi="Times New Roman" w:cs="Times New Roman" w:eastAsia="Times New Roman" w:hint="default"/>
        </w:rPr>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w:t>
      </w:r>
      <w:bookmarkStart w:name="（6）其他说明" w:id="402"/>
      <w:bookmarkEnd w:id="402"/>
      <w:r>
        <w:rPr/>
      </w:r>
      <w:bookmarkStart w:name="2、同一控制下企业合并" w:id="403"/>
      <w:bookmarkEnd w:id="403"/>
      <w:r>
        <w:rPr/>
        <w:t>下企业合并</w:t>
      </w:r>
      <w:r>
        <w:rPr>
          <w:b w:val="0"/>
          <w:bCs w:val="0"/>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1）本期发生的同一控制下企业合并" w:id="404"/>
      <w:bookmarkEnd w:id="40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4"/>
        <w:gridCol w:w="1062"/>
        <w:gridCol w:w="1066"/>
        <w:gridCol w:w="1063"/>
      </w:tblGrid>
      <w:tr>
        <w:trPr>
          <w:trHeight w:val="1338"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合并成本" w:id="405"/>
      <w:bookmarkEnd w:id="40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7;width:2;height:392" coordorigin="23,17" coordsize="2,392">
              <v:shape style="position:absolute;left:23;top:17;width:2;height:392" coordorigin="23,17" coordsize="0,392" path="m23,17l23,408e" filled="false" stroked="true" strokeweight="1.08pt" strokecolor="#d4d4d4">
                <v:path arrowok="t"/>
              </v:shape>
            </v:group>
            <v:group style="position:absolute;left:4774;top:17;width:2;height:392" coordorigin="4774,17" coordsize="2,392">
              <v:shape style="position:absolute;left:4774;top:17;width:2;height:392" coordorigin="4774,17" coordsize="0,392" path="m4774,17l4774,408e" filled="false" stroked="true" strokeweight="1.2pt" strokecolor="#d4d4d4">
                <v:path arrowok="t"/>
              </v:shape>
            </v:group>
            <v:group style="position:absolute;left:34;top:17;width:4728;height:392" coordorigin="34,17" coordsize="4728,392">
              <v:shape style="position:absolute;left:34;top:17;width:4728;height:392" coordorigin="34,17" coordsize="4728,392" path="m34,408l4762,408,4762,17,34,17,34,408xe" filled="true" fillcolor="#d4d4d4" stroked="false">
                <v:path arrowok="t"/>
                <v:fill type="solid"/>
              </v:shape>
            </v:group>
            <v:group style="position:absolute;left:4806;top:17;width:2;height:392" coordorigin="4806,17" coordsize="2,392">
              <v:shape style="position:absolute;left:4806;top:17;width:2;height:392" coordorigin="4806,17" coordsize="0,392" path="m4806,17l4806,408e" filled="false" stroked="true" strokeweight="1.08pt" strokecolor="#e1ffff">
                <v:path arrowok="t"/>
              </v:shape>
            </v:group>
            <v:group style="position:absolute;left:9557;top:17;width:2;height:392" coordorigin="9557,17" coordsize="2,392">
              <v:shape style="position:absolute;left:9557;top:17;width:2;height:392" coordorigin="9557,17" coordsize="0,392" path="m9557,17l9557,408e" filled="false" stroked="true" strokeweight="1.2pt" strokecolor="#e1ffff">
                <v:path arrowok="t"/>
              </v:shape>
            </v:group>
            <v:group style="position:absolute;left:4817;top:17;width:4728;height:392" coordorigin="4817,17" coordsize="4728,392">
              <v:shape style="position:absolute;left:4817;top:17;width:4728;height:392" coordorigin="4817,17" coordsize="4728,392" path="m4817,408l9545,408,9545,17,4817,17,4817,408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6;top:10;width:4784;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761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合并日被合并方资产、负债的账面价值" w:id="406"/>
      <w:bookmarkEnd w:id="40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3180;top:14;width:2;height:392" coordorigin="3180,14" coordsize="2,392">
              <v:shape style="position:absolute;left:3180;top:14;width:2;height:392" coordorigin="3180,14" coordsize="0,392" path="m3180,14l3180,406e" filled="false" stroked="true" strokeweight="1.2pt" strokecolor="#d4d4d4">
                <v:path arrowok="t"/>
              </v:shape>
            </v:group>
            <v:group style="position:absolute;left:34;top:14;width:3135;height:392" coordorigin="34,14" coordsize="3135,392">
              <v:shape style="position:absolute;left:34;top:14;width:3135;height:392" coordorigin="34,14" coordsize="3135,392" path="m34,406l3168,406,3168,14,34,14,34,406xe" filled="true" fillcolor="#d4d4d4" stroked="false">
                <v:path arrowok="t"/>
                <v:fill type="solid"/>
              </v:shape>
            </v:group>
            <v:group style="position:absolute;left:3212;top:14;width:2;height:392" coordorigin="3212,14" coordsize="2,392">
              <v:shape style="position:absolute;left:3212;top:14;width:2;height:392" coordorigin="3212,14" coordsize="0,392" path="m3212,14l3212,406e" filled="false" stroked="true" strokeweight="1.08pt" strokecolor="#e1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1ffff">
                <v:path arrowok="t"/>
              </v:shape>
            </v:group>
            <v:group style="position:absolute;left:3223;top:14;width:6324;height:392" coordorigin="3223,14" coordsize="6324,392">
              <v:shape style="position:absolute;left:3223;top:14;width:6324;height:392" coordorigin="3223,14" coordsize="6324,392" path="m3223,406l9547,406,9547,14,3223,14,3223,406xe" filled="true" fillcolor="#e1ffff" stroked="false">
                <v:path arrowok="t"/>
                <v:fill type="solid"/>
              </v:shape>
            </v:group>
            <v:group style="position:absolute;left:10;top:10;width:3180;height:2" coordorigin="10,10" coordsize="3180,2">
              <v:shape style="position:absolute;left:10;top:10;width:3180;height:2" coordorigin="10,10" coordsize="3180,0" path="m10,10l3190,10e" filled="false" stroked="true" strokeweight=".48pt" strokecolor="#000000">
                <v:path arrowok="t"/>
              </v:shape>
            </v:group>
            <v:group style="position:absolute;left:3199;top:10;width:6372;height:2" coordorigin="3199,10" coordsize="6372,2">
              <v:shape style="position:absolute;left:3199;top:10;width:6372;height:2" coordorigin="3199,10" coordsize="6372,0" path="m3199,10l9571,10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4d4d4">
                <v:path arrowok="t"/>
              </v:shape>
            </v:group>
            <v:group style="position:absolute;left:3180;top:415;width:2;height:394" coordorigin="3180,415" coordsize="2,394">
              <v:shape style="position:absolute;left:3180;top:415;width:2;height:394" coordorigin="3180,415" coordsize="0,394" path="m3180,415l3180,809e" filled="false" stroked="true" strokeweight="1.2pt" strokecolor="#d4d4d4">
                <v:path arrowok="t"/>
              </v:shape>
            </v:group>
            <v:group style="position:absolute;left:34;top:415;width:3135;height:394" coordorigin="34,415" coordsize="3135,394">
              <v:shape style="position:absolute;left:34;top:415;width:3135;height:394" coordorigin="34,415" coordsize="3135,394" path="m34,809l3168,809,3168,415,34,415,34,809xe" filled="true" fillcolor="#d4d4d4" stroked="false">
                <v:path arrowok="t"/>
                <v:fill type="solid"/>
              </v:shape>
            </v:group>
            <v:group style="position:absolute;left:3212;top:415;width:2;height:394" coordorigin="3212,415" coordsize="2,394">
              <v:shape style="position:absolute;left:3212;top:415;width:2;height:394" coordorigin="3212,415" coordsize="0,394" path="m3212,415l3212,809e" filled="false" stroked="true" strokeweight="1.08pt" strokecolor="#d4d4d4">
                <v:path arrowok="t"/>
              </v:shape>
            </v:group>
            <v:group style="position:absolute;left:6370;top:415;width:2;height:394" coordorigin="6370,415" coordsize="2,394">
              <v:shape style="position:absolute;left:6370;top:415;width:2;height:394" coordorigin="6370,415" coordsize="0,394" path="m6370,415l6370,809e" filled="false" stroked="true" strokeweight="1.2pt" strokecolor="#d4d4d4">
                <v:path arrowok="t"/>
              </v:shape>
            </v:group>
            <v:group style="position:absolute;left:3223;top:415;width:3135;height:394" coordorigin="3223,415" coordsize="3135,394">
              <v:shape style="position:absolute;left:3223;top:415;width:3135;height:394" coordorigin="3223,415" coordsize="3135,394" path="m3223,809l6358,809,6358,415,3223,415,3223,809xe" filled="true" fillcolor="#d4d4d4" stroked="false">
                <v:path arrowok="t"/>
                <v:fill type="solid"/>
              </v:shape>
            </v:group>
            <v:group style="position:absolute;left:6402;top:415;width:2;height:394" coordorigin="6402,415" coordsize="2,394">
              <v:shape style="position:absolute;left:6402;top:415;width:2;height:394" coordorigin="6402,415" coordsize="0,394" path="m6402,415l6402,809e" filled="false" stroked="true" strokeweight="1.08pt" strokecolor="#d4d4d4">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4d4d4">
                <v:path arrowok="t"/>
              </v:shape>
            </v:group>
            <v:group style="position:absolute;left:6413;top:415;width:3135;height:394" coordorigin="6413,415" coordsize="3135,394">
              <v:shape style="position:absolute;left:6413;top:415;width:3135;height:394" coordorigin="6413,415" coordsize="3135,394" path="m6413,809l9547,809,9547,415,6413,415,6413,809xe" filled="true" fillcolor="#d4d4d4" stroked="false">
                <v:path arrowok="t"/>
                <v:fill type="solid"/>
              </v:shape>
            </v:group>
            <v:group style="position:absolute;left:10;top:410;width:3180;height:2" coordorigin="10,410" coordsize="3180,2">
              <v:shape style="position:absolute;left:10;top:410;width:3180;height:2" coordorigin="10,410" coordsize="3180,0" path="m10,410l3190,410e" filled="false" stroked="true" strokeweight=".48pt" strokecolor="#000000">
                <v:path arrowok="t"/>
              </v:shape>
            </v:group>
            <v:group style="position:absolute;left:3199;top:410;width:3180;height:2" coordorigin="3199,410" coordsize="3180,2">
              <v:shape style="position:absolute;left:3199;top:410;width:3180;height:2" coordorigin="3199,410" coordsize="3180,0" path="m3199,410l6379,410e" filled="false" stroked="true" strokeweight=".48pt" strokecolor="#000000">
                <v:path arrowok="t"/>
              </v:shape>
            </v:group>
            <v:group style="position:absolute;left:6389;top:410;width:3183;height:2" coordorigin="6389,410" coordsize="3183,2">
              <v:shape style="position:absolute;left:6389;top:410;width:3183;height:2" coordorigin="6389,410" coordsize="3183,0" path="m6389,410l9571,410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0;height:2" coordorigin="10,814" coordsize="3180,2">
              <v:shape style="position:absolute;left:10;top:814;width:3180;height:2" coordorigin="10,814" coordsize="3180,0" path="m10,814l3190,814e" filled="false" stroked="true" strokeweight=".48pt" strokecolor="#000000">
                <v:path arrowok="t"/>
              </v:shape>
            </v:group>
            <v:group style="position:absolute;left:3194;top:5;width:2;height:814" coordorigin="3194,5" coordsize="2,814">
              <v:shape style="position:absolute;left:3194;top:5;width:2;height:814" coordorigin="3194,5" coordsize="0,814" path="m3194,5l3194,818e" filled="false" stroked="true" strokeweight=".48pt" strokecolor="#000000">
                <v:path arrowok="t"/>
              </v:shape>
            </v:group>
            <v:group style="position:absolute;left:3199;top:814;width:3180;height:2" coordorigin="3199,814" coordsize="3180,2">
              <v:shape style="position:absolute;left:3199;top:814;width:3180;height:2" coordorigin="3199,814" coordsize="3180,0" path="m3199,814l6379,814e" filled="false" stroked="true" strokeweight=".48pt" strokecolor="#000000">
                <v:path arrowok="t"/>
              </v:shape>
            </v:group>
            <v:group style="position:absolute;left:6384;top:406;width:2;height:413" coordorigin="6384,406" coordsize="2,413">
              <v:shape style="position:absolute;left:6384;top:406;width:2;height:413" coordorigin="6384,406" coordsize="0,413" path="m6384,406l6384,818e" filled="false" stroked="true" strokeweight=".48pt" strokecolor="#000000">
                <v:path arrowok="t"/>
              </v:shape>
            </v:group>
            <v:group style="position:absolute;left:6389;top:814;width:3183;height:2" coordorigin="6389,814" coordsize="3183,2">
              <v:shape style="position:absolute;left:6389;top:814;width:3183;height:2" coordorigin="6389,814" coordsize="3183,0" path="m6389,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4;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79;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4"/>
        <w:ind w:left="152" w:right="653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1"/>
          <w:szCs w:val="11"/>
        </w:rPr>
      </w:pPr>
    </w:p>
    <w:p>
      <w:pPr>
        <w:spacing w:line="338" w:lineRule="auto" w:before="44"/>
        <w:ind w:left="152" w:right="4014" w:firstLine="0"/>
        <w:jc w:val="left"/>
        <w:rPr>
          <w:rFonts w:ascii="宋体" w:hAnsi="宋体" w:cs="宋体" w:eastAsia="宋体" w:hint="default"/>
          <w:sz w:val="18"/>
          <w:szCs w:val="18"/>
        </w:rPr>
      </w:pPr>
      <w:bookmarkStart w:name="（3）重要非全资子公司的主要财务信息" w:id="407"/>
      <w:bookmarkEnd w:id="407"/>
      <w:r>
        <w:rPr/>
      </w: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bookmarkStart w:name="5、其他原因的合并范围变动" w:id="408"/>
      <w:bookmarkEnd w:id="408"/>
      <w:r>
        <w:rPr>
          <w:rFonts w:ascii="Times New Roman" w:hAnsi="Times New Roman" w:cs="Times New Roman" w:eastAsia="Times New Roman" w:hint="default"/>
        </w:rPr>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18"/>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w:t>
      </w:r>
      <w:bookmarkStart w:name="6、其他" w:id="409"/>
      <w:bookmarkEnd w:id="409"/>
      <w:r>
        <w:rPr>
          <w:rFonts w:ascii="宋体" w:hAnsi="宋体" w:cs="宋体" w:eastAsia="宋体" w:hint="default"/>
          <w:b/>
          <w:bCs/>
          <w:sz w:val="24"/>
          <w:szCs w:val="24"/>
        </w:rPr>
        <w:t>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bookmarkStart w:name="九、在其他主体中的权益" w:id="410"/>
            <w:bookmarkEnd w:id="410"/>
            <w:r>
              <w:rPr/>
            </w: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bookmarkStart w:name="1、在子公司中的权益" w:id="411"/>
            <w:bookmarkEnd w:id="411"/>
            <w:r>
              <w:rPr/>
            </w:r>
            <w:bookmarkStart w:name="（1）企业集团的构成" w:id="412"/>
            <w:bookmarkEnd w:id="412"/>
            <w:r>
              <w:rPr/>
            </w: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深圳市连邦信息 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设立、收购</w:t>
            </w:r>
          </w:p>
        </w:tc>
      </w:tr>
    </w:tbl>
    <w:p>
      <w:pPr>
        <w:spacing w:line="357" w:lineRule="auto" w:before="49"/>
        <w:ind w:left="152" w:right="185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52" w:right="671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重要的非全资子公司" w:id="413"/>
      <w:bookmarkEnd w:id="41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5"/>
        <w:gridCol w:w="1913"/>
        <w:gridCol w:w="1913"/>
        <w:gridCol w:w="1915"/>
      </w:tblGrid>
      <w:tr>
        <w:trPr>
          <w:trHeight w:val="7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57" w:lineRule="auto" w:before="50"/>
        <w:ind w:left="152" w:right="545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4"/>
        <w:gridCol w:w="737"/>
        <w:gridCol w:w="737"/>
        <w:gridCol w:w="734"/>
        <w:gridCol w:w="737"/>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49"/>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3"/>
        <w:gridCol w:w="1063"/>
        <w:gridCol w:w="1063"/>
        <w:gridCol w:w="1066"/>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49"/>
        <w:ind w:left="152" w:right="0" w:firstLine="0"/>
        <w:jc w:val="left"/>
        <w:rPr>
          <w:rFonts w:ascii="宋体" w:hAnsi="宋体" w:cs="宋体" w:eastAsia="宋体" w:hint="default"/>
          <w:sz w:val="18"/>
          <w:szCs w:val="18"/>
        </w:rPr>
      </w:pPr>
      <w:bookmarkStart w:name="（2）重要合营企业的主要财务信息" w:id="414"/>
      <w:bookmarkEnd w:id="414"/>
      <w:r>
        <w:rPr/>
      </w:r>
      <w:bookmarkStart w:name="（3）重要联营企业的主要财务信息" w:id="415"/>
      <w:bookmarkEnd w:id="415"/>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）使用企业集团</w:t>
      </w:r>
      <w:bookmarkStart w:name="（4）使用企业集团资产和清偿企业集团债务的重大限制" w:id="416"/>
      <w:bookmarkEnd w:id="416"/>
      <w:r>
        <w:rPr/>
        <w:t>资产</w:t>
      </w:r>
      <w:r>
        <w:rPr/>
        <w:t>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w:t>
      </w:r>
      <w:bookmarkStart w:name="（5）向纳入合并财务报表范围的结构化主体提供的财务支持或其他支持" w:id="417"/>
      <w:bookmarkEnd w:id="417"/>
      <w:r>
        <w:rPr/>
        <w:t>范围的结构化主体</w:t>
      </w:r>
      <w:r>
        <w:rPr/>
        <w:t>提供的财务支持或其他支持</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、在子公司的所有者权益</w:t>
      </w:r>
      <w:bookmarkStart w:name="2、在子公司的所有者权益份额发生变化且仍控制子公司的交易" w:id="418"/>
      <w:bookmarkEnd w:id="418"/>
      <w:r>
        <w:rPr/>
        <w:t>份额发生变化且仍</w:t>
      </w:r>
      <w:r>
        <w:rPr/>
        <w:t>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w:t>
      </w:r>
      <w:bookmarkStart w:name="（1）在子公司所有者权益份额发生变化的情况说明" w:id="419"/>
      <w:bookmarkEnd w:id="419"/>
      <w:r>
        <w:rPr/>
        <w:t>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w:t>
      </w:r>
      <w:bookmarkStart w:name="（2）交易对于少数股东权益及归属于母公司所有者权益的影响" w:id="420"/>
      <w:bookmarkEnd w:id="420"/>
      <w:r>
        <w:rPr/>
        <w:t>权益的影响</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4;width:2;height:394" coordorigin="23,14" coordsize="2,394">
              <v:shape style="position:absolute;left:23;top:14;width:2;height:394" coordorigin="23,14" coordsize="0,394" path="m23,14l23,408e" filled="false" stroked="true" strokeweight="1.08pt" strokecolor="#d4d4d4">
                <v:path arrowok="t"/>
              </v:shape>
            </v:group>
            <v:group style="position:absolute;left:4774;top:14;width:2;height:394" coordorigin="4774,14" coordsize="2,394">
              <v:shape style="position:absolute;left:4774;top:14;width:2;height:394" coordorigin="4774,14" coordsize="0,394" path="m4774,14l4774,408e" filled="false" stroked="true" strokeweight="1.2pt" strokecolor="#d4d4d4">
                <v:path arrowok="t"/>
              </v:shape>
            </v:group>
            <v:group style="position:absolute;left:34;top:14;width:4728;height:394" coordorigin="34,14" coordsize="4728,394">
              <v:shape style="position:absolute;left:34;top:14;width:4728;height:394" coordorigin="34,14" coordsize="4728,394" path="m34,408l4762,408,4762,14,34,14,34,408xe" filled="true" fillcolor="#d4d4d4" stroked="false">
                <v:path arrowok="t"/>
                <v:fill type="solid"/>
              </v:shape>
            </v:group>
            <v:group style="position:absolute;left:4806;top:14;width:2;height:394" coordorigin="4806,14" coordsize="2,394">
              <v:shape style="position:absolute;left:4806;top:14;width:2;height:394" coordorigin="4806,14" coordsize="0,394" path="m4806,14l4806,408e" filled="false" stroked="true" strokeweight="1.08pt" strokecolor="#e1ffff">
                <v:path arrowok="t"/>
              </v:shape>
            </v:group>
            <v:group style="position:absolute;left:9557;top:14;width:2;height:394" coordorigin="9557,14" coordsize="2,394">
              <v:shape style="position:absolute;left:9557;top:14;width:2;height:394" coordorigin="9557,14" coordsize="0,394" path="m9557,14l9557,408e" filled="false" stroked="true" strokeweight="1.2pt" strokecolor="#e1ffff">
                <v:path arrowok="t"/>
              </v:shape>
            </v:group>
            <v:group style="position:absolute;left:4817;top:14;width:4728;height:394" coordorigin="4817,14" coordsize="4728,394">
              <v:shape style="position:absolute;left:4817;top:14;width:4728;height:394" coordorigin="4817,14" coordsize="4728,394" path="m4817,408l9545,408,9545,14,4817,14,4817,408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8"/>
        <w:gridCol w:w="1366"/>
        <w:gridCol w:w="1368"/>
        <w:gridCol w:w="1368"/>
        <w:gridCol w:w="1366"/>
        <w:gridCol w:w="1355"/>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bookmarkStart w:name="3、在合营安排或联营企业中的权益" w:id="421"/>
            <w:bookmarkEnd w:id="421"/>
            <w:r>
              <w:rPr/>
            </w:r>
            <w:r>
              <w:rPr>
                <w:rFonts w:ascii="宋体" w:hAnsi="宋体" w:cs="宋体" w:eastAsia="宋体" w:hint="default"/>
                <w:sz w:val="18"/>
                <w:szCs w:val="18"/>
              </w:rPr>
              <w:t>持股比例</w:t>
            </w:r>
          </w:p>
        </w:tc>
        <w:tc>
          <w:tcPr>
            <w:tcW w:w="135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47" w:right="35"/>
              <w:jc w:val="center"/>
              <w:rPr>
                <w:rFonts w:ascii="宋体" w:hAnsi="宋体" w:cs="宋体" w:eastAsia="宋体" w:hint="default"/>
                <w:sz w:val="18"/>
                <w:szCs w:val="18"/>
              </w:rPr>
            </w:pPr>
            <w:bookmarkStart w:name="（1）重要的合营企业或联营企业" w:id="422"/>
            <w:bookmarkEnd w:id="422"/>
            <w:r>
              <w:rPr/>
            </w:r>
            <w:r>
              <w:rPr>
                <w:rFonts w:ascii="宋体" w:hAnsi="宋体" w:cs="宋体" w:eastAsia="宋体" w:hint="default"/>
                <w:sz w:val="18"/>
                <w:szCs w:val="18"/>
              </w:rPr>
              <w:t>对合营企业或联 营企业投资的会 计处理方法</w:t>
            </w:r>
          </w:p>
        </w:tc>
      </w:tr>
      <w:tr>
        <w:trPr>
          <w:trHeight w:val="624" w:hRule="exact"/>
        </w:trPr>
        <w:tc>
          <w:tcPr>
            <w:tcW w:w="136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55" w:type="dxa"/>
            <w:vMerge/>
            <w:tcBorders>
              <w:left w:val="single" w:sz="4" w:space="0" w:color="000000"/>
              <w:bottom w:val="single" w:sz="4" w:space="0" w:color="000000"/>
              <w:right w:val="single" w:sz="4" w:space="0" w:color="000000"/>
            </w:tcBorders>
            <w:shd w:val="clear" w:color="auto" w:fill="D4D4D4"/>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88"/>
        <w:gridCol w:w="3192"/>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88" w:type="dxa"/>
            <w:tcBorders>
              <w:top w:val="single" w:sz="4" w:space="0" w:color="000000"/>
              <w:left w:val="single" w:sz="10" w:space="0" w:color="D4D4D4"/>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90"/>
        <w:gridCol w:w="3188"/>
        <w:gridCol w:w="3192"/>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spacing w:before="49"/>
        <w:ind w:left="152" w:right="0" w:firstLine="0"/>
        <w:jc w:val="left"/>
        <w:rPr>
          <w:rFonts w:ascii="宋体" w:hAnsi="宋体" w:cs="宋体" w:eastAsia="宋体" w:hint="default"/>
          <w:sz w:val="18"/>
          <w:szCs w:val="18"/>
        </w:rPr>
      </w:pPr>
      <w:bookmarkStart w:name="4、重要的共同经营" w:id="423"/>
      <w:bookmarkEnd w:id="423"/>
      <w:r>
        <w:rPr/>
      </w:r>
      <w:bookmarkStart w:name="5、在未纳入合并财务报表范围的结构化主体中的权益" w:id="424"/>
      <w:bookmarkEnd w:id="424"/>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bookmarkStart w:name="（4）不重要的合营企业和联营企业的汇总财务信息" w:id="425"/>
      <w:bookmarkEnd w:id="425"/>
      <w:r>
        <w:rPr>
          <w:rFonts w:ascii="Times New Roman" w:hAnsi="Times New Roman" w:cs="Times New Roman" w:eastAsia="Times New Roman" w:hint="default"/>
        </w:rPr>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）合营企业或联营企业向本公司转移资金的</w:t>
      </w:r>
      <w:bookmarkStart w:name="（5）合营企业或联营企业向本公司转移资金的能力存在重大限制的说明" w:id="426"/>
      <w:bookmarkEnd w:id="426"/>
      <w:r>
        <w:rPr/>
        <w:t>能</w:t>
      </w:r>
      <w:r>
        <w:rPr/>
        <w:t>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合营企业或联营企业发生的超额亏损" w:id="427"/>
      <w:bookmarkEnd w:id="42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83"/>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53" w:right="0"/>
              <w:jc w:val="left"/>
              <w:rPr>
                <w:rFonts w:ascii="宋体" w:hAnsi="宋体" w:cs="宋体" w:eastAsia="宋体" w:hint="default"/>
                <w:sz w:val="18"/>
                <w:szCs w:val="18"/>
              </w:rPr>
            </w:pPr>
            <w:bookmarkStart w:name="（7）与合营企业投资相关的未确认承诺" w:id="428"/>
            <w:bookmarkEnd w:id="428"/>
            <w:r>
              <w:rPr/>
            </w: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bookmarkStart w:name="（8）与合营企业或联营企业投资相关的或有负债" w:id="429"/>
            <w:bookmarkEnd w:id="429"/>
            <w:r>
              <w:rPr>
                <w:rFonts w:ascii="Times New Roman" w:hAnsi="Times New Roman" w:cs="Times New Roman" w:eastAsia="Times New Roman" w:hint="default"/>
                <w:sz w:val="18"/>
                <w:szCs w:val="18"/>
              </w:rPr>
            </w:r>
            <w:r>
              <w:rPr>
                <w:rFonts w:ascii="宋体" w:hAnsi="宋体" w:cs="宋体" w:eastAsia="宋体" w:hint="default"/>
                <w:sz w:val="18"/>
                <w:szCs w:val="18"/>
              </w:rPr>
              <w:t>享有的份额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0"/>
        <w:ind w:left="152" w:right="455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3"/>
        <w:rPr>
          <w:rFonts w:ascii="宋体" w:hAnsi="宋体" w:cs="宋体" w:eastAsia="宋体" w:hint="default"/>
          <w:sz w:val="10"/>
          <w:szCs w:val="10"/>
        </w:rPr>
      </w:pPr>
    </w:p>
    <w:p>
      <w:pPr>
        <w:pStyle w:val="Heading3"/>
        <w:spacing w:line="240" w:lineRule="auto" w:before="36"/>
        <w:ind w:right="0"/>
        <w:jc w:val="left"/>
        <w:rPr>
          <w:b w:val="0"/>
          <w:bCs w:val="0"/>
        </w:rPr>
      </w:pPr>
      <w:r>
        <w:rPr>
          <w:rFonts w:ascii="Times New Roman" w:hAnsi="Times New Roman" w:cs="Times New Roman" w:eastAsia="Times New Roman" w:hint="default"/>
        </w:rPr>
        <w:t>6</w:t>
      </w:r>
      <w:bookmarkStart w:name="6、其他" w:id="430"/>
      <w:bookmarkEnd w:id="430"/>
      <w:r>
        <w:rPr>
          <w:rFonts w:ascii="Times New Roman" w:hAnsi="Times New Roman" w:cs="Times New Roman" w:eastAsia="Times New Roman" w:hint="default"/>
        </w:rPr>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十、与</w:t>
      </w:r>
      <w:bookmarkStart w:name="十、与金融工具相关的风险" w:id="431"/>
      <w:bookmarkEnd w:id="431"/>
      <w:r>
        <w:rPr/>
        <w:t>金融</w:t>
      </w:r>
      <w:r>
        <w:rPr/>
        <w:t>工具相关的风险</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0" w:firstLine="420"/>
        <w:jc w:val="left"/>
      </w:pPr>
      <w:r>
        <w:rPr>
          <w:spacing w:val="-2"/>
        </w:rPr>
        <w:t>本公司的经营活动会面临各种金融风险：信用风险、流动风险和市场风险。本公司整体的风险管理计</w:t>
      </w:r>
      <w:r>
        <w:rPr>
          <w:w w:val="100"/>
        </w:rPr>
        <w:t> </w:t>
      </w:r>
      <w:r>
        <w:rPr/>
        <w:t>划针对金融市场的不可预见性，力求减少对本公司财务业绩的潜在不利影响。</w:t>
      </w:r>
    </w:p>
    <w:p>
      <w:pPr>
        <w:pStyle w:val="Heading3"/>
        <w:spacing w:line="240" w:lineRule="auto" w:before="166"/>
        <w:ind w:right="0"/>
        <w:jc w:val="left"/>
        <w:rPr>
          <w:b w:val="0"/>
          <w:bCs w:val="0"/>
        </w:rPr>
      </w:pPr>
      <w:r>
        <w:rPr>
          <w:rFonts w:ascii="宋体" w:hAnsi="宋体" w:cs="宋体" w:eastAsia="宋体" w:hint="default"/>
        </w:rPr>
        <w:t>1.</w:t>
      </w:r>
      <w:r>
        <w:rPr>
          <w:rFonts w:ascii="宋体" w:hAnsi="宋体" w:cs="宋体" w:eastAsia="宋体" w:hint="default"/>
          <w:spacing w:val="43"/>
        </w:rPr>
        <w:t> </w:t>
      </w:r>
      <w:r>
        <w:rPr/>
        <w:t>信用风险</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12" w:right="0" w:firstLine="420"/>
        <w:jc w:val="left"/>
      </w:pPr>
      <w:r>
        <w:rPr>
          <w:spacing w:val="-2"/>
        </w:rPr>
        <w:t>本公司的信用风险主要来自货币资金、应收账款、其他应收款和可供出售金融资产等。管理层已</w:t>
      </w:r>
      <w:r>
        <w:rPr>
          <w:w w:val="100"/>
        </w:rPr>
        <w:t> </w:t>
      </w:r>
      <w:r>
        <w:rPr/>
        <w:t>制定适当的信用政策，并且不断监察这些信用风险的敞口。</w:t>
      </w:r>
    </w:p>
    <w:p>
      <w:pPr>
        <w:pStyle w:val="BodyText"/>
        <w:spacing w:line="408" w:lineRule="auto"/>
        <w:ind w:left="512" w:right="0" w:firstLine="420"/>
        <w:jc w:val="left"/>
      </w:pPr>
      <w:r>
        <w:rPr>
          <w:spacing w:val="-2"/>
        </w:rPr>
        <w:t>本公司持有的货币资金，主要存放于商业银行等金融机构，管理层认为这些商业银行具备较高信</w:t>
      </w:r>
      <w:r>
        <w:rPr>
          <w:w w:val="100"/>
        </w:rPr>
        <w:t> </w:t>
      </w:r>
      <w:r>
        <w:rPr/>
        <w:t>誉和资产状况，存在较低的信用风险。本公司采取限额政策以规避对任何金融机构的信贷风险。</w:t>
      </w:r>
    </w:p>
    <w:p>
      <w:pPr>
        <w:pStyle w:val="BodyText"/>
        <w:spacing w:line="408" w:lineRule="auto"/>
        <w:ind w:left="512" w:right="183" w:firstLine="420"/>
        <w:jc w:val="both"/>
      </w:pPr>
      <w:r>
        <w:rPr>
          <w:spacing w:val="-2"/>
        </w:rPr>
        <w:t>对于应收账款和其他应收款，本公司设定相关政策以控制信用风险敞口。本公司基于对客户的财</w:t>
      </w:r>
      <w:r>
        <w:rPr>
          <w:w w:val="100"/>
        </w:rPr>
        <w:t> </w:t>
      </w:r>
      <w:r>
        <w:rPr>
          <w:spacing w:val="-2"/>
        </w:rPr>
        <w:t>务状况、从第三方获取担保的可能性、信用记录及其它因素诸如目前市场状况等评估客户的信用资质</w:t>
      </w:r>
      <w:r>
        <w:rPr>
          <w:spacing w:val="-22"/>
        </w:rPr>
        <w:t> </w:t>
      </w:r>
      <w:r>
        <w:rPr>
          <w:spacing w:val="-22"/>
        </w:rPr>
      </w:r>
      <w:r>
        <w:rPr>
          <w:spacing w:val="-2"/>
        </w:rPr>
        <w:t>并设置相应信用期。本公司会定期对客户信用记录进行监控，对于信用记录不良的客户，本公司会采</w:t>
      </w:r>
      <w:r>
        <w:rPr>
          <w:spacing w:val="-22"/>
        </w:rPr>
        <w:t> </w:t>
      </w:r>
      <w:r>
        <w:rPr>
          <w:spacing w:val="-22"/>
        </w:rPr>
      </w:r>
      <w:r>
        <w:rPr/>
        <w:t>用书面催款、缩短信用期或取消信用期等方式，以确保本公司的整体信用风险在可控的范围内。</w:t>
      </w:r>
    </w:p>
    <w:p>
      <w:pPr>
        <w:pStyle w:val="BodyText"/>
        <w:spacing w:line="386" w:lineRule="auto"/>
        <w:ind w:left="512" w:right="257" w:firstLine="420"/>
        <w:jc w:val="both"/>
      </w:pPr>
      <w:r>
        <w:rPr>
          <w:spacing w:val="-2"/>
        </w:rPr>
        <w:t>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日，本公司的前五大客户的应收账款占本公司应收账款总额</w:t>
      </w:r>
      <w:r>
        <w:rPr>
          <w:rFonts w:ascii="Times New Roman" w:hAnsi="Times New Roman" w:cs="Times New Roman" w:eastAsia="Times New Roman" w:hint="default"/>
          <w:spacing w:val="-2"/>
        </w:rPr>
        <w:t>60.81%</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2"/>
        </w:rPr>
        <w:t>(2014</w:t>
      </w:r>
      <w:r>
        <w:rPr>
          <w:spacing w:val="-2"/>
        </w:rPr>
        <w:t>年：</w:t>
      </w:r>
      <w:r>
        <w:rPr>
          <w:spacing w:val="-3"/>
          <w:w w:val="100"/>
        </w:rPr>
        <w:t> </w:t>
      </w:r>
      <w:r>
        <w:rPr>
          <w:rFonts w:ascii="Times New Roman" w:hAnsi="Times New Roman" w:cs="Times New Roman" w:eastAsia="Times New Roman" w:hint="default"/>
        </w:rPr>
        <w:t>70.25%)</w:t>
      </w:r>
      <w:r>
        <w:rPr>
          <w:rFonts w:ascii="Times New Roman" w:hAnsi="Times New Roman" w:cs="Times New Roman" w:eastAsia="Times New Roman" w:hint="default"/>
          <w:spacing w:val="34"/>
        </w:rPr>
        <w:t> </w:t>
      </w:r>
      <w:r>
        <w:rPr/>
        <w:t>。</w:t>
      </w:r>
    </w:p>
    <w:p>
      <w:pPr>
        <w:pStyle w:val="BodyText"/>
        <w:spacing w:line="386" w:lineRule="auto" w:before="35"/>
        <w:ind w:left="512" w:right="376" w:firstLine="420"/>
        <w:jc w:val="left"/>
      </w:pPr>
      <w:r>
        <w:rPr/>
        <w:t>本公司所承受的最大信用风险敞口为资产负债表中每项金融资产</w:t>
      </w:r>
      <w:r>
        <w:rPr>
          <w:rFonts w:ascii="Times New Roman" w:hAnsi="Times New Roman" w:cs="Times New Roman" w:eastAsia="Times New Roman" w:hint="default"/>
        </w:rPr>
        <w:t>(</w:t>
      </w:r>
      <w:r>
        <w:rPr/>
        <w:t>包括衍生金融工具</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的账面金</w:t>
      </w:r>
      <w:r>
        <w:rPr>
          <w:w w:val="100"/>
        </w:rPr>
        <w:t> </w:t>
      </w:r>
      <w:r>
        <w:rPr/>
        <w:t>额。本公司没有提供任何其他可能令本公司承受信用风险的担保。</w:t>
      </w:r>
    </w:p>
    <w:p>
      <w:pPr>
        <w:spacing w:line="240" w:lineRule="auto" w:before="2"/>
        <w:rPr>
          <w:rFonts w:ascii="宋体" w:hAnsi="宋体" w:cs="宋体" w:eastAsia="宋体" w:hint="default"/>
          <w:sz w:val="14"/>
          <w:szCs w:val="14"/>
        </w:rPr>
      </w:pPr>
    </w:p>
    <w:p>
      <w:pPr>
        <w:pStyle w:val="Heading3"/>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43"/>
        </w:rPr>
        <w:t> </w:t>
      </w:r>
      <w:r>
        <w:rPr/>
        <w:t>流动性风险</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before="0"/>
        <w:ind w:left="512" w:right="0" w:firstLine="419"/>
        <w:jc w:val="left"/>
      </w:pPr>
      <w:r>
        <w:rPr>
          <w:spacing w:val="-2"/>
        </w:rPr>
        <w:t>流动性风险是指本公司无法及时获得充足资金</w:t>
      </w:r>
      <w:r>
        <w:rPr>
          <w:rFonts w:ascii="Times New Roman" w:hAnsi="Times New Roman" w:cs="Times New Roman" w:eastAsia="Times New Roman" w:hint="default"/>
          <w:spacing w:val="-2"/>
        </w:rPr>
        <w:t>,</w:t>
      </w:r>
      <w:r>
        <w:rPr>
          <w:spacing w:val="-2"/>
        </w:rPr>
        <w:t>满足业务发展需要或偿付到期债务以及其他支付</w:t>
      </w:r>
      <w:r>
        <w:rPr>
          <w:w w:val="100"/>
        </w:rPr>
        <w:t> </w:t>
      </w:r>
      <w:r>
        <w:rPr/>
        <w:t>义务的风险。</w:t>
      </w:r>
    </w:p>
    <w:p>
      <w:pPr>
        <w:pStyle w:val="BodyText"/>
        <w:spacing w:line="408" w:lineRule="auto" w:before="65"/>
        <w:ind w:left="512" w:right="0" w:firstLine="420"/>
        <w:jc w:val="left"/>
      </w:pPr>
      <w:r>
        <w:rPr>
          <w:spacing w:val="-2"/>
        </w:rPr>
        <w:t>本公司财务部门持续监控公司短期和长期的资金需求，以确保维持充裕的现金储备；同时持续监</w:t>
      </w:r>
      <w:r>
        <w:rPr>
          <w:w w:val="100"/>
        </w:rPr>
        <w:t> </w:t>
      </w:r>
      <w:r>
        <w:rPr/>
        <w:t>控是否符合借款协议的规定，现阶段主要依靠自有资金满足资金需求。</w:t>
      </w:r>
    </w:p>
    <w:p>
      <w:pPr>
        <w:pStyle w:val="Heading3"/>
        <w:spacing w:line="240" w:lineRule="auto" w:before="166"/>
        <w:ind w:left="637" w:right="0"/>
        <w:jc w:val="left"/>
        <w:rPr>
          <w:b w:val="0"/>
          <w:bCs w:val="0"/>
        </w:rPr>
      </w:pPr>
      <w:r>
        <w:rPr>
          <w:rFonts w:ascii="宋体" w:hAnsi="宋体" w:cs="宋体" w:eastAsia="宋体" w:hint="default"/>
        </w:rPr>
        <w:t>1.</w:t>
      </w:r>
      <w:r>
        <w:rPr>
          <w:rFonts w:ascii="宋体" w:hAnsi="宋体" w:cs="宋体" w:eastAsia="宋体" w:hint="default"/>
          <w:spacing w:val="43"/>
        </w:rPr>
        <w:t> </w:t>
      </w:r>
      <w:r>
        <w:rPr/>
        <w:t>市场风险</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43"/>
        </w:rPr>
        <w:t> </w:t>
      </w:r>
      <w:r>
        <w:rPr/>
        <w:t>外汇风险</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12" w:right="0" w:firstLine="420"/>
        <w:jc w:val="left"/>
      </w:pPr>
      <w:r>
        <w:rPr>
          <w:spacing w:val="-2"/>
        </w:rPr>
        <w:t>本公司产品全部内销，并且没有持有外币性金融资产和金融负债，因此汇率变动对本公司的经营</w:t>
      </w:r>
      <w:r>
        <w:rPr>
          <w:spacing w:val="-3"/>
          <w:w w:val="100"/>
        </w:rPr>
        <w:t> </w:t>
      </w:r>
      <w:r>
        <w:rPr/>
        <w:t>业绩产生的影响较小。</w:t>
      </w:r>
    </w:p>
    <w:p>
      <w:pPr>
        <w:pStyle w:val="Heading3"/>
        <w:spacing w:line="240" w:lineRule="auto" w:before="46"/>
        <w:ind w:right="0"/>
        <w:jc w:val="left"/>
        <w:rPr>
          <w:b w:val="0"/>
          <w:bCs w:val="0"/>
        </w:rPr>
      </w:pPr>
      <w:r>
        <w:rPr>
          <w:rFonts w:ascii="宋体" w:hAnsi="宋体" w:cs="宋体" w:eastAsia="宋体" w:hint="default"/>
        </w:rPr>
        <w:t>1.</w:t>
      </w:r>
      <w:r>
        <w:rPr>
          <w:rFonts w:ascii="宋体" w:hAnsi="宋体" w:cs="宋体" w:eastAsia="宋体" w:hint="default"/>
          <w:spacing w:val="43"/>
        </w:rPr>
        <w:t> </w:t>
      </w:r>
      <w:r>
        <w:rPr/>
        <w:t>利率风险</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932" w:right="0"/>
        <w:jc w:val="left"/>
      </w:pPr>
      <w:r>
        <w:rPr/>
        <w:t>本公司主要依靠自用资金满足生产经营的需要，近期未向银行借款，因此利率变动对本公司的经</w:t>
      </w:r>
    </w:p>
    <w:p>
      <w:pPr>
        <w:spacing w:after="0" w:line="240" w:lineRule="auto"/>
        <w:jc w:val="left"/>
        <w:sectPr>
          <w:pgSz w:w="11910" w:h="16840"/>
          <w:pgMar w:header="990" w:footer="1066" w:top="1220" w:bottom="1260" w:left="980" w:right="980"/>
        </w:sectPr>
      </w:pPr>
    </w:p>
    <w:p>
      <w:pPr>
        <w:spacing w:line="240" w:lineRule="auto" w:before="4"/>
        <w:rPr>
          <w:rFonts w:ascii="宋体" w:hAnsi="宋体" w:cs="宋体" w:eastAsia="宋体" w:hint="default"/>
          <w:sz w:val="16"/>
          <w:szCs w:val="16"/>
        </w:rPr>
      </w:pPr>
    </w:p>
    <w:p>
      <w:pPr>
        <w:pStyle w:val="BodyText"/>
        <w:spacing w:line="240" w:lineRule="auto" w:before="36"/>
        <w:ind w:left="512" w:right="0"/>
        <w:jc w:val="left"/>
      </w:pPr>
      <w:bookmarkStart w:name="7、本期内发生的估值技术变更及变更原因" w:id="432"/>
      <w:bookmarkEnd w:id="432"/>
      <w:r>
        <w:rPr/>
      </w:r>
      <w:bookmarkStart w:name="8、不以公允价值计量的金融资产和金融负债的公允价值情况" w:id="433"/>
      <w:bookmarkEnd w:id="433"/>
      <w:r>
        <w:rPr/>
      </w:r>
      <w:bookmarkStart w:name="9、其他" w:id="434"/>
      <w:bookmarkEnd w:id="434"/>
      <w:r>
        <w:rPr/>
      </w:r>
      <w:bookmarkStart w:name="十二、关联方及关联交易" w:id="435"/>
      <w:bookmarkEnd w:id="435"/>
      <w:r>
        <w:rPr/>
      </w:r>
      <w:bookmarkStart w:name="1、本企业的母公司情况" w:id="436"/>
      <w:bookmarkEnd w:id="436"/>
      <w:r>
        <w:rPr/>
      </w:r>
      <w:r>
        <w:rPr/>
        <w:t>营业绩产生的影响较小。</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43"/>
        </w:rPr>
        <w:t> </w:t>
      </w:r>
      <w:r>
        <w:rPr/>
        <w:t>价格风险</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0" w:firstLine="424"/>
        <w:jc w:val="left"/>
      </w:pPr>
      <w:r>
        <w:rPr>
          <w:spacing w:val="-2"/>
        </w:rPr>
        <w:t>本公司以市场价格销售方直金太阳教育软件及其他产品并提供技术开发服务，因此受到此等产品价格</w:t>
      </w:r>
      <w:r>
        <w:rPr>
          <w:w w:val="100"/>
        </w:rPr>
        <w:t> </w:t>
      </w:r>
      <w:r>
        <w:rPr/>
        <w:t>波动的影响。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w:t>
      </w:r>
      <w:bookmarkStart w:name="十一、公允价值的披露" w:id="437"/>
      <w:bookmarkEnd w:id="437"/>
      <w:r>
        <w:rPr/>
      </w:r>
      <w:bookmarkStart w:name="1、以公允价值计量的资产和负债的期末公允价值" w:id="438"/>
      <w:bookmarkEnd w:id="438"/>
      <w:r>
        <w:rPr/>
        <w:t>和负债的期末公允</w:t>
      </w:r>
      <w:r>
        <w:rPr/>
        <w:t>价值</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6"/>
        <w:gridCol w:w="1913"/>
        <w:gridCol w:w="1913"/>
        <w:gridCol w:w="1915"/>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3"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w:t>
      </w:r>
      <w:bookmarkStart w:name="2、持续和非持续第一层次公允价值计量项目市价的确定依据" w:id="439"/>
      <w:bookmarkEnd w:id="439"/>
      <w:r>
        <w:rPr/>
        <w:t>的估值技术和重要</w:t>
      </w:r>
      <w:r>
        <w:rPr/>
        <w:t>参数的</w:t>
      </w:r>
      <w:bookmarkStart w:name="3、持续和非持续第二层次公允价值计量项目，采用的估值技术和重要参数的定性及定量信" w:id="440"/>
      <w:bookmarkEnd w:id="440"/>
      <w:r>
        <w:rPr/>
        <w:t>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w:t>
      </w:r>
      <w:bookmarkStart w:name="4、持续和非持续第三层次公允价值计量项目，采用的估值技术和重要参数的定性及定量信" w:id="441"/>
      <w:bookmarkEnd w:id="441"/>
      <w:r>
        <w:rPr/>
        <w:t>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w:t>
      </w:r>
      <w:bookmarkStart w:name="5、持续的第三层次公允价值计量项目，期初与期末账面价值间的调节信息及不可观察参数" w:id="442"/>
      <w:bookmarkEnd w:id="442"/>
      <w:r>
        <w:rPr/>
        <w:t>不可观察参数敏感</w:t>
      </w:r>
      <w:r>
        <w:rPr/>
        <w:t>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5"/>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3" w:right="61" w:hanging="272"/>
              <w:jc w:val="left"/>
              <w:rPr>
                <w:rFonts w:ascii="宋体" w:hAnsi="宋体" w:cs="宋体" w:eastAsia="宋体" w:hint="default"/>
                <w:sz w:val="18"/>
                <w:szCs w:val="18"/>
              </w:rPr>
            </w:pPr>
            <w:bookmarkStart w:name="6、持续的公允价值计量项目，本期内发生各层级之间转换的，转换的原因及确定转换时点" w:id="443"/>
            <w:bookmarkEnd w:id="443"/>
            <w:r>
              <w:rPr/>
            </w:r>
            <w:r>
              <w:rPr>
                <w:rFonts w:ascii="宋体" w:hAnsi="宋体" w:cs="宋体" w:eastAsia="宋体" w:hint="default"/>
                <w:sz w:val="18"/>
                <w:szCs w:val="18"/>
              </w:rPr>
              <w:t>母公司对本企业的 表决权比例</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1"/>
          <w:szCs w:val="11"/>
        </w:rPr>
      </w:pPr>
    </w:p>
    <w:p>
      <w:pPr>
        <w:spacing w:line="357" w:lineRule="auto" w:before="44"/>
        <w:ind w:left="152" w:right="7434" w:firstLine="0"/>
        <w:jc w:val="left"/>
        <w:rPr>
          <w:rFonts w:ascii="宋体" w:hAnsi="宋体" w:cs="宋体" w:eastAsia="宋体" w:hint="default"/>
          <w:sz w:val="18"/>
          <w:szCs w:val="18"/>
        </w:rPr>
      </w:pPr>
      <w:bookmarkStart w:name="（1）购销商品、提供和接受劳务的关联交易" w:id="444"/>
      <w:bookmarkEnd w:id="444"/>
      <w:r>
        <w:rPr/>
      </w:r>
      <w:bookmarkStart w:name="（2）关联受托管理/承包及委托管理/出包情况" w:id="445"/>
      <w:bookmarkEnd w:id="445"/>
      <w:r>
        <w:rPr/>
      </w:r>
      <w:r>
        <w:rPr>
          <w:rFonts w:ascii="宋体" w:hAnsi="宋体" w:cs="宋体" w:eastAsia="宋体" w:hint="default"/>
          <w:sz w:val="18"/>
          <w:szCs w:val="18"/>
        </w:rPr>
        <w:t>本企业最终控制方是黄元忠。 其他说明：</w:t>
      </w:r>
    </w:p>
    <w:tbl>
      <w:tblPr>
        <w:tblW w:w="0" w:type="auto"/>
        <w:jc w:val="left"/>
        <w:tblInd w:w="145" w:type="dxa"/>
        <w:tblLayout w:type="fixed"/>
        <w:tblCellMar>
          <w:top w:w="0" w:type="dxa"/>
          <w:left w:w="0" w:type="dxa"/>
          <w:bottom w:w="0" w:type="dxa"/>
          <w:right w:w="0" w:type="dxa"/>
        </w:tblCellMar>
        <w:tblLook w:val="01E0"/>
      </w:tblPr>
      <w:tblGrid>
        <w:gridCol w:w="1502"/>
        <w:gridCol w:w="2412"/>
        <w:gridCol w:w="2251"/>
        <w:gridCol w:w="2203"/>
      </w:tblGrid>
      <w:tr>
        <w:trPr>
          <w:trHeight w:val="355" w:hRule="exact"/>
        </w:trPr>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241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2251"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2203"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本公司最终控制方</w:t>
            </w:r>
          </w:p>
        </w:tc>
      </w:tr>
      <w:tr>
        <w:trPr>
          <w:trHeight w:val="353"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本公司实际控制人</w:t>
            </w:r>
          </w:p>
        </w:tc>
        <w:tc>
          <w:tcPr>
            <w:tcW w:w="2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z w:val="21"/>
              </w:rPr>
              <w:t>22.65%</w:t>
            </w:r>
          </w:p>
        </w:tc>
        <w:tc>
          <w:tcPr>
            <w:tcW w:w="2203"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line="544" w:lineRule="auto" w:before="36"/>
        <w:ind w:left="152" w:right="54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w:t>
      </w:r>
      <w:bookmarkStart w:name="2、本企业的子公司情况" w:id="446"/>
      <w:bookmarkEnd w:id="446"/>
      <w:r>
        <w:rPr>
          <w:rFonts w:ascii="宋体" w:hAnsi="宋体" w:cs="宋体" w:eastAsia="宋体" w:hint="default"/>
          <w:b/>
          <w:bCs/>
          <w:sz w:val="21"/>
          <w:szCs w:val="21"/>
        </w:rPr>
        <w:t>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在子公司中的权益。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60" w:lineRule="auto" w:before="49"/>
        <w:ind w:left="152" w:right="13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w:t>
      </w:r>
      <w:bookmarkStart w:name="3、本企业合营和联营企业情况" w:id="447"/>
      <w:bookmarkEnd w:id="447"/>
      <w:r>
        <w:rPr>
          <w:rFonts w:ascii="宋体" w:hAnsi="宋体" w:cs="宋体" w:eastAsia="宋体" w:hint="default"/>
          <w:sz w:val="18"/>
          <w:szCs w:val="18"/>
        </w:rPr>
        <w:t>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5"/>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9" w:right="0"/>
              <w:jc w:val="left"/>
              <w:rPr>
                <w:rFonts w:ascii="宋体" w:hAnsi="宋体" w:cs="宋体" w:eastAsia="宋体" w:hint="default"/>
                <w:sz w:val="18"/>
                <w:szCs w:val="18"/>
              </w:rPr>
            </w:pPr>
            <w:bookmarkStart w:name="4、其他关联方情况" w:id="448"/>
            <w:bookmarkEnd w:id="448"/>
            <w:r>
              <w:rPr/>
            </w:r>
            <w:r>
              <w:rPr>
                <w:rFonts w:ascii="宋体" w:hAnsi="宋体" w:cs="宋体" w:eastAsia="宋体" w:hint="default"/>
                <w:sz w:val="18"/>
                <w:szCs w:val="18"/>
              </w:rPr>
              <w:t>其他关联方与本企业关系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孙晓玲</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53" w:firstLine="0"/>
        <w:jc w:val="right"/>
        <w:rPr>
          <w:rFonts w:ascii="宋体" w:hAnsi="宋体" w:cs="宋体" w:eastAsia="宋体" w:hint="default"/>
          <w:sz w:val="18"/>
          <w:szCs w:val="18"/>
        </w:rPr>
      </w:pPr>
      <w:bookmarkStart w:name="5、关联交易情况" w:id="449"/>
      <w:bookmarkEnd w:id="44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2"/>
        <w:gridCol w:w="1709"/>
        <w:gridCol w:w="1706"/>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6"/>
        <w:gridCol w:w="2258"/>
        <w:gridCol w:w="2258"/>
        <w:gridCol w:w="2654"/>
      </w:tblGrid>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after="0"/>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1"/>
          <w:szCs w:val="11"/>
        </w:rPr>
      </w:pPr>
    </w:p>
    <w:p>
      <w:pPr>
        <w:spacing w:before="44"/>
        <w:ind w:left="0" w:right="153" w:firstLine="0"/>
        <w:jc w:val="right"/>
        <w:rPr>
          <w:rFonts w:ascii="宋体" w:hAnsi="宋体" w:cs="宋体" w:eastAsia="宋体" w:hint="default"/>
          <w:sz w:val="18"/>
          <w:szCs w:val="18"/>
        </w:rPr>
      </w:pPr>
      <w:bookmarkStart w:name="（5）关联方资金拆借" w:id="450"/>
      <w:bookmarkEnd w:id="450"/>
      <w:r>
        <w:rPr/>
      </w:r>
      <w:bookmarkStart w:name="（6）关联方资产转让、债务重组情况" w:id="451"/>
      <w:bookmarkEnd w:id="45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0"/>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0"/>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0"/>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0"/>
              <w:ind w:left="228"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12" w:right="3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990" w:footer="1066" w:top="1220" w:bottom="1260" w:left="980" w:right="980"/>
        </w:sectPr>
      </w:pPr>
    </w:p>
    <w:p>
      <w:pPr>
        <w:spacing w:line="338"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544" w:space="6283"/>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8"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92" w:right="3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53" w:firstLine="0"/>
        <w:jc w:val="right"/>
        <w:rPr>
          <w:rFonts w:ascii="宋体" w:hAnsi="宋体" w:cs="宋体" w:eastAsia="宋体" w:hint="default"/>
          <w:sz w:val="18"/>
          <w:szCs w:val="18"/>
        </w:rPr>
      </w:pPr>
      <w:bookmarkStart w:name="（3）关联租赁情况" w:id="452"/>
      <w:bookmarkEnd w:id="45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53" w:firstLine="0"/>
        <w:jc w:val="right"/>
        <w:rPr>
          <w:rFonts w:ascii="宋体" w:hAnsi="宋体" w:cs="宋体" w:eastAsia="宋体" w:hint="default"/>
          <w:sz w:val="18"/>
          <w:szCs w:val="18"/>
        </w:rPr>
      </w:pPr>
      <w:bookmarkStart w:name="（4）关联担保情况" w:id="453"/>
      <w:bookmarkEnd w:id="45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关联方承诺" w:id="454"/>
      <w:bookmarkEnd w:id="454"/>
      <w:r>
        <w:rPr>
          <w:b w:val="0"/>
          <w:bCs w:val="0"/>
        </w:rPr>
      </w:r>
      <w:bookmarkStart w:name="8、其他" w:id="455"/>
      <w:bookmarkEnd w:id="455"/>
      <w:r>
        <w:rPr>
          <w:b w:val="0"/>
          <w:bCs w:val="0"/>
        </w:rPr>
      </w:r>
      <w:bookmarkStart w:name="十三、股份支付" w:id="456"/>
      <w:bookmarkEnd w:id="456"/>
      <w:r>
        <w:rPr>
          <w:b w:val="0"/>
          <w:bCs w:val="0"/>
        </w:rPr>
      </w:r>
      <w:bookmarkStart w:name="1、股份支付总体情况" w:id="457"/>
      <w:bookmarkEnd w:id="457"/>
      <w:r>
        <w:rPr>
          <w:b w:val="0"/>
          <w:bCs w:val="0"/>
        </w:rPr>
      </w:r>
      <w:bookmarkStart w:name="2、以权益结算的股份支付情况" w:id="458"/>
      <w:bookmarkEnd w:id="458"/>
      <w:r>
        <w:rPr>
          <w:b w:val="0"/>
          <w:bCs w:val="0"/>
        </w:rPr>
      </w:r>
      <w:bookmarkStart w:name="3、以现金结算的股份支付情况" w:id="459"/>
      <w:bookmarkEnd w:id="459"/>
      <w:r>
        <w:rPr>
          <w:b w:val="0"/>
          <w:bCs w:val="0"/>
        </w:rPr>
      </w:r>
      <w:bookmarkStart w:name="4、股份支付的修改、终止情况" w:id="460"/>
      <w:bookmarkEnd w:id="460"/>
      <w:r>
        <w:rPr>
          <w:b w:val="0"/>
          <w:bCs w:val="0"/>
        </w:rPr>
      </w:r>
      <w:r>
        <w:rPr/>
        <w:t>（</w:t>
      </w:r>
      <w:r>
        <w:rPr>
          <w:rFonts w:ascii="Times New Roman" w:hAnsi="Times New Roman" w:cs="Times New Roman" w:eastAsia="Times New Roman" w:hint="default"/>
        </w:rPr>
        <w:t>7</w:t>
      </w:r>
      <w:bookmarkStart w:name="（7）关键管理人员报酬" w:id="461"/>
      <w:bookmarkEnd w:id="461"/>
      <w:r>
        <w:rPr>
          <w:rFonts w:ascii="Times New Roman" w:hAnsi="Times New Roman" w:cs="Times New Roman" w:eastAsia="Times New Roman" w:hint="default"/>
        </w:rPr>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8）其他关联交易" w:id="462"/>
      <w:bookmarkEnd w:id="462"/>
      <w:r>
        <w:rPr/>
      </w:r>
      <w:bookmarkStart w:name="6、关联方应收应付款项" w:id="463"/>
      <w:bookmarkEnd w:id="463"/>
      <w:r>
        <w:rPr/>
      </w:r>
      <w:bookmarkStart w:name="（1）应收项目" w:id="464"/>
      <w:bookmarkEnd w:id="46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应付项目" w:id="465"/>
      <w:bookmarkEnd w:id="46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0"/>
          <w:szCs w:val="10"/>
        </w:rPr>
      </w:pPr>
    </w:p>
    <w:p>
      <w:pPr>
        <w:spacing w:line="499" w:lineRule="auto" w:before="36"/>
        <w:ind w:left="152" w:right="7365" w:firstLine="0"/>
        <w:jc w:val="left"/>
        <w:rPr>
          <w:rFonts w:ascii="宋体" w:hAnsi="宋体" w:cs="宋体" w:eastAsia="宋体" w:hint="default"/>
          <w:sz w:val="18"/>
          <w:szCs w:val="18"/>
        </w:rPr>
      </w:pPr>
      <w:bookmarkStart w:name="3、销售退回" w:id="466"/>
      <w:bookmarkEnd w:id="466"/>
      <w:r>
        <w:rPr/>
      </w:r>
      <w:bookmarkStart w:name="4、其他资产负债表日后事项说明" w:id="467"/>
      <w:bookmarkEnd w:id="467"/>
      <w:r>
        <w:rPr/>
      </w:r>
      <w:bookmarkStart w:name="十六、其他重要事项" w:id="468"/>
      <w:bookmarkEnd w:id="468"/>
      <w:r>
        <w:rPr/>
      </w:r>
      <w:bookmarkStart w:name="1、前期会计差错更正" w:id="469"/>
      <w:bookmarkEnd w:id="469"/>
      <w:r>
        <w:rPr/>
      </w:r>
      <w:bookmarkStart w:name="（1）追溯重述法" w:id="470"/>
      <w:bookmarkEnd w:id="470"/>
      <w:r>
        <w:rPr/>
      </w:r>
      <w:r>
        <w:rPr>
          <w:rFonts w:ascii="Times New Roman" w:hAnsi="Times New Roman" w:cs="Times New Roman" w:eastAsia="Times New Roman" w:hint="default"/>
          <w:b/>
          <w:bCs/>
          <w:sz w:val="21"/>
          <w:szCs w:val="21"/>
        </w:rPr>
        <w:t>5</w:t>
      </w:r>
      <w:bookmarkStart w:name="5、其他" w:id="471"/>
      <w:bookmarkEnd w:id="471"/>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w:t>
      </w:r>
      <w:bookmarkStart w:name="十四、承诺及或有事项" w:id="472"/>
      <w:bookmarkEnd w:id="472"/>
      <w:r>
        <w:rPr>
          <w:rFonts w:ascii="宋体" w:hAnsi="宋体" w:cs="宋体" w:eastAsia="宋体" w:hint="default"/>
          <w:b/>
          <w:bCs/>
          <w:sz w:val="24"/>
          <w:szCs w:val="24"/>
        </w:rPr>
        <w:t>承诺</w:t>
      </w:r>
      <w:r>
        <w:rPr>
          <w:rFonts w:ascii="宋体" w:hAnsi="宋体" w:cs="宋体" w:eastAsia="宋体" w:hint="default"/>
          <w:b/>
          <w:bCs/>
          <w:sz w:val="24"/>
          <w:szCs w:val="24"/>
        </w:rPr>
        <w:t>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bookmarkStart w:name="1、重要承诺事项" w:id="473"/>
      <w:bookmarkEnd w:id="473"/>
      <w:r>
        <w:rPr>
          <w:rFonts w:ascii="Times New Roman" w:hAnsi="Times New Roman" w:cs="Times New Roman" w:eastAsia="Times New Roman" w:hint="default"/>
          <w:b/>
          <w:bCs/>
          <w:sz w:val="21"/>
          <w:szCs w:val="21"/>
        </w:rPr>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Heading3"/>
        <w:spacing w:line="240" w:lineRule="auto" w:before="161"/>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w:t>
      </w:r>
      <w:bookmarkStart w:name="2、或有事项" w:id="474"/>
      <w:bookmarkEnd w:id="474"/>
      <w:r>
        <w:rPr/>
      </w:r>
      <w:bookmarkStart w:name="（1）资产负债表日存在的重要或有事项" w:id="475"/>
      <w:bookmarkEnd w:id="475"/>
      <w:r>
        <w:rPr/>
        <w:t>重要或有事项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w:t>
      </w:r>
      <w:bookmarkStart w:name="（2）公司没有需要披露的重要或有事项，也应予以说明" w:id="476"/>
      <w:bookmarkEnd w:id="476"/>
      <w:r>
        <w:rPr/>
        <w:t>重要或有事项，也</w:t>
      </w:r>
      <w:r>
        <w:rPr/>
        <w:t>应予以说明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5"/>
        <w:ind w:left="0" w:right="153" w:firstLine="0"/>
        <w:jc w:val="right"/>
        <w:rPr>
          <w:rFonts w:ascii="宋体" w:hAnsi="宋体" w:cs="宋体" w:eastAsia="宋体" w:hint="default"/>
          <w:sz w:val="18"/>
          <w:szCs w:val="18"/>
        </w:rPr>
      </w:pPr>
      <w:bookmarkStart w:name="3、其他" w:id="477"/>
      <w:bookmarkEnd w:id="477"/>
      <w:r>
        <w:rPr/>
      </w:r>
      <w:bookmarkStart w:name="十五、资产负债表日后事项" w:id="478"/>
      <w:bookmarkEnd w:id="478"/>
      <w:r>
        <w:rPr/>
      </w:r>
      <w:bookmarkStart w:name="1、重要的非调整事项" w:id="479"/>
      <w:bookmarkEnd w:id="47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4"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利润分配情况" w:id="480"/>
      <w:bookmarkEnd w:id="48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9,504,000.00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673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1"/>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0"/>
          <w:szCs w:val="10"/>
        </w:rPr>
      </w:pPr>
    </w:p>
    <w:p>
      <w:pPr>
        <w:pStyle w:val="Heading3"/>
        <w:spacing w:line="240" w:lineRule="auto" w:before="36"/>
        <w:ind w:right="0"/>
        <w:jc w:val="left"/>
        <w:rPr>
          <w:b w:val="0"/>
          <w:bCs w:val="0"/>
        </w:rPr>
      </w:pPr>
      <w:r>
        <w:rPr/>
        <w:t>（</w:t>
      </w:r>
      <w:bookmarkStart w:name="（2）未来适用法" w:id="481"/>
      <w:bookmarkEnd w:id="481"/>
      <w:r>
        <w:rPr/>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bookmarkStart w:name="2、债务重组" w:id="482"/>
      <w:bookmarkEnd w:id="482"/>
      <w:r>
        <w:rPr>
          <w:rFonts w:ascii="Times New Roman" w:hAnsi="Times New Roman" w:cs="Times New Roman" w:eastAsia="Times New Roman" w:hint="default"/>
        </w:rPr>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资产置换" w:id="483"/>
      <w:bookmarkEnd w:id="483"/>
      <w:r>
        <w:rPr/>
      </w:r>
      <w:bookmarkStart w:name="（1）非货币性资产交换" w:id="484"/>
      <w:bookmarkEnd w:id="484"/>
      <w:r>
        <w:rPr/>
      </w:r>
      <w:bookmarkStart w:name="（2）其他资产置换" w:id="485"/>
      <w:bookmarkEnd w:id="485"/>
      <w:r>
        <w:rPr/>
      </w:r>
      <w:bookmarkStart w:name="4、年金计划" w:id="486"/>
      <w:bookmarkEnd w:id="486"/>
      <w:r>
        <w:rPr/>
      </w:r>
      <w:bookmarkStart w:name="5、终止经营" w:id="487"/>
      <w:bookmarkEnd w:id="48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3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分部信息" w:id="488"/>
      <w:bookmarkEnd w:id="488"/>
      <w:r>
        <w:rPr/>
      </w:r>
      <w:bookmarkStart w:name="（1）报告分部的确定依据与会计政策" w:id="489"/>
      <w:bookmarkEnd w:id="489"/>
      <w:r>
        <w:rPr/>
      </w:r>
      <w:bookmarkStart w:name="（2）报告分部的财务信息" w:id="490"/>
      <w:bookmarkEnd w:id="49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0"/>
          <w:szCs w:val="10"/>
        </w:rPr>
      </w:pPr>
    </w:p>
    <w:p>
      <w:pPr>
        <w:pStyle w:val="Heading3"/>
        <w:spacing w:line="240" w:lineRule="auto" w:before="36"/>
        <w:ind w:right="0"/>
        <w:jc w:val="left"/>
        <w:rPr>
          <w:b w:val="0"/>
          <w:bCs w:val="0"/>
        </w:rPr>
      </w:pPr>
      <w:r>
        <w:rPr/>
        <w:t>（</w:t>
      </w:r>
      <w:bookmarkStart w:name="（3）公司无报告分部的，或者不能披露各报告分部的资产总额和负债总额的，应说明原因" w:id="491"/>
      <w:bookmarkEnd w:id="491"/>
      <w:r>
        <w:rPr/>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bookmarkStart w:name="（4）其他说明" w:id="492"/>
      <w:bookmarkEnd w:id="492"/>
      <w:r>
        <w:rPr>
          <w:rFonts w:ascii="Times New Roman" w:hAnsi="Times New Roman" w:cs="Times New Roman" w:eastAsia="Times New Roman" w:hint="default"/>
        </w:rPr>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bookmarkStart w:name="7、其他对投资者决策有影响的重要交易和事项" w:id="493"/>
      <w:bookmarkEnd w:id="493"/>
      <w:r>
        <w:rPr>
          <w:rFonts w:ascii="Times New Roman" w:hAnsi="Times New Roman" w:cs="Times New Roman" w:eastAsia="Times New Roman" w:hint="default"/>
        </w:rPr>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w:t>
      </w:r>
      <w:bookmarkStart w:name="8、其他" w:id="494"/>
      <w:bookmarkEnd w:id="494"/>
      <w:r>
        <w:rPr>
          <w:rFonts w:ascii="宋体" w:hAnsi="宋体" w:cs="宋体" w:eastAsia="宋体" w:hint="default"/>
          <w:b/>
          <w:bCs/>
          <w:sz w:val="24"/>
          <w:szCs w:val="24"/>
        </w:rPr>
        <w:t>报表</w:t>
      </w:r>
      <w:r>
        <w:rPr>
          <w:rFonts w:ascii="宋体" w:hAnsi="宋体" w:cs="宋体" w:eastAsia="宋体" w:hint="default"/>
          <w:b/>
          <w:bCs/>
          <w:sz w:val="24"/>
          <w:szCs w:val="24"/>
        </w:rPr>
        <w:t>主</w:t>
      </w:r>
      <w:bookmarkStart w:name="十七、母公司财务报表主要项目注释" w:id="495"/>
      <w:bookmarkEnd w:id="495"/>
      <w:r>
        <w:rPr>
          <w:rFonts w:ascii="宋体" w:hAnsi="宋体" w:cs="宋体" w:eastAsia="宋体" w:hint="default"/>
          <w:b/>
          <w:bCs/>
          <w:sz w:val="24"/>
          <w:szCs w:val="24"/>
        </w:rPr>
        <w:t>要</w:t>
      </w:r>
      <w:r>
        <w:rPr>
          <w:rFonts w:ascii="宋体" w:hAnsi="宋体" w:cs="宋体" w:eastAsia="宋体" w:hint="default"/>
          <w:b/>
          <w:bCs/>
          <w:sz w:val="24"/>
          <w:szCs w:val="24"/>
        </w:rPr>
        <w:t>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1"/>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应收账款" w:id="496"/>
      <w:bookmarkEnd w:id="496"/>
      <w:r>
        <w:rPr/>
      </w:r>
      <w:bookmarkStart w:name="（1）应收账款分类披露" w:id="497"/>
      <w:bookmarkEnd w:id="49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24,252,1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93.34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292,750.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23,959,44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2.97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16,645,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064.28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99.92%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248,474.3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16,396,589.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12,756.0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12,756.0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12,756.00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24,264,9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49.34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305,506.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1.26%</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23,959,44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2.97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16,657,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820.28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261,230.3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1.57%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16,396,589.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3" w:space="4534"/>
            <w:col w:w="1123"/>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23,694,099.58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236,941.00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23,694,099.58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236,941.00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558,093.76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55,809.37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24,252,193.34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292,750.37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5"/>
        <w:rPr>
          <w:rFonts w:ascii="宋体" w:hAnsi="宋体" w:cs="宋体" w:eastAsia="宋体" w:hint="default"/>
          <w:sz w:val="11"/>
          <w:szCs w:val="1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50" w:lineRule="auto" w:before="115"/>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期末单项金额虽不重大但单独计提坏账准备的应收账款</w:t>
      </w:r>
    </w:p>
    <w:p>
      <w:pPr>
        <w:spacing w:line="240" w:lineRule="auto" w:before="10"/>
        <w:rPr>
          <w:rFonts w:ascii="宋体" w:hAnsi="宋体" w:cs="宋体" w:eastAsia="宋体" w:hint="default"/>
          <w:sz w:val="6"/>
          <w:szCs w:val="6"/>
        </w:rPr>
      </w:pPr>
    </w:p>
    <w:p>
      <w:pPr>
        <w:spacing w:line="2595" w:lineRule="exact"/>
        <w:ind w:left="152"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5787222" cy="1647825"/>
            <wp:effectExtent l="0" t="0" r="0" b="0"/>
            <wp:docPr id="107" name="image15.png" descr="?"/>
            <wp:cNvGraphicFramePr>
              <a:graphicFrameLocks noChangeAspect="1"/>
            </wp:cNvGraphicFramePr>
            <a:graphic>
              <a:graphicData uri="http://schemas.openxmlformats.org/drawingml/2006/picture">
                <pic:pic>
                  <pic:nvPicPr>
                    <pic:cNvPr id="108" name="image15.png"/>
                    <pic:cNvPicPr/>
                  </pic:nvPicPr>
                  <pic:blipFill>
                    <a:blip r:embed="rId58" cstate="print"/>
                    <a:stretch>
                      <a:fillRect/>
                    </a:stretch>
                  </pic:blipFill>
                  <pic:spPr>
                    <a:xfrm>
                      <a:off x="0" y="0"/>
                      <a:ext cx="5787222" cy="1647825"/>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90" w:footer="1066" w:top="1220" w:bottom="1260" w:left="980" w:right="980"/>
        </w:sectPr>
      </w:pPr>
    </w:p>
    <w:p>
      <w:pPr>
        <w:spacing w:line="340" w:lineRule="auto" w:before="44"/>
        <w:ind w:left="152" w:right="-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305,506.37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w:t>
      </w:r>
      <w:bookmarkStart w:name="（2）本期计提、收回或转回的坏账准备情况" w:id="498"/>
      <w:bookmarkEnd w:id="498"/>
      <w:r>
        <w:rPr>
          <w:rFonts w:ascii="宋体" w:hAnsi="宋体" w:cs="宋体" w:eastAsia="宋体" w:hint="default"/>
          <w:sz w:val="18"/>
          <w:szCs w:val="18"/>
        </w:rPr>
        <w:t>回或转回坏账</w:t>
      </w:r>
      <w:r>
        <w:rPr>
          <w:rFonts w:ascii="宋体" w:hAnsi="宋体" w:cs="宋体" w:eastAsia="宋体" w:hint="default"/>
          <w:sz w:val="18"/>
          <w:szCs w:val="18"/>
        </w:rPr>
        <w:t>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6324" w:space="2504"/>
            <w:col w:w="1122"/>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2"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本期实际核销的应收账款情况" w:id="499"/>
      <w:bookmarkEnd w:id="49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3"/>
        <w:rPr>
          <w:rFonts w:ascii="宋体" w:hAnsi="宋体" w:cs="宋体" w:eastAsia="宋体" w:hint="default"/>
          <w:sz w:val="10"/>
          <w:szCs w:val="10"/>
        </w:rPr>
      </w:pPr>
    </w:p>
    <w:p>
      <w:pPr>
        <w:pStyle w:val="Heading3"/>
        <w:spacing w:line="240" w:lineRule="auto" w:before="36"/>
        <w:ind w:right="0"/>
        <w:jc w:val="left"/>
        <w:rPr>
          <w:b w:val="0"/>
          <w:bCs w:val="0"/>
        </w:rPr>
      </w:pPr>
      <w:r>
        <w:rPr/>
        <w:t>（</w:t>
      </w:r>
      <w:bookmarkStart w:name="（4）按欠款方归集的期末余额前五名的应收账款情况" w:id="500"/>
      <w:bookmarkEnd w:id="500"/>
      <w:r>
        <w:rPr/>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9"/>
          <w:szCs w:val="29"/>
        </w:rPr>
      </w:pPr>
    </w:p>
    <w:p>
      <w:pPr>
        <w:spacing w:line="3015" w:lineRule="exact"/>
        <w:ind w:left="152"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4867100" cy="1914525"/>
            <wp:effectExtent l="0" t="0" r="0" b="0"/>
            <wp:docPr id="109" name="image19.png" descr="?"/>
            <wp:cNvGraphicFramePr>
              <a:graphicFrameLocks noChangeAspect="1"/>
            </wp:cNvGraphicFramePr>
            <a:graphic>
              <a:graphicData uri="http://schemas.openxmlformats.org/drawingml/2006/picture">
                <pic:pic>
                  <pic:nvPicPr>
                    <pic:cNvPr id="110" name="image19.png"/>
                    <pic:cNvPicPr/>
                  </pic:nvPicPr>
                  <pic:blipFill>
                    <a:blip r:embed="rId64" cstate="print"/>
                    <a:stretch>
                      <a:fillRect/>
                    </a:stretch>
                  </pic:blipFill>
                  <pic:spPr>
                    <a:xfrm>
                      <a:off x="0" y="0"/>
                      <a:ext cx="4867100" cy="1914525"/>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2"/>
        <w:rPr>
          <w:rFonts w:ascii="宋体" w:hAnsi="宋体" w:cs="宋体" w:eastAsia="宋体" w:hint="default"/>
          <w:b/>
          <w:bCs/>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w:t>
      </w:r>
      <w:bookmarkStart w:name="（5）因金融资产转移而终止确认的应收账款" w:id="501"/>
      <w:bookmarkEnd w:id="501"/>
      <w:r>
        <w:rPr/>
        <w:t>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w:t>
      </w:r>
      <w:bookmarkStart w:name="（6）转移应收账款且继续涉入形成的资产、负债金额" w:id="502"/>
      <w:bookmarkEnd w:id="502"/>
      <w:r>
        <w:rPr/>
        <w:t>额</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其他应收款" w:id="503"/>
      <w:bookmarkEnd w:id="503"/>
      <w:r>
        <w:rPr/>
      </w:r>
      <w:bookmarkStart w:name="（1）其他应收款分类披露" w:id="504"/>
      <w:bookmarkEnd w:id="50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914,635.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320,325.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35.02%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594,309.9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1,156,7</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84.36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305,694.2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26.43%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851,090.09</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914,635.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320,325.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35.02%</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594,309.9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1,156,7</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84.36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305,694.2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26.43%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851,090.09</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990" w:footer="1066" w:top="1220" w:bottom="12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3" w:space="4354"/>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401" w:hRule="exact"/>
        </w:trPr>
        <w:tc>
          <w:tcPr>
            <w:tcW w:w="24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2" w:type="dxa"/>
            <w:vMerge/>
            <w:tcBorders>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360,698.82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3,606.99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185,797.94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18,579.79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268,138.24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268,138.24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914,635.00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320,325.02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35.02%</w:t>
            </w:r>
          </w:p>
        </w:tc>
      </w:tr>
    </w:tbl>
    <w:p>
      <w:pPr>
        <w:spacing w:before="49"/>
        <w:ind w:left="152" w:right="0" w:firstLine="0"/>
        <w:jc w:val="left"/>
        <w:rPr>
          <w:rFonts w:ascii="宋体" w:hAnsi="宋体" w:cs="宋体" w:eastAsia="宋体" w:hint="default"/>
          <w:sz w:val="18"/>
          <w:szCs w:val="18"/>
        </w:rPr>
      </w:pPr>
      <w:bookmarkStart w:name="（4）其他应收款按款项性质分类情况" w:id="505"/>
      <w:bookmarkEnd w:id="505"/>
      <w:r>
        <w:rPr/>
      </w:r>
      <w:r>
        <w:rPr>
          <w:rFonts w:ascii="宋体" w:hAnsi="宋体" w:cs="宋体" w:eastAsia="宋体" w:hint="default"/>
          <w:sz w:val="18"/>
          <w:szCs w:val="18"/>
        </w:rPr>
        <w:t>确定该组合依据的说明：</w:t>
      </w:r>
    </w:p>
    <w:p>
      <w:pPr>
        <w:pStyle w:val="Heading3"/>
        <w:spacing w:line="240" w:lineRule="auto" w:before="96"/>
        <w:ind w:left="575" w:right="0"/>
        <w:jc w:val="left"/>
        <w:rPr>
          <w:b w:val="0"/>
          <w:bCs w:val="0"/>
        </w:rPr>
      </w:pPr>
      <w:r>
        <w:rPr>
          <w:rFonts w:ascii="Times New Roman" w:hAnsi="Times New Roman" w:cs="Times New Roman" w:eastAsia="Times New Roman" w:hint="default"/>
        </w:rPr>
        <w:t>3</w:t>
      </w:r>
      <w:r>
        <w:rPr/>
        <w:t>、期末其他应收款中无应收持本公司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）表决权股份的股东及其他关联方的款项。</w:t>
      </w:r>
      <w:r>
        <w:rPr>
          <w:b w:val="0"/>
          <w:bCs w:val="0"/>
        </w:rPr>
      </w:r>
    </w:p>
    <w:p>
      <w:pPr>
        <w:spacing w:line="240" w:lineRule="auto" w:before="2"/>
        <w:rPr>
          <w:rFonts w:ascii="宋体" w:hAnsi="宋体" w:cs="宋体" w:eastAsia="宋体" w:hint="default"/>
          <w:b/>
          <w:bCs/>
          <w:sz w:val="30"/>
          <w:szCs w:val="3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90" w:footer="1066" w:top="1220" w:bottom="12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w:t>
      </w:r>
      <w:bookmarkStart w:name="（2）本期计提、收回或转回的坏账准备情况" w:id="506"/>
      <w:bookmarkEnd w:id="506"/>
      <w:r>
        <w:rPr>
          <w:rFonts w:ascii="宋体" w:hAnsi="宋体" w:cs="宋体" w:eastAsia="宋体" w:hint="default"/>
          <w:sz w:val="18"/>
          <w:szCs w:val="18"/>
        </w:rPr>
        <w:t>；本期收回或转回坏账准备金额元。</w:t>
      </w:r>
      <w:r>
        <w:rPr>
          <w:rFonts w:ascii="宋体" w:hAnsi="宋体" w:cs="宋体" w:eastAsia="宋体" w:hint="default"/>
          <w:sz w:val="18"/>
          <w:szCs w:val="18"/>
        </w:rPr>
        <w:t>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5013" w:space="3814"/>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3"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本期实际核销的其他应收款情况" w:id="507"/>
      <w:bookmarkEnd w:id="50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799,278.21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817,936.18</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105,056.79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328,848.18</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914,635.00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1,156,784.36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5"/>
        <w:rPr>
          <w:rFonts w:ascii="宋体" w:hAnsi="宋体" w:cs="宋体" w:eastAsia="宋体" w:hint="default"/>
          <w:sz w:val="10"/>
          <w:szCs w:val="10"/>
        </w:rPr>
      </w:pPr>
    </w:p>
    <w:p>
      <w:pPr>
        <w:pStyle w:val="Heading3"/>
        <w:spacing w:line="240" w:lineRule="auto" w:before="36"/>
        <w:ind w:right="0"/>
        <w:jc w:val="left"/>
        <w:rPr>
          <w:b w:val="0"/>
          <w:bCs w:val="0"/>
        </w:rPr>
      </w:pPr>
      <w:bookmarkStart w:name="（7）因金融资产转移而终止确认的其他应收款" w:id="508"/>
      <w:bookmarkEnd w:id="508"/>
      <w:r>
        <w:rPr>
          <w:b w:val="0"/>
          <w:bCs w:val="0"/>
        </w:rPr>
      </w:r>
      <w:bookmarkStart w:name="（8）转移其他应收款且继续涉入形成的资产、负债金额" w:id="509"/>
      <w:bookmarkEnd w:id="509"/>
      <w:r>
        <w:rPr>
          <w:b w:val="0"/>
          <w:bCs w:val="0"/>
        </w:rPr>
      </w:r>
      <w:bookmarkStart w:name="3、长期股权投资" w:id="510"/>
      <w:bookmarkEnd w:id="510"/>
      <w:r>
        <w:rPr>
          <w:b w:val="0"/>
          <w:bCs w:val="0"/>
        </w:rPr>
      </w:r>
      <w:r>
        <w:rPr/>
        <w:t>（</w:t>
      </w:r>
      <w:bookmarkStart w:name="（5）按欠款方归集的期末余额前五名的其他应收款情况" w:id="511"/>
      <w:bookmarkEnd w:id="511"/>
      <w:r>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33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29"/>
              <w:jc w:val="left"/>
              <w:rPr>
                <w:rFonts w:ascii="宋体" w:hAnsi="宋体" w:cs="宋体" w:eastAsia="宋体" w:hint="default"/>
                <w:sz w:val="18"/>
                <w:szCs w:val="18"/>
              </w:rPr>
            </w:pPr>
            <w:r>
              <w:rPr>
                <w:rFonts w:ascii="宋体" w:hAnsi="宋体" w:cs="宋体" w:eastAsia="宋体" w:hint="default"/>
                <w:sz w:val="18"/>
                <w:szCs w:val="18"/>
              </w:rPr>
              <w:t>深圳市昱为科技有限 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198,142.00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3,154.00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142,000.00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147,330.34</w:t>
            </w:r>
          </w:p>
        </w:tc>
      </w:tr>
      <w:tr>
        <w:trPr>
          <w:trHeight w:val="1339"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9"/>
              <w:jc w:val="left"/>
              <w:rPr>
                <w:rFonts w:ascii="宋体" w:hAnsi="宋体" w:cs="宋体" w:eastAsia="宋体" w:hint="default"/>
                <w:sz w:val="18"/>
                <w:szCs w:val="18"/>
              </w:rPr>
            </w:pPr>
            <w:r>
              <w:rPr>
                <w:rFonts w:ascii="宋体" w:hAnsi="宋体" w:cs="宋体" w:eastAsia="宋体" w:hint="default"/>
                <w:sz w:val="18"/>
                <w:szCs w:val="18"/>
              </w:rPr>
              <w:t>浙江天猫技术有限公 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34,300.00</w:t>
            </w:r>
          </w:p>
        </w:tc>
      </w:tr>
      <w:tr>
        <w:trPr>
          <w:trHeight w:val="133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29"/>
              <w:jc w:val="left"/>
              <w:rPr>
                <w:rFonts w:ascii="宋体" w:hAnsi="宋体" w:cs="宋体" w:eastAsia="宋体" w:hint="default"/>
                <w:sz w:val="18"/>
                <w:szCs w:val="18"/>
              </w:rPr>
            </w:pPr>
            <w:r>
              <w:rPr>
                <w:rFonts w:ascii="宋体" w:hAnsi="宋体" w:cs="宋体" w:eastAsia="宋体" w:hint="default"/>
                <w:sz w:val="18"/>
                <w:szCs w:val="18"/>
              </w:rPr>
              <w:t>深圳市高新区开发建 设公司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127,116.27</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6,044.13</w:t>
            </w:r>
            <w:r>
              <w:rPr>
                <w:rFonts w:ascii="宋体" w:hAnsi="宋体" w:cs="宋体" w:eastAsia="宋体" w:hint="default"/>
                <w:sz w:val="18"/>
                <w:szCs w:val="18"/>
              </w:rPr>
              <w:t>；</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44,200.94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以上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76,871.20 </w:t>
            </w: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81,351.74</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北京当当科文电子商 务有限公司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深圳市集鸿发电子有 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966.00</w:t>
            </w:r>
            <w:r>
              <w:rPr>
                <w:rFonts w:ascii="Times New Roman"/>
                <w:sz w:val="18"/>
              </w:rPr>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691,858.27</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75.64%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264,948.08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涉及政府补助的应收款项" w:id="512"/>
      <w:bookmarkEnd w:id="51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90" w:footer="1066" w:top="1220" w:bottom="1260" w:left="980" w:right="980"/>
        </w:sectPr>
      </w:pPr>
    </w:p>
    <w:p>
      <w:pPr>
        <w:spacing w:line="240" w:lineRule="auto" w:before="5"/>
        <w:rPr>
          <w:rFonts w:ascii="宋体" w:hAnsi="宋体" w:cs="宋体" w:eastAsia="宋体" w:hint="default"/>
          <w:sz w:val="10"/>
          <w:szCs w:val="10"/>
        </w:rPr>
      </w:pPr>
    </w:p>
    <w:p>
      <w:pPr>
        <w:pStyle w:val="Heading3"/>
        <w:spacing w:line="240" w:lineRule="auto" w:before="36"/>
        <w:ind w:right="0"/>
        <w:jc w:val="left"/>
        <w:rPr>
          <w:b w:val="0"/>
          <w:bCs w:val="0"/>
        </w:rPr>
      </w:pPr>
      <w:bookmarkStart w:name="十八、补充资料" w:id="513"/>
      <w:bookmarkEnd w:id="513"/>
      <w:r>
        <w:rPr>
          <w:b w:val="0"/>
          <w:bCs w:val="0"/>
        </w:rPr>
      </w:r>
      <w:bookmarkStart w:name="1、当期非经常性损益明细表" w:id="514"/>
      <w:bookmarkEnd w:id="514"/>
      <w:r>
        <w:rPr>
          <w:b w:val="0"/>
          <w:bCs w:val="0"/>
        </w:rPr>
      </w:r>
      <w:r>
        <w:rPr/>
        <w:t>（</w:t>
      </w:r>
      <w:bookmarkStart w:name="（1）对子公司投资" w:id="515"/>
      <w:bookmarkEnd w:id="515"/>
      <w:r>
        <w:rPr/>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深圳市连邦信息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对联营、合营企业投资" w:id="516"/>
      <w:bookmarkEnd w:id="51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营业收入和营业成本" w:id="517"/>
      <w:bookmarkEnd w:id="51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99,222,256.31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34,770,439.10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79,859,719.78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19,309,068.71</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99,222,256.31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34,770,439.10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79,859,719.78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19,309,068.71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bookmarkStart w:name="5、投资收益" w:id="518"/>
      <w:bookmarkEnd w:id="518"/>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4,424,106.13</w:t>
            </w:r>
            <w:r>
              <w:rPr>
                <w:rFonts w:ascii="Times New Roman"/>
                <w:sz w:val="18"/>
              </w:rPr>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4,424,106.13</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90" w:footer="1066" w:top="1220" w:bottom="1260" w:left="980" w:right="980"/>
        </w:sectPr>
      </w:pPr>
    </w:p>
    <w:p>
      <w:pPr>
        <w:spacing w:line="240" w:lineRule="auto" w:before="13"/>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bookmarkStart w:name="（2）同时按照境外会计准则与按中国会计准则披露的财务报告中净利润和净资产差异情况" w:id="519"/>
      <w:bookmarkEnd w:id="519"/>
      <w:r>
        <w:rPr/>
      </w:r>
      <w:bookmarkStart w:name="（3）境内外会计准则下会计数据差异原因说明，对已经境外审计机构审计的数据进行差异" w:id="520"/>
      <w:bookmarkEnd w:id="520"/>
      <w:r>
        <w:rPr/>
      </w:r>
      <w:bookmarkStart w:name="4、其他" w:id="521"/>
      <w:bookmarkEnd w:id="521"/>
      <w:r>
        <w:rPr/>
      </w: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-11,560.85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处置固定资产损益</w:t>
            </w:r>
          </w:p>
        </w:tc>
      </w:tr>
      <w:tr>
        <w:trPr>
          <w:trHeight w:val="1025"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1,025,900.80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7,135,179.48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投资收益</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608.74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1,222,412.84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6,927,715.33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2"/>
        <w:ind w:left="152" w:right="14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bookmarkStart w:name="2、净资产收益率及每股收益" w:id="522"/>
            <w:bookmarkEnd w:id="522"/>
            <w:r>
              <w:rPr/>
            </w:r>
            <w:r>
              <w:rPr>
                <w:rFonts w:ascii="宋体" w:hAnsi="宋体" w:cs="宋体" w:eastAsia="宋体" w:hint="default"/>
                <w:sz w:val="18"/>
                <w:szCs w:val="18"/>
              </w:rPr>
              <w:t>每股收益</w:t>
            </w:r>
          </w:p>
        </w:tc>
      </w:tr>
      <w:tr>
        <w:trPr>
          <w:trHeight w:val="192" w:hRule="exact"/>
        </w:trPr>
        <w:tc>
          <w:tcPr>
            <w:tcW w:w="26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0.10</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w:t>
      </w:r>
      <w:bookmarkStart w:name="3、境内外会计准则下会计数据差异" w:id="523"/>
      <w:bookmarkEnd w:id="523"/>
      <w:r>
        <w:rPr/>
        <w:t>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56"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w:t>
      </w:r>
      <w:bookmarkStart w:name="（1）同时按照国际会计准则与按中国会计准则披露的财务报告中净利润和净资产差异情况" w:id="524"/>
      <w:bookmarkEnd w:id="524"/>
      <w:r>
        <w:rPr/>
        <w:t>异调节</w:t>
      </w:r>
      <w:r>
        <w:rPr/>
        <w:t>的，应注</w:t>
      </w:r>
      <w:r>
        <w:rPr>
          <w:spacing w:val="-65"/>
        </w:rPr>
        <w:t> </w:t>
      </w:r>
      <w:r>
        <w:rPr>
          <w:spacing w:val="-65"/>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headerReference w:type="default" r:id="rId65"/>
          <w:pgSz w:w="11910" w:h="16840"/>
          <w:pgMar w:header="877" w:footer="1066" w:top="1160" w:bottom="1260" w:left="980" w:right="980"/>
        </w:sectPr>
      </w:pPr>
    </w:p>
    <w:p>
      <w:pPr>
        <w:spacing w:line="240" w:lineRule="auto" w:before="0"/>
        <w:rPr>
          <w:rFonts w:ascii="宋体" w:hAnsi="宋体" w:cs="宋体" w:eastAsia="宋体" w:hint="default"/>
          <w:b/>
          <w:bCs/>
          <w:sz w:val="20"/>
          <w:szCs w:val="20"/>
        </w:rPr>
      </w:pPr>
    </w:p>
    <w:p>
      <w:pPr>
        <w:pStyle w:val="Heading1"/>
        <w:spacing w:line="240" w:lineRule="auto" w:before="152"/>
        <w:ind w:left="3284" w:right="0"/>
        <w:jc w:val="left"/>
        <w:rPr>
          <w:b w:val="0"/>
          <w:bCs w:val="0"/>
        </w:rPr>
      </w:pPr>
      <w:r>
        <w:rPr/>
        <w:pict>
          <v:group style="position:absolute;margin-left:55.200001pt;margin-top:-16.552481pt;width:484.8pt;height:.1pt;mso-position-horizontal-relative:page;mso-position-vertical-relative:paragraph;z-index:3064" coordorigin="1104,-331" coordsize="9696,2">
            <v:shape style="position:absolute;left:1104;top:-331;width:9696;height:2" coordorigin="1104,-331" coordsize="9696,0" path="m1104,-331l10800,-331e" filled="false" stroked="true" strokeweight=".72pt" strokecolor="#000000">
              <v:path arrowok="t"/>
            </v:shape>
            <w10:wrap type="none"/>
          </v:group>
        </w:pict>
      </w:r>
      <w:bookmarkStart w:name="第十一节 备查文件目录" w:id="525"/>
      <w:bookmarkEnd w:id="525"/>
      <w:r>
        <w:rPr>
          <w:b w:val="0"/>
          <w:bCs w:val="0"/>
        </w:rPr>
      </w:r>
      <w:bookmarkStart w:name="_bookmark9" w:id="526"/>
      <w:bookmarkEnd w:id="526"/>
      <w:r>
        <w:rPr>
          <w:b w:val="0"/>
          <w:bCs w:val="0"/>
        </w:rPr>
      </w:r>
      <w:r>
        <w:rPr/>
        <w:t>第十一节</w:t>
      </w:r>
      <w:r>
        <w:rPr>
          <w:spacing w:val="-6"/>
        </w:rPr>
        <w:t> </w:t>
      </w:r>
      <w:r>
        <w:rPr/>
        <w:t>备查文件目录</w:t>
      </w:r>
      <w:r>
        <w:rPr>
          <w:b w:val="0"/>
          <w:bCs w:val="0"/>
        </w:rPr>
      </w:r>
    </w:p>
    <w:p>
      <w:pPr>
        <w:spacing w:line="240" w:lineRule="auto" w:before="10"/>
        <w:rPr>
          <w:rFonts w:ascii="宋体" w:hAnsi="宋体" w:cs="宋体" w:eastAsia="宋体" w:hint="default"/>
          <w:b/>
          <w:bCs/>
          <w:sz w:val="46"/>
          <w:szCs w:val="46"/>
        </w:rPr>
      </w:pPr>
    </w:p>
    <w:p>
      <w:pPr>
        <w:pStyle w:val="BodyText"/>
        <w:spacing w:line="408" w:lineRule="auto" w:before="0"/>
        <w:ind w:right="162"/>
        <w:jc w:val="left"/>
      </w:pPr>
      <w:r>
        <w:rPr/>
        <w:t>一、</w:t>
      </w:r>
      <w:r>
        <w:rPr>
          <w:spacing w:val="57"/>
        </w:rPr>
        <w:t> </w:t>
      </w:r>
      <w:r>
        <w:rPr/>
        <w:t>载有公司法定代表人、主管会计工作负责人、公司会计机构负责人（会计主管人员）签名并盖章的</w:t>
      </w:r>
      <w:r>
        <w:rPr>
          <w:w w:val="100"/>
        </w:rPr>
        <w:t> </w:t>
      </w:r>
      <w:r>
        <w:rPr/>
        <w:t>财务报表。</w:t>
      </w:r>
    </w:p>
    <w:p>
      <w:pPr>
        <w:pStyle w:val="BodyText"/>
        <w:spacing w:line="240" w:lineRule="auto"/>
        <w:ind w:right="0"/>
        <w:jc w:val="left"/>
      </w:pPr>
      <w:r>
        <w:rPr/>
        <w:t>二、</w:t>
      </w:r>
      <w:r>
        <w:rPr>
          <w:spacing w:val="56"/>
        </w:rPr>
        <w:t> </w:t>
      </w:r>
      <w:r>
        <w:rPr/>
        <w:t>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408" w:lineRule="auto" w:before="0"/>
        <w:ind w:right="1420"/>
        <w:jc w:val="left"/>
      </w:pPr>
      <w:r>
        <w:rPr/>
        <w:t>三、</w:t>
      </w:r>
      <w:r>
        <w:rPr>
          <w:spacing w:val="59"/>
        </w:rPr>
        <w:t> </w:t>
      </w:r>
      <w:r>
        <w:rPr/>
        <w:t>报告期内在中国证监会指定网站上公开披露过的所有公司文件的正本及公告的原稿。</w:t>
      </w:r>
      <w:r>
        <w:rPr>
          <w:w w:val="100"/>
        </w:rPr>
        <w:t> </w:t>
      </w:r>
      <w:r>
        <w:rPr/>
        <w:t>四、</w:t>
      </w:r>
      <w:r>
        <w:rPr>
          <w:spacing w:val="58"/>
        </w:rPr>
        <w:t> </w:t>
      </w:r>
      <w:r>
        <w:rPr/>
        <w:t>经公司法定代表人签名的</w:t>
      </w:r>
      <w:r>
        <w:rPr>
          <w:rFonts w:ascii="Times New Roman" w:hAnsi="Times New Roman" w:cs="Times New Roman" w:eastAsia="Times New Roman" w:hint="default"/>
        </w:rPr>
        <w:t>2015</w:t>
      </w:r>
      <w:r>
        <w:rPr/>
        <w:t>年年度报告文本原件。</w:t>
      </w:r>
    </w:p>
    <w:p>
      <w:pPr>
        <w:pStyle w:val="BodyText"/>
        <w:spacing w:line="408" w:lineRule="auto" w:before="14"/>
        <w:ind w:left="236" w:right="4014" w:hanging="85"/>
        <w:jc w:val="left"/>
      </w:pPr>
      <w:r>
        <w:rPr/>
        <w:t>五、</w:t>
      </w:r>
      <w:r>
        <w:rPr>
          <w:spacing w:val="64"/>
        </w:rPr>
        <w:t> </w:t>
      </w:r>
      <w:r>
        <w:rPr>
          <w:spacing w:val="-3"/>
        </w:rPr>
        <w:t>其他相关资料。</w:t>
      </w:r>
      <w:r>
        <w:rPr>
          <w:spacing w:val="-90"/>
        </w:rPr>
        <w:t> </w:t>
      </w:r>
      <w:r>
        <w:rPr>
          <w:spacing w:val="-90"/>
        </w:rPr>
      </w:r>
      <w:r>
        <w:rPr>
          <w:spacing w:val="-2"/>
        </w:rPr>
        <w:t>以上备查文件的备置地点：公司证券事务部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444" w:lineRule="auto" w:before="0"/>
        <w:ind w:left="4983" w:right="2231"/>
        <w:jc w:val="center"/>
      </w:pPr>
      <w:r>
        <w:rPr>
          <w:spacing w:val="-2"/>
        </w:rPr>
        <w:t>深圳市方直科技股份有限公司</w:t>
      </w:r>
      <w:r>
        <w:rPr>
          <w:spacing w:val="-90"/>
        </w:rPr>
        <w:t> </w:t>
      </w:r>
      <w:r>
        <w:rPr>
          <w:spacing w:val="-90"/>
        </w:rPr>
      </w:r>
      <w:r>
        <w:rPr/>
        <w:t>法定代表人： </w:t>
      </w:r>
      <w:r>
        <w:rPr>
          <w:spacing w:val="-3"/>
        </w:rPr>
        <w:t>黄元忠</w:t>
      </w:r>
      <w:r>
        <w:rPr/>
      </w:r>
    </w:p>
    <w:p>
      <w:pPr>
        <w:pStyle w:val="BodyText"/>
        <w:spacing w:line="240" w:lineRule="auto" w:before="53"/>
        <w:ind w:left="4983" w:right="2044"/>
        <w:jc w:val="center"/>
      </w:pPr>
      <w:r>
        <w:rPr/>
        <w:t>二〇一六年四月一日</w:t>
      </w:r>
    </w:p>
    <w:sectPr>
      <w:pgSz w:w="11910" w:h="16840"/>
      <w:pgMar w:header="877" w:footer="1066" w:top="1160" w:bottom="12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12238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223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280029pt;margin-top:545.197937pt;width:13.15pt;height:11pt;mso-position-horizontal-relative:page;mso-position-vertical-relative:page;z-index:-1223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77.637939pt;width:13.15pt;height:11pt;mso-position-horizontal-relative:page;mso-position-vertical-relative:page;z-index:-1223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77.637939pt;width:13.15pt;height:11pt;mso-position-horizontal-relative:page;mso-position-vertical-relative:page;z-index:-1223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77.637939pt;width:13.15pt;height:11pt;mso-position-horizontal-relative:page;mso-position-vertical-relative:page;z-index:-1223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77.637939pt;width:15.7pt;height:11pt;mso-position-horizontal-relative:page;mso-position-vertical-relative:page;z-index:-12232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7.637939pt;width:17.7pt;height:11pt;mso-position-horizontal-relative:page;mso-position-vertical-relative:page;z-index:-1223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77.637939pt;width:17.3pt;height:11pt;mso-position-horizontal-relative:page;mso-position-vertical-relative:page;z-index:-1223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7.637939pt;width:17.7pt;height:11pt;mso-position-horizontal-relative:page;mso-position-vertical-relative:page;z-index:-1223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7.637939pt;width:17.7pt;height:11pt;mso-position-horizontal-relative:page;mso-position-vertical-relative:page;z-index:-1223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162</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223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7.637939pt;width:17.7pt;height:11pt;mso-position-horizontal-relative:page;mso-position-vertical-relative:page;z-index:-1223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168</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7.637939pt;width:17.7pt;height:11pt;mso-position-horizontal-relative:page;mso-position-vertical-relative:page;z-index:-1223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169</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7.637939pt;width:17.7pt;height:11pt;mso-position-horizontal-relative:page;mso-position-vertical-relative:page;z-index:-1223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175</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7.637939pt;width:17.7pt;height:11pt;mso-position-horizontal-relative:page;mso-position-vertical-relative:page;z-index:-1223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183</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77.637939pt;width:15.7pt;height:11pt;mso-position-horizontal-relative:page;mso-position-vertical-relative:page;z-index:-1222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77.637939pt;width:17.7pt;height:15.2pt;mso-position-horizontal-relative:page;mso-position-vertical-relative:page;z-index:-1222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983pt;margin-top:535.237915pt;width:13.15pt;height:11pt;mso-position-horizontal-relative:page;mso-position-vertical-relative:page;z-index:-1223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223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983pt;margin-top:535.237915pt;width:13.15pt;height:11pt;mso-position-horizontal-relative:page;mso-position-vertical-relative:page;z-index:-1223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223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983pt;margin-top:535.237915pt;width:13.15pt;height:11pt;mso-position-horizontal-relative:page;mso-position-vertical-relative:page;z-index:-1223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223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159973pt;margin-top:535.237915pt;width:13.15pt;height:11pt;mso-position-horizontal-relative:page;mso-position-vertical-relative:page;z-index:-1223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pt;margin-top:36.265610pt;width:204.7pt;height:11.5pt;mso-position-horizontal-relative:page;mso-position-vertical-relative:page;z-index:-1223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1.719971pt;margin-top:34.225632pt;width:204.7pt;height:11.5pt;mso-position-horizontal-relative:page;mso-position-vertical-relative:page;z-index:-12233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1.319984pt;width:484.8pt;height:.1pt;mso-position-horizontal-relative:page;mso-position-vertical-relative:page;z-index:-1223320" coordorigin="1104,1226" coordsize="9696,2">
          <v:shape style="position:absolute;left:1104;top:1226;width:9696;height:2" coordorigin="1104,1226" coordsize="9696,0" path="m1104,1226l10800,1226e" filled="false" stroked="true" strokeweight=".72pt" strokecolor="#000000">
            <v:path arrowok="t"/>
          </v:shape>
          <w10:wrap type="none"/>
        </v:group>
      </w:pict>
    </w:r>
    <w:r>
      <w:rPr/>
      <w:pict>
        <v:shape style="position:absolute;margin-left:335pt;margin-top:48.505608pt;width:204.7pt;height:11.5pt;mso-position-horizontal-relative:page;mso-position-vertical-relative:page;z-index:-1223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5pt;margin-top:48.505608pt;width:204.7pt;height:11.5pt;mso-position-horizontal-relative:page;mso-position-vertical-relative:page;z-index:-1222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59985pt;margin-top:42.865631pt;width:204.7pt;height:11.5pt;mso-position-horizontal-relative:page;mso-position-vertical-relative:page;z-index:-1223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1223776"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35pt;margin-top:42.865608pt;width:204.7pt;height:11.5pt;mso-position-horizontal-relative:page;mso-position-vertical-relative:page;z-index:-1223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59985pt;margin-top:42.865631pt;width:204.7pt;height:11.5pt;mso-position-horizontal-relative:page;mso-position-vertical-relative:page;z-index:-1223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1223656"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35pt;margin-top:42.865608pt;width:204.7pt;height:11.5pt;mso-position-horizontal-relative:page;mso-position-vertical-relative:page;z-index:-12236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59985pt;margin-top:42.865631pt;width:204.7pt;height:11.5pt;mso-position-horizontal-relative:page;mso-position-vertical-relative:page;z-index:-1223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8pt;height:.1pt;mso-position-horizontal-relative:page;mso-position-vertical-relative:page;z-index:-1223536"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35pt;margin-top:42.865608pt;width:204.7pt;height:11.5pt;mso-position-horizontal-relative:page;mso-position-vertical-relative:page;z-index:-1223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1.599976pt;margin-top:42.865631pt;width:204.7pt;height:11.5pt;mso-position-horizontal-relative:page;mso-position-vertical-relative:page;z-index:-1223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5pt;margin-top:42.865608pt;width:204.7pt;height:11.5pt;mso-position-horizontal-relative:page;mso-position-vertical-relative:page;z-index:-1223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ind w:left="557"/>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kingsunsoft.com/" TargetMode="External"/><Relationship Id="rId10" Type="http://schemas.openxmlformats.org/officeDocument/2006/relationships/hyperlink" Target="mailto:kingsunsoft@kingsunsoft.com" TargetMode="External"/><Relationship Id="rId11" Type="http://schemas.openxmlformats.org/officeDocument/2006/relationships/hyperlink" Target="mailto:kerang.chen@kingsunsoft.com" TargetMode="External"/><Relationship Id="rId12" Type="http://schemas.openxmlformats.org/officeDocument/2006/relationships/hyperlink" Target="mailto:feng.li@kingsunsoft.com"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image" Target="media/image2.jpeg"/><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header" Target="header7.xml"/><Relationship Id="rId26" Type="http://schemas.openxmlformats.org/officeDocument/2006/relationships/footer" Target="footer8.xml"/><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image" Target="media/image9.png"/><Relationship Id="rId34" Type="http://schemas.openxmlformats.org/officeDocument/2006/relationships/header" Target="header8.xml"/><Relationship Id="rId35" Type="http://schemas.openxmlformats.org/officeDocument/2006/relationships/footer" Target="footer9.xml"/><Relationship Id="rId36" Type="http://schemas.openxmlformats.org/officeDocument/2006/relationships/header" Target="header9.xml"/><Relationship Id="rId37" Type="http://schemas.openxmlformats.org/officeDocument/2006/relationships/footer" Target="footer10.xml"/><Relationship Id="rId38" Type="http://schemas.openxmlformats.org/officeDocument/2006/relationships/image" Target="media/image10.png"/><Relationship Id="rId39" Type="http://schemas.openxmlformats.org/officeDocument/2006/relationships/image" Target="media/image11.png"/><Relationship Id="rId40" Type="http://schemas.openxmlformats.org/officeDocument/2006/relationships/image" Target="media/image12.png"/><Relationship Id="rId41" Type="http://schemas.openxmlformats.org/officeDocument/2006/relationships/image" Target="media/image13.png"/><Relationship Id="rId42" Type="http://schemas.openxmlformats.org/officeDocument/2006/relationships/image" Target="media/image14.png"/><Relationship Id="rId43" Type="http://schemas.openxmlformats.org/officeDocument/2006/relationships/header" Target="header10.xml"/><Relationship Id="rId44" Type="http://schemas.openxmlformats.org/officeDocument/2006/relationships/footer" Target="footer11.xml"/><Relationship Id="rId45" Type="http://schemas.openxmlformats.org/officeDocument/2006/relationships/header" Target="header11.xml"/><Relationship Id="rId46" Type="http://schemas.openxmlformats.org/officeDocument/2006/relationships/footer" Target="footer12.xml"/><Relationship Id="rId47" Type="http://schemas.openxmlformats.org/officeDocument/2006/relationships/footer" Target="footer13.xml"/><Relationship Id="rId48" Type="http://schemas.openxmlformats.org/officeDocument/2006/relationships/footer" Target="footer14.xml"/><Relationship Id="rId49" Type="http://schemas.openxmlformats.org/officeDocument/2006/relationships/footer" Target="footer15.xml"/><Relationship Id="rId50" Type="http://schemas.openxmlformats.org/officeDocument/2006/relationships/footer" Target="footer16.xml"/><Relationship Id="rId51" Type="http://schemas.openxmlformats.org/officeDocument/2006/relationships/footer" Target="footer17.xml"/><Relationship Id="rId52" Type="http://schemas.openxmlformats.org/officeDocument/2006/relationships/footer" Target="footer18.xml"/><Relationship Id="rId53" Type="http://schemas.openxmlformats.org/officeDocument/2006/relationships/footer" Target="footer19.xml"/><Relationship Id="rId54" Type="http://schemas.openxmlformats.org/officeDocument/2006/relationships/footer" Target="footer20.xml"/><Relationship Id="rId55" Type="http://schemas.openxmlformats.org/officeDocument/2006/relationships/footer" Target="footer21.xml"/><Relationship Id="rId56" Type="http://schemas.openxmlformats.org/officeDocument/2006/relationships/footer" Target="footer22.xml"/><Relationship Id="rId57" Type="http://schemas.openxmlformats.org/officeDocument/2006/relationships/footer" Target="footer23.xml"/><Relationship Id="rId58" Type="http://schemas.openxmlformats.org/officeDocument/2006/relationships/image" Target="media/image15.png"/><Relationship Id="rId59" Type="http://schemas.openxmlformats.org/officeDocument/2006/relationships/image" Target="media/image16.png"/><Relationship Id="rId60" Type="http://schemas.openxmlformats.org/officeDocument/2006/relationships/image" Target="media/image17.png"/><Relationship Id="rId61" Type="http://schemas.openxmlformats.org/officeDocument/2006/relationships/footer" Target="footer24.xml"/><Relationship Id="rId62" Type="http://schemas.openxmlformats.org/officeDocument/2006/relationships/footer" Target="footer25.xml"/><Relationship Id="rId63" Type="http://schemas.openxmlformats.org/officeDocument/2006/relationships/image" Target="media/image18.jpeg"/><Relationship Id="rId64" Type="http://schemas.openxmlformats.org/officeDocument/2006/relationships/image" Target="media/image19.png"/><Relationship Id="rId65"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深圳市方直科技股份有限公司</dc:creator>
  <dc:title>深圳市方直科技股份有限公司2015年年度报告全文</dc:title>
  <dcterms:created xsi:type="dcterms:W3CDTF">2020-05-04T16:20:31Z</dcterms:created>
  <dcterms:modified xsi:type="dcterms:W3CDTF">2020-05-04T16:20:31Z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2016-04-05T00:00:00Z</vt:filetime>
  </property>
  <property fmtid="{D5CDD505-2E9C-101B-9397-08002B2CF9AE}" pid="3" name="Creator">
    <vt:lpwstr>Acrobat PDFMaker 9.0 Word 版</vt:lpwstr>
  </property>
  <property fmtid="{D5CDD505-2E9C-101B-9397-08002B2CF9AE}" pid="4" name="LastSaved">
    <vt:filetime>2020-05-04T00:00:00Z</vt:filetime>
  </property>
</Properties>
</file>