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9.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Default Extension="jpeg" ContentType="image/jpeg"/>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536" w:lineRule="exact"/>
        <w:ind w:left="40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1127760" cy="97535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127760" cy="975359"/>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3"/>
        <w:rPr>
          <w:rFonts w:ascii="Times New Roman" w:hAnsi="Times New Roman" w:cs="Times New Roman" w:eastAsia="Times New Roman" w:hint="default"/>
          <w:sz w:val="13"/>
          <w:szCs w:val="13"/>
        </w:rPr>
      </w:pPr>
    </w:p>
    <w:p>
      <w:pPr>
        <w:spacing w:line="501" w:lineRule="exact" w:before="0"/>
        <w:ind w:left="2610" w:right="261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深圳市方直科技股份有限公司</w:t>
      </w:r>
      <w:r>
        <w:rPr>
          <w:rFonts w:ascii="Microsoft JhengHei" w:hAnsi="Microsoft JhengHei" w:cs="Microsoft JhengHei" w:eastAsia="Microsoft JhengHei" w:hint="default"/>
          <w:sz w:val="36"/>
          <w:szCs w:val="36"/>
        </w:rPr>
      </w:r>
    </w:p>
    <w:p>
      <w:pPr>
        <w:spacing w:before="259"/>
        <w:ind w:left="2610" w:right="2611"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23"/>
          <w:szCs w:val="23"/>
        </w:rPr>
      </w:pPr>
    </w:p>
    <w:p>
      <w:pPr>
        <w:spacing w:before="0"/>
        <w:ind w:left="2610" w:right="2610" w:firstLine="0"/>
        <w:jc w:val="center"/>
        <w:rPr>
          <w:rFonts w:ascii="Times New Roman" w:hAnsi="Times New Roman" w:cs="Times New Roman" w:eastAsia="Times New Roman" w:hint="default"/>
          <w:sz w:val="22"/>
          <w:szCs w:val="22"/>
        </w:rPr>
      </w:pPr>
      <w:r>
        <w:rPr>
          <w:rFonts w:ascii="Times New Roman"/>
          <w:b/>
          <w:sz w:val="22"/>
        </w:rPr>
        <w:t>2018-019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6"/>
        <w:rPr>
          <w:rFonts w:ascii="Times New Roman" w:hAnsi="Times New Roman" w:cs="Times New Roman" w:eastAsia="Times New Roman" w:hint="default"/>
          <w:b/>
          <w:bCs/>
          <w:sz w:val="24"/>
          <w:szCs w:val="24"/>
        </w:rPr>
      </w:pPr>
    </w:p>
    <w:p>
      <w:pPr>
        <w:spacing w:before="0"/>
        <w:ind w:left="2610" w:right="2610"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8" w:footer="979" w:top="1060" w:bottom="1160" w:left="980" w:right="980"/>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0"/>
        <w:jc w:val="left"/>
        <w:rPr>
          <w:b w:val="0"/>
          <w:bCs w:val="0"/>
        </w:rPr>
      </w:pPr>
      <w:r>
        <w:rPr/>
        <w:t>第一节 </w:t>
      </w:r>
      <w:r>
        <w:rPr>
          <w:spacing w:val="12"/>
        </w:rPr>
        <w:t> </w:t>
      </w:r>
      <w:r>
        <w:rPr/>
        <w:t>重要提示、目录和释义</w:t>
      </w:r>
      <w:r>
        <w:rPr>
          <w:b w:val="0"/>
          <w:bCs w:val="0"/>
        </w:rPr>
      </w:r>
    </w:p>
    <w:p>
      <w:pPr>
        <w:spacing w:line="240" w:lineRule="auto" w:before="6"/>
        <w:rPr>
          <w:rFonts w:ascii="Microsoft JhengHei" w:hAnsi="Microsoft JhengHei" w:cs="Microsoft JhengHei" w:eastAsia="Microsoft JhengHei" w:hint="default"/>
          <w:b/>
          <w:bCs/>
          <w:sz w:val="29"/>
          <w:szCs w:val="29"/>
        </w:rPr>
      </w:pPr>
    </w:p>
    <w:p>
      <w:pPr>
        <w:pStyle w:val="Heading2"/>
        <w:spacing w:line="307" w:lineRule="auto"/>
        <w:ind w:right="155" w:firstLine="561"/>
        <w:jc w:val="both"/>
        <w:rPr>
          <w:b w:val="0"/>
          <w:bCs w:val="0"/>
        </w:rPr>
      </w:pPr>
      <w:r>
        <w:rPr>
          <w:spacing w:val="2"/>
        </w:rPr>
        <w:t>公司董事会、监事会及董事、监事、高级管理人员保证年度报告内容的真</w:t>
      </w:r>
      <w:r>
        <w:rPr>
          <w:w w:val="100"/>
        </w:rPr>
        <w:t> </w:t>
      </w:r>
      <w:r>
        <w:rPr>
          <w:spacing w:val="-6"/>
        </w:rPr>
        <w:t>实、准确、完整，不存在虚假记载、误导性陈述或重大遗漏，并承担个别和连带</w:t>
      </w:r>
      <w:r>
        <w:rPr>
          <w:spacing w:val="-28"/>
        </w:rPr>
        <w:t> </w:t>
      </w:r>
      <w:r>
        <w:rPr>
          <w:spacing w:val="-28"/>
        </w:rPr>
      </w:r>
      <w:r>
        <w:rPr/>
        <w:t>的法律责任。</w:t>
      </w:r>
      <w:r>
        <w:rPr>
          <w:b w:val="0"/>
          <w:bCs w:val="0"/>
        </w:rPr>
      </w:r>
    </w:p>
    <w:p>
      <w:pPr>
        <w:pStyle w:val="Heading2"/>
        <w:spacing w:line="307" w:lineRule="auto" w:before="133"/>
        <w:ind w:right="150" w:firstLine="561"/>
        <w:jc w:val="both"/>
        <w:rPr>
          <w:b w:val="0"/>
          <w:bCs w:val="0"/>
        </w:rPr>
      </w:pPr>
      <w:r>
        <w:rPr>
          <w:spacing w:val="-2"/>
        </w:rPr>
        <w:t>公司负责人黄元忠、主管会计工作负责人黄晓峰及会计机构负责人</w:t>
      </w:r>
      <w:r>
        <w:rPr>
          <w:rFonts w:ascii="Arial" w:hAnsi="Arial" w:cs="Arial" w:eastAsia="Arial" w:hint="default"/>
          <w:spacing w:val="-2"/>
        </w:rPr>
        <w:t>(</w:t>
      </w:r>
      <w:r>
        <w:rPr>
          <w:spacing w:val="-2"/>
        </w:rPr>
        <w:t>会计主</w:t>
      </w:r>
      <w:r>
        <w:rPr>
          <w:w w:val="100"/>
        </w:rPr>
        <w:t> </w:t>
      </w:r>
      <w:r>
        <w:rPr/>
        <w:t>管人员</w:t>
      </w:r>
      <w:r>
        <w:rPr>
          <w:rFonts w:ascii="Arial" w:hAnsi="Arial" w:cs="Arial" w:eastAsia="Arial" w:hint="default"/>
        </w:rPr>
        <w:t>)</w:t>
      </w:r>
      <w:r>
        <w:rPr/>
        <w:t>廖晓莉声明：保证年度报告中财务报告的真实、准确、完整。</w:t>
      </w:r>
      <w:r>
        <w:rPr>
          <w:b w:val="0"/>
          <w:bCs w:val="0"/>
        </w:rPr>
      </w:r>
    </w:p>
    <w:p>
      <w:pPr>
        <w:pStyle w:val="Heading2"/>
        <w:spacing w:line="240" w:lineRule="auto" w:before="133"/>
        <w:ind w:left="714" w:right="0"/>
        <w:jc w:val="left"/>
        <w:rPr>
          <w:b w:val="0"/>
          <w:bCs w:val="0"/>
        </w:rPr>
      </w:pPr>
      <w:r>
        <w:rPr/>
        <w:t>所有董事均已出席了审议本报告的董事会会议。</w:t>
      </w:r>
      <w:r>
        <w:rPr>
          <w:b w:val="0"/>
          <w:bCs w:val="0"/>
        </w:rPr>
      </w:r>
    </w:p>
    <w:p>
      <w:pPr>
        <w:spacing w:after="0" w:line="240" w:lineRule="auto"/>
        <w:jc w:val="left"/>
        <w:sectPr>
          <w:footerReference w:type="default" r:id="rId8"/>
          <w:pgSz w:w="11910" w:h="16840"/>
          <w:pgMar w:footer="979" w:header="748" w:top="1060" w:bottom="1160" w:left="980" w:right="980"/>
          <w:pgNumType w:start="2"/>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2"/>
          <w:szCs w:val="12"/>
        </w:rPr>
      </w:pPr>
    </w:p>
    <w:p>
      <w:pPr>
        <w:pStyle w:val="Heading2"/>
        <w:spacing w:line="413" w:lineRule="exact"/>
        <w:ind w:right="6954"/>
        <w:jc w:val="left"/>
        <w:rPr>
          <w:b w:val="0"/>
          <w:bCs w:val="0"/>
        </w:rPr>
      </w:pPr>
      <w:r>
        <w:rPr/>
        <w:t>重要提示：</w:t>
      </w:r>
      <w:r>
        <w:rPr>
          <w:b w:val="0"/>
          <w:bCs w:val="0"/>
        </w:rPr>
      </w:r>
    </w:p>
    <w:p>
      <w:pPr>
        <w:spacing w:line="240" w:lineRule="auto" w:before="0"/>
        <w:rPr>
          <w:rFonts w:ascii="Microsoft JhengHei" w:hAnsi="Microsoft JhengHei" w:cs="Microsoft JhengHei" w:eastAsia="Microsoft JhengHei" w:hint="default"/>
          <w:b/>
          <w:bCs/>
          <w:sz w:val="22"/>
          <w:szCs w:val="22"/>
        </w:rPr>
      </w:pPr>
    </w:p>
    <w:p>
      <w:pPr>
        <w:pStyle w:val="Heading3"/>
        <w:spacing w:line="326" w:lineRule="auto"/>
        <w:ind w:left="635" w:right="6954" w:hanging="483"/>
        <w:jc w:val="left"/>
        <w:rPr>
          <w:b w:val="0"/>
          <w:bCs w:val="0"/>
        </w:rPr>
      </w:pPr>
      <w:r>
        <w:rPr/>
        <w:t>（一）可能存在的风险因素</w:t>
      </w:r>
      <w:r>
        <w:rPr>
          <w:spacing w:val="-51"/>
        </w:rPr>
        <w:t> </w:t>
      </w:r>
      <w:r>
        <w:rPr>
          <w:spacing w:val="-51"/>
        </w:rPr>
      </w:r>
      <w:r>
        <w:rPr>
          <w:rFonts w:ascii="Arial" w:hAnsi="Arial" w:cs="Arial" w:eastAsia="Arial" w:hint="default"/>
        </w:rPr>
        <w:t>1</w:t>
      </w:r>
      <w:r>
        <w:rPr/>
        <w:t>、宏观政策的风险</w:t>
      </w:r>
      <w:r>
        <w:rPr>
          <w:b w:val="0"/>
          <w:bCs w:val="0"/>
        </w:rPr>
      </w:r>
    </w:p>
    <w:p>
      <w:pPr>
        <w:pStyle w:val="BodyText"/>
        <w:spacing w:line="408" w:lineRule="auto" w:before="138"/>
        <w:ind w:right="206" w:firstLine="420"/>
        <w:jc w:val="both"/>
      </w:pPr>
      <w:r>
        <w:rPr/>
        <w:t>随着教育改革的深入，国家教育部在 </w:t>
      </w:r>
      <w:r>
        <w:rPr>
          <w:rFonts w:ascii="宋体" w:hAnsi="宋体" w:cs="宋体" w:eastAsia="宋体" w:hint="default"/>
        </w:rPr>
        <w:t>2011</w:t>
      </w:r>
      <w:r>
        <w:rPr>
          <w:rFonts w:ascii="宋体" w:hAnsi="宋体" w:cs="宋体" w:eastAsia="宋体" w:hint="default"/>
          <w:spacing w:val="-29"/>
        </w:rPr>
        <w:t> </w:t>
      </w:r>
      <w:r>
        <w:rPr/>
        <w:t>年颁布新课标并要求现有教材重新送审，将会给公司带来</w:t>
      </w:r>
      <w:r>
        <w:rPr>
          <w:w w:val="100"/>
        </w:rPr>
        <w:t> </w:t>
      </w:r>
      <w:r>
        <w:rPr>
          <w:spacing w:val="-2"/>
        </w:rPr>
        <w:t>签署著作权合作的风险和新版教材产品开发成本增加的风险。公司将强化与著作权人的合作关系，并根据</w:t>
      </w:r>
      <w:r>
        <w:rPr>
          <w:spacing w:val="-43"/>
        </w:rPr>
        <w:t> </w:t>
      </w:r>
      <w:r>
        <w:rPr>
          <w:spacing w:val="-43"/>
        </w:rPr>
      </w:r>
      <w:r>
        <w:rPr>
          <w:spacing w:val="-2"/>
        </w:rPr>
        <w:t>教材变化和教学改革要求完善配套软件内容，升级产品和建设更为快捷高效的开发平台。同时，公司将进</w:t>
      </w:r>
      <w:r>
        <w:rPr>
          <w:spacing w:val="-43"/>
        </w:rPr>
        <w:t> </w:t>
      </w:r>
      <w:r>
        <w:rPr>
          <w:spacing w:val="-43"/>
        </w:rPr>
      </w:r>
      <w:r>
        <w:rPr/>
        <w:t>一步积极研发创新产品，提升公司的创新能力和完善自主产品。</w:t>
      </w:r>
    </w:p>
    <w:p>
      <w:pPr>
        <w:pStyle w:val="Heading3"/>
        <w:spacing w:line="240" w:lineRule="auto" w:before="45"/>
        <w:ind w:left="635" w:right="0"/>
        <w:jc w:val="left"/>
        <w:rPr>
          <w:b w:val="0"/>
          <w:bCs w:val="0"/>
        </w:rPr>
      </w:pPr>
      <w:r>
        <w:rPr>
          <w:rFonts w:ascii="Arial" w:hAnsi="Arial" w:cs="Arial" w:eastAsia="Arial" w:hint="default"/>
        </w:rPr>
        <w:t>2</w:t>
      </w:r>
      <w:r>
        <w:rPr/>
        <w:t>、客户相对集中的风险</w:t>
      </w:r>
      <w:r>
        <w:rPr>
          <w:b w:val="0"/>
          <w:bCs w:val="0"/>
        </w:rPr>
      </w:r>
    </w:p>
    <w:p>
      <w:pPr>
        <w:spacing w:line="240" w:lineRule="auto" w:before="7"/>
        <w:rPr>
          <w:rFonts w:ascii="Microsoft JhengHei" w:hAnsi="Microsoft JhengHei" w:cs="Microsoft JhengHei" w:eastAsia="Microsoft JhengHei" w:hint="default"/>
          <w:b/>
          <w:bCs/>
          <w:sz w:val="14"/>
          <w:szCs w:val="14"/>
        </w:rPr>
      </w:pPr>
    </w:p>
    <w:p>
      <w:pPr>
        <w:pStyle w:val="BodyText"/>
        <w:spacing w:line="408" w:lineRule="auto" w:before="0"/>
        <w:ind w:right="0" w:firstLine="420"/>
        <w:jc w:val="left"/>
      </w:pPr>
      <w:r>
        <w:rPr>
          <w:spacing w:val="-2"/>
        </w:rPr>
        <w:t>目前公司的销售区域仍主要以珠三角，长三角及京津地区等大中城市为主，市场区域相对集中并存在</w:t>
      </w:r>
      <w:r>
        <w:rPr>
          <w:w w:val="100"/>
        </w:rPr>
        <w:t> </w:t>
      </w:r>
      <w:r>
        <w:rPr/>
        <w:t>一定风险，可能对本公司未来盈利能力造成影响。</w:t>
      </w:r>
    </w:p>
    <w:p>
      <w:pPr>
        <w:pStyle w:val="BodyText"/>
        <w:spacing w:line="408" w:lineRule="auto" w:before="147"/>
        <w:ind w:right="0" w:firstLine="420"/>
        <w:jc w:val="left"/>
      </w:pPr>
      <w:r>
        <w:rPr/>
        <w:t>公司将通过技术研发和产品拓展计划，营销渠道拓展计划解决上述产品及销售区域较为集中的风险。</w:t>
      </w:r>
      <w:r>
        <w:rPr>
          <w:w w:val="100"/>
        </w:rPr>
        <w:t> </w:t>
      </w:r>
      <w:r>
        <w:rPr>
          <w:spacing w:val="-2"/>
        </w:rPr>
        <w:t>一方面通过开发语文、数学等其他学科的研发，将各学科发展均衡。另一方面，公司将把开创新的销售区</w:t>
      </w:r>
      <w:r>
        <w:rPr>
          <w:spacing w:val="-50"/>
        </w:rPr>
        <w:t> </w:t>
      </w:r>
      <w:r>
        <w:rPr>
          <w:spacing w:val="-50"/>
        </w:rPr>
      </w:r>
      <w:r>
        <w:rPr>
          <w:spacing w:val="-2"/>
        </w:rPr>
        <w:t>域作为战略重点，通过与现有的主流出版社、教研系统所建立的良好的合作关系，充分把握各地中小学教</w:t>
      </w:r>
      <w:r>
        <w:rPr>
          <w:spacing w:val="-44"/>
        </w:rPr>
        <w:t> </w:t>
      </w:r>
      <w:r>
        <w:rPr>
          <w:spacing w:val="-44"/>
        </w:rPr>
      </w:r>
      <w:r>
        <w:rPr>
          <w:spacing w:val="-2"/>
        </w:rPr>
        <w:t>材的新特点、新趋势，对潜在用户的市场需求进行调研分析，积极开发地方版本系列以满足二、三线城市</w:t>
      </w:r>
      <w:r>
        <w:rPr>
          <w:spacing w:val="-47"/>
        </w:rPr>
        <w:t> </w:t>
      </w:r>
      <w:r>
        <w:rPr>
          <w:spacing w:val="-47"/>
        </w:rPr>
      </w:r>
      <w:r>
        <w:rPr/>
        <w:t>的拓展需求。</w:t>
      </w:r>
    </w:p>
    <w:p>
      <w:pPr>
        <w:pStyle w:val="Heading3"/>
        <w:spacing w:line="240" w:lineRule="auto" w:before="45"/>
        <w:ind w:left="635" w:right="0"/>
        <w:jc w:val="left"/>
        <w:rPr>
          <w:b w:val="0"/>
          <w:bCs w:val="0"/>
        </w:rPr>
      </w:pPr>
      <w:r>
        <w:rPr>
          <w:rFonts w:ascii="Arial" w:hAnsi="Arial" w:cs="Arial" w:eastAsia="Arial" w:hint="default"/>
        </w:rPr>
        <w:t>3</w:t>
      </w:r>
      <w:r>
        <w:rPr/>
        <w:t>、新产品开发和技术更新换代的风险</w:t>
      </w:r>
      <w:r>
        <w:rPr>
          <w:b w:val="0"/>
          <w:bCs w:val="0"/>
        </w:rPr>
      </w:r>
    </w:p>
    <w:p>
      <w:pPr>
        <w:spacing w:line="240" w:lineRule="auto" w:before="7"/>
        <w:rPr>
          <w:rFonts w:ascii="Microsoft JhengHei" w:hAnsi="Microsoft JhengHei" w:cs="Microsoft JhengHei" w:eastAsia="Microsoft JhengHei" w:hint="default"/>
          <w:b/>
          <w:bCs/>
          <w:sz w:val="14"/>
          <w:szCs w:val="14"/>
        </w:rPr>
      </w:pPr>
    </w:p>
    <w:p>
      <w:pPr>
        <w:pStyle w:val="BodyText"/>
        <w:spacing w:line="408" w:lineRule="auto" w:before="0"/>
        <w:ind w:right="0" w:firstLine="420"/>
        <w:jc w:val="left"/>
      </w:pPr>
      <w:r>
        <w:rPr>
          <w:spacing w:val="-2"/>
        </w:rPr>
        <w:t>市场需求不断变化，教育技术不断发展，如果公司对行业关键技术的发展动态不能及时掌控，对教育</w:t>
      </w:r>
      <w:r>
        <w:rPr>
          <w:w w:val="100"/>
        </w:rPr>
        <w:t> </w:t>
      </w:r>
      <w:r>
        <w:rPr>
          <w:spacing w:val="16"/>
        </w:rPr>
        <w:t>教学当中的新理念以及广大教师和学生的教学需求不能正确把握，</w:t>
      </w:r>
      <w:r>
        <w:rPr>
          <w:spacing w:val="-70"/>
        </w:rPr>
        <w:t> </w:t>
      </w:r>
      <w:r>
        <w:rPr>
          <w:spacing w:val="15"/>
        </w:rPr>
        <w:t>研发的产品将不具备竞争力。</w:t>
      </w:r>
      <w:r>
        <w:rPr>
          <w:spacing w:val="5"/>
        </w:rPr>
        <w:t> </w:t>
      </w:r>
      <w:r>
        <w:rPr>
          <w:spacing w:val="5"/>
        </w:rPr>
      </w:r>
      <w:r>
        <w:rPr>
          <w:spacing w:val="-2"/>
        </w:rPr>
        <w:t>公司积极投入同步教学软件及在线教育网络服务开发平台的开发，使公司开发的同步教育服务类产品具有</w:t>
      </w:r>
      <w:r>
        <w:rPr>
          <w:spacing w:val="-43"/>
        </w:rPr>
        <w:t> </w:t>
      </w:r>
      <w:r>
        <w:rPr>
          <w:spacing w:val="-43"/>
        </w:rPr>
      </w:r>
      <w:r>
        <w:rPr/>
        <w:t>更强的针对性和实用性；同时加强基础教育项目研究，在开发实施过程中进行有效管理、把握开发周期、</w:t>
      </w:r>
      <w:r>
        <w:rPr>
          <w:spacing w:val="-24"/>
        </w:rPr>
        <w:t> </w:t>
      </w:r>
      <w:r>
        <w:rPr>
          <w:spacing w:val="-24"/>
        </w:rPr>
      </w:r>
      <w:r>
        <w:rPr/>
        <w:t>降低开发成本。</w:t>
      </w:r>
    </w:p>
    <w:p>
      <w:pPr>
        <w:pStyle w:val="Heading3"/>
        <w:spacing w:line="240" w:lineRule="auto" w:before="45"/>
        <w:ind w:left="635" w:right="0"/>
        <w:jc w:val="left"/>
        <w:rPr>
          <w:b w:val="0"/>
          <w:bCs w:val="0"/>
        </w:rPr>
      </w:pPr>
      <w:r>
        <w:rPr>
          <w:rFonts w:ascii="Arial" w:hAnsi="Arial" w:cs="Arial" w:eastAsia="Arial" w:hint="default"/>
        </w:rPr>
        <w:t>4</w:t>
      </w:r>
      <w:r>
        <w:rPr/>
        <w:t>、公司规模扩大带来的管理风险</w:t>
      </w:r>
      <w:r>
        <w:rPr>
          <w:b w:val="0"/>
          <w:bCs w:val="0"/>
        </w:rPr>
      </w:r>
    </w:p>
    <w:p>
      <w:pPr>
        <w:spacing w:line="240" w:lineRule="auto" w:before="9"/>
        <w:rPr>
          <w:rFonts w:ascii="Microsoft JhengHei" w:hAnsi="Microsoft JhengHei" w:cs="Microsoft JhengHei" w:eastAsia="Microsoft JhengHei" w:hint="default"/>
          <w:b/>
          <w:bCs/>
          <w:sz w:val="14"/>
          <w:szCs w:val="14"/>
        </w:rPr>
      </w:pPr>
    </w:p>
    <w:p>
      <w:pPr>
        <w:pStyle w:val="BodyText"/>
        <w:spacing w:line="408" w:lineRule="auto" w:before="0"/>
        <w:ind w:right="108" w:firstLine="420"/>
        <w:jc w:val="both"/>
      </w:pPr>
      <w:r>
        <w:rPr>
          <w:spacing w:val="-2"/>
        </w:rPr>
        <w:t>同步教育产品行业需要大量具有一定教育背景和技术背景的专业人员。尽管公司凭借多年教育服务行</w:t>
      </w:r>
      <w:r>
        <w:rPr>
          <w:w w:val="100"/>
        </w:rPr>
        <w:t> </w:t>
      </w:r>
      <w:r>
        <w:rPr>
          <w:spacing w:val="-2"/>
        </w:rPr>
        <w:t>业的优势及网络技术开发经验已经培养出一批符合公司现有业务架构需要的复合型人才，但随着行业竞争</w:t>
      </w:r>
      <w:r>
        <w:rPr>
          <w:spacing w:val="-43"/>
        </w:rPr>
        <w:t> </w:t>
      </w:r>
      <w:r>
        <w:rPr>
          <w:spacing w:val="-43"/>
        </w:rPr>
      </w:r>
      <w:r>
        <w:rPr>
          <w:spacing w:val="11"/>
        </w:rPr>
        <w:t>的日趋激烈，公司的不断发展和投资规模的扩大，仍可能面临管理、营销和技术人才匮乏的风险。</w:t>
      </w:r>
      <w:r>
        <w:rPr>
          <w:spacing w:val="1"/>
        </w:rPr>
        <w:t> </w:t>
      </w:r>
      <w:r>
        <w:rPr>
          <w:spacing w:val="1"/>
        </w:rPr>
      </w:r>
      <w:r>
        <w:rPr/>
        <w:t>公司为此制定了详细的管理、营销和技术等专业人才的引进和培养计划，促使公司人才架构更为科学化。</w:t>
      </w:r>
    </w:p>
    <w:p>
      <w:pPr>
        <w:spacing w:after="0" w:line="408" w:lineRule="auto"/>
        <w:jc w:val="both"/>
        <w:sectPr>
          <w:pgSz w:w="11910" w:h="16840"/>
          <w:pgMar w:header="748"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通过企业文化建设，不断加强公司的凝聚力。同时，建立了基础培训、技能培训、经验库培训以及上岗专</w:t>
      </w:r>
      <w:r>
        <w:rPr>
          <w:spacing w:val="-43"/>
        </w:rPr>
        <w:t> </w:t>
      </w:r>
      <w:r>
        <w:rPr>
          <w:spacing w:val="-43"/>
        </w:rPr>
      </w:r>
      <w:r>
        <w:rPr/>
        <w:t>人指导培训等人才培养制度，有效带动了后续人才的补充和发展，保证公司在高速发展中的人才需要。</w:t>
      </w:r>
    </w:p>
    <w:p>
      <w:pPr>
        <w:pStyle w:val="Heading3"/>
        <w:spacing w:line="240" w:lineRule="auto" w:before="45"/>
        <w:ind w:left="635" w:right="0"/>
        <w:jc w:val="left"/>
        <w:rPr>
          <w:b w:val="0"/>
          <w:bCs w:val="0"/>
        </w:rPr>
      </w:pPr>
      <w:r>
        <w:rPr>
          <w:rFonts w:ascii="Arial" w:hAnsi="Arial" w:cs="Arial" w:eastAsia="Arial" w:hint="default"/>
        </w:rPr>
        <w:t>5</w:t>
      </w:r>
      <w:r>
        <w:rPr/>
        <w:t>、募集资金投资项目风险</w:t>
      </w:r>
      <w:r>
        <w:rPr>
          <w:b w:val="0"/>
          <w:bCs w:val="0"/>
        </w:rPr>
      </w:r>
    </w:p>
    <w:p>
      <w:pPr>
        <w:spacing w:line="240" w:lineRule="auto" w:before="7"/>
        <w:rPr>
          <w:rFonts w:ascii="Microsoft JhengHei" w:hAnsi="Microsoft JhengHei" w:cs="Microsoft JhengHei" w:eastAsia="Microsoft JhengHei" w:hint="default"/>
          <w:b/>
          <w:bCs/>
          <w:sz w:val="14"/>
          <w:szCs w:val="14"/>
        </w:rPr>
      </w:pPr>
    </w:p>
    <w:p>
      <w:pPr>
        <w:pStyle w:val="BodyText"/>
        <w:spacing w:line="408" w:lineRule="auto" w:before="0"/>
        <w:ind w:right="146" w:firstLine="420"/>
        <w:jc w:val="both"/>
      </w:pPr>
      <w:r>
        <w:rPr>
          <w:spacing w:val="-7"/>
          <w:w w:val="100"/>
        </w:rPr>
        <w:t>公司非公开发行的募集资金将投入“教学研云平台”、“同步资源学习系统”项目。募集资金投资项目</w:t>
      </w:r>
      <w:r>
        <w:rPr>
          <w:w w:val="100"/>
        </w:rPr>
        <w:t> </w:t>
      </w:r>
      <w:r>
        <w:rPr>
          <w:spacing w:val="-2"/>
        </w:rPr>
        <w:t>的顺利实施，将进一步增强公司的研发实力，扩大公司在既有市场的占有率并开拓新市场，提升公司的综</w:t>
      </w:r>
      <w:r>
        <w:rPr>
          <w:spacing w:val="-43"/>
        </w:rPr>
        <w:t> </w:t>
      </w:r>
      <w:r>
        <w:rPr>
          <w:spacing w:val="-43"/>
        </w:rPr>
      </w:r>
      <w:r>
        <w:rPr>
          <w:spacing w:val="-2"/>
        </w:rPr>
        <w:t>合竞争力。尽管公司对前述建设项目已有一定的技术、人才及客户资源储备，并在项目实施前进行了充分</w:t>
      </w:r>
      <w:r>
        <w:rPr>
          <w:spacing w:val="-44"/>
        </w:rPr>
        <w:t> </w:t>
      </w:r>
      <w:r>
        <w:rPr>
          <w:spacing w:val="-44"/>
        </w:rPr>
      </w:r>
      <w:r>
        <w:rPr>
          <w:spacing w:val="-2"/>
        </w:rPr>
        <w:t>的可行性论证，但该论证系基于目前的技术发展水平、国家产业政策、国内外市场环境、客户需求情况等</w:t>
      </w:r>
      <w:r>
        <w:rPr>
          <w:spacing w:val="-47"/>
        </w:rPr>
        <w:t> </w:t>
      </w:r>
      <w:r>
        <w:rPr>
          <w:spacing w:val="-47"/>
        </w:rPr>
      </w:r>
      <w:r>
        <w:rPr>
          <w:spacing w:val="-4"/>
        </w:rPr>
        <w:t>条件所作出的投资决策，在实际运营过程中， </w:t>
      </w:r>
      <w:r>
        <w:rPr>
          <w:spacing w:val="-5"/>
        </w:rPr>
        <w:t>随着时间的推移，上述因素存在发生变化的可能。由于市场</w:t>
      </w:r>
      <w:r>
        <w:rPr>
          <w:spacing w:val="-33"/>
        </w:rPr>
        <w:t> </w:t>
      </w:r>
      <w:r>
        <w:rPr>
          <w:spacing w:val="-33"/>
        </w:rPr>
      </w:r>
      <w:r>
        <w:rPr/>
        <w:t>本身具有的不确定性因素，仍有可能使该项目实施后面临一定的市场风险。</w:t>
      </w:r>
    </w:p>
    <w:p>
      <w:pPr>
        <w:pStyle w:val="Heading3"/>
        <w:spacing w:line="240" w:lineRule="auto" w:before="45"/>
        <w:ind w:left="635" w:right="0"/>
        <w:jc w:val="left"/>
        <w:rPr>
          <w:b w:val="0"/>
          <w:bCs w:val="0"/>
        </w:rPr>
      </w:pPr>
      <w:r>
        <w:rPr>
          <w:rFonts w:ascii="Arial" w:hAnsi="Arial" w:cs="Arial" w:eastAsia="Arial" w:hint="default"/>
        </w:rPr>
        <w:t>6</w:t>
      </w:r>
      <w:r>
        <w:rPr/>
        <w:t>、千锋互联投资退股回款的风险</w:t>
      </w:r>
      <w:r>
        <w:rPr>
          <w:b w:val="0"/>
          <w:bCs w:val="0"/>
        </w:rPr>
      </w:r>
    </w:p>
    <w:p>
      <w:pPr>
        <w:spacing w:line="240" w:lineRule="auto" w:before="9"/>
        <w:rPr>
          <w:rFonts w:ascii="Microsoft JhengHei" w:hAnsi="Microsoft JhengHei" w:cs="Microsoft JhengHei" w:eastAsia="Microsoft JhengHei" w:hint="default"/>
          <w:b/>
          <w:bCs/>
          <w:sz w:val="14"/>
          <w:szCs w:val="14"/>
        </w:rPr>
      </w:pPr>
    </w:p>
    <w:p>
      <w:pPr>
        <w:pStyle w:val="BodyText"/>
        <w:spacing w:line="408" w:lineRule="auto" w:before="0"/>
        <w:ind w:right="145" w:firstLine="420"/>
        <w:jc w:val="both"/>
      </w:pP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日，公司召开第三届董事会第二十九次会议审议通过了《关于签署</w:t>
      </w:r>
      <w:r>
        <w:rPr>
          <w:rFonts w:ascii="宋体" w:hAnsi="宋体" w:cs="宋体" w:eastAsia="宋体" w:hint="default"/>
        </w:rPr>
        <w:t>&lt;</w:t>
      </w:r>
      <w:r>
        <w:rPr/>
        <w:t>关于北京千锋互</w:t>
      </w:r>
      <w:r>
        <w:rPr>
          <w:w w:val="100"/>
        </w:rPr>
        <w:t> </w:t>
      </w:r>
      <w:r>
        <w:rPr>
          <w:spacing w:val="-5"/>
          <w:w w:val="100"/>
        </w:rPr>
        <w:t>联科技有限公司之退股返还投资款协议</w:t>
      </w:r>
      <w:r>
        <w:rPr>
          <w:rFonts w:ascii="宋体" w:hAnsi="宋体" w:cs="宋体" w:eastAsia="宋体" w:hint="default"/>
          <w:spacing w:val="-5"/>
          <w:w w:val="100"/>
        </w:rPr>
        <w:t>&gt;</w:t>
      </w:r>
      <w:r>
        <w:rPr>
          <w:spacing w:val="-5"/>
          <w:w w:val="100"/>
        </w:rPr>
        <w:t>的议案》，公司与千锋互联及其原股东签署了《关于北京千锋互联</w:t>
      </w:r>
      <w:r>
        <w:rPr>
          <w:spacing w:val="-62"/>
          <w:w w:val="100"/>
        </w:rPr>
        <w:t> </w:t>
      </w:r>
      <w:r>
        <w:rPr>
          <w:spacing w:val="-62"/>
          <w:w w:val="100"/>
        </w:rPr>
      </w:r>
      <w:r>
        <w:rPr>
          <w:spacing w:val="-6"/>
          <w:w w:val="100"/>
        </w:rPr>
        <w:t>科技有限公司之退股返还投资款协议》，千锋互联及其原股东同意方直科技退出所占千锋互联</w:t>
      </w:r>
      <w:r>
        <w:rPr>
          <w:spacing w:val="-45"/>
          <w:w w:val="100"/>
        </w:rPr>
        <w:t> </w:t>
      </w:r>
      <w:r>
        <w:rPr>
          <w:rFonts w:ascii="宋体" w:hAnsi="宋体" w:cs="宋体" w:eastAsia="宋体" w:hint="default"/>
          <w:spacing w:val="-1"/>
          <w:w w:val="100"/>
        </w:rPr>
        <w:t>12%</w:t>
      </w:r>
      <w:r>
        <w:rPr>
          <w:spacing w:val="-1"/>
          <w:w w:val="100"/>
        </w:rPr>
        <w:t>股份并返</w:t>
      </w:r>
      <w:r>
        <w:rPr>
          <w:spacing w:val="-103"/>
          <w:w w:val="100"/>
        </w:rPr>
        <w:t> </w:t>
      </w:r>
      <w:r>
        <w:rPr>
          <w:spacing w:val="-103"/>
          <w:w w:val="100"/>
        </w:rPr>
      </w:r>
      <w:r>
        <w:rPr/>
        <w:t>还全部投资款人民币 </w:t>
      </w:r>
      <w:r>
        <w:rPr>
          <w:rFonts w:ascii="宋体" w:hAnsi="宋体" w:cs="宋体" w:eastAsia="宋体" w:hint="default"/>
        </w:rPr>
        <w:t>8100</w:t>
      </w:r>
      <w:r>
        <w:rPr>
          <w:rFonts w:ascii="宋体" w:hAnsi="宋体" w:cs="宋体" w:eastAsia="宋体" w:hint="default"/>
          <w:spacing w:val="-29"/>
        </w:rPr>
        <w:t> </w:t>
      </w:r>
      <w:r>
        <w:rPr/>
        <w:t>万元及利息。退出对千锋互联的投资不会影响公司既定的经营及投资战略，对</w:t>
      </w:r>
      <w:r>
        <w:rPr>
          <w:w w:val="100"/>
        </w:rPr>
        <w:t> </w:t>
      </w:r>
      <w:r>
        <w:rPr/>
        <w:t>公司的经营成果等无重大影响。</w:t>
      </w:r>
    </w:p>
    <w:p>
      <w:pPr>
        <w:pStyle w:val="BodyText"/>
        <w:spacing w:line="408" w:lineRule="auto" w:before="145"/>
        <w:ind w:right="146" w:firstLine="420"/>
        <w:jc w:val="both"/>
      </w:pPr>
      <w:r>
        <w:rPr/>
        <w:t>由于市场的不确定性</w:t>
      </w:r>
      <w:r>
        <w:rPr>
          <w:rFonts w:ascii="宋体" w:hAnsi="宋体" w:cs="宋体" w:eastAsia="宋体" w:hint="default"/>
        </w:rPr>
        <w:t>,</w:t>
      </w:r>
      <w:r>
        <w:rPr>
          <w:rFonts w:ascii="宋体" w:hAnsi="宋体" w:cs="宋体" w:eastAsia="宋体" w:hint="default"/>
          <w:spacing w:val="60"/>
        </w:rPr>
        <w:t> </w:t>
      </w:r>
      <w:r>
        <w:rPr>
          <w:spacing w:val="-3"/>
        </w:rPr>
        <w:t>公司能否及时收回投资款，主要受到对方所处的大环境及企业决策和经营管理</w:t>
      </w:r>
      <w:r>
        <w:rPr>
          <w:w w:val="100"/>
        </w:rPr>
        <w:t> </w:t>
      </w:r>
      <w:r>
        <w:rPr/>
        <w:t>水平高低的影响。为避免风险，公司会定期跟进千锋互联的企业财务状况</w:t>
      </w:r>
      <w:r>
        <w:rPr>
          <w:rFonts w:ascii="宋体" w:hAnsi="宋体" w:cs="宋体" w:eastAsia="宋体" w:hint="default"/>
        </w:rPr>
        <w:t>,</w:t>
      </w:r>
      <w:r>
        <w:rPr/>
        <w:t>测算评估对方的现金流量与偿</w:t>
      </w:r>
      <w:r>
        <w:rPr>
          <w:spacing w:val="-21"/>
        </w:rPr>
        <w:t> </w:t>
      </w:r>
      <w:r>
        <w:rPr>
          <w:spacing w:val="-21"/>
        </w:rPr>
      </w:r>
      <w:r>
        <w:rPr/>
        <w:t>债能力，以有效降低回款风险。</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t>（二）利润分配预案</w:t>
      </w:r>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BodyText"/>
        <w:spacing w:line="240" w:lineRule="auto" w:before="0"/>
        <w:ind w:left="573" w:right="0"/>
        <w:jc w:val="left"/>
      </w:pPr>
      <w:r>
        <w:rPr>
          <w:spacing w:val="-3"/>
        </w:rPr>
        <w:t>公司经本次董事会审议通过的利润分配预案为：以 </w:t>
      </w:r>
      <w:r>
        <w:rPr>
          <w:rFonts w:ascii="宋体" w:hAnsi="宋体" w:cs="宋体" w:eastAsia="宋体" w:hint="default"/>
        </w:rPr>
        <w:t>2017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38"/>
        </w:rPr>
        <w:t> </w:t>
      </w:r>
      <w:r>
        <w:rPr/>
        <w:t>日经中国证券登记结算有限责</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任公司深圳分公司登记的公司总股本 </w:t>
      </w:r>
      <w:r>
        <w:rPr>
          <w:rFonts w:ascii="宋体" w:hAnsi="宋体" w:cs="宋体" w:eastAsia="宋体" w:hint="default"/>
        </w:rPr>
        <w:t>167,831,090 </w:t>
      </w:r>
      <w:r>
        <w:rPr>
          <w:spacing w:val="-8"/>
        </w:rPr>
        <w:t>股为基数，向全体股东每 </w:t>
      </w:r>
      <w:r>
        <w:rPr>
          <w:rFonts w:ascii="宋体" w:hAnsi="宋体" w:cs="宋体" w:eastAsia="宋体" w:hint="default"/>
        </w:rPr>
        <w:t>10 </w:t>
      </w:r>
      <w:r>
        <w:rPr/>
        <w:t>股派发现金红利 </w:t>
      </w:r>
      <w:r>
        <w:rPr>
          <w:rFonts w:ascii="宋体" w:hAnsi="宋体" w:cs="宋体" w:eastAsia="宋体" w:hint="default"/>
        </w:rPr>
        <w:t>0</w:t>
      </w:r>
      <w:r>
        <w:rPr>
          <w:rFonts w:ascii="宋体" w:hAnsi="宋体" w:cs="宋体" w:eastAsia="宋体" w:hint="default"/>
          <w:spacing w:val="-78"/>
        </w:rPr>
        <w:t> </w:t>
      </w:r>
      <w:r>
        <w:rPr>
          <w:spacing w:val="-23"/>
        </w:rPr>
        <w:t>元（含</w:t>
      </w:r>
    </w:p>
    <w:p>
      <w:pPr>
        <w:spacing w:line="240" w:lineRule="auto" w:before="11"/>
        <w:rPr>
          <w:rFonts w:ascii="宋体" w:hAnsi="宋体" w:cs="宋体" w:eastAsia="宋体" w:hint="default"/>
          <w:sz w:val="14"/>
          <w:szCs w:val="14"/>
        </w:rPr>
      </w:pPr>
    </w:p>
    <w:p>
      <w:pPr>
        <w:pStyle w:val="BodyText"/>
        <w:spacing w:line="240" w:lineRule="auto" w:before="0"/>
        <w:ind w:right="0"/>
        <w:jc w:val="left"/>
      </w:pPr>
      <w:r>
        <w:rPr>
          <w:w w:val="100"/>
        </w:rPr>
        <w:t>税</w:t>
      </w:r>
      <w:r>
        <w:rPr>
          <w:spacing w:val="-106"/>
          <w:w w:val="100"/>
        </w:rPr>
        <w:t>）</w:t>
      </w:r>
      <w:r>
        <w:rPr>
          <w:spacing w:val="-3"/>
          <w:w w:val="100"/>
        </w:rPr>
        <w:t>，</w:t>
      </w:r>
      <w:r>
        <w:rPr>
          <w:w w:val="100"/>
        </w:rPr>
        <w:t>送</w:t>
      </w:r>
      <w:r>
        <w:rPr>
          <w:spacing w:val="-3"/>
          <w:w w:val="100"/>
        </w:rPr>
        <w:t>红</w:t>
      </w:r>
      <w:r>
        <w:rPr>
          <w:w w:val="100"/>
        </w:rPr>
        <w:t>股</w:t>
      </w:r>
      <w:r>
        <w:rPr/>
        <w:t> </w:t>
      </w:r>
      <w:r>
        <w:rPr>
          <w:rFonts w:ascii="宋体" w:hAnsi="宋体" w:cs="宋体" w:eastAsia="宋体" w:hint="default"/>
          <w:w w:val="100"/>
        </w:rPr>
        <w:t>0</w:t>
      </w:r>
      <w:r>
        <w:rPr>
          <w:rFonts w:ascii="宋体" w:hAnsi="宋体" w:cs="宋体" w:eastAsia="宋体" w:hint="default"/>
          <w:spacing w:val="-2"/>
        </w:rPr>
        <w:t> </w:t>
      </w:r>
      <w:r>
        <w:rPr>
          <w:w w:val="100"/>
        </w:rPr>
        <w:t>股</w:t>
      </w:r>
      <w:r>
        <w:rPr>
          <w:spacing w:val="-3"/>
          <w:w w:val="100"/>
        </w:rPr>
        <w:t>（</w:t>
      </w:r>
      <w:r>
        <w:rPr>
          <w:w w:val="100"/>
        </w:rPr>
        <w:t>含</w:t>
      </w:r>
      <w:r>
        <w:rPr>
          <w:spacing w:val="-3"/>
          <w:w w:val="100"/>
        </w:rPr>
        <w:t>税</w:t>
      </w:r>
      <w:r>
        <w:rPr>
          <w:spacing w:val="-108"/>
          <w:w w:val="100"/>
        </w:rPr>
        <w:t>）</w:t>
      </w:r>
      <w:r>
        <w:rPr>
          <w:w w:val="100"/>
        </w:rPr>
        <w:t>，以</w:t>
      </w:r>
      <w:r>
        <w:rPr>
          <w:spacing w:val="-3"/>
          <w:w w:val="100"/>
        </w:rPr>
        <w:t>资</w:t>
      </w:r>
      <w:r>
        <w:rPr>
          <w:w w:val="100"/>
        </w:rPr>
        <w:t>本</w:t>
      </w:r>
      <w:r>
        <w:rPr>
          <w:spacing w:val="-3"/>
          <w:w w:val="100"/>
        </w:rPr>
        <w:t>公</w:t>
      </w:r>
      <w:r>
        <w:rPr>
          <w:w w:val="100"/>
        </w:rPr>
        <w:t>积</w:t>
      </w:r>
      <w:r>
        <w:rPr>
          <w:spacing w:val="-3"/>
          <w:w w:val="100"/>
        </w:rPr>
        <w:t>金</w:t>
      </w:r>
      <w:r>
        <w:rPr>
          <w:w w:val="100"/>
        </w:rPr>
        <w:t>向</w:t>
      </w:r>
      <w:r>
        <w:rPr>
          <w:spacing w:val="-3"/>
          <w:w w:val="100"/>
        </w:rPr>
        <w:t>全</w:t>
      </w:r>
      <w:r>
        <w:rPr>
          <w:w w:val="100"/>
        </w:rPr>
        <w:t>体</w:t>
      </w:r>
      <w:r>
        <w:rPr>
          <w:spacing w:val="-3"/>
          <w:w w:val="100"/>
        </w:rPr>
        <w:t>股</w:t>
      </w:r>
      <w:r>
        <w:rPr>
          <w:w w:val="100"/>
        </w:rPr>
        <w:t>东每</w:t>
      </w:r>
      <w:r>
        <w:rPr>
          <w:spacing w:val="1"/>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rPr>
        <w:t> </w:t>
      </w:r>
      <w:r>
        <w:rPr>
          <w:spacing w:val="-3"/>
          <w:w w:val="100"/>
        </w:rPr>
        <w:t>股</w:t>
      </w:r>
      <w:r>
        <w:rPr>
          <w:w w:val="100"/>
        </w:rPr>
        <w:t>转增</w:t>
      </w:r>
      <w:r>
        <w:rPr>
          <w:spacing w:val="-2"/>
        </w:rPr>
        <w:t> </w:t>
      </w:r>
      <w:r>
        <w:rPr>
          <w:rFonts w:ascii="宋体" w:hAnsi="宋体" w:cs="宋体" w:eastAsia="宋体" w:hint="default"/>
          <w:w w:val="100"/>
        </w:rPr>
        <w:t>0</w:t>
      </w:r>
      <w:r>
        <w:rPr>
          <w:rFonts w:ascii="宋体" w:hAnsi="宋体" w:cs="宋体" w:eastAsia="宋体" w:hint="default"/>
          <w:spacing w:val="-55"/>
        </w:rPr>
        <w:t> </w:t>
      </w:r>
      <w:r>
        <w:rPr>
          <w:w w:val="100"/>
        </w:rPr>
        <w:t>股。</w:t>
      </w:r>
    </w:p>
    <w:p>
      <w:pPr>
        <w:spacing w:after="0" w:line="240" w:lineRule="auto"/>
        <w:jc w:val="left"/>
        <w:sectPr>
          <w:pgSz w:w="11910" w:h="16840"/>
          <w:pgMar w:header="748"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0"/>
        <w:ind w:left="2610" w:right="261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43"/>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9769" w:val="right" w:leader="dot"/>
            </w:tabs>
            <w:spacing w:line="240" w:lineRule="auto" w:before="75"/>
            <w:ind w:right="0"/>
            <w:jc w:val="left"/>
            <w:rPr>
              <w:rFonts w:ascii="Times New Roman" w:hAnsi="Times New Roman" w:cs="Times New Roman" w:eastAsia="Times New Roman" w:hint="default"/>
              <w:b w:val="0"/>
              <w:bCs w:val="0"/>
            </w:rPr>
          </w:pPr>
          <w:hyperlink w:history="true" w:anchor="_bookmark1">
            <w:r>
              <w:rPr/>
              <w:t>第二节</w:t>
            </w:r>
            <w:r>
              <w:rPr>
                <w:spacing w:val="43"/>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43"/>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43"/>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43"/>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43"/>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43"/>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43"/>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43"/>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43"/>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43"/>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43"/>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191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8" w:footer="979" w:top="1060" w:bottom="1160" w:left="980" w:right="980"/>
        </w:sectPr>
      </w:pPr>
    </w:p>
    <w:p>
      <w:pPr>
        <w:spacing w:before="841"/>
        <w:ind w:left="2610" w:right="261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82"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公司、本公司或方直科技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黄元忠先生</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保荐人、保荐机构、主承销商</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律师顾问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广东五维律师事务所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连邦信息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同步教育</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教学内容、教学进度与学校课堂教学保持一致的教育方式</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线下产品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公司开发的以移动存储器、光盘等为载体的学生教材配套软件和教 师用书配套软件</w:t>
            </w:r>
          </w:p>
        </w:tc>
      </w:tr>
      <w:tr>
        <w:trPr>
          <w:trHeight w:val="71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线上服务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基于公司的网络数据库支持平台通过互联网为用户提供的一系列同 步基础教育服务</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深圳市方直科技股份有限公司股东大会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深圳市方直科技股份有限公司董事会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深圳市方直科技股份有限公司监事会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千锋互联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北京千锋互联科技有限公司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嘉道方直</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深圳嘉道方直教育产业投资企业（有限合伙）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pStyle w:val="Heading1"/>
        <w:spacing w:line="456" w:lineRule="exact"/>
        <w:ind w:left="2642" w:right="0"/>
        <w:jc w:val="left"/>
        <w:rPr>
          <w:b w:val="0"/>
          <w:bCs w:val="0"/>
        </w:rPr>
      </w:pPr>
      <w:bookmarkStart w:name="_bookmark0" w:id="1"/>
      <w:bookmarkEnd w:id="1"/>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一、公司信息</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2283"/>
        <w:gridCol w:w="2955"/>
        <w:gridCol w:w="2156"/>
        <w:gridCol w:w="2177"/>
      </w:tblGrid>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方直科技</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300235</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方直科技</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SHENZHEN KINGSUN SCIENCE &amp; TECHNOLOGY</w:t>
            </w:r>
            <w:r>
              <w:rPr>
                <w:rFonts w:ascii="Times New Roman"/>
                <w:spacing w:val="-17"/>
                <w:sz w:val="18"/>
              </w:rPr>
              <w:t> </w:t>
            </w:r>
            <w:r>
              <w:rPr>
                <w:rFonts w:ascii="Times New Roman"/>
                <w:spacing w:val="-3"/>
                <w:sz w:val="18"/>
              </w:rPr>
              <w:t>CO.,LTD</w:t>
            </w:r>
          </w:p>
        </w:tc>
      </w:tr>
      <w:tr>
        <w:trPr>
          <w:trHeight w:val="716"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67"/>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Kingsun</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黄元忠</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深圳市南山区科技中二路深圳软件园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深圳市南山区大新路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 </w:t>
            </w:r>
            <w:r>
              <w:rPr>
                <w:rFonts w:ascii="宋体" w:hAnsi="宋体" w:cs="宋体" w:eastAsia="宋体" w:hint="default"/>
                <w:sz w:val="18"/>
                <w:szCs w:val="18"/>
              </w:rPr>
              <w:t>号创新大厦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518000</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9">
              <w:r>
                <w:rPr>
                  <w:rFonts w:ascii="Times New Roman"/>
                  <w:sz w:val="18"/>
                </w:rPr>
                <w:t>www.kingsunedu.com</w:t>
              </w:r>
            </w:hyperlink>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0">
              <w:r>
                <w:rPr>
                  <w:rFonts w:ascii="Times New Roman"/>
                  <w:sz w:val="18"/>
                </w:rPr>
                <w:t>kingsunsoft@kingsunsoft.com</w:t>
              </w:r>
            </w:hyperlink>
          </w:p>
        </w:tc>
      </w:tr>
    </w:tbl>
    <w:p>
      <w:pPr>
        <w:spacing w:line="240" w:lineRule="auto" w:before="13"/>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李枫</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钟玲</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深圳市南山区大新路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号创新大厦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深圳市南山区大新路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号创新大厦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feng.li@kingsunsoft.com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ling.zhong@kingsunsoft.com</w:t>
              </w:r>
            </w:hyperlink>
          </w:p>
        </w:tc>
      </w:tr>
    </w:tbl>
    <w:p>
      <w:pPr>
        <w:spacing w:line="240" w:lineRule="auto" w:before="13"/>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三、信息披露及备置地点</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3992"/>
        <w:gridCol w:w="5577"/>
      </w:tblGrid>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中国证监会指定网站</w:t>
            </w:r>
            <w:r>
              <w:rPr>
                <w:rFonts w:ascii="宋体" w:hAnsi="宋体" w:cs="宋体" w:eastAsia="宋体" w:hint="default"/>
                <w:spacing w:val="-22"/>
                <w:sz w:val="18"/>
                <w:szCs w:val="18"/>
              </w:rPr>
              <w:t> </w:t>
            </w:r>
            <w:hyperlink r:id="rId13">
              <w:r>
                <w:rPr>
                  <w:rFonts w:ascii="Times New Roman" w:hAnsi="Times New Roman" w:cs="Times New Roman" w:eastAsia="Times New Roman" w:hint="default"/>
                  <w:sz w:val="18"/>
                  <w:szCs w:val="18"/>
                </w:rPr>
                <w:t>http://www.cninfo.com.cn</w:t>
              </w:r>
            </w:hyperlink>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3"/>
        <w:rPr>
          <w:rFonts w:ascii="Microsoft JhengHei" w:hAnsi="Microsoft JhengHei" w:cs="Microsoft JhengHei" w:eastAsia="Microsoft JhengHei" w:hint="default"/>
          <w:b/>
          <w:bCs/>
          <w:sz w:val="17"/>
          <w:szCs w:val="17"/>
        </w:rPr>
      </w:pPr>
    </w:p>
    <w:p>
      <w:pPr>
        <w:pStyle w:val="Heading3"/>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662"/>
        <w:gridCol w:w="6906"/>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王建新、郑立有</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6" w:right="101"/>
              <w:jc w:val="left"/>
              <w:rPr>
                <w:rFonts w:ascii="宋体" w:hAnsi="宋体" w:cs="宋体" w:eastAsia="宋体" w:hint="default"/>
                <w:sz w:val="18"/>
                <w:szCs w:val="18"/>
              </w:rPr>
            </w:pPr>
            <w:r>
              <w:rPr>
                <w:rFonts w:ascii="宋体" w:hAnsi="宋体" w:cs="宋体" w:eastAsia="宋体" w:hint="default"/>
                <w:sz w:val="18"/>
                <w:szCs w:val="18"/>
              </w:rPr>
              <w:t>深圳市福田区金田路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荣超大厦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甘露、李茵</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至公司募集资金使用完毕为 止</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48" w:lineRule="auto" w:before="117"/>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追溯调整或重述原因 会计差错更正</w:t>
      </w:r>
    </w:p>
    <w:p>
      <w:pPr>
        <w:spacing w:line="240" w:lineRule="auto" w:before="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60"/>
        <w:gridCol w:w="1200"/>
        <w:gridCol w:w="1203"/>
        <w:gridCol w:w="1200"/>
        <w:gridCol w:w="1201"/>
        <w:gridCol w:w="1202"/>
        <w:gridCol w:w="1203"/>
      </w:tblGrid>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506" w:right="53"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360" w:type="dxa"/>
            <w:vMerge/>
            <w:tcBorders>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1" w:type="dxa"/>
            <w:vMerge/>
            <w:tcBorders>
              <w:left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66" w:hRule="exact"/>
        </w:trPr>
        <w:tc>
          <w:tcPr>
            <w:tcW w:w="2360" w:type="dxa"/>
            <w:vMerge/>
            <w:tcBorders>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100,510,607.42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96,919,585.70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96,919,585.70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99,441,831.01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99,441,831.01</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8,822,524.60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18,412,633.16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17,682,428.82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22,228,072.58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21,348,837.18</w:t>
            </w:r>
          </w:p>
        </w:tc>
      </w:tr>
      <w:tr>
        <w:trPr>
          <w:trHeight w:val="102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4,727,257.23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11,787,446.88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11,057,242.54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15,300,357.25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14,421,121.85</w:t>
            </w:r>
          </w:p>
        </w:tc>
      </w:tr>
      <w:tr>
        <w:trPr>
          <w:trHeight w:val="71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3,960,735.89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9,639,489.28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9,639,489.28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-58.91%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19,415,704.22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19,415,704.22</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w:t>
            </w:r>
          </w:p>
        </w:tc>
      </w:tr>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3"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360" w:type="dxa"/>
            <w:vMerge/>
            <w:tcBorders>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1" w:type="dxa"/>
            <w:vMerge/>
            <w:tcBorders>
              <w:left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6" w:hRule="exact"/>
        </w:trPr>
        <w:tc>
          <w:tcPr>
            <w:tcW w:w="2360" w:type="dxa"/>
            <w:vMerge/>
            <w:tcBorders>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608,796,383.19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372,239,158.52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372,665,942.69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367,695,743.12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367,993,667.70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360"/>
        <w:gridCol w:w="1200"/>
        <w:gridCol w:w="1203"/>
        <w:gridCol w:w="1200"/>
        <w:gridCol w:w="1201"/>
        <w:gridCol w:w="1202"/>
        <w:gridCol w:w="1203"/>
      </w:tblGrid>
      <w:tr>
        <w:trPr>
          <w:trHeight w:val="71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582,102,658.03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351,540,589.18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347,058,373.15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67.72%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342,631,956.02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338,879,944.33</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会计政策变更的原因及会计差错更正的情况</w:t>
      </w:r>
    </w:p>
    <w:p>
      <w:pPr>
        <w:spacing w:line="240" w:lineRule="auto" w:before="3"/>
        <w:rPr>
          <w:rFonts w:ascii="宋体" w:hAnsi="宋体" w:cs="宋体" w:eastAsia="宋体" w:hint="default"/>
          <w:sz w:val="13"/>
          <w:szCs w:val="13"/>
        </w:rPr>
      </w:pPr>
    </w:p>
    <w:p>
      <w:pPr>
        <w:pStyle w:val="BodyText"/>
        <w:spacing w:line="408" w:lineRule="auto" w:before="0"/>
        <w:ind w:right="283" w:firstLine="420"/>
        <w:jc w:val="both"/>
      </w:pPr>
      <w:r>
        <w:rPr/>
        <w:t>本公司于</w:t>
      </w:r>
      <w:r>
        <w:rPr>
          <w:spacing w:val="-54"/>
        </w:rPr>
        <w:t> </w:t>
      </w:r>
      <w:r>
        <w:rPr>
          <w:rFonts w:ascii="宋体" w:hAnsi="宋体" w:cs="宋体" w:eastAsia="宋体" w:hint="default"/>
        </w:rPr>
        <w:t>2008</w:t>
      </w:r>
      <w:r>
        <w:rPr>
          <w:rFonts w:ascii="宋体" w:hAnsi="宋体" w:cs="宋体" w:eastAsia="宋体" w:hint="default"/>
          <w:spacing w:val="-56"/>
        </w:rPr>
        <w:t> </w:t>
      </w:r>
      <w:r>
        <w:rPr/>
        <w:t>年</w:t>
      </w:r>
      <w:r>
        <w:rPr>
          <w:rFonts w:ascii="宋体" w:hAnsi="宋体" w:cs="宋体" w:eastAsia="宋体" w:hint="default"/>
        </w:rPr>
        <w:t>-2013</w:t>
      </w:r>
      <w:r>
        <w:rPr>
          <w:rFonts w:ascii="宋体" w:hAnsi="宋体" w:cs="宋体" w:eastAsia="宋体" w:hint="default"/>
          <w:spacing w:val="-56"/>
        </w:rPr>
        <w:t> </w:t>
      </w:r>
      <w:r>
        <w:rPr/>
        <w:t>年期间与某单位签订了六份教材配套软件开发合同，合同中就本公司支付版</w:t>
      </w:r>
      <w:r>
        <w:rPr>
          <w:w w:val="100"/>
        </w:rPr>
        <w:t> </w:t>
      </w:r>
      <w:r>
        <w:rPr>
          <w:spacing w:val="-2"/>
        </w:rPr>
        <w:t>权使用费的结算依据、结算标准和结算时间作出了约定。在双方未变更合同的情况下，某单位将其中一</w:t>
      </w:r>
      <w:r>
        <w:rPr>
          <w:spacing w:val="-20"/>
        </w:rPr>
        <w:t> </w:t>
      </w:r>
      <w:r>
        <w:rPr>
          <w:spacing w:val="-20"/>
        </w:rPr>
      </w:r>
      <w:r>
        <w:rPr>
          <w:spacing w:val="-2"/>
        </w:rPr>
        <w:t>份合同中的教材配套软件授权给第三方公司研发制作，本公司认为某单位违反了该份合同中关于“独家</w:t>
      </w:r>
      <w:r>
        <w:rPr>
          <w:spacing w:val="-23"/>
        </w:rPr>
        <w:t> </w:t>
      </w:r>
      <w:r>
        <w:rPr>
          <w:spacing w:val="-23"/>
        </w:rPr>
      </w:r>
      <w:r>
        <w:rPr/>
        <w:t>制作权和独家发行权”的约定，自</w:t>
      </w:r>
      <w:r>
        <w:rPr>
          <w:spacing w:val="-55"/>
        </w:rPr>
        <w:t> </w:t>
      </w:r>
      <w:r>
        <w:rPr>
          <w:rFonts w:ascii="宋体" w:hAnsi="宋体" w:cs="宋体" w:eastAsia="宋体" w:hint="default"/>
        </w:rPr>
        <w:t>2011</w:t>
      </w:r>
      <w:r>
        <w:rPr>
          <w:rFonts w:ascii="宋体" w:hAnsi="宋体" w:cs="宋体" w:eastAsia="宋体" w:hint="default"/>
          <w:spacing w:val="-57"/>
        </w:rPr>
        <w:t> </w:t>
      </w:r>
      <w:r>
        <w:rPr/>
        <w:t>年起暂停支付上述六份合同中约定的版权使用费。</w:t>
      </w:r>
    </w:p>
    <w:p>
      <w:pPr>
        <w:pStyle w:val="BodyText"/>
        <w:spacing w:line="240" w:lineRule="auto" w:before="87"/>
        <w:ind w:left="573"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06</w:t>
      </w:r>
      <w:r>
        <w:rPr>
          <w:rFonts w:ascii="宋体" w:hAnsi="宋体" w:cs="宋体" w:eastAsia="宋体" w:hint="default"/>
          <w:spacing w:val="-55"/>
        </w:rPr>
        <w:t> </w:t>
      </w:r>
      <w:r>
        <w:rPr/>
        <w:t>月，某单位依据双方签订的六份合同要求本公司支付</w:t>
      </w:r>
      <w:r>
        <w:rPr>
          <w:spacing w:val="-52"/>
        </w:rPr>
        <w:t> </w:t>
      </w:r>
      <w:r>
        <w:rPr>
          <w:rFonts w:ascii="宋体" w:hAnsi="宋体" w:cs="宋体" w:eastAsia="宋体" w:hint="default"/>
        </w:rPr>
        <w:t>2011</w:t>
      </w:r>
      <w:r>
        <w:rPr>
          <w:rFonts w:ascii="宋体" w:hAnsi="宋体" w:cs="宋体" w:eastAsia="宋体" w:hint="default"/>
          <w:spacing w:val="-55"/>
        </w:rPr>
        <w:t> </w:t>
      </w:r>
      <w:r>
        <w:rPr/>
        <w:t>年</w:t>
      </w:r>
      <w:r>
        <w:rPr>
          <w:rFonts w:ascii="宋体" w:hAnsi="宋体" w:cs="宋体" w:eastAsia="宋体" w:hint="default"/>
        </w:rPr>
        <w:t>-2016</w:t>
      </w:r>
      <w:r>
        <w:rPr>
          <w:rFonts w:ascii="宋体" w:hAnsi="宋体" w:cs="宋体" w:eastAsia="宋体" w:hint="default"/>
          <w:spacing w:val="-53"/>
        </w:rPr>
        <w:t> </w:t>
      </w:r>
      <w:r>
        <w:rPr/>
        <w:t>年期间的版权使用</w:t>
      </w:r>
    </w:p>
    <w:p>
      <w:pPr>
        <w:spacing w:line="240" w:lineRule="auto" w:before="11"/>
        <w:rPr>
          <w:rFonts w:ascii="宋体" w:hAnsi="宋体" w:cs="宋体" w:eastAsia="宋体" w:hint="default"/>
          <w:sz w:val="14"/>
          <w:szCs w:val="14"/>
        </w:rPr>
      </w:pPr>
    </w:p>
    <w:p>
      <w:pPr>
        <w:pStyle w:val="BodyText"/>
        <w:spacing w:line="240" w:lineRule="auto" w:before="0"/>
        <w:ind w:right="0"/>
        <w:jc w:val="left"/>
      </w:pPr>
      <w:r>
        <w:rPr>
          <w:w w:val="100"/>
        </w:rPr>
        <w:t>费，</w:t>
      </w:r>
      <w:r>
        <w:rPr>
          <w:spacing w:val="-3"/>
          <w:w w:val="100"/>
        </w:rPr>
        <w:t>本</w:t>
      </w:r>
      <w:r>
        <w:rPr>
          <w:w w:val="100"/>
        </w:rPr>
        <w:t>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09</w:t>
      </w:r>
      <w:r>
        <w:rPr>
          <w:rFonts w:ascii="宋体" w:hAnsi="宋体" w:cs="宋体" w:eastAsia="宋体" w:hint="default"/>
          <w:spacing w:val="-54"/>
        </w:rPr>
        <w:t> </w:t>
      </w:r>
      <w:r>
        <w:rPr>
          <w:w w:val="100"/>
        </w:rPr>
        <w:t>月支</w:t>
      </w:r>
      <w:r>
        <w:rPr>
          <w:spacing w:val="-3"/>
          <w:w w:val="100"/>
        </w:rPr>
        <w:t>付</w:t>
      </w:r>
      <w:r>
        <w:rPr>
          <w:w w:val="100"/>
        </w:rPr>
        <w:t>了</w:t>
      </w:r>
      <w:r>
        <w:rPr>
          <w:spacing w:val="-53"/>
        </w:rPr>
        <w:t> </w:t>
      </w:r>
      <w:r>
        <w:rPr>
          <w:rFonts w:ascii="宋体" w:hAnsi="宋体" w:cs="宋体" w:eastAsia="宋体" w:hint="default"/>
          <w:spacing w:val="-3"/>
          <w:w w:val="100"/>
        </w:rPr>
        <w:t>2</w:t>
      </w:r>
      <w:r>
        <w:rPr>
          <w:rFonts w:ascii="宋体" w:hAnsi="宋体" w:cs="宋体" w:eastAsia="宋体" w:hint="default"/>
          <w:w w:val="100"/>
        </w:rPr>
        <w:t>011</w:t>
      </w:r>
      <w:r>
        <w:rPr>
          <w:rFonts w:ascii="宋体" w:hAnsi="宋体" w:cs="宋体" w:eastAsia="宋体" w:hint="default"/>
          <w:spacing w:val="-55"/>
        </w:rPr>
        <w:t> </w:t>
      </w:r>
      <w:r>
        <w:rPr>
          <w:w w:val="100"/>
        </w:rPr>
        <w:t>年</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55"/>
        </w:rPr>
        <w:t> </w:t>
      </w:r>
      <w:r>
        <w:rPr>
          <w:spacing w:val="-3"/>
          <w:w w:val="100"/>
        </w:rPr>
        <w:t>年</w:t>
      </w:r>
      <w:r>
        <w:rPr>
          <w:w w:val="100"/>
        </w:rPr>
        <w:t>版权</w:t>
      </w:r>
      <w:r>
        <w:rPr>
          <w:spacing w:val="-3"/>
          <w:w w:val="100"/>
        </w:rPr>
        <w:t>使用</w:t>
      </w:r>
      <w:r>
        <w:rPr>
          <w:w w:val="100"/>
        </w:rPr>
        <w:t>费</w:t>
      </w:r>
      <w:r>
        <w:rPr>
          <w:spacing w:val="-53"/>
        </w:rPr>
        <w:t> </w:t>
      </w:r>
      <w:r>
        <w:rPr>
          <w:rFonts w:ascii="宋体" w:hAnsi="宋体" w:cs="宋体" w:eastAsia="宋体" w:hint="default"/>
          <w:w w:val="100"/>
        </w:rPr>
        <w:t>5,</w:t>
      </w:r>
      <w:r>
        <w:rPr>
          <w:rFonts w:ascii="宋体" w:hAnsi="宋体" w:cs="宋体" w:eastAsia="宋体" w:hint="default"/>
          <w:spacing w:val="-3"/>
          <w:w w:val="100"/>
        </w:rPr>
        <w:t>0</w:t>
      </w:r>
      <w:r>
        <w:rPr>
          <w:rFonts w:ascii="宋体" w:hAnsi="宋体" w:cs="宋体" w:eastAsia="宋体" w:hint="default"/>
          <w:w w:val="100"/>
        </w:rPr>
        <w:t>88,</w:t>
      </w:r>
      <w:r>
        <w:rPr>
          <w:rFonts w:ascii="宋体" w:hAnsi="宋体" w:cs="宋体" w:eastAsia="宋体" w:hint="default"/>
          <w:spacing w:val="-3"/>
          <w:w w:val="100"/>
        </w:rPr>
        <w:t>1</w:t>
      </w:r>
      <w:r>
        <w:rPr>
          <w:rFonts w:ascii="宋体" w:hAnsi="宋体" w:cs="宋体" w:eastAsia="宋体" w:hint="default"/>
          <w:w w:val="100"/>
        </w:rPr>
        <w:t>33.</w:t>
      </w:r>
      <w:r>
        <w:rPr>
          <w:rFonts w:ascii="宋体" w:hAnsi="宋体" w:cs="宋体" w:eastAsia="宋体" w:hint="default"/>
          <w:spacing w:val="-3"/>
          <w:w w:val="100"/>
        </w:rPr>
        <w:t>4</w:t>
      </w:r>
      <w:r>
        <w:rPr>
          <w:rFonts w:ascii="宋体" w:hAnsi="宋体" w:cs="宋体" w:eastAsia="宋体" w:hint="default"/>
          <w:w w:val="100"/>
        </w:rPr>
        <w:t>4</w:t>
      </w:r>
      <w:r>
        <w:rPr>
          <w:rFonts w:ascii="宋体" w:hAnsi="宋体" w:cs="宋体" w:eastAsia="宋体" w:hint="default"/>
          <w:spacing w:val="-55"/>
        </w:rPr>
        <w:t> </w:t>
      </w:r>
      <w:r>
        <w:rPr>
          <w:w w:val="100"/>
        </w:rPr>
        <w:t>元（</w:t>
      </w:r>
      <w:r>
        <w:rPr>
          <w:spacing w:val="-3"/>
          <w:w w:val="100"/>
        </w:rPr>
        <w:t>不</w:t>
      </w:r>
      <w:r>
        <w:rPr>
          <w:w w:val="100"/>
        </w:rPr>
        <w:t>含</w:t>
      </w:r>
      <w:r>
        <w:rPr>
          <w:spacing w:val="-3"/>
          <w:w w:val="100"/>
        </w:rPr>
        <w:t>税</w:t>
      </w:r>
      <w:r>
        <w:rPr>
          <w:w w:val="100"/>
        </w:rPr>
        <w:t>价</w:t>
      </w:r>
      <w:r>
        <w:rPr>
          <w:spacing w:val="-108"/>
          <w:w w:val="100"/>
        </w:rPr>
        <w:t>）</w:t>
      </w:r>
      <w:r>
        <w:rPr>
          <w:w w:val="100"/>
        </w:rPr>
        <w:t>，</w:t>
      </w:r>
      <w:r>
        <w:rPr>
          <w:spacing w:val="-3"/>
          <w:w w:val="100"/>
        </w:rPr>
        <w:t>因</w:t>
      </w:r>
      <w:r>
        <w:rPr>
          <w:w w:val="100"/>
        </w:rPr>
        <w:t>之</w:t>
      </w:r>
      <w:r>
        <w:rPr>
          <w:spacing w:val="-3"/>
          <w:w w:val="100"/>
        </w:rPr>
        <w:t>前</w:t>
      </w:r>
      <w:r>
        <w:rPr>
          <w:w w:val="100"/>
        </w:rPr>
        <w:t>已</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计提版权使用费</w:t>
      </w:r>
      <w:r>
        <w:rPr>
          <w:spacing w:val="-56"/>
        </w:rPr>
        <w:t> </w:t>
      </w:r>
      <w:r>
        <w:rPr>
          <w:rFonts w:ascii="宋体" w:hAnsi="宋体" w:cs="宋体" w:eastAsia="宋体" w:hint="default"/>
        </w:rPr>
        <w:t>179,133.24</w:t>
      </w:r>
      <w:r>
        <w:rPr>
          <w:rFonts w:ascii="宋体" w:hAnsi="宋体" w:cs="宋体" w:eastAsia="宋体" w:hint="default"/>
          <w:spacing w:val="-55"/>
        </w:rPr>
        <w:t> </w:t>
      </w:r>
      <w:r>
        <w:rPr/>
        <w:t>元，本次前期差错更正金额为</w:t>
      </w:r>
      <w:r>
        <w:rPr>
          <w:spacing w:val="-56"/>
        </w:rPr>
        <w:t> </w:t>
      </w:r>
      <w:r>
        <w:rPr>
          <w:rFonts w:ascii="宋体" w:hAnsi="宋体" w:cs="宋体" w:eastAsia="宋体" w:hint="default"/>
        </w:rPr>
        <w:t>4,909,000.20</w:t>
      </w:r>
      <w:r>
        <w:rPr>
          <w:rFonts w:ascii="宋体" w:hAnsi="宋体" w:cs="宋体" w:eastAsia="宋体" w:hint="default"/>
          <w:spacing w:val="-55"/>
        </w:rPr>
        <w:t> </w:t>
      </w:r>
      <w:r>
        <w:rPr>
          <w:spacing w:val="-3"/>
        </w:rPr>
        <w:t>元。</w:t>
      </w:r>
      <w:r>
        <w:rPr/>
      </w:r>
    </w:p>
    <w:p>
      <w:pPr>
        <w:spacing w:line="240" w:lineRule="auto" w:before="9"/>
        <w:rPr>
          <w:rFonts w:ascii="宋体" w:hAnsi="宋体" w:cs="宋体" w:eastAsia="宋体" w:hint="default"/>
          <w:sz w:val="17"/>
          <w:szCs w:val="17"/>
        </w:rPr>
      </w:pPr>
    </w:p>
    <w:p>
      <w:pPr>
        <w:pStyle w:val="BodyText"/>
        <w:spacing w:line="240" w:lineRule="auto" w:before="0"/>
        <w:ind w:left="0" w:right="230"/>
        <w:jc w:val="right"/>
      </w:pPr>
      <w:r>
        <w:rPr/>
        <w:t>根据《企业会计准则第</w:t>
      </w:r>
      <w:r>
        <w:rPr>
          <w:spacing w:val="-52"/>
        </w:rPr>
        <w:t> </w:t>
      </w:r>
      <w:r>
        <w:rPr>
          <w:rFonts w:ascii="宋体" w:hAnsi="宋体" w:cs="宋体" w:eastAsia="宋体" w:hint="default"/>
        </w:rPr>
        <w:t>28</w:t>
      </w:r>
      <w:r>
        <w:rPr>
          <w:rFonts w:ascii="宋体" w:hAnsi="宋体" w:cs="宋体" w:eastAsia="宋体" w:hint="default"/>
          <w:spacing w:val="-55"/>
        </w:rPr>
        <w:t> </w:t>
      </w:r>
      <w:r>
        <w:rPr/>
        <w:t>号</w:t>
      </w:r>
      <w:r>
        <w:rPr>
          <w:rFonts w:ascii="宋体" w:hAnsi="宋体" w:cs="宋体" w:eastAsia="宋体" w:hint="default"/>
        </w:rPr>
        <w:t>--</w:t>
      </w:r>
      <w:r>
        <w:rPr/>
        <w:t>会计政策、会计估计变更和差错更正》</w:t>
      </w:r>
      <w:r>
        <w:rPr>
          <w:rFonts w:ascii="宋体" w:hAnsi="宋体" w:cs="宋体" w:eastAsia="宋体" w:hint="default"/>
        </w:rPr>
        <w:t>,</w:t>
      </w:r>
      <w:r>
        <w:rPr/>
        <w:t>经公司</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04</w:t>
      </w:r>
      <w:r>
        <w:rPr>
          <w:rFonts w:ascii="宋体" w:hAnsi="宋体" w:cs="宋体" w:eastAsia="宋体" w:hint="default"/>
          <w:spacing w:val="-55"/>
        </w:rPr>
        <w:t> </w:t>
      </w:r>
      <w:r>
        <w:rPr/>
        <w:t>月</w:t>
      </w:r>
      <w:r>
        <w:rPr>
          <w:spacing w:val="-52"/>
        </w:rPr>
        <w:t> </w:t>
      </w:r>
      <w:r>
        <w:rPr>
          <w:rFonts w:ascii="宋体" w:hAnsi="宋体" w:cs="宋体" w:eastAsia="宋体" w:hint="default"/>
        </w:rPr>
        <w:t>16</w:t>
      </w:r>
      <w:r>
        <w:rPr>
          <w:rFonts w:ascii="宋体" w:hAnsi="宋体" w:cs="宋体" w:eastAsia="宋体" w:hint="default"/>
          <w:spacing w:val="-55"/>
        </w:rPr>
        <w:t> </w:t>
      </w:r>
      <w:r>
        <w:rPr/>
        <w:t>日第</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三届董事会第三十次会议审议通过，公司在编制</w:t>
      </w:r>
      <w:r>
        <w:rPr>
          <w:spacing w:val="-58"/>
        </w:rPr>
        <w:t> </w:t>
      </w:r>
      <w:r>
        <w:rPr>
          <w:rFonts w:ascii="宋体" w:hAnsi="宋体" w:cs="宋体" w:eastAsia="宋体" w:hint="default"/>
        </w:rPr>
        <w:t>2017</w:t>
      </w:r>
      <w:r>
        <w:rPr>
          <w:rFonts w:ascii="宋体" w:hAnsi="宋体" w:cs="宋体" w:eastAsia="宋体" w:hint="default"/>
          <w:spacing w:val="-58"/>
        </w:rPr>
        <w:t> </w:t>
      </w:r>
      <w:r>
        <w:rPr/>
        <w:t>年度财务报告时对上述前期差错进行追溯更正。</w:t>
      </w:r>
    </w:p>
    <w:p>
      <w:pPr>
        <w:spacing w:line="240" w:lineRule="auto" w:before="10"/>
        <w:rPr>
          <w:rFonts w:ascii="宋体" w:hAnsi="宋体" w:cs="宋体" w:eastAsia="宋体" w:hint="default"/>
          <w:sz w:val="14"/>
          <w:szCs w:val="14"/>
        </w:rPr>
      </w:pPr>
    </w:p>
    <w:p>
      <w:pPr>
        <w:pStyle w:val="BodyText"/>
        <w:spacing w:line="408" w:lineRule="auto" w:before="0"/>
        <w:ind w:right="230"/>
        <w:jc w:val="left"/>
      </w:pPr>
      <w:r>
        <w:rPr/>
        <w:t>《关于会计差错更正及追溯调整的公告》详见</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04</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6"/>
        </w:rPr>
        <w:t> </w:t>
      </w:r>
      <w:r>
        <w:rPr/>
        <w:t>日刊登在中国证监会创业板指定信息披露</w:t>
      </w:r>
      <w:r>
        <w:rPr>
          <w:w w:val="100"/>
        </w:rPr>
        <w:t> </w:t>
      </w:r>
      <w:r>
        <w:rPr>
          <w:spacing w:val="-5"/>
          <w:w w:val="100"/>
        </w:rPr>
        <w:t>网站巨潮资讯网的相关公告（公告编号：</w:t>
      </w:r>
      <w:r>
        <w:rPr>
          <w:rFonts w:ascii="宋体" w:hAnsi="宋体" w:cs="宋体" w:eastAsia="宋体" w:hint="default"/>
          <w:spacing w:val="-5"/>
          <w:w w:val="100"/>
        </w:rPr>
        <w:t>2018-024</w:t>
      </w:r>
      <w:r>
        <w:rPr>
          <w:spacing w:val="-5"/>
          <w:w w:val="100"/>
        </w:rPr>
        <w:t>）。</w:t>
      </w:r>
    </w:p>
    <w:p>
      <w:pPr>
        <w:pStyle w:val="Heading3"/>
        <w:spacing w:line="240" w:lineRule="auto" w:before="167"/>
        <w:ind w:right="0"/>
        <w:jc w:val="left"/>
        <w:rPr>
          <w:b w:val="0"/>
          <w:bCs w:val="0"/>
        </w:rPr>
      </w:pPr>
      <w:r>
        <w:rPr/>
        <w:t>六、分季度主要财务指标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621"/>
        <w:gridCol w:w="1740"/>
        <w:gridCol w:w="1738"/>
        <w:gridCol w:w="1741"/>
        <w:gridCol w:w="1731"/>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31,292,850.97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5,560,926.21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43,183,005.26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20,473,824.98</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7,406,599.66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-9,448,186.16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13,792,880.79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-2,928,769.69</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6,343,499.79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-9,909,737.52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13,080,772.62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-4,787,277.66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-13,102,674.75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6,796,991.21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-10,844,987.53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21,111,406.96</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1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after="0" w:line="338"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1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296"/>
        <w:gridCol w:w="1520"/>
        <w:gridCol w:w="1522"/>
        <w:gridCol w:w="1522"/>
        <w:gridCol w:w="1709"/>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-19,232.90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-6,047.33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-11,560.85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处置固定资产损益</w:t>
            </w: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1,397,816.73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3,809,002.03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1,025,900.80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政府资助</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3,476,209.30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3,964,579.62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7,135,179.48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理财收益</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-36,622.87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26,807.03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608.74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722,264.98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1,169,155.07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1,222,412.84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637.91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4,095,267.37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6,625,186.28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6,927,715.33</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3"/>
        <w:ind w:left="153" w:right="235"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3" w:right="23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非经常性损益》定义、列举的非经常性损 益项目界定为经常性损益的项目的情形。</w:t>
      </w:r>
    </w:p>
    <w:p>
      <w:pPr>
        <w:spacing w:after="0" w:line="300" w:lineRule="auto"/>
        <w:jc w:val="left"/>
        <w:rPr>
          <w:rFonts w:ascii="宋体" w:hAnsi="宋体" w:cs="宋体" w:eastAsia="宋体" w:hint="default"/>
          <w:sz w:val="18"/>
          <w:szCs w:val="18"/>
        </w:rPr>
        <w:sectPr>
          <w:footerReference w:type="default" r:id="rId14"/>
          <w:pgSz w:w="11910" w:h="16840"/>
          <w:pgMar w:footer="979" w:header="748"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2611"/>
        <w:jc w:val="center"/>
        <w:rPr>
          <w:b w:val="0"/>
          <w:bCs w:val="0"/>
        </w:rPr>
      </w:pPr>
      <w:bookmarkStart w:name="_bookmark1" w:id="2"/>
      <w:bookmarkEnd w:id="2"/>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3"/>
        <w:spacing w:line="240" w:lineRule="auto"/>
        <w:ind w:right="0"/>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line="360"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1"/>
        <w:ind w:right="333" w:firstLine="420"/>
        <w:jc w:val="both"/>
      </w:pPr>
      <w:r>
        <w:rPr>
          <w:spacing w:val="-2"/>
        </w:rPr>
        <w:t>公司成立至今一直专注于中小学同步教育产品的研发、设计、销售及持续服务，为广大中小学教师</w:t>
      </w:r>
      <w:r>
        <w:rPr>
          <w:w w:val="100"/>
        </w:rPr>
        <w:t> </w:t>
      </w:r>
      <w:r>
        <w:rPr>
          <w:spacing w:val="-2"/>
        </w:rPr>
        <w:t>与学生提供优质、同步、配套的教育软件及互联网在线全面系统服务。公司是国内领先的中小学同步教</w:t>
      </w:r>
      <w:r>
        <w:rPr>
          <w:spacing w:val="-21"/>
        </w:rPr>
        <w:t> </w:t>
      </w:r>
      <w:r>
        <w:rPr>
          <w:spacing w:val="-21"/>
        </w:rPr>
      </w:r>
      <w:r>
        <w:rPr/>
        <w:t>育产品及服务的提供商，报告期内公司主营业务未发生重大变化。</w:t>
      </w:r>
    </w:p>
    <w:p>
      <w:pPr>
        <w:pStyle w:val="BodyText"/>
        <w:spacing w:line="408" w:lineRule="auto"/>
        <w:ind w:right="333" w:firstLine="420"/>
        <w:jc w:val="both"/>
      </w:pPr>
      <w:r>
        <w:rPr>
          <w:spacing w:val="-2"/>
        </w:rPr>
        <w:t>公司秉承“人人分享优质教育资源”的理念，凭借企业多年积累的信息技术优势，与教学、管理、</w:t>
      </w:r>
      <w:r>
        <w:rPr>
          <w:w w:val="100"/>
        </w:rPr>
        <w:t> </w:t>
      </w:r>
      <w:r>
        <w:rPr>
          <w:spacing w:val="-2"/>
        </w:rPr>
        <w:t>学科深入融合，对教育教学需求的深刻理解，完成了以优质资源为基础、以评价体系为核心的互联网生</w:t>
      </w:r>
      <w:r>
        <w:rPr>
          <w:spacing w:val="-21"/>
        </w:rPr>
        <w:t> </w:t>
      </w:r>
      <w:r>
        <w:rPr>
          <w:spacing w:val="-21"/>
        </w:rPr>
      </w:r>
      <w:r>
        <w:rPr>
          <w:spacing w:val="-2"/>
        </w:rPr>
        <w:t>态教育服务系统的设计和建设，将先进的教学理念、有效的教学方法和信息技术有机结合。公司致力于</w:t>
      </w:r>
      <w:r>
        <w:rPr>
          <w:spacing w:val="-21"/>
        </w:rPr>
        <w:t> </w:t>
      </w:r>
      <w:r>
        <w:rPr>
          <w:spacing w:val="-21"/>
        </w:rPr>
      </w:r>
      <w:r>
        <w:rPr>
          <w:spacing w:val="-2"/>
        </w:rPr>
        <w:t>以信息化技术丰富区域、学校的管理手段及创新管理方式、提升教育质量、提高学生学习能力，不断推</w:t>
      </w:r>
      <w:r>
        <w:rPr>
          <w:spacing w:val="-21"/>
        </w:rPr>
        <w:t> </w:t>
      </w:r>
      <w:r>
        <w:rPr>
          <w:spacing w:val="-21"/>
        </w:rPr>
      </w:r>
      <w:r>
        <w:rPr>
          <w:spacing w:val="-2"/>
        </w:rPr>
        <w:t>进我国基础教育信息化建设。公司在中小学同步教育领域积累了丰富的管理和市场经验，建立了实用有</w:t>
      </w:r>
      <w:r>
        <w:rPr>
          <w:spacing w:val="-21"/>
        </w:rPr>
        <w:t> </w:t>
      </w:r>
      <w:r>
        <w:rPr>
          <w:spacing w:val="-21"/>
        </w:rPr>
      </w:r>
      <w:r>
        <w:rPr>
          <w:spacing w:val="-2"/>
        </w:rPr>
        <w:t>效的开发平台和经验，开发的产品、教学资源和贴近教学理念，目前公司已占有相当的市场份额并享有</w:t>
      </w:r>
      <w:r>
        <w:rPr>
          <w:spacing w:val="-21"/>
        </w:rPr>
        <w:t> </w:t>
      </w:r>
      <w:r>
        <w:rPr>
          <w:spacing w:val="-21"/>
        </w:rPr>
      </w:r>
      <w:r>
        <w:rPr/>
        <w:t>较高的美誉度。</w:t>
      </w:r>
    </w:p>
    <w:p>
      <w:pPr>
        <w:pStyle w:val="BodyText"/>
        <w:spacing w:line="408" w:lineRule="auto"/>
        <w:ind w:right="333" w:firstLine="420"/>
        <w:jc w:val="both"/>
      </w:pPr>
      <w:r>
        <w:rPr>
          <w:spacing w:val="-2"/>
        </w:rPr>
        <w:t>报告期内，公司立足于教育行业，紧跟行业变化，全面向互联网在线教育企业布局，公司利用在同</w:t>
      </w:r>
      <w:r>
        <w:rPr>
          <w:w w:val="100"/>
        </w:rPr>
        <w:t> </w:t>
      </w:r>
      <w:r>
        <w:rPr>
          <w:spacing w:val="-2"/>
        </w:rPr>
        <w:t>步学习、资源开发等方面的优势积累与沉淀，持续加大产品的研发投入，产品始终围绕客户需求，以客</w:t>
      </w:r>
      <w:r>
        <w:rPr>
          <w:spacing w:val="-21"/>
        </w:rPr>
        <w:t> </w:t>
      </w:r>
      <w:r>
        <w:rPr>
          <w:spacing w:val="-21"/>
        </w:rPr>
      </w:r>
      <w:r>
        <w:rPr>
          <w:spacing w:val="-2"/>
        </w:rPr>
        <w:t>户需求为出发点和归属点，逐步实现公司的产品、运营模式、服务、推广的升级。各业务具体发展情况</w:t>
      </w:r>
      <w:r>
        <w:rPr>
          <w:spacing w:val="-22"/>
        </w:rPr>
        <w:t> </w:t>
      </w:r>
      <w:r>
        <w:rPr>
          <w:spacing w:val="-22"/>
        </w:rPr>
      </w:r>
      <w:r>
        <w:rPr/>
        <w:t>详见</w:t>
      </w:r>
      <w:r>
        <w:rPr>
          <w:spacing w:val="-7"/>
        </w:rPr>
        <w:t> </w:t>
      </w:r>
      <w:r>
        <w:rPr/>
        <w:t>“第四节管理层讨论与分析”中“一、概述”及“二、主营业务分析”。</w:t>
      </w:r>
    </w:p>
    <w:p>
      <w:pPr>
        <w:pStyle w:val="Heading3"/>
        <w:spacing w:line="240" w:lineRule="auto" w:before="167"/>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3051"/>
        <w:gridCol w:w="6517"/>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922"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46" w:firstLine="360"/>
              <w:jc w:val="both"/>
              <w:rPr>
                <w:rFonts w:ascii="宋体" w:hAnsi="宋体" w:cs="宋体" w:eastAsia="宋体" w:hint="default"/>
                <w:sz w:val="18"/>
                <w:szCs w:val="18"/>
              </w:rPr>
            </w:pPr>
            <w:r>
              <w:rPr>
                <w:rFonts w:ascii="宋体" w:hAnsi="宋体" w:cs="宋体" w:eastAsia="宋体" w:hint="default"/>
                <w:spacing w:val="-3"/>
                <w:sz w:val="18"/>
                <w:szCs w:val="18"/>
              </w:rPr>
              <w:t>报告期内，公司投资深圳嘉道方直教育产业投资企业（有限合伙），认缴出资</w:t>
            </w:r>
            <w:r>
              <w:rPr>
                <w:rFonts w:ascii="宋体" w:hAnsi="宋体" w:cs="宋体" w:eastAsia="宋体" w:hint="default"/>
                <w:sz w:val="18"/>
                <w:szCs w:val="18"/>
              </w:rPr>
              <w:t>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万元，持有合伙企业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39.87%</w:t>
            </w:r>
            <w:r>
              <w:rPr>
                <w:rFonts w:ascii="宋体" w:hAnsi="宋体" w:cs="宋体" w:eastAsia="宋体" w:hint="default"/>
                <w:sz w:val="18"/>
                <w:szCs w:val="18"/>
              </w:rPr>
              <w:t>的股份。按合伙协议约定，从合伙企业成立 之日起，分四年缴足，目前已投资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月经董事会同意，以自有</w:t>
            </w:r>
          </w:p>
          <w:p>
            <w:pPr>
              <w:pStyle w:val="TableParagraph"/>
              <w:spacing w:line="300" w:lineRule="auto" w:before="5"/>
              <w:ind w:left="23" w:right="30"/>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10,146.789 </w:t>
            </w:r>
            <w:r>
              <w:rPr>
                <w:rFonts w:ascii="宋体" w:hAnsi="宋体" w:cs="宋体" w:eastAsia="宋体" w:hint="default"/>
                <w:sz w:val="18"/>
                <w:szCs w:val="18"/>
              </w:rPr>
              <w:t>万元向北京千锋互联科技有限公司进行投资，取得千锋互 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的股份。</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月，公司与千锋互联及其原股东签署了《投资协议之补 </w:t>
            </w:r>
            <w:r>
              <w:rPr>
                <w:rFonts w:ascii="宋体" w:hAnsi="宋体" w:cs="宋体" w:eastAsia="宋体" w:hint="default"/>
                <w:spacing w:val="-7"/>
                <w:sz w:val="18"/>
                <w:szCs w:val="18"/>
              </w:rPr>
              <w:t>充协议（一）》，千锋互联及其原股东合计向公司支付人民币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2,046.7890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万元退</w:t>
            </w:r>
            <w:r>
              <w:rPr>
                <w:rFonts w:ascii="宋体" w:hAnsi="宋体" w:cs="宋体" w:eastAsia="宋体" w:hint="default"/>
                <w:spacing w:val="-80"/>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月，公司与千锋互联及其原股东签署了《关于北京千锋互联科技有</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4" w:space="0" w:color="000000"/>
              <w:right w:val="single" w:sz="4" w:space="0" w:color="000000"/>
            </w:tcBorders>
          </w:tcPr>
          <w:p>
            <w:pPr/>
          </w:p>
        </w:tc>
      </w:tr>
      <w:tr>
        <w:trPr>
          <w:trHeight w:val="922"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8" w:top="1060" w:bottom="1160" w:left="980" w:right="98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342" w:type="dxa"/>
        <w:tblLayout w:type="fixed"/>
        <w:tblCellMar>
          <w:top w:w="0" w:type="dxa"/>
          <w:left w:w="0" w:type="dxa"/>
          <w:bottom w:w="0" w:type="dxa"/>
          <w:right w:w="0" w:type="dxa"/>
        </w:tblCellMar>
        <w:tblLook w:val="01E0"/>
      </w:tblPr>
      <w:tblGrid>
        <w:gridCol w:w="3051"/>
        <w:gridCol w:w="6517"/>
      </w:tblGrid>
      <w:tr>
        <w:trPr>
          <w:trHeight w:val="987"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4" w:right="90"/>
              <w:jc w:val="left"/>
              <w:rPr>
                <w:rFonts w:ascii="宋体" w:hAnsi="宋体" w:cs="宋体" w:eastAsia="宋体" w:hint="default"/>
                <w:sz w:val="18"/>
                <w:szCs w:val="18"/>
              </w:rPr>
            </w:pPr>
            <w:r>
              <w:rPr>
                <w:rFonts w:ascii="宋体" w:hAnsi="宋体" w:cs="宋体" w:eastAsia="宋体" w:hint="default"/>
                <w:spacing w:val="-3"/>
                <w:sz w:val="18"/>
                <w:szCs w:val="18"/>
              </w:rPr>
              <w:t>限公司之退股返还投资款协议》，千锋互联及其原股东同意方直科技退出所占千锋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互联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股份</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并返还全部投资款人民币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万元及约定利息。基于谨慎性原 则，未确认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年度形成的利息收益。</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公司新购办公楼交付使用，从在建工程转入固定资产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7405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公司新购办公楼交付使用，从在建工程转入固定资产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7405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tc>
      </w:tr>
    </w:tbl>
    <w:p>
      <w:pPr>
        <w:spacing w:line="240" w:lineRule="auto" w:before="10"/>
        <w:rPr>
          <w:rFonts w:ascii="Microsoft JhengHei" w:hAnsi="Microsoft JhengHei" w:cs="Microsoft JhengHei" w:eastAsia="Microsoft JhengHei" w:hint="default"/>
          <w:b/>
          <w:bCs/>
          <w:sz w:val="14"/>
          <w:szCs w:val="14"/>
        </w:rPr>
      </w:pPr>
    </w:p>
    <w:p>
      <w:pPr>
        <w:pStyle w:val="Heading5"/>
        <w:spacing w:line="335" w:lineRule="exact"/>
        <w:ind w:left="313" w:right="687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313" w:right="6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left="313" w:right="6873"/>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57" w:lineRule="auto" w:before="0"/>
        <w:ind w:left="313" w:right="687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145"/>
        <w:ind w:left="313" w:right="306" w:firstLine="396"/>
        <w:jc w:val="both"/>
      </w:pPr>
      <w:r>
        <w:rPr>
          <w:spacing w:val="-6"/>
          <w:w w:val="100"/>
        </w:rPr>
        <w:t>报告期内，公司核心竞争力没有发生重大改变，公司成立至今一直专注于中小学同步教育产品的研发、</w:t>
      </w:r>
      <w:r>
        <w:rPr>
          <w:w w:val="100"/>
        </w:rPr>
        <w:t> </w:t>
      </w:r>
      <w:r>
        <w:rPr>
          <w:spacing w:val="-2"/>
        </w:rPr>
        <w:t>设计、销售及持续服务，为广大的中小学教师与学生提供优质、同步、配套的教育软件及互联网在线全面</w:t>
      </w:r>
      <w:r>
        <w:rPr>
          <w:spacing w:val="-44"/>
        </w:rPr>
        <w:t> </w:t>
      </w:r>
      <w:r>
        <w:rPr>
          <w:spacing w:val="-44"/>
        </w:rPr>
      </w:r>
      <w:r>
        <w:rPr/>
        <w:t>系统服务。</w:t>
      </w:r>
    </w:p>
    <w:p>
      <w:pPr>
        <w:pStyle w:val="BodyText"/>
        <w:spacing w:line="408" w:lineRule="auto" w:before="147"/>
        <w:ind w:left="313" w:right="306" w:firstLine="396"/>
        <w:jc w:val="both"/>
      </w:pPr>
      <w:r>
        <w:rPr>
          <w:spacing w:val="-2"/>
        </w:rPr>
        <w:t>十几年来，公司秉承“人人分享优质教育资源”的理念，不断完善升级公司优质教育资源，强化自身</w:t>
      </w:r>
      <w:r>
        <w:rPr>
          <w:w w:val="100"/>
        </w:rPr>
        <w:t> </w:t>
      </w:r>
      <w:r>
        <w:rPr>
          <w:spacing w:val="-5"/>
        </w:rPr>
        <w:t>优质资源整体化解决方案的优势，坚持技术创新，对产品不断研发升级，建立了独具特色的资源</w:t>
      </w:r>
      <w:r>
        <w:rPr>
          <w:rFonts w:ascii="宋体" w:hAnsi="宋体" w:cs="宋体" w:eastAsia="宋体" w:hint="default"/>
          <w:spacing w:val="-5"/>
        </w:rPr>
        <w:t>MOD</w:t>
      </w:r>
      <w:r>
        <w:rPr>
          <w:spacing w:val="-5"/>
        </w:rPr>
        <w:t>平台，</w:t>
      </w:r>
      <w:r>
        <w:rPr>
          <w:spacing w:val="-6"/>
        </w:rPr>
        <w:t> </w:t>
      </w:r>
      <w:r>
        <w:rPr>
          <w:spacing w:val="-2"/>
        </w:rPr>
        <w:t>有效地实现了优质资源开发、资源共享、内外资源同生运营策略、实现了与三通两平台的国家战略相对接</w:t>
      </w:r>
      <w:r>
        <w:rPr>
          <w:spacing w:val="-44"/>
        </w:rPr>
        <w:t> </w:t>
      </w:r>
      <w:r>
        <w:rPr>
          <w:spacing w:val="-44"/>
        </w:rPr>
      </w:r>
      <w:r>
        <w:rPr>
          <w:spacing w:val="-2"/>
        </w:rPr>
        <w:t>的战略目标。公司始终坚持“关注教育需求，致力于科技创新，全心全意促进教育进步”这一使命，通过</w:t>
      </w:r>
      <w:r>
        <w:rPr>
          <w:spacing w:val="-50"/>
        </w:rPr>
        <w:t> </w:t>
      </w:r>
      <w:r>
        <w:rPr>
          <w:spacing w:val="-50"/>
        </w:rPr>
      </w:r>
      <w:r>
        <w:rPr/>
        <w:t>多年的努力奠定了同步教育服务领域的优势地位。</w:t>
      </w:r>
    </w:p>
    <w:p>
      <w:pPr>
        <w:pStyle w:val="BodyText"/>
        <w:spacing w:line="408" w:lineRule="auto" w:before="144"/>
        <w:ind w:left="313" w:right="308" w:firstLine="396"/>
        <w:jc w:val="both"/>
      </w:pPr>
      <w:r>
        <w:rPr>
          <w:spacing w:val="-2"/>
        </w:rPr>
        <w:t>截至期末，公司共拥有软件著作权</w:t>
      </w:r>
      <w:r>
        <w:rPr>
          <w:rFonts w:ascii="宋体" w:hAnsi="宋体" w:cs="宋体" w:eastAsia="宋体" w:hint="default"/>
          <w:spacing w:val="-2"/>
        </w:rPr>
        <w:t>65</w:t>
      </w:r>
      <w:r>
        <w:rPr>
          <w:spacing w:val="-2"/>
        </w:rPr>
        <w:t>项，其中公司报告期内新增软件著作权</w:t>
      </w:r>
      <w:r>
        <w:rPr>
          <w:rFonts w:ascii="宋体" w:hAnsi="宋体" w:cs="宋体" w:eastAsia="宋体" w:hint="default"/>
          <w:spacing w:val="-2"/>
        </w:rPr>
        <w:t>11</w:t>
      </w:r>
      <w:r>
        <w:rPr>
          <w:spacing w:val="-2"/>
        </w:rPr>
        <w:t>项。公司共拥有注册商</w:t>
      </w:r>
      <w:r>
        <w:rPr>
          <w:w w:val="100"/>
        </w:rPr>
        <w:t> </w:t>
      </w:r>
      <w:r>
        <w:rPr/>
        <w:t>标权</w:t>
      </w:r>
      <w:r>
        <w:rPr>
          <w:rFonts w:ascii="宋体" w:hAnsi="宋体" w:cs="宋体" w:eastAsia="宋体" w:hint="default"/>
        </w:rPr>
        <w:t>18</w:t>
      </w:r>
      <w:r>
        <w:rPr/>
        <w:t>项，其中公司报告期内新增</w:t>
      </w:r>
      <w:r>
        <w:rPr>
          <w:rFonts w:ascii="宋体" w:hAnsi="宋体" w:cs="宋体" w:eastAsia="宋体" w:hint="default"/>
        </w:rPr>
        <w:t>1</w:t>
      </w:r>
      <w:r>
        <w:rPr/>
        <w:t>项。</w:t>
      </w:r>
    </w:p>
    <w:p>
      <w:pPr>
        <w:pStyle w:val="BodyText"/>
        <w:spacing w:line="240" w:lineRule="auto" w:before="147"/>
        <w:ind w:left="709" w:right="0"/>
        <w:jc w:val="left"/>
      </w:pPr>
      <w:r>
        <w:rPr/>
        <w:t>报告期内新增</w:t>
      </w:r>
      <w:r>
        <w:rPr>
          <w:rFonts w:ascii="宋体" w:hAnsi="宋体" w:cs="宋体" w:eastAsia="宋体" w:hint="default"/>
        </w:rPr>
        <w:t>11</w:t>
      </w:r>
      <w:r>
        <w:rPr/>
        <w:t>项著作权如下：</w:t>
      </w:r>
    </w:p>
    <w:p>
      <w:pPr>
        <w:spacing w:line="240" w:lineRule="auto" w:before="5"/>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425"/>
        <w:gridCol w:w="3673"/>
        <w:gridCol w:w="1983"/>
        <w:gridCol w:w="1419"/>
        <w:gridCol w:w="994"/>
        <w:gridCol w:w="1541"/>
      </w:tblGrid>
      <w:tr>
        <w:trPr>
          <w:trHeight w:val="416"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软件名称</w:t>
            </w:r>
            <w:r>
              <w:rPr>
                <w:rFonts w:ascii="Microsoft JhengHei" w:hAnsi="Microsoft JhengHei" w:cs="Microsoft JhengHei" w:eastAsia="Microsoft JhengHei" w:hint="default"/>
                <w:sz w:val="18"/>
                <w:szCs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著作权证书号</w:t>
            </w:r>
            <w:r>
              <w:rPr>
                <w:rFonts w:ascii="Microsoft JhengHei" w:hAnsi="Microsoft JhengHei" w:cs="Microsoft JhengHei" w:eastAsia="Microsoft JhengHei"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著作登记号</w:t>
            </w:r>
            <w:r>
              <w:rPr>
                <w:rFonts w:ascii="Microsoft JhengHei" w:hAnsi="Microsoft JhengHei" w:cs="Microsoft JhengHei" w:eastAsia="Microsoft JhengHei"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取得方式</w:t>
            </w:r>
            <w:r>
              <w:rPr>
                <w:rFonts w:ascii="Microsoft JhengHei" w:hAnsi="Microsoft JhengHei" w:cs="Microsoft JhengHei" w:eastAsia="Microsoft JhengHei" w:hint="default"/>
                <w:sz w:val="18"/>
                <w:szCs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著作权登记日</w:t>
            </w:r>
            <w:r>
              <w:rPr>
                <w:rFonts w:ascii="Microsoft JhengHei" w:hAnsi="Microsoft JhengHei" w:cs="Microsoft JhengHei" w:eastAsia="Microsoft JhengHei" w:hint="default"/>
                <w:sz w:val="18"/>
                <w:szCs w:val="18"/>
              </w:rPr>
            </w:r>
          </w:p>
        </w:tc>
      </w:tr>
      <w:tr>
        <w:trPr>
          <w:trHeight w:val="343"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1</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方直金太阳同步学牛津深圳版</w:t>
            </w:r>
            <w:r>
              <w:rPr>
                <w:rFonts w:ascii="宋体" w:hAnsi="宋体" w:cs="宋体" w:eastAsia="宋体" w:hint="default"/>
                <w:sz w:val="18"/>
                <w:szCs w:val="18"/>
              </w:rPr>
              <w:t>APP</w:t>
            </w:r>
            <w:r>
              <w:rPr>
                <w:rFonts w:ascii="宋体" w:hAnsi="宋体" w:cs="宋体" w:eastAsia="宋体" w:hint="default"/>
                <w:sz w:val="18"/>
                <w:szCs w:val="18"/>
              </w:rPr>
              <w:t>软件</w:t>
            </w:r>
            <w:r>
              <w:rPr>
                <w:rFonts w:ascii="宋体" w:hAnsi="宋体" w:cs="宋体" w:eastAsia="宋体" w:hint="default"/>
                <w:sz w:val="18"/>
                <w:szCs w:val="18"/>
              </w:rPr>
              <w:t>V1.4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1634329</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2017SR049045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1"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方直金太阳同步学牛津上海版</w:t>
            </w:r>
            <w:r>
              <w:rPr>
                <w:rFonts w:ascii="宋体" w:hAnsi="宋体" w:cs="宋体" w:eastAsia="宋体" w:hint="default"/>
                <w:sz w:val="18"/>
                <w:szCs w:val="18"/>
              </w:rPr>
              <w:t>APP</w:t>
            </w:r>
            <w:r>
              <w:rPr>
                <w:rFonts w:ascii="宋体" w:hAnsi="宋体" w:cs="宋体" w:eastAsia="宋体" w:hint="default"/>
                <w:sz w:val="18"/>
                <w:szCs w:val="18"/>
              </w:rPr>
              <w:t>软件</w:t>
            </w:r>
            <w:r>
              <w:rPr>
                <w:rFonts w:ascii="宋体" w:hAnsi="宋体" w:cs="宋体" w:eastAsia="宋体" w:hint="default"/>
                <w:sz w:val="18"/>
                <w:szCs w:val="18"/>
              </w:rPr>
              <w:t>V1.4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1634323</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2017SR049039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3"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3</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方直金太阳同步学牛津广州版</w:t>
            </w:r>
            <w:r>
              <w:rPr>
                <w:rFonts w:ascii="宋体" w:hAnsi="宋体" w:cs="宋体" w:eastAsia="宋体" w:hint="default"/>
                <w:sz w:val="18"/>
                <w:szCs w:val="18"/>
              </w:rPr>
              <w:t>APP</w:t>
            </w:r>
            <w:r>
              <w:rPr>
                <w:rFonts w:ascii="宋体" w:hAnsi="宋体" w:cs="宋体" w:eastAsia="宋体" w:hint="default"/>
                <w:sz w:val="18"/>
                <w:szCs w:val="18"/>
              </w:rPr>
              <w:t>软件</w:t>
            </w:r>
            <w:r>
              <w:rPr>
                <w:rFonts w:ascii="宋体" w:hAnsi="宋体" w:cs="宋体" w:eastAsia="宋体" w:hint="default"/>
                <w:sz w:val="18"/>
                <w:szCs w:val="18"/>
              </w:rPr>
              <w:t>V1.4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1634320</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2017SR049036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1"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4</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方直金太阳同步学牛津北京版</w:t>
            </w:r>
            <w:r>
              <w:rPr>
                <w:rFonts w:ascii="宋体" w:hAnsi="宋体" w:cs="宋体" w:eastAsia="宋体" w:hint="default"/>
                <w:sz w:val="18"/>
                <w:szCs w:val="18"/>
              </w:rPr>
              <w:t>APP</w:t>
            </w:r>
            <w:r>
              <w:rPr>
                <w:rFonts w:ascii="宋体" w:hAnsi="宋体" w:cs="宋体" w:eastAsia="宋体" w:hint="default"/>
                <w:sz w:val="18"/>
                <w:szCs w:val="18"/>
              </w:rPr>
              <w:t>软件</w:t>
            </w:r>
            <w:r>
              <w:rPr>
                <w:rFonts w:ascii="宋体" w:hAnsi="宋体" w:cs="宋体" w:eastAsia="宋体" w:hint="default"/>
                <w:sz w:val="18"/>
                <w:szCs w:val="18"/>
              </w:rPr>
              <w:t>V1.4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1634310</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2017SR049026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3"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5</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方直金太阳自然拼读</w:t>
            </w:r>
            <w:r>
              <w:rPr>
                <w:rFonts w:ascii="宋体" w:hAnsi="宋体" w:cs="宋体" w:eastAsia="宋体" w:hint="default"/>
                <w:sz w:val="18"/>
                <w:szCs w:val="18"/>
              </w:rPr>
              <w:t>APP</w:t>
            </w:r>
            <w:r>
              <w:rPr>
                <w:rFonts w:ascii="宋体" w:hAnsi="宋体" w:cs="宋体" w:eastAsia="宋体" w:hint="default"/>
                <w:sz w:val="18"/>
                <w:szCs w:val="18"/>
              </w:rPr>
              <w:t>软件</w:t>
            </w:r>
            <w:r>
              <w:rPr>
                <w:rFonts w:ascii="宋体" w:hAnsi="宋体" w:cs="宋体" w:eastAsia="宋体" w:hint="default"/>
                <w:sz w:val="18"/>
                <w:szCs w:val="18"/>
              </w:rPr>
              <w:t>V1.4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1634317</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2017SR049033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1"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6</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方直金太阳点读宝</w:t>
            </w:r>
            <w:r>
              <w:rPr>
                <w:rFonts w:ascii="宋体" w:hAnsi="宋体" w:cs="宋体" w:eastAsia="宋体" w:hint="default"/>
                <w:sz w:val="18"/>
                <w:szCs w:val="18"/>
              </w:rPr>
              <w:t>APP</w:t>
            </w:r>
            <w:r>
              <w:rPr>
                <w:rFonts w:ascii="宋体" w:hAnsi="宋体" w:cs="宋体" w:eastAsia="宋体" w:hint="default"/>
                <w:sz w:val="18"/>
                <w:szCs w:val="18"/>
              </w:rPr>
              <w:t>软件</w:t>
            </w:r>
            <w:r>
              <w:rPr>
                <w:rFonts w:ascii="宋体" w:hAnsi="宋体" w:cs="宋体" w:eastAsia="宋体" w:hint="default"/>
                <w:sz w:val="18"/>
                <w:szCs w:val="18"/>
              </w:rPr>
              <w:t>V1.0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1653626</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2017SR068342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06</w:t>
            </w:r>
            <w:r>
              <w:rPr>
                <w:rFonts w:ascii="宋体" w:hAnsi="宋体" w:cs="宋体" w:eastAsia="宋体" w:hint="default"/>
                <w:sz w:val="18"/>
                <w:szCs w:val="18"/>
              </w:rPr>
              <w:t>日</w:t>
            </w:r>
          </w:p>
        </w:tc>
      </w:tr>
      <w:tr>
        <w:trPr>
          <w:trHeight w:val="343"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7</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方直金太阳同步学牛津全国版</w:t>
            </w:r>
            <w:r>
              <w:rPr>
                <w:rFonts w:ascii="宋体" w:hAnsi="宋体" w:cs="宋体" w:eastAsia="宋体" w:hint="default"/>
                <w:sz w:val="18"/>
                <w:szCs w:val="18"/>
              </w:rPr>
              <w:t>APP</w:t>
            </w:r>
            <w:r>
              <w:rPr>
                <w:rFonts w:ascii="宋体" w:hAnsi="宋体" w:cs="宋体" w:eastAsia="宋体" w:hint="default"/>
                <w:sz w:val="18"/>
                <w:szCs w:val="18"/>
              </w:rPr>
              <w:t>软件</w:t>
            </w:r>
            <w:r>
              <w:rPr>
                <w:rFonts w:ascii="宋体" w:hAnsi="宋体" w:cs="宋体" w:eastAsia="宋体" w:hint="default"/>
                <w:sz w:val="18"/>
                <w:szCs w:val="18"/>
              </w:rPr>
              <w:t>V1.4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1653633</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2017SR068349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06</w:t>
            </w:r>
            <w:r>
              <w:rPr>
                <w:rFonts w:ascii="宋体" w:hAnsi="宋体" w:cs="宋体" w:eastAsia="宋体" w:hint="default"/>
                <w:sz w:val="18"/>
                <w:szCs w:val="18"/>
              </w:rPr>
              <w:t>日</w:t>
            </w:r>
          </w:p>
        </w:tc>
      </w:tr>
      <w:tr>
        <w:trPr>
          <w:trHeight w:val="341"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8</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方直同步学广东版</w:t>
            </w:r>
            <w:r>
              <w:rPr>
                <w:rFonts w:ascii="宋体" w:hAnsi="宋体" w:cs="宋体" w:eastAsia="宋体" w:hint="default"/>
                <w:sz w:val="18"/>
                <w:szCs w:val="18"/>
              </w:rPr>
              <w:t>APP</w:t>
            </w:r>
            <w:r>
              <w:rPr>
                <w:rFonts w:ascii="宋体" w:hAnsi="宋体" w:cs="宋体" w:eastAsia="宋体" w:hint="default"/>
                <w:sz w:val="18"/>
                <w:szCs w:val="18"/>
              </w:rPr>
              <w:t>软件</w:t>
            </w:r>
            <w:r>
              <w:rPr>
                <w:rFonts w:ascii="宋体" w:hAnsi="宋体" w:cs="宋体" w:eastAsia="宋体" w:hint="default"/>
                <w:sz w:val="18"/>
                <w:szCs w:val="18"/>
              </w:rPr>
              <w:t>V1.0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1828021</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2017SR242737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07</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footerReference w:type="default" r:id="rId16"/>
          <w:pgSz w:w="11910" w:h="16840"/>
          <w:pgMar w:footer="979" w:header="748" w:top="1060" w:bottom="1160" w:left="820" w:right="820"/>
          <w:pgNumType w:start="2"/>
        </w:sectPr>
      </w:pPr>
    </w:p>
    <w:p>
      <w:pPr>
        <w:spacing w:line="240" w:lineRule="auto" w:before="4"/>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425"/>
        <w:gridCol w:w="3673"/>
        <w:gridCol w:w="1983"/>
        <w:gridCol w:w="1419"/>
        <w:gridCol w:w="994"/>
        <w:gridCol w:w="1541"/>
      </w:tblGrid>
      <w:tr>
        <w:trPr>
          <w:trHeight w:val="341"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9</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方直智慧教学系统</w:t>
            </w:r>
            <w:r>
              <w:rPr>
                <w:rFonts w:ascii="宋体" w:hAnsi="宋体" w:cs="宋体" w:eastAsia="宋体" w:hint="default"/>
                <w:sz w:val="18"/>
                <w:szCs w:val="18"/>
              </w:rPr>
              <w:t>V1.0</w:t>
            </w:r>
            <w:r>
              <w:rPr>
                <w:rFonts w:ascii="宋体" w:hAnsi="宋体" w:cs="宋体" w:eastAsia="宋体" w:hint="default"/>
                <w:sz w:val="18"/>
                <w:szCs w:val="18"/>
              </w:rPr>
              <w:t>（简称：方直智慧教学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12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6"/>
                <w:sz w:val="18"/>
                <w:szCs w:val="18"/>
              </w:rPr>
              <w:t> </w:t>
            </w:r>
            <w:r>
              <w:rPr>
                <w:rFonts w:ascii="宋体" w:hAnsi="宋体" w:cs="宋体" w:eastAsia="宋体" w:hint="default"/>
                <w:sz w:val="18"/>
                <w:szCs w:val="18"/>
              </w:rPr>
              <w:t>软著登字第</w:t>
            </w:r>
            <w:r>
              <w:rPr>
                <w:rFonts w:ascii="宋体" w:hAnsi="宋体" w:cs="宋体" w:eastAsia="宋体" w:hint="default"/>
                <w:sz w:val="18"/>
                <w:szCs w:val="18"/>
              </w:rPr>
              <w:t>1828016</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2017SR242732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07</w:t>
            </w:r>
            <w:r>
              <w:rPr>
                <w:rFonts w:ascii="宋体" w:hAnsi="宋体" w:cs="宋体" w:eastAsia="宋体" w:hint="default"/>
                <w:sz w:val="18"/>
                <w:szCs w:val="18"/>
              </w:rPr>
              <w:t>日</w:t>
            </w:r>
          </w:p>
        </w:tc>
      </w:tr>
      <w:tr>
        <w:trPr>
          <w:trHeight w:val="655"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sz w:val="18"/>
              </w:rPr>
              <w:t>10</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2"/>
              <w:jc w:val="left"/>
              <w:rPr>
                <w:rFonts w:ascii="宋体" w:hAnsi="宋体" w:cs="宋体" w:eastAsia="宋体" w:hint="default"/>
                <w:sz w:val="18"/>
                <w:szCs w:val="18"/>
              </w:rPr>
            </w:pPr>
            <w:r>
              <w:rPr>
                <w:rFonts w:ascii="宋体" w:hAnsi="宋体" w:cs="宋体" w:eastAsia="宋体" w:hint="default"/>
                <w:spacing w:val="-6"/>
                <w:sz w:val="18"/>
                <w:szCs w:val="18"/>
              </w:rPr>
              <w:t>方直金太阳资源盒子系统</w:t>
            </w:r>
            <w:r>
              <w:rPr>
                <w:rFonts w:ascii="宋体" w:hAnsi="宋体" w:cs="宋体" w:eastAsia="宋体" w:hint="default"/>
                <w:spacing w:val="-6"/>
                <w:sz w:val="18"/>
                <w:szCs w:val="18"/>
              </w:rPr>
              <w:t>V1.0</w:t>
            </w:r>
            <w:r>
              <w:rPr>
                <w:rFonts w:ascii="宋体" w:hAnsi="宋体" w:cs="宋体" w:eastAsia="宋体" w:hint="default"/>
                <w:spacing w:val="-6"/>
                <w:sz w:val="18"/>
                <w:szCs w:val="18"/>
              </w:rPr>
              <w:t>（简称：金太阳盒</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子）</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1837510</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2017SR252226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09</w:t>
            </w:r>
            <w:r>
              <w:rPr>
                <w:rFonts w:ascii="宋体" w:hAnsi="宋体" w:cs="宋体" w:eastAsia="宋体" w:hint="default"/>
                <w:sz w:val="18"/>
                <w:szCs w:val="18"/>
              </w:rPr>
              <w:t>日</w:t>
            </w:r>
          </w:p>
        </w:tc>
      </w:tr>
      <w:tr>
        <w:trPr>
          <w:trHeight w:val="343"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11</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方直备课系统平台（简称：备课系统）</w:t>
            </w:r>
            <w:r>
              <w:rPr>
                <w:rFonts w:ascii="宋体" w:hAnsi="宋体" w:cs="宋体" w:eastAsia="宋体" w:hint="default"/>
                <w:sz w:val="18"/>
                <w:szCs w:val="18"/>
              </w:rPr>
              <w:t>V1.0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7"/>
              <w:jc w:val="righ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2168312</w:t>
            </w:r>
            <w:r>
              <w:rPr>
                <w:rFonts w:ascii="宋体" w:hAnsi="宋体" w:cs="宋体" w:eastAsia="宋体" w:hint="default"/>
                <w:sz w:val="18"/>
                <w:szCs w:val="18"/>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2017SR583028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r>
    </w:tbl>
    <w:p>
      <w:pPr>
        <w:pStyle w:val="BodyText"/>
        <w:spacing w:line="240" w:lineRule="auto" w:before="88"/>
        <w:ind w:left="733" w:right="0"/>
        <w:jc w:val="left"/>
      </w:pPr>
      <w:r>
        <w:rPr/>
        <w:t>报告期内新增</w:t>
      </w:r>
      <w:r>
        <w:rPr>
          <w:rFonts w:ascii="Times New Roman" w:hAnsi="Times New Roman" w:cs="Times New Roman" w:eastAsia="Times New Roman" w:hint="default"/>
        </w:rPr>
        <w:t>1</w:t>
      </w:r>
      <w:r>
        <w:rPr/>
        <w:t>项注册商标权如下：</w:t>
      </w:r>
    </w:p>
    <w:p>
      <w:pPr>
        <w:spacing w:line="240" w:lineRule="auto" w:before="1"/>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569"/>
        <w:gridCol w:w="1133"/>
        <w:gridCol w:w="1136"/>
        <w:gridCol w:w="708"/>
        <w:gridCol w:w="1114"/>
        <w:gridCol w:w="5387"/>
      </w:tblGrid>
      <w:tr>
        <w:trPr>
          <w:trHeight w:val="660"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证书号</w:t>
            </w:r>
            <w:r>
              <w:rPr>
                <w:rFonts w:ascii="Microsoft JhengHei" w:hAnsi="Microsoft JhengHei" w:cs="Microsoft JhengHei" w:eastAsia="Microsoft JhengHei" w:hint="default"/>
                <w:sz w:val="18"/>
                <w:szCs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商标图形</w:t>
            </w:r>
            <w:r>
              <w:rPr>
                <w:rFonts w:ascii="Microsoft JhengHei" w:hAnsi="Microsoft JhengHei" w:cs="Microsoft JhengHei" w:eastAsia="Microsoft JhengHei"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申请</w:t>
            </w:r>
            <w:r>
              <w:rPr>
                <w:rFonts w:ascii="Microsoft JhengHei" w:hAnsi="Microsoft JhengHei" w:cs="Microsoft JhengHei" w:eastAsia="Microsoft JhengHei" w:hint="default"/>
                <w:sz w:val="18"/>
                <w:szCs w:val="18"/>
              </w:rPr>
            </w:r>
          </w:p>
          <w:p>
            <w:pPr>
              <w:pStyle w:val="TableParagraph"/>
              <w:spacing w:line="313" w:lineRule="exact"/>
              <w:ind w:left="1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有效期</w:t>
            </w:r>
            <w:r>
              <w:rPr>
                <w:rFonts w:ascii="Microsoft JhengHei" w:hAnsi="Microsoft JhengHei" w:cs="Microsoft JhengHei" w:eastAsia="Microsoft JhengHei" w:hint="default"/>
                <w:sz w:val="18"/>
                <w:szCs w:val="18"/>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种类适用范围</w:t>
            </w:r>
            <w:r>
              <w:rPr>
                <w:rFonts w:ascii="Microsoft JhengHei" w:hAnsi="Microsoft JhengHei" w:cs="Microsoft JhengHei" w:eastAsia="Microsoft JhengHei" w:hint="default"/>
                <w:sz w:val="18"/>
                <w:szCs w:val="18"/>
              </w:rPr>
            </w:r>
          </w:p>
        </w:tc>
      </w:tr>
      <w:tr>
        <w:trPr>
          <w:trHeight w:val="1282"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19066485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方直</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sz w:val="18"/>
              </w:rPr>
              <w:t>42</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2027.03.13</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47"/>
              <w:jc w:val="left"/>
              <w:rPr>
                <w:rFonts w:ascii="宋体" w:hAnsi="宋体" w:cs="宋体" w:eastAsia="宋体" w:hint="default"/>
                <w:sz w:val="18"/>
                <w:szCs w:val="18"/>
              </w:rPr>
            </w:pPr>
            <w:r>
              <w:rPr>
                <w:rFonts w:ascii="宋体" w:hAnsi="宋体" w:cs="宋体" w:eastAsia="宋体" w:hint="default"/>
                <w:sz w:val="18"/>
                <w:szCs w:val="18"/>
              </w:rPr>
              <w:t>计算机软件设计；计算机软件更新；把有形的数据或文件转换成电 子媒体；计算机软件安装；提供互联网搜索引擎；计算机软件咨 询；软件运营服务【</w:t>
            </w:r>
            <w:r>
              <w:rPr>
                <w:rFonts w:ascii="宋体" w:hAnsi="宋体" w:cs="宋体" w:eastAsia="宋体" w:hint="default"/>
                <w:sz w:val="18"/>
                <w:szCs w:val="18"/>
              </w:rPr>
              <w:t>SAAS</w:t>
            </w:r>
            <w:r>
              <w:rPr>
                <w:rFonts w:ascii="宋体" w:hAnsi="宋体" w:cs="宋体" w:eastAsia="宋体" w:hint="default"/>
                <w:sz w:val="18"/>
                <w:szCs w:val="18"/>
              </w:rPr>
              <w:t>】；云计算；文档数字化（扫描）；计算 机硬件设计和开发咨询（截止）</w:t>
            </w:r>
          </w:p>
        </w:tc>
      </w:tr>
    </w:tbl>
    <w:p>
      <w:pPr>
        <w:spacing w:line="240" w:lineRule="auto" w:before="0"/>
        <w:rPr>
          <w:rFonts w:ascii="宋体" w:hAnsi="宋体" w:cs="宋体" w:eastAsia="宋体" w:hint="default"/>
          <w:sz w:val="10"/>
          <w:szCs w:val="10"/>
        </w:rPr>
      </w:pPr>
    </w:p>
    <w:p>
      <w:pPr>
        <w:pStyle w:val="BodyText"/>
        <w:spacing w:line="408" w:lineRule="auto" w:before="36"/>
        <w:ind w:left="313" w:right="0" w:firstLine="396"/>
        <w:jc w:val="left"/>
      </w:pPr>
      <w:r>
        <w:rPr>
          <w:spacing w:val="-2"/>
        </w:rPr>
        <w:t>报告期内，公司财务总监孙晓玲女士休假期间因遭遇意外不幸去世，公司董事会对孙晓玲女士在任职</w:t>
      </w:r>
      <w:r>
        <w:rPr>
          <w:w w:val="100"/>
        </w:rPr>
        <w:t> </w:t>
      </w:r>
      <w:r>
        <w:rPr/>
        <w:t>期间为公司所做的努力和贡献深表感谢，孙晓玲女士离任后由公司总经理暂行财务负责人职责，该事项</w:t>
      </w:r>
      <w:r>
        <w:rPr>
          <w:w w:val="100"/>
        </w:rPr>
        <w:t> </w:t>
      </w:r>
      <w:r>
        <w:rPr/>
        <w:t>不会对公司核心竞争力造成影响。</w:t>
      </w:r>
    </w:p>
    <w:p>
      <w:pPr>
        <w:pStyle w:val="BodyText"/>
        <w:spacing w:line="408" w:lineRule="auto" w:before="147"/>
        <w:ind w:left="313" w:right="0" w:firstLine="396"/>
        <w:jc w:val="left"/>
      </w:pPr>
      <w:r>
        <w:rPr>
          <w:spacing w:val="-2"/>
        </w:rPr>
        <w:t>报告期内，公司通过外部招聘和内部培养，拥有了一批具有丰富经验的专业技术人才，对行业的发展</w:t>
      </w:r>
      <w:r>
        <w:rPr>
          <w:w w:val="100"/>
        </w:rPr>
        <w:t> </w:t>
      </w:r>
      <w:r>
        <w:rPr/>
        <w:t>趋势、产品的技术发展方向、市场需求的变化具有深刻的认识，进一步提升公司竞争力，加快公司互联</w:t>
      </w:r>
      <w:r>
        <w:rPr>
          <w:w w:val="100"/>
        </w:rPr>
        <w:t> </w:t>
      </w:r>
      <w:r>
        <w:rPr/>
        <w:t>网转型步伐。</w:t>
      </w:r>
    </w:p>
    <w:p>
      <w:pPr>
        <w:pStyle w:val="BodyText"/>
        <w:spacing w:line="408" w:lineRule="auto" w:before="144"/>
        <w:ind w:left="313" w:right="0" w:firstLine="396"/>
        <w:jc w:val="left"/>
      </w:pPr>
      <w:r>
        <w:rPr>
          <w:spacing w:val="-2"/>
        </w:rPr>
        <w:t>报告期内，公司成立了方直课程教学研究院，与国内多名教育领域知名专家建立了战略合作关系，并</w:t>
      </w:r>
      <w:r>
        <w:rPr>
          <w:w w:val="100"/>
        </w:rPr>
        <w:t> </w:t>
      </w:r>
      <w:r>
        <w:rPr/>
        <w:t>开展了多个专家合作项目，有机整合专家名师资源，通过教研会、座谈会、咨询会、公司内部培训等形</w:t>
      </w:r>
      <w:r>
        <w:rPr>
          <w:w w:val="100"/>
        </w:rPr>
        <w:t> </w:t>
      </w:r>
      <w:r>
        <w:rPr/>
        <w:t>式提升公司对整个行业的知识动态实现整体把控，不断打磨自身产品，实现产品优化升级。突出学科整</w:t>
      </w:r>
      <w:r>
        <w:rPr>
          <w:w w:val="100"/>
        </w:rPr>
        <w:t> </w:t>
      </w:r>
      <w:r>
        <w:rPr/>
        <w:t>合，提炼优质专家名师自有的教学主张、教学特色以及研究行为，形成优质课程体系。借助专家名师在</w:t>
      </w:r>
      <w:r>
        <w:rPr>
          <w:w w:val="100"/>
        </w:rPr>
        <w:t> </w:t>
      </w:r>
      <w:r>
        <w:rPr/>
        <w:t>业内的影响力，通过联合运营的模式打造方直名师优课平台，充分发挥专家名师的示范引领作用。基于</w:t>
      </w:r>
      <w:r>
        <w:rPr>
          <w:w w:val="100"/>
        </w:rPr>
        <w:t> </w:t>
      </w:r>
      <w:r>
        <w:rPr/>
        <w:t>同步配套基础上打造具有方直特色的完整的专家名师课程体系。</w:t>
      </w:r>
    </w:p>
    <w:p>
      <w:pPr>
        <w:pStyle w:val="BodyText"/>
        <w:spacing w:line="386" w:lineRule="auto" w:before="147"/>
        <w:ind w:left="313" w:right="0" w:firstLine="396"/>
        <w:jc w:val="left"/>
      </w:pPr>
      <w:r>
        <w:rPr>
          <w:spacing w:val="-2"/>
        </w:rPr>
        <w:t>报告期内，方直课程教学研究院成功完成了首个十三五教育科学规划重点课题</w:t>
      </w:r>
      <w:r>
        <w:rPr>
          <w:rFonts w:ascii="Times New Roman" w:hAnsi="Times New Roman" w:cs="Times New Roman" w:eastAsia="Times New Roman" w:hint="default"/>
          <w:spacing w:val="-2"/>
        </w:rPr>
        <w:t>“</w:t>
      </w:r>
      <w:r>
        <w:rPr>
          <w:spacing w:val="-2"/>
        </w:rPr>
        <w:t>中小学英语学习综合</w:t>
      </w:r>
      <w:r>
        <w:rPr>
          <w:w w:val="100"/>
        </w:rPr>
        <w:t> </w:t>
      </w:r>
      <w:r>
        <w:rPr/>
        <w:t>素质评价</w:t>
      </w:r>
      <w:r>
        <w:rPr>
          <w:rFonts w:ascii="Times New Roman" w:hAnsi="Times New Roman" w:cs="Times New Roman" w:eastAsia="Times New Roman" w:hint="default"/>
        </w:rPr>
        <w:t>”</w:t>
      </w:r>
      <w:r>
        <w:rPr/>
        <w:t>课题申报工作及中央电教馆国家级课题</w:t>
      </w:r>
      <w:r>
        <w:rPr>
          <w:rFonts w:ascii="Times New Roman" w:hAnsi="Times New Roman" w:cs="Times New Roman" w:eastAsia="Times New Roman" w:hint="default"/>
        </w:rPr>
        <w:t>“</w:t>
      </w:r>
      <w:r>
        <w:rPr/>
        <w:t>智慧教学环境中大数据支持下的个性化教与学实践研</w:t>
      </w:r>
      <w:r>
        <w:rPr>
          <w:w w:val="100"/>
        </w:rPr>
        <w:t> </w:t>
      </w:r>
      <w:r>
        <w:rPr>
          <w:spacing w:val="-2"/>
        </w:rPr>
        <w:t>究</w:t>
      </w:r>
      <w:r>
        <w:rPr>
          <w:rFonts w:ascii="Times New Roman" w:hAnsi="Times New Roman" w:cs="Times New Roman" w:eastAsia="Times New Roman" w:hint="default"/>
          <w:spacing w:val="-2"/>
        </w:rPr>
        <w:t>”</w:t>
      </w:r>
      <w:r>
        <w:rPr>
          <w:spacing w:val="-2"/>
        </w:rPr>
        <w:t>申报工作，基于大数据分析下的国家级课题研究与实施，面向全国征集子课题及其实验学校，打造方</w:t>
      </w:r>
      <w:r>
        <w:rPr>
          <w:spacing w:val="-23"/>
        </w:rPr>
        <w:t> </w:t>
      </w:r>
      <w:r>
        <w:rPr>
          <w:spacing w:val="-23"/>
        </w:rPr>
      </w:r>
      <w:r>
        <w:rPr/>
        <w:t>直品牌课题，提升公司行业地位及竞争力。</w:t>
      </w:r>
    </w:p>
    <w:p>
      <w:pPr>
        <w:spacing w:after="0" w:line="386" w:lineRule="auto"/>
        <w:jc w:val="left"/>
        <w:sectPr>
          <w:pgSz w:w="11910" w:h="16840"/>
          <w:pgMar w:header="748" w:footer="979" w:top="1060" w:bottom="1160" w:left="82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456" w:lineRule="exact"/>
        <w:ind w:left="2964" w:right="0"/>
        <w:jc w:val="left"/>
        <w:rPr>
          <w:b w:val="0"/>
          <w:bCs w:val="0"/>
        </w:rPr>
      </w:pPr>
      <w:bookmarkStart w:name="_bookmark2" w:id="3"/>
      <w:bookmarkEnd w:id="3"/>
      <w:r>
        <w:rPr>
          <w:b w:val="0"/>
          <w:bCs w:val="0"/>
        </w:rPr>
      </w:r>
      <w:r>
        <w:rPr/>
        <w:t>第四节 </w:t>
      </w:r>
      <w:r>
        <w:rPr>
          <w:spacing w:val="11"/>
        </w:rPr>
        <w:t> </w:t>
      </w:r>
      <w:r>
        <w:rPr/>
        <w:t>经营情况讨论与分析</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一、概述</w:t>
      </w:r>
      <w:r>
        <w:rPr>
          <w:b w:val="0"/>
          <w:bCs w:val="0"/>
        </w:rPr>
      </w:r>
    </w:p>
    <w:p>
      <w:pPr>
        <w:spacing w:line="240" w:lineRule="auto" w:before="13"/>
        <w:rPr>
          <w:rFonts w:ascii="Microsoft JhengHei" w:hAnsi="Microsoft JhengHei" w:cs="Microsoft JhengHei" w:eastAsia="Microsoft JhengHei" w:hint="default"/>
          <w:b/>
          <w:bCs/>
          <w:sz w:val="17"/>
          <w:szCs w:val="17"/>
        </w:rPr>
      </w:pPr>
    </w:p>
    <w:p>
      <w:pPr>
        <w:pStyle w:val="Heading5"/>
        <w:spacing w:line="240" w:lineRule="auto"/>
        <w:ind w:right="0"/>
        <w:jc w:val="left"/>
        <w:rPr>
          <w:b w:val="0"/>
          <w:bCs w:val="0"/>
        </w:rPr>
      </w:pPr>
      <w:r>
        <w:rPr>
          <w:rFonts w:ascii="Arial" w:hAnsi="Arial" w:cs="Arial" w:eastAsia="Arial" w:hint="default"/>
        </w:rPr>
        <w:t>1</w:t>
      </w:r>
      <w:r>
        <w:rPr/>
        <w:t>、公司总体经营情况回顾</w:t>
      </w:r>
      <w:r>
        <w:rPr>
          <w:b w:val="0"/>
          <w:bCs w:val="0"/>
        </w:rPr>
      </w:r>
    </w:p>
    <w:p>
      <w:pPr>
        <w:spacing w:line="240" w:lineRule="auto" w:before="7"/>
        <w:rPr>
          <w:rFonts w:ascii="Microsoft JhengHei" w:hAnsi="Microsoft JhengHei" w:cs="Microsoft JhengHei" w:eastAsia="Microsoft JhengHei" w:hint="default"/>
          <w:b/>
          <w:bCs/>
          <w:sz w:val="15"/>
          <w:szCs w:val="15"/>
        </w:rPr>
      </w:pPr>
    </w:p>
    <w:p>
      <w:pPr>
        <w:pStyle w:val="BodyText"/>
        <w:spacing w:line="408" w:lineRule="auto" w:before="0"/>
        <w:ind w:right="333" w:firstLine="420"/>
        <w:jc w:val="both"/>
      </w:pPr>
      <w:r>
        <w:rPr>
          <w:rFonts w:ascii="宋体" w:hAnsi="宋体" w:cs="宋体" w:eastAsia="宋体" w:hint="default"/>
        </w:rPr>
        <w:t>2017</w:t>
      </w:r>
      <w:r>
        <w:rPr/>
        <w:t>年是方直科技在互联网转型发展的新阶段。随着互联网教育行业转入平稳的发展</w:t>
      </w:r>
      <w:r>
        <w:rPr>
          <w:rFonts w:ascii="宋体" w:hAnsi="宋体" w:cs="宋体" w:eastAsia="宋体" w:hint="default"/>
        </w:rPr>
        <w:t>,</w:t>
      </w:r>
      <w:r>
        <w:rPr>
          <w:rFonts w:ascii="宋体" w:hAnsi="宋体" w:cs="宋体" w:eastAsia="宋体" w:hint="default"/>
          <w:spacing w:val="-5"/>
        </w:rPr>
        <w:t> </w:t>
      </w:r>
      <w:r>
        <w:rPr/>
        <w:t>传统桌面互</w:t>
      </w:r>
      <w:r>
        <w:rPr>
          <w:w w:val="100"/>
        </w:rPr>
        <w:t> </w:t>
      </w:r>
      <w:r>
        <w:rPr>
          <w:spacing w:val="-2"/>
        </w:rPr>
        <w:t>联网应用服务已向移动互联网全面迁移，移动互联网应用服务已渐成为主角。而中小学互联网教育因为</w:t>
      </w:r>
      <w:r>
        <w:rPr>
          <w:spacing w:val="-21"/>
        </w:rPr>
        <w:t> </w:t>
      </w:r>
      <w:r>
        <w:rPr>
          <w:spacing w:val="-21"/>
        </w:rPr>
      </w:r>
      <w:r>
        <w:rPr/>
        <w:t>其受众群体的特殊性，因此在产品与服务的需求更为多样性。</w:t>
      </w:r>
    </w:p>
    <w:p>
      <w:pPr>
        <w:pStyle w:val="BodyText"/>
        <w:spacing w:line="408" w:lineRule="auto"/>
        <w:ind w:right="0" w:firstLine="420"/>
        <w:jc w:val="left"/>
      </w:pPr>
      <w:r>
        <w:rPr/>
        <w:t>方直科技始终秉承“人人分享优质教育”的使命</w:t>
      </w:r>
      <w:r>
        <w:rPr>
          <w:rFonts w:ascii="宋体" w:hAnsi="宋体" w:cs="宋体" w:eastAsia="宋体" w:hint="default"/>
        </w:rPr>
        <w:t>,</w:t>
      </w:r>
      <w:r>
        <w:rPr>
          <w:rFonts w:ascii="宋体" w:hAnsi="宋体" w:cs="宋体" w:eastAsia="宋体" w:hint="default"/>
          <w:spacing w:val="-3"/>
        </w:rPr>
        <w:t> </w:t>
      </w:r>
      <w:r>
        <w:rPr/>
        <w:t>坚持用科技创新推动教育均衡发展，为中小学</w:t>
      </w:r>
      <w:r>
        <w:rPr>
          <w:w w:val="100"/>
        </w:rPr>
        <w:t> </w:t>
      </w:r>
      <w:r>
        <w:rPr>
          <w:spacing w:val="-2"/>
        </w:rPr>
        <w:t>校、教师、学生提供与多种主流教材配套的教育资源，并按照与教学进度同步的方式提供服务。</w:t>
      </w:r>
      <w:r>
        <w:rPr>
          <w:rFonts w:ascii="宋体" w:hAnsi="宋体" w:cs="宋体" w:eastAsia="宋体" w:hint="default"/>
          <w:spacing w:val="-2"/>
        </w:rPr>
        <w:t>2017</w:t>
      </w:r>
      <w:r>
        <w:rPr>
          <w:spacing w:val="-2"/>
        </w:rPr>
        <w:t>年</w:t>
      </w:r>
      <w:r>
        <w:rPr>
          <w:spacing w:val="-16"/>
        </w:rPr>
        <w:t> </w:t>
      </w:r>
      <w:r>
        <w:rPr>
          <w:spacing w:val="-2"/>
        </w:rPr>
        <w:t>公司持续关注教育需求，致力于科技创新，全心全意促进教育进步，公司优化了“优教学云服务整体教</w:t>
      </w:r>
      <w:r>
        <w:rPr>
          <w:spacing w:val="-21"/>
        </w:rPr>
        <w:t> </w:t>
      </w:r>
      <w:r>
        <w:rPr>
          <w:spacing w:val="-21"/>
        </w:rPr>
      </w:r>
      <w:r>
        <w:rPr/>
        <w:t>育解决方案”体系，为构建标准化、智能化的智慧校园体系，打造研讨式、体验式的创新互动教学环</w:t>
      </w:r>
      <w:r>
        <w:rPr>
          <w:w w:val="100"/>
        </w:rPr>
        <w:t> </w:t>
      </w:r>
      <w:r>
        <w:rPr>
          <w:spacing w:val="-2"/>
        </w:rPr>
        <w:t>境，达成校本资源共建共享，智能课堂深度互动、教育资源互通互联不断革新。同时紧跟行业变化，推</w:t>
      </w:r>
      <w:r>
        <w:rPr>
          <w:spacing w:val="-21"/>
        </w:rPr>
        <w:t> </w:t>
      </w:r>
      <w:r>
        <w:rPr>
          <w:spacing w:val="-21"/>
        </w:rPr>
      </w:r>
      <w:r>
        <w:rPr/>
        <w:t>出矩阵式的常态化学习应用集群，满足广大中小学生不同的层级和不同的阶段性学习需求。</w:t>
      </w:r>
    </w:p>
    <w:p>
      <w:pPr>
        <w:pStyle w:val="BodyText"/>
        <w:spacing w:line="408" w:lineRule="auto"/>
        <w:ind w:right="0" w:firstLine="420"/>
        <w:jc w:val="left"/>
      </w:pPr>
      <w:r>
        <w:rPr>
          <w:spacing w:val="-2"/>
        </w:rPr>
        <w:t>报告期，公司</w:t>
      </w:r>
      <w:r>
        <w:rPr>
          <w:rFonts w:ascii="宋体" w:hAnsi="宋体" w:cs="宋体" w:eastAsia="宋体" w:hint="default"/>
          <w:spacing w:val="-2"/>
        </w:rPr>
        <w:t>2017</w:t>
      </w:r>
      <w:r>
        <w:rPr>
          <w:spacing w:val="-2"/>
        </w:rPr>
        <w:t>年度实现营业收入</w:t>
      </w:r>
      <w:r>
        <w:rPr>
          <w:rFonts w:ascii="宋体" w:hAnsi="宋体" w:cs="宋体" w:eastAsia="宋体" w:hint="default"/>
          <w:spacing w:val="-2"/>
        </w:rPr>
        <w:t>10,051.06</w:t>
      </w:r>
      <w:r>
        <w:rPr>
          <w:spacing w:val="-2"/>
        </w:rPr>
        <w:t>万元，较去年同期增长</w:t>
      </w:r>
      <w:r>
        <w:rPr>
          <w:rFonts w:ascii="宋体" w:hAnsi="宋体" w:cs="宋体" w:eastAsia="宋体" w:hint="default"/>
          <w:spacing w:val="-2"/>
        </w:rPr>
        <w:t>3.71%</w:t>
      </w:r>
      <w:r>
        <w:rPr>
          <w:spacing w:val="-2"/>
        </w:rPr>
        <w:t>。公司核心产品业务及</w:t>
      </w:r>
      <w:r>
        <w:rPr>
          <w:w w:val="100"/>
        </w:rPr>
        <w:t> </w:t>
      </w:r>
      <w:r>
        <w:rPr>
          <w:spacing w:val="-2"/>
        </w:rPr>
        <w:t>其结构未发生重大变化，金太阳教育软件的开发、销售业务仍是公司的核心业务，金太阳教育软件收入</w:t>
      </w:r>
      <w:r>
        <w:rPr>
          <w:spacing w:val="-21"/>
        </w:rPr>
        <w:t> </w:t>
      </w:r>
      <w:r>
        <w:rPr>
          <w:spacing w:val="-21"/>
        </w:rPr>
      </w:r>
      <w:r>
        <w:rPr>
          <w:spacing w:val="-2"/>
        </w:rPr>
        <w:t>较去年同期增长</w:t>
      </w:r>
      <w:r>
        <w:rPr>
          <w:rFonts w:ascii="宋体" w:hAnsi="宋体" w:cs="宋体" w:eastAsia="宋体" w:hint="default"/>
          <w:spacing w:val="-2"/>
        </w:rPr>
        <w:t>10.99%</w:t>
      </w:r>
      <w:r>
        <w:rPr>
          <w:spacing w:val="-2"/>
        </w:rPr>
        <w:t>。报告期内代理的其他产品营业收入较同期大幅下降。华南、华北和华东三个地</w:t>
      </w:r>
      <w:r>
        <w:rPr>
          <w:spacing w:val="-16"/>
        </w:rPr>
        <w:t> </w:t>
      </w:r>
      <w:r>
        <w:rPr>
          <w:spacing w:val="-16"/>
        </w:rPr>
      </w:r>
      <w:r>
        <w:rPr/>
        <w:t>区是公司产品销售比较集中的区域，报告期内各地区销售收入占主营业务收入比例分别为</w:t>
      </w:r>
      <w:r>
        <w:rPr>
          <w:rFonts w:ascii="宋体" w:hAnsi="宋体" w:cs="宋体" w:eastAsia="宋体" w:hint="default"/>
        </w:rPr>
        <w:t>59.37%</w:t>
      </w:r>
      <w:r>
        <w:rPr/>
        <w:t>、</w:t>
      </w:r>
      <w:r>
        <w:rPr>
          <w:w w:val="100"/>
        </w:rPr>
        <w:t> </w:t>
      </w:r>
      <w:r>
        <w:rPr>
          <w:rFonts w:ascii="宋体" w:hAnsi="宋体" w:cs="宋体" w:eastAsia="宋体" w:hint="default"/>
        </w:rPr>
        <w:t>17.75%</w:t>
      </w:r>
      <w:r>
        <w:rPr/>
        <w:t>、</w:t>
      </w:r>
      <w:r>
        <w:rPr>
          <w:rFonts w:ascii="宋体" w:hAnsi="宋体" w:cs="宋体" w:eastAsia="宋体" w:hint="default"/>
        </w:rPr>
        <w:t>11.81%</w:t>
      </w:r>
      <w:r>
        <w:rPr/>
        <w:t>。</w:t>
      </w:r>
    </w:p>
    <w:p>
      <w:pPr>
        <w:pStyle w:val="Heading5"/>
        <w:spacing w:line="345" w:lineRule="exact"/>
        <w:ind w:right="0"/>
        <w:jc w:val="left"/>
        <w:rPr>
          <w:b w:val="0"/>
          <w:bCs w:val="0"/>
        </w:rPr>
      </w:pPr>
      <w:r>
        <w:rPr>
          <w:rFonts w:ascii="Arial" w:hAnsi="Arial" w:cs="Arial" w:eastAsia="Arial" w:hint="default"/>
        </w:rPr>
        <w:t>2</w:t>
      </w:r>
      <w:r>
        <w:rPr/>
        <w:t>、报告期内主要工作回顾</w:t>
      </w:r>
      <w:r>
        <w:rPr>
          <w:b w:val="0"/>
          <w:bCs w:val="0"/>
        </w:rPr>
      </w:r>
    </w:p>
    <w:p>
      <w:pPr>
        <w:pStyle w:val="Heading5"/>
        <w:spacing w:line="240" w:lineRule="auto" w:before="102"/>
        <w:ind w:left="573" w:right="0"/>
        <w:jc w:val="left"/>
        <w:rPr>
          <w:b w:val="0"/>
          <w:bCs w:val="0"/>
        </w:rPr>
      </w:pPr>
      <w:r>
        <w:rPr/>
        <w:t>（</w:t>
      </w:r>
      <w:r>
        <w:rPr>
          <w:rFonts w:ascii="Arial" w:hAnsi="Arial" w:cs="Arial" w:eastAsia="Arial" w:hint="default"/>
        </w:rPr>
        <w:t>1</w:t>
      </w:r>
      <w:r>
        <w:rPr/>
        <w:t>）产品情况</w:t>
      </w:r>
      <w:r>
        <w:rPr>
          <w:b w:val="0"/>
          <w:bCs w:val="0"/>
        </w:rPr>
      </w:r>
    </w:p>
    <w:p>
      <w:pPr>
        <w:pStyle w:val="BodyText"/>
        <w:spacing w:line="408" w:lineRule="auto" w:before="169"/>
        <w:ind w:right="225" w:firstLine="420"/>
        <w:jc w:val="left"/>
      </w:pPr>
      <w:r>
        <w:rPr/>
        <w:t>①</w:t>
      </w:r>
      <w:r>
        <w:rPr>
          <w:spacing w:val="-7"/>
        </w:rPr>
        <w:t> </w:t>
      </w:r>
      <w:r>
        <w:rPr/>
        <w:t>报告期内，公司利用互联网和移动互联网技术提供与教学进度相同步为特色的服务，在建立集资</w:t>
      </w:r>
      <w:r>
        <w:rPr>
          <w:w w:val="100"/>
        </w:rPr>
        <w:t> </w:t>
      </w:r>
      <w:r>
        <w:rPr/>
        <w:t>源管理、资源运营和资源开发为一体的资源综合服务平台的基础上，建设开发丰富优质的多学科多版本</w:t>
      </w:r>
      <w:r>
        <w:rPr>
          <w:w w:val="100"/>
        </w:rPr>
        <w:t> </w:t>
      </w:r>
      <w:r>
        <w:rPr/>
        <w:t>全学段的教材配套教学内容资源，继续巩固强化公司在内容资源方面的优势，建立和完善语文、英语、</w:t>
      </w:r>
      <w:r>
        <w:rPr>
          <w:w w:val="100"/>
        </w:rPr>
        <w:t> </w:t>
      </w:r>
      <w:r>
        <w:rPr/>
        <w:t>数学等多学科、多版本的同步教学资源开发。</w:t>
      </w:r>
    </w:p>
    <w:p>
      <w:pPr>
        <w:pStyle w:val="BodyText"/>
        <w:spacing w:line="408" w:lineRule="auto"/>
        <w:ind w:right="225" w:firstLine="420"/>
        <w:jc w:val="left"/>
      </w:pPr>
      <w:r>
        <w:rPr/>
        <w:t>②</w:t>
      </w:r>
      <w:r>
        <w:rPr>
          <w:spacing w:val="-7"/>
        </w:rPr>
        <w:t> </w:t>
      </w:r>
      <w:r>
        <w:rPr/>
        <w:t>报告期内，公司完成了计划的数字媒体特征提取、分类与识别、版权保护等相关技术的研发，完</w:t>
      </w:r>
      <w:r>
        <w:rPr>
          <w:w w:val="100"/>
        </w:rPr>
        <w:t> </w:t>
      </w:r>
      <w:r>
        <w:rPr/>
        <w:t>成了基于移动互联网的数字媒体资源开发引擎及多平台应用技术研究并实施应用，进一步夯实了公司在</w:t>
      </w:r>
      <w:r>
        <w:rPr>
          <w:w w:val="100"/>
        </w:rPr>
        <w:t> </w:t>
      </w:r>
      <w:r>
        <w:rPr/>
        <w:t>数字媒体研发的领先优势。</w:t>
      </w:r>
    </w:p>
    <w:p>
      <w:pPr>
        <w:pStyle w:val="BodyText"/>
        <w:spacing w:line="240" w:lineRule="auto"/>
        <w:ind w:left="573" w:right="0"/>
        <w:jc w:val="left"/>
      </w:pPr>
      <w:r>
        <w:rPr/>
        <w:t>③</w:t>
      </w:r>
      <w:r>
        <w:rPr>
          <w:spacing w:val="-8"/>
        </w:rPr>
        <w:t> </w:t>
      </w:r>
      <w:r>
        <w:rPr/>
        <w:t>报告期内，公司根据现有学校及用户使用反馈，公司持续对“优教学云服务整体教育解决方案”</w:t>
      </w:r>
    </w:p>
    <w:p>
      <w:pPr>
        <w:spacing w:after="0" w:line="240" w:lineRule="auto"/>
        <w:jc w:val="left"/>
        <w:sectPr>
          <w:pgSz w:w="11910" w:h="16840"/>
          <w:pgMar w:header="748"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333"/>
        <w:jc w:val="both"/>
      </w:pPr>
      <w:r>
        <w:rPr>
          <w:spacing w:val="-2"/>
        </w:rPr>
        <w:t>迭代升级，并已交付达成合作项目的系统对接及用户统一登录认证。同时进一步提高系统的实用性和易</w:t>
      </w:r>
      <w:r>
        <w:rPr>
          <w:spacing w:val="-21"/>
        </w:rPr>
        <w:t> </w:t>
      </w:r>
      <w:r>
        <w:rPr>
          <w:spacing w:val="-21"/>
        </w:rPr>
      </w:r>
      <w:r>
        <w:rPr>
          <w:spacing w:val="-2"/>
        </w:rPr>
        <w:t>用性，更加贴合用户常态化应用需求。满足教师课前导学、备课，课中授课，课后布置作业的常态化教</w:t>
      </w:r>
      <w:r>
        <w:rPr>
          <w:spacing w:val="-21"/>
        </w:rPr>
        <w:t> </w:t>
      </w:r>
      <w:r>
        <w:rPr>
          <w:spacing w:val="-21"/>
        </w:rPr>
      </w:r>
      <w:r>
        <w:rPr>
          <w:spacing w:val="-2"/>
        </w:rPr>
        <w:t>学需要。重点完成了智慧教室互动教学系统</w:t>
      </w:r>
      <w:r>
        <w:rPr>
          <w:rFonts w:ascii="宋体" w:hAnsi="宋体" w:cs="宋体" w:eastAsia="宋体" w:hint="default"/>
          <w:spacing w:val="-2"/>
        </w:rPr>
        <w:t>V1.0</w:t>
      </w:r>
      <w:r>
        <w:rPr>
          <w:spacing w:val="-2"/>
        </w:rPr>
        <w:t>的开发与发布，完成智慧教室系统与定制硬件的对接整</w:t>
      </w:r>
      <w:r>
        <w:rPr>
          <w:spacing w:val="-18"/>
        </w:rPr>
        <w:t> </w:t>
      </w:r>
      <w:r>
        <w:rPr>
          <w:spacing w:val="-18"/>
        </w:rPr>
      </w:r>
      <w:r>
        <w:rPr>
          <w:spacing w:val="-2"/>
        </w:rPr>
        <w:t>合开发，形成标准化智慧教室整体解决方案，解决优质资源常态化课堂教学应用问题。通过在海南、广</w:t>
      </w:r>
      <w:r>
        <w:rPr>
          <w:spacing w:val="-21"/>
        </w:rPr>
        <w:t> </w:t>
      </w:r>
      <w:r>
        <w:rPr>
          <w:spacing w:val="-21"/>
        </w:rPr>
      </w:r>
      <w:r>
        <w:rPr>
          <w:spacing w:val="-2"/>
        </w:rPr>
        <w:t>州、杭州、佛山等地作为“全国教学研讨公开课”的技术支撑系统，帮助教师成功开展智慧课堂教学，</w:t>
      </w:r>
      <w:r>
        <w:rPr>
          <w:spacing w:val="-21"/>
        </w:rPr>
        <w:t> </w:t>
      </w:r>
      <w:r>
        <w:rPr>
          <w:spacing w:val="-21"/>
        </w:rPr>
      </w:r>
      <w:r>
        <w:rPr>
          <w:spacing w:val="-2"/>
        </w:rPr>
        <w:t>积累了全国“信息化技术与学科深度融合”的优质公开课案例。将重点以智慧教学示范校的方式与名校</w:t>
      </w:r>
      <w:r>
        <w:rPr>
          <w:spacing w:val="-21"/>
        </w:rPr>
        <w:t> </w:t>
      </w:r>
      <w:r>
        <w:rPr>
          <w:spacing w:val="-21"/>
        </w:rPr>
      </w:r>
      <w:r>
        <w:rPr/>
        <w:t>展开合作，共同打造智慧教学产品。</w:t>
      </w:r>
    </w:p>
    <w:p>
      <w:pPr>
        <w:pStyle w:val="BodyText"/>
        <w:spacing w:line="408" w:lineRule="auto"/>
        <w:ind w:right="225" w:firstLine="420"/>
        <w:jc w:val="left"/>
      </w:pPr>
      <w:r>
        <w:rPr/>
        <w:t>④</w:t>
      </w:r>
      <w:r>
        <w:rPr>
          <w:spacing w:val="-7"/>
        </w:rPr>
        <w:t> </w:t>
      </w:r>
      <w:r>
        <w:rPr/>
        <w:t>公司研发丰富学习应用的矩阵式产品集群，完成了各应用端全覆盖，在移动应用集群中引入了公</w:t>
      </w:r>
      <w:r>
        <w:rPr>
          <w:w w:val="100"/>
        </w:rPr>
        <w:t> </w:t>
      </w:r>
      <w:r>
        <w:rPr/>
        <w:t>司最新研发的高质量音视频混编等新技术，推出了趣味配音自动测评、适应性音频调节等热点应用。持</w:t>
      </w:r>
      <w:r>
        <w:rPr>
          <w:w w:val="100"/>
        </w:rPr>
        <w:t> </w:t>
      </w:r>
      <w:r>
        <w:rPr>
          <w:spacing w:val="-2"/>
        </w:rPr>
        <w:t>续推出同步学、同步练等一系列新的学习应用，满足学生在移动学习方式下的学习需求。将“软件</w:t>
      </w:r>
      <w:r>
        <w:rPr>
          <w:rFonts w:ascii="宋体" w:hAnsi="宋体" w:cs="宋体" w:eastAsia="宋体" w:hint="default"/>
          <w:spacing w:val="-2"/>
        </w:rPr>
        <w:t>+</w:t>
      </w:r>
      <w:r>
        <w:rPr>
          <w:spacing w:val="-2"/>
        </w:rPr>
        <w:t>硬件</w:t>
      </w:r>
      <w:r>
        <w:rPr/>
      </w:r>
    </w:p>
    <w:p>
      <w:pPr>
        <w:pStyle w:val="BodyText"/>
        <w:spacing w:line="408" w:lineRule="auto"/>
        <w:ind w:right="335"/>
        <w:jc w:val="both"/>
      </w:pPr>
      <w:r>
        <w:rPr>
          <w:rFonts w:ascii="宋体" w:hAnsi="宋体" w:cs="宋体" w:eastAsia="宋体" w:hint="default"/>
          <w:spacing w:val="-2"/>
        </w:rPr>
        <w:t>+</w:t>
      </w:r>
      <w:r>
        <w:rPr>
          <w:spacing w:val="-2"/>
        </w:rPr>
        <w:t>服务”相融合，分别针对教育的“学、练、测、评”四个主要环节，建立以金太阳</w:t>
      </w:r>
      <w:r>
        <w:rPr>
          <w:rFonts w:ascii="宋体" w:hAnsi="宋体" w:cs="宋体" w:eastAsia="宋体" w:hint="default"/>
          <w:spacing w:val="-2"/>
        </w:rPr>
        <w:t>Kingsun</w:t>
      </w:r>
      <w:r>
        <w:rPr>
          <w:spacing w:val="-2"/>
        </w:rPr>
        <w:t>产品体系为</w:t>
      </w:r>
      <w:r>
        <w:rPr>
          <w:spacing w:val="-16"/>
        </w:rPr>
        <w:t> </w:t>
      </w:r>
      <w:r>
        <w:rPr>
          <w:spacing w:val="-16"/>
        </w:rPr>
      </w:r>
      <w:r>
        <w:rPr/>
        <w:t>核心的教育教学服务系统，打造</w:t>
      </w:r>
      <w:r>
        <w:rPr>
          <w:rFonts w:ascii="宋体" w:hAnsi="宋体" w:cs="宋体" w:eastAsia="宋体" w:hint="default"/>
        </w:rPr>
        <w:t>K12</w:t>
      </w:r>
      <w:r>
        <w:rPr/>
        <w:t>在线教育垂直领域</w:t>
      </w:r>
      <w:r>
        <w:rPr>
          <w:rFonts w:ascii="宋体" w:hAnsi="宋体" w:cs="宋体" w:eastAsia="宋体" w:hint="default"/>
        </w:rPr>
        <w:t>2B2C2O</w:t>
      </w:r>
      <w:r>
        <w:rPr/>
        <w:t>多向服务平台。</w:t>
      </w:r>
    </w:p>
    <w:p>
      <w:pPr>
        <w:pStyle w:val="Heading5"/>
        <w:spacing w:line="345" w:lineRule="exact"/>
        <w:ind w:left="573" w:right="0"/>
        <w:jc w:val="left"/>
        <w:rPr>
          <w:b w:val="0"/>
          <w:bCs w:val="0"/>
        </w:rPr>
      </w:pPr>
      <w:r>
        <w:rPr/>
        <w:t>（</w:t>
      </w:r>
      <w:r>
        <w:rPr>
          <w:rFonts w:ascii="Arial" w:hAnsi="Arial" w:cs="Arial" w:eastAsia="Arial" w:hint="default"/>
        </w:rPr>
        <w:t>2</w:t>
      </w:r>
      <w:r>
        <w:rPr/>
        <w:t>）渠道拓展及营销推广情况</w:t>
      </w:r>
      <w:r>
        <w:rPr>
          <w:b w:val="0"/>
          <w:bCs w:val="0"/>
        </w:rPr>
      </w:r>
    </w:p>
    <w:p>
      <w:pPr>
        <w:pStyle w:val="BodyText"/>
        <w:spacing w:line="408" w:lineRule="auto" w:before="169"/>
        <w:ind w:right="225" w:firstLine="420"/>
        <w:jc w:val="left"/>
      </w:pPr>
      <w:r>
        <w:rPr/>
        <w:t>①</w:t>
      </w:r>
      <w:r>
        <w:rPr>
          <w:spacing w:val="-7"/>
        </w:rPr>
        <w:t> </w:t>
      </w:r>
      <w:r>
        <w:rPr/>
        <w:t>报告期内，公司继续拓展中国移动、中国电信、中国联通三大运营商的多维数字化教育内容的运</w:t>
      </w:r>
      <w:r>
        <w:rPr>
          <w:w w:val="100"/>
        </w:rPr>
        <w:t> </w:t>
      </w:r>
      <w:r>
        <w:rPr/>
        <w:t>营和营销合作，与客户达成稳定创新服务模式。公司持续为咪咕数字传媒有限公司，天翼阅读文化传媒</w:t>
      </w:r>
      <w:r>
        <w:rPr>
          <w:w w:val="100"/>
        </w:rPr>
        <w:t> </w:t>
      </w:r>
      <w:r>
        <w:rPr/>
        <w:t>有限公司提供优质数字教育内容服务，成为其中小学同步学习类内容产品细分领域的核心优质内容服务</w:t>
      </w:r>
      <w:r>
        <w:rPr>
          <w:w w:val="100"/>
        </w:rPr>
        <w:t> </w:t>
      </w:r>
      <w:r>
        <w:rPr/>
        <w:t>供应商，通过运营商增值业务服务平台为学生提供服务；在此基础上并行达成内容分销合作，将中国移</w:t>
      </w:r>
      <w:r>
        <w:rPr>
          <w:w w:val="100"/>
        </w:rPr>
        <w:t> </w:t>
      </w:r>
      <w:r>
        <w:rPr/>
        <w:t>动、中国电信优质的数字化教育内容通过公司的营销渠道销售给客户。</w:t>
      </w:r>
    </w:p>
    <w:p>
      <w:pPr>
        <w:pStyle w:val="BodyText"/>
        <w:spacing w:line="408" w:lineRule="auto"/>
        <w:ind w:right="225" w:firstLine="420"/>
        <w:jc w:val="left"/>
      </w:pPr>
      <w:r>
        <w:rPr/>
        <w:t>②</w:t>
      </w:r>
      <w:r>
        <w:rPr>
          <w:spacing w:val="-7"/>
        </w:rPr>
        <w:t> </w:t>
      </w:r>
      <w:r>
        <w:rPr/>
        <w:t>报告期内，公司重点以深圳、北京、广州等一线城市为直销发展区域，在教育部门大力树立以上</w:t>
      </w:r>
      <w:r>
        <w:rPr>
          <w:w w:val="100"/>
        </w:rPr>
        <w:t> </w:t>
      </w:r>
      <w:r>
        <w:rPr/>
        <w:t>形象，并与教育部门开展了深度合作，通过精心打造智慧教学重点示范名校、推广全国优质示范课，召</w:t>
      </w:r>
      <w:r>
        <w:rPr>
          <w:w w:val="100"/>
        </w:rPr>
        <w:t> </w:t>
      </w:r>
      <w:r>
        <w:rPr/>
        <w:t>开全国教学观摩会等方式加强市场推广。积极参与各地智慧校园建设，充分利用公司核心优势。同时公</w:t>
      </w:r>
      <w:r>
        <w:rPr>
          <w:w w:val="100"/>
        </w:rPr>
        <w:t> </w:t>
      </w:r>
      <w:r>
        <w:rPr/>
        <w:t>司积极拓张市场范围加大多渠道建设，以成熟的样板工程为核心，向全国战略重要位置的省会城市复</w:t>
      </w:r>
      <w:r>
        <w:rPr>
          <w:w w:val="100"/>
        </w:rPr>
        <w:t> </w:t>
      </w:r>
      <w:r>
        <w:rPr/>
        <w:t>制。逐步实现公司的产品、模式、服务、推广的升级。</w:t>
      </w:r>
    </w:p>
    <w:p>
      <w:pPr>
        <w:pStyle w:val="Heading5"/>
        <w:spacing w:line="345" w:lineRule="exact"/>
        <w:ind w:left="573" w:right="0"/>
        <w:jc w:val="left"/>
        <w:rPr>
          <w:b w:val="0"/>
          <w:bCs w:val="0"/>
        </w:rPr>
      </w:pPr>
      <w:r>
        <w:rPr/>
        <w:t>（</w:t>
      </w:r>
      <w:r>
        <w:rPr>
          <w:rFonts w:ascii="Arial" w:hAnsi="Arial" w:cs="Arial" w:eastAsia="Arial" w:hint="default"/>
        </w:rPr>
        <w:t>3</w:t>
      </w:r>
      <w:r>
        <w:rPr/>
        <w:t>）教研情况</w:t>
      </w:r>
      <w:r>
        <w:rPr>
          <w:b w:val="0"/>
          <w:bCs w:val="0"/>
        </w:rPr>
      </w:r>
    </w:p>
    <w:p>
      <w:pPr>
        <w:pStyle w:val="BodyText"/>
        <w:spacing w:line="408" w:lineRule="auto" w:before="169"/>
        <w:ind w:right="0" w:firstLine="420"/>
        <w:jc w:val="left"/>
      </w:pPr>
      <w:r>
        <w:rPr/>
        <w:t>①</w:t>
      </w:r>
      <w:r>
        <w:rPr>
          <w:spacing w:val="-3"/>
        </w:rPr>
        <w:t> </w:t>
      </w:r>
      <w:r>
        <w:rPr/>
        <w:t>报告期内，公司成立了方直课程教学研究院，与国内多名教育领域知名专家建立了战略合作关</w:t>
      </w:r>
      <w:r>
        <w:rPr>
          <w:w w:val="100"/>
        </w:rPr>
        <w:t> </w:t>
      </w:r>
      <w:r>
        <w:rPr>
          <w:spacing w:val="-2"/>
        </w:rPr>
        <w:t>系，并开展了多个专家合作项目，有机整合专家名师资源，通过教研会、座谈会、咨询会、公司内部培</w:t>
      </w:r>
      <w:r>
        <w:rPr>
          <w:spacing w:val="-21"/>
        </w:rPr>
        <w:t> </w:t>
      </w:r>
      <w:r>
        <w:rPr>
          <w:spacing w:val="-21"/>
        </w:rPr>
      </w:r>
      <w:r>
        <w:rPr>
          <w:spacing w:val="-2"/>
        </w:rPr>
        <w:t>训等形式提升公司对整个行业的知识动态实现整体把控，不断打磨自身产品，实现产品优化升级。突出</w:t>
      </w:r>
      <w:r>
        <w:rPr>
          <w:spacing w:val="-21"/>
        </w:rPr>
        <w:t> </w:t>
      </w:r>
      <w:r>
        <w:rPr>
          <w:spacing w:val="-21"/>
        </w:rPr>
      </w:r>
      <w:r>
        <w:rPr>
          <w:spacing w:val="-2"/>
        </w:rPr>
        <w:t>学科整合，提炼优质专家名师自有的教学主张、教学特色以及研究行为，形成优质课程体系。借助专家</w:t>
      </w:r>
      <w:r>
        <w:rPr>
          <w:spacing w:val="-21"/>
        </w:rPr>
        <w:t> </w:t>
      </w:r>
      <w:r>
        <w:rPr>
          <w:spacing w:val="-21"/>
        </w:rPr>
      </w:r>
      <w:r>
        <w:rPr/>
        <w:t>名师在业内的影响力，通过联合运营的模式打造方直名师优课平台，充分发挥专家名师的示范引领作</w:t>
      </w:r>
      <w:r>
        <w:rPr>
          <w:w w:val="100"/>
        </w:rPr>
        <w:t> </w:t>
      </w:r>
      <w:r>
        <w:rPr/>
        <w:t>用。基于同步配套基础上打造具有方直特色的完整的专家名师课程体系。</w:t>
      </w:r>
    </w:p>
    <w:p>
      <w:pPr>
        <w:spacing w:after="0" w:line="408" w:lineRule="auto"/>
        <w:jc w:val="left"/>
        <w:sectPr>
          <w:pgSz w:w="11910" w:h="16840"/>
          <w:pgMar w:header="748"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225" w:firstLine="420"/>
        <w:jc w:val="left"/>
      </w:pPr>
      <w:r>
        <w:rPr/>
        <w:t>②</w:t>
      </w:r>
      <w:r>
        <w:rPr>
          <w:spacing w:val="-7"/>
        </w:rPr>
        <w:t> </w:t>
      </w:r>
      <w:r>
        <w:rPr/>
        <w:t>报告期内，方直课程教学研究院成功完成了首个十三五教育科学规划重点课题“中小学英语学习</w:t>
      </w:r>
      <w:r>
        <w:rPr>
          <w:w w:val="100"/>
        </w:rPr>
        <w:t> </w:t>
      </w:r>
      <w:r>
        <w:rPr/>
        <w:t>综合素质评价”课题申报工作及中央电教馆国家级课题“智慧教学环境中大数据支持下的个性化教与学</w:t>
      </w:r>
      <w:r>
        <w:rPr>
          <w:w w:val="100"/>
        </w:rPr>
        <w:t> </w:t>
      </w:r>
      <w:r>
        <w:rPr/>
        <w:t>实践研究”申报工作，基于大数据分析下的国家级课题研究与实施，面向全国征集子课题及其实验学</w:t>
      </w:r>
      <w:r>
        <w:rPr>
          <w:w w:val="100"/>
        </w:rPr>
        <w:t> </w:t>
      </w:r>
      <w:r>
        <w:rPr/>
        <w:t>校，打造方直品牌课题，提升公司行业地位及竞争力。</w:t>
      </w:r>
    </w:p>
    <w:p>
      <w:pPr>
        <w:pStyle w:val="Heading5"/>
        <w:spacing w:line="345" w:lineRule="exact"/>
        <w:ind w:left="573" w:right="0"/>
        <w:jc w:val="left"/>
        <w:rPr>
          <w:b w:val="0"/>
          <w:bCs w:val="0"/>
        </w:rPr>
      </w:pPr>
      <w:r>
        <w:rPr/>
        <w:t>（</w:t>
      </w:r>
      <w:r>
        <w:rPr>
          <w:rFonts w:ascii="Arial" w:hAnsi="Arial" w:cs="Arial" w:eastAsia="Arial" w:hint="default"/>
        </w:rPr>
        <w:t>4</w:t>
      </w:r>
      <w:r>
        <w:rPr/>
        <w:t>）资本运作情况</w:t>
      </w:r>
      <w:r>
        <w:rPr>
          <w:b w:val="0"/>
          <w:bCs w:val="0"/>
        </w:rPr>
      </w:r>
    </w:p>
    <w:p>
      <w:pPr>
        <w:pStyle w:val="BodyText"/>
        <w:spacing w:line="408" w:lineRule="auto" w:before="169"/>
        <w:ind w:left="573" w:right="0"/>
        <w:jc w:val="left"/>
      </w:pPr>
      <w:r>
        <w:rPr/>
        <w:t>① 非公开发行股票事项</w:t>
      </w:r>
      <w:r>
        <w:rPr>
          <w:w w:val="100"/>
        </w:rPr>
        <w:t> </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16</w:t>
      </w:r>
      <w:r>
        <w:rPr>
          <w:spacing w:val="-2"/>
        </w:rPr>
        <w:t>日取得中国证券监督管理委员会证监许可</w:t>
      </w:r>
      <w:r>
        <w:rPr>
          <w:rFonts w:ascii="宋体" w:hAnsi="宋体" w:cs="宋体" w:eastAsia="宋体" w:hint="default"/>
          <w:spacing w:val="-2"/>
        </w:rPr>
        <w:t>[2017]56</w:t>
      </w:r>
      <w:r>
        <w:rPr>
          <w:spacing w:val="-2"/>
        </w:rPr>
        <w:t>号文《关于核准深圳市方直</w:t>
      </w:r>
    </w:p>
    <w:p>
      <w:pPr>
        <w:pStyle w:val="BodyText"/>
        <w:spacing w:line="408" w:lineRule="auto"/>
        <w:ind w:right="0"/>
        <w:jc w:val="left"/>
      </w:pPr>
      <w:r>
        <w:rPr>
          <w:spacing w:val="-2"/>
        </w:rPr>
        <w:t>科技股份有限公司非公开发行股票的批复》，核准公司非公开发行不超过</w:t>
      </w:r>
      <w:r>
        <w:rPr>
          <w:rFonts w:ascii="宋体" w:hAnsi="宋体" w:cs="宋体" w:eastAsia="宋体" w:hint="default"/>
          <w:spacing w:val="-2"/>
        </w:rPr>
        <w:t>1,500</w:t>
      </w:r>
      <w:r>
        <w:rPr>
          <w:spacing w:val="-2"/>
        </w:rPr>
        <w:t>万股新股。公司向特定投</w:t>
      </w:r>
      <w:r>
        <w:rPr>
          <w:spacing w:val="-19"/>
        </w:rPr>
        <w:t> </w:t>
      </w:r>
      <w:r>
        <w:rPr>
          <w:spacing w:val="-19"/>
        </w:rPr>
      </w:r>
      <w:r>
        <w:rPr/>
        <w:t>资者北京嘉豪伟业投资中心（有限合伙）和前海开源基金管理有限公司共发行人民币普通股</w:t>
      </w:r>
      <w:r>
        <w:rPr>
          <w:rFonts w:ascii="宋体" w:hAnsi="宋体" w:cs="宋体" w:eastAsia="宋体" w:hint="default"/>
        </w:rPr>
        <w:t>(A</w:t>
      </w:r>
      <w:r>
        <w:rPr/>
        <w:t>股</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rPr>
        <w:t>9,431,090</w:t>
      </w:r>
      <w:r>
        <w:rPr/>
        <w:t>股，每股面值人民币</w:t>
      </w:r>
      <w:r>
        <w:rPr>
          <w:rFonts w:ascii="宋体" w:hAnsi="宋体" w:cs="宋体" w:eastAsia="宋体" w:hint="default"/>
        </w:rPr>
        <w:t>1.00</w:t>
      </w:r>
      <w:r>
        <w:rPr/>
        <w:t>元，每股发行认购价格为人民币</w:t>
      </w:r>
      <w:r>
        <w:rPr>
          <w:rFonts w:ascii="宋体" w:hAnsi="宋体" w:cs="宋体" w:eastAsia="宋体" w:hint="default"/>
        </w:rPr>
        <w:t>25.30</w:t>
      </w:r>
      <w:r>
        <w:rPr/>
        <w:t>元，共计募集人民币</w:t>
      </w:r>
    </w:p>
    <w:p>
      <w:pPr>
        <w:pStyle w:val="BodyText"/>
        <w:spacing w:line="240" w:lineRule="auto"/>
        <w:ind w:right="0"/>
        <w:jc w:val="left"/>
      </w:pPr>
      <w:r>
        <w:rPr>
          <w:rFonts w:ascii="宋体" w:hAnsi="宋体" w:cs="宋体" w:eastAsia="宋体" w:hint="default"/>
        </w:rPr>
        <w:t>238,606,577.00</w:t>
      </w:r>
      <w:r>
        <w:rPr/>
        <w:t>元，扣除与发行有关的费用人民币</w:t>
      </w:r>
      <w:r>
        <w:rPr>
          <w:rFonts w:ascii="宋体" w:hAnsi="宋体" w:cs="宋体" w:eastAsia="宋体" w:hint="default"/>
        </w:rPr>
        <w:t>10,609,431.09</w:t>
      </w:r>
      <w:r>
        <w:rPr/>
        <w:t>元，公司实际募集资金净额为人民币</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227,997,145.91</w:t>
      </w:r>
      <w:r>
        <w:rPr/>
        <w:t>元。</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截至</w:t>
      </w:r>
      <w:r>
        <w:rPr>
          <w:rFonts w:ascii="宋体" w:hAnsi="宋体" w:cs="宋体" w:eastAsia="宋体" w:hint="default"/>
        </w:rPr>
        <w:t>2017</w:t>
      </w:r>
      <w:r>
        <w:rPr/>
        <w:t>年</w:t>
      </w:r>
      <w:r>
        <w:rPr>
          <w:rFonts w:ascii="宋体" w:hAnsi="宋体" w:cs="宋体" w:eastAsia="宋体" w:hint="default"/>
        </w:rPr>
        <w:t>03</w:t>
      </w:r>
      <w:r>
        <w:rPr/>
        <w:t>月</w:t>
      </w:r>
      <w:r>
        <w:rPr>
          <w:rFonts w:ascii="宋体" w:hAnsi="宋体" w:cs="宋体" w:eastAsia="宋体" w:hint="default"/>
        </w:rPr>
        <w:t>09</w:t>
      </w:r>
      <w:r>
        <w:rPr/>
        <w:t>日止，公司上述发行募集的资金已全部到位，大华会计师事务所（特殊普通合</w:t>
      </w:r>
      <w:r>
        <w:rPr>
          <w:w w:val="100"/>
        </w:rPr>
        <w:t> </w:t>
      </w:r>
      <w:r>
        <w:rPr/>
        <w:t>伙）出具了大华验字</w:t>
      </w:r>
      <w:r>
        <w:rPr>
          <w:spacing w:val="-11"/>
        </w:rPr>
        <w:t> </w:t>
      </w:r>
      <w:r>
        <w:rPr>
          <w:rFonts w:ascii="宋体" w:hAnsi="宋体" w:cs="宋体" w:eastAsia="宋体" w:hint="default"/>
        </w:rPr>
        <w:t>[2017]000150</w:t>
      </w:r>
      <w:r>
        <w:rPr/>
        <w:t>号《验资报告》验证确认。本次非公开发行新增股份</w:t>
      </w:r>
      <w:r>
        <w:rPr>
          <w:rFonts w:ascii="宋体" w:hAnsi="宋体" w:cs="宋体" w:eastAsia="宋体" w:hint="default"/>
        </w:rPr>
        <w:t>9,431,090</w:t>
      </w:r>
      <w:r>
        <w:rPr/>
        <w:t>股，</w:t>
      </w:r>
      <w:r>
        <w:rPr>
          <w:spacing w:val="-3"/>
          <w:w w:val="100"/>
        </w:rPr>
        <w:t> </w:t>
      </w:r>
      <w:r>
        <w:rPr>
          <w:spacing w:val="-2"/>
        </w:rPr>
        <w:t>已于</w:t>
      </w:r>
      <w:r>
        <w:rPr>
          <w:rFonts w:ascii="宋体" w:hAnsi="宋体" w:cs="宋体" w:eastAsia="宋体" w:hint="default"/>
          <w:spacing w:val="-2"/>
        </w:rPr>
        <w:t>2017</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24</w:t>
      </w:r>
      <w:r>
        <w:rPr>
          <w:spacing w:val="-2"/>
        </w:rPr>
        <w:t>日在中国证券登记结算有限责任公司深圳分公司办理完毕股份登记手续，并于</w:t>
      </w:r>
      <w:r>
        <w:rPr>
          <w:rFonts w:ascii="宋体" w:hAnsi="宋体" w:cs="宋体" w:eastAsia="宋体" w:hint="default"/>
          <w:spacing w:val="-2"/>
        </w:rPr>
        <w:t>2017</w:t>
      </w:r>
      <w:r>
        <w:rPr>
          <w:spacing w:val="-2"/>
        </w:rPr>
        <w:t>年</w:t>
      </w:r>
      <w:r>
        <w:rPr>
          <w:spacing w:val="-9"/>
        </w:rPr>
        <w:t> </w:t>
      </w:r>
      <w:r>
        <w:rPr>
          <w:rFonts w:ascii="宋体" w:hAnsi="宋体" w:cs="宋体" w:eastAsia="宋体" w:hint="default"/>
        </w:rPr>
        <w:t>03</w:t>
      </w:r>
      <w:r>
        <w:rPr/>
        <w:t>月</w:t>
      </w:r>
      <w:r>
        <w:rPr>
          <w:rFonts w:ascii="宋体" w:hAnsi="宋体" w:cs="宋体" w:eastAsia="宋体" w:hint="default"/>
        </w:rPr>
        <w:t>27</w:t>
      </w:r>
      <w:r>
        <w:rPr/>
        <w:t>日在深圳证券交易所上市。</w:t>
      </w:r>
    </w:p>
    <w:p>
      <w:pPr>
        <w:pStyle w:val="BodyText"/>
        <w:spacing w:line="408" w:lineRule="auto"/>
        <w:ind w:right="750" w:firstLine="420"/>
        <w:jc w:val="left"/>
      </w:pPr>
      <w:r>
        <w:rPr/>
        <w:t>在上述非公开发行股票前公司总股本为</w:t>
      </w:r>
      <w:r>
        <w:rPr>
          <w:rFonts w:ascii="宋体" w:hAnsi="宋体" w:cs="宋体" w:eastAsia="宋体" w:hint="default"/>
        </w:rPr>
        <w:t>158,400,000</w:t>
      </w:r>
      <w:r>
        <w:rPr>
          <w:rFonts w:ascii="宋体" w:hAnsi="宋体" w:cs="宋体" w:eastAsia="宋体" w:hint="default"/>
          <w:spacing w:val="-7"/>
        </w:rPr>
        <w:t> </w:t>
      </w:r>
      <w:r>
        <w:rPr/>
        <w:t>股，非公开发行股票后公司总股本变更为</w:t>
      </w:r>
      <w:r>
        <w:rPr>
          <w:w w:val="100"/>
        </w:rPr>
        <w:t> </w:t>
      </w:r>
      <w:r>
        <w:rPr>
          <w:rFonts w:ascii="宋体" w:hAnsi="宋体" w:cs="宋体" w:eastAsia="宋体" w:hint="default"/>
        </w:rPr>
        <w:t>167,831,090</w:t>
      </w:r>
      <w:r>
        <w:rPr/>
        <w:t>股。</w:t>
      </w:r>
    </w:p>
    <w:p>
      <w:pPr>
        <w:pStyle w:val="BodyText"/>
        <w:spacing w:line="408" w:lineRule="auto"/>
        <w:ind w:left="573" w:right="0"/>
        <w:jc w:val="left"/>
      </w:pPr>
      <w:r>
        <w:rPr/>
        <w:t>② 投资并购事项</w:t>
      </w:r>
      <w:r>
        <w:rPr>
          <w:w w:val="100"/>
        </w:rPr>
        <w:t> </w:t>
      </w:r>
      <w:r>
        <w:rPr>
          <w:spacing w:val="-2"/>
        </w:rPr>
        <w:t>公司在巩固现有主营业务的基础上，一直遵循内生式增长与外延式扩张相结合的发展思路，积极探</w:t>
      </w:r>
    </w:p>
    <w:p>
      <w:pPr>
        <w:pStyle w:val="BodyText"/>
        <w:spacing w:line="408" w:lineRule="auto"/>
        <w:ind w:right="0"/>
        <w:jc w:val="left"/>
      </w:pPr>
      <w:r>
        <w:rPr>
          <w:spacing w:val="-2"/>
        </w:rPr>
        <w:t>索在在线教育、非学历教育培训、中小学教育、学前教育、留学咨询等教育行业其他分支领域的投资，</w:t>
      </w:r>
      <w:r>
        <w:rPr>
          <w:spacing w:val="-21"/>
        </w:rPr>
        <w:t> </w:t>
      </w:r>
      <w:r>
        <w:rPr>
          <w:spacing w:val="-21"/>
        </w:rPr>
      </w:r>
      <w:r>
        <w:rPr/>
        <w:t>进一步推进在教育行业的资源整合和协同发展，实现公司业务结构的多元化和经营业绩的快速提升。</w:t>
      </w:r>
    </w:p>
    <w:p>
      <w:pPr>
        <w:pStyle w:val="BodyText"/>
        <w:spacing w:line="410" w:lineRule="auto"/>
        <w:ind w:left="573" w:right="0"/>
        <w:jc w:val="left"/>
      </w:pPr>
      <w:r>
        <w:rPr/>
        <w:t>投资北京千锋互联科技有限公司事项</w:t>
      </w:r>
      <w:r>
        <w:rPr>
          <w:w w:val="100"/>
        </w:rPr>
        <w:t> </w:t>
      </w:r>
      <w:r>
        <w:rPr>
          <w:spacing w:val="-2"/>
        </w:rPr>
        <w:t>基于上述发展思路，公司经过行业调研和充分尽调，基于对</w:t>
      </w:r>
      <w:r>
        <w:rPr>
          <w:rFonts w:ascii="宋体" w:hAnsi="宋体" w:cs="宋体" w:eastAsia="宋体" w:hint="default"/>
          <w:spacing w:val="-2"/>
        </w:rPr>
        <w:t>IT</w:t>
      </w:r>
      <w:r>
        <w:rPr>
          <w:spacing w:val="-2"/>
        </w:rPr>
        <w:t>职业培训行业增长空间的看好和对千</w:t>
      </w:r>
    </w:p>
    <w:p>
      <w:pPr>
        <w:pStyle w:val="BodyText"/>
        <w:spacing w:line="408" w:lineRule="auto" w:before="44"/>
        <w:ind w:right="0"/>
        <w:jc w:val="left"/>
      </w:pPr>
      <w:r>
        <w:rPr/>
        <w:t>锋互联发展潜力的认可，于</w:t>
      </w:r>
      <w:r>
        <w:rPr>
          <w:rFonts w:ascii="宋体" w:hAnsi="宋体" w:cs="宋体" w:eastAsia="宋体" w:hint="default"/>
        </w:rPr>
        <w:t>2017</w:t>
      </w:r>
      <w:r>
        <w:rPr/>
        <w:t>年</w:t>
      </w:r>
      <w:r>
        <w:rPr>
          <w:rFonts w:ascii="宋体" w:hAnsi="宋体" w:cs="宋体" w:eastAsia="宋体" w:hint="default"/>
        </w:rPr>
        <w:t>01</w:t>
      </w:r>
      <w:r>
        <w:rPr/>
        <w:t>月</w:t>
      </w:r>
      <w:r>
        <w:rPr>
          <w:rFonts w:ascii="宋体" w:hAnsi="宋体" w:cs="宋体" w:eastAsia="宋体" w:hint="default"/>
        </w:rPr>
        <w:t>18</w:t>
      </w:r>
      <w:r>
        <w:rPr/>
        <w:t>日召开第三届董事会第二十二次会议审议通过了《关于公司投</w:t>
      </w:r>
      <w:r>
        <w:rPr>
          <w:w w:val="100"/>
        </w:rPr>
        <w:t> </w:t>
      </w:r>
      <w:r>
        <w:rPr/>
        <w:t>资北京千锋互联科技有限公司的议案》，以自有资金通过向千锋互联增资和受让标的公司原股东部分老</w:t>
      </w:r>
      <w:r>
        <w:rPr>
          <w:w w:val="100"/>
        </w:rPr>
        <w:t> </w:t>
      </w:r>
      <w:r>
        <w:rPr>
          <w:spacing w:val="-2"/>
        </w:rPr>
        <w:t>股相结合的方式取得千锋互联</w:t>
      </w:r>
      <w:r>
        <w:rPr>
          <w:rFonts w:ascii="宋体" w:hAnsi="宋体" w:cs="宋体" w:eastAsia="宋体" w:hint="default"/>
          <w:spacing w:val="-2"/>
        </w:rPr>
        <w:t>12%</w:t>
      </w:r>
      <w:r>
        <w:rPr>
          <w:spacing w:val="-2"/>
        </w:rPr>
        <w:t>的出资比例，以此为契机切入非学历教育细分市场，从而推动公司在教</w:t>
      </w:r>
      <w:r>
        <w:rPr>
          <w:spacing w:val="-21"/>
        </w:rPr>
        <w:t> </w:t>
      </w:r>
      <w:r>
        <w:rPr>
          <w:spacing w:val="-21"/>
        </w:rPr>
      </w:r>
      <w:r>
        <w:rPr/>
        <w:t>育领域的可持续发展。</w:t>
      </w:r>
    </w:p>
    <w:p>
      <w:pPr>
        <w:pStyle w:val="BodyText"/>
        <w:spacing w:line="408" w:lineRule="auto"/>
        <w:ind w:right="0" w:firstLine="420"/>
        <w:jc w:val="left"/>
      </w:pPr>
      <w:r>
        <w:rPr>
          <w:spacing w:val="-2"/>
        </w:rPr>
        <w:t>千锋互联以长远的战略布局为重，在</w:t>
      </w:r>
      <w:r>
        <w:rPr>
          <w:rFonts w:ascii="宋体" w:hAnsi="宋体" w:cs="宋体" w:eastAsia="宋体" w:hint="default"/>
          <w:spacing w:val="-2"/>
        </w:rPr>
        <w:t>2017</w:t>
      </w:r>
      <w:r>
        <w:rPr>
          <w:spacing w:val="-2"/>
        </w:rPr>
        <w:t>年以投入为主，继续扩充校区及产品线，加大在线教育领</w:t>
      </w:r>
      <w:r>
        <w:rPr>
          <w:w w:val="100"/>
        </w:rPr>
        <w:t> </w:t>
      </w:r>
      <w:r>
        <w:rPr>
          <w:spacing w:val="-2"/>
        </w:rPr>
        <w:t>域的布局，加强教学研发、品质保障、就业服务及院校合作等方面的投入。为促使千锋互联原股东及其</w:t>
      </w:r>
    </w:p>
    <w:p>
      <w:pPr>
        <w:spacing w:after="0" w:line="408" w:lineRule="auto"/>
        <w:jc w:val="left"/>
        <w:sectPr>
          <w:footerReference w:type="default" r:id="rId17"/>
          <w:pgSz w:w="11910" w:h="16840"/>
          <w:pgMar w:footer="979" w:header="748" w:top="1060" w:bottom="1160" w:left="980" w:right="980"/>
          <w:pgNumType w:start="6"/>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t>管理团队巩固现有业务经营基础以实现千锋互联的健康增长，以及维护上市公司股东的利益，经千锋互</w:t>
      </w:r>
      <w:r>
        <w:rPr>
          <w:w w:val="100"/>
        </w:rPr>
        <w:t> </w:t>
      </w:r>
      <w:r>
        <w:rPr/>
        <w:t>联项目的交易各方友好协商，基于交易各方彼此认可的教育产业布局战略，并遵循公平、公正、自愿的</w:t>
      </w:r>
      <w:r>
        <w:rPr>
          <w:w w:val="100"/>
        </w:rPr>
        <w:t> </w:t>
      </w:r>
      <w:r>
        <w:rPr/>
        <w:t>原则，千锋互联及其原股东就此前约定的投资估值进行调整，并对所获增资款及股权转让款向方直科技</w:t>
      </w:r>
      <w:r>
        <w:rPr>
          <w:w w:val="100"/>
        </w:rPr>
        <w:t> </w:t>
      </w:r>
      <w:r>
        <w:rPr/>
        <w:t>进行部分退款。</w:t>
      </w:r>
      <w:r>
        <w:rPr>
          <w:rFonts w:ascii="宋体" w:hAnsi="宋体" w:cs="宋体" w:eastAsia="宋体" w:hint="default"/>
        </w:rPr>
        <w:t>2017</w:t>
      </w:r>
      <w:r>
        <w:rPr/>
        <w:t>年</w:t>
      </w:r>
      <w:r>
        <w:rPr>
          <w:rFonts w:ascii="宋体" w:hAnsi="宋体" w:cs="宋体" w:eastAsia="宋体" w:hint="default"/>
        </w:rPr>
        <w:t>05</w:t>
      </w:r>
      <w:r>
        <w:rPr/>
        <w:t>月</w:t>
      </w:r>
      <w:r>
        <w:rPr>
          <w:rFonts w:ascii="宋体" w:hAnsi="宋体" w:cs="宋体" w:eastAsia="宋体" w:hint="default"/>
        </w:rPr>
        <w:t>25</w:t>
      </w:r>
      <w:r>
        <w:rPr/>
        <w:t>日，公司与千锋互联及其原股东签署了《投资协议之补充协议（一）》，</w:t>
      </w:r>
      <w:r>
        <w:rPr>
          <w:w w:val="100"/>
        </w:rPr>
        <w:t> </w:t>
      </w:r>
      <w:r>
        <w:rPr>
          <w:spacing w:val="-2"/>
        </w:rPr>
        <w:t>就公司取得的千锋互联</w:t>
      </w:r>
      <w:r>
        <w:rPr>
          <w:rFonts w:ascii="宋体" w:hAnsi="宋体" w:cs="宋体" w:eastAsia="宋体" w:hint="default"/>
          <w:spacing w:val="-2"/>
        </w:rPr>
        <w:t>12%</w:t>
      </w:r>
      <w:r>
        <w:rPr>
          <w:spacing w:val="-2"/>
        </w:rPr>
        <w:t>股权，基于公司增资和受让老股所获股权的比例约定：千锋互联及其原股东合</w:t>
      </w:r>
      <w:r>
        <w:rPr>
          <w:spacing w:val="-20"/>
        </w:rPr>
        <w:t> </w:t>
      </w:r>
      <w:r>
        <w:rPr>
          <w:spacing w:val="-20"/>
        </w:rPr>
      </w:r>
      <w:r>
        <w:rPr/>
        <w:t>计向公司支付人民币</w:t>
      </w:r>
      <w:r>
        <w:rPr>
          <w:rFonts w:ascii="宋体" w:hAnsi="宋体" w:cs="宋体" w:eastAsia="宋体" w:hint="default"/>
        </w:rPr>
        <w:t>2,046.7890</w:t>
      </w:r>
      <w:r>
        <w:rPr/>
        <w:t>万元退款。</w:t>
      </w:r>
    </w:p>
    <w:p>
      <w:pPr>
        <w:pStyle w:val="BodyText"/>
        <w:spacing w:line="408" w:lineRule="auto"/>
        <w:ind w:right="0" w:firstLine="420"/>
        <w:jc w:val="left"/>
      </w:pPr>
      <w:r>
        <w:rPr/>
        <w:t>投资千锋互联是公司在切入非学历教育细分市场的一次战略性探索，至</w:t>
      </w:r>
      <w:r>
        <w:rPr>
          <w:rFonts w:ascii="宋体" w:hAnsi="宋体" w:cs="宋体" w:eastAsia="宋体" w:hint="default"/>
        </w:rPr>
        <w:t>2017</w:t>
      </w:r>
      <w:r>
        <w:rPr/>
        <w:t>年下半年公司在此领域</w:t>
      </w:r>
      <w:r>
        <w:rPr>
          <w:w w:val="100"/>
        </w:rPr>
        <w:t> </w:t>
      </w:r>
      <w:r>
        <w:rPr/>
        <w:t>尚未有实际业务整合发展，公司与千锋互联各股东对千锋互联未来长期发展战略进行深入探讨，经公司</w:t>
      </w:r>
      <w:r>
        <w:rPr>
          <w:w w:val="100"/>
        </w:rPr>
        <w:t> </w:t>
      </w:r>
      <w:r>
        <w:rPr/>
        <w:t>审慎研究，决定退出对千锋互联的股权投资。</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28</w:t>
      </w:r>
      <w:r>
        <w:rPr/>
        <w:t>日，公司与千锋互联及其原股东签署了《关</w:t>
      </w:r>
      <w:r>
        <w:rPr>
          <w:w w:val="100"/>
        </w:rPr>
        <w:t> </w:t>
      </w:r>
      <w:r>
        <w:rPr/>
        <w:t>于北京千锋互联科技有限公司之退股返还投资款协议》，千锋互联及其原股东同意方直科技退出所占千</w:t>
      </w:r>
      <w:r>
        <w:rPr>
          <w:w w:val="100"/>
        </w:rPr>
        <w:t> </w:t>
      </w:r>
      <w:r>
        <w:rPr>
          <w:spacing w:val="-2"/>
        </w:rPr>
        <w:t>锋互联</w:t>
      </w:r>
      <w:r>
        <w:rPr>
          <w:rFonts w:ascii="宋体" w:hAnsi="宋体" w:cs="宋体" w:eastAsia="宋体" w:hint="default"/>
          <w:spacing w:val="-2"/>
        </w:rPr>
        <w:t>12%</w:t>
      </w:r>
      <w:r>
        <w:rPr>
          <w:spacing w:val="-2"/>
        </w:rPr>
        <w:t>股份并返还全部投资款人民币</w:t>
      </w:r>
      <w:r>
        <w:rPr>
          <w:rFonts w:ascii="宋体" w:hAnsi="宋体" w:cs="宋体" w:eastAsia="宋体" w:hint="default"/>
          <w:spacing w:val="-2"/>
        </w:rPr>
        <w:t>8100</w:t>
      </w:r>
      <w:r>
        <w:rPr>
          <w:spacing w:val="-2"/>
        </w:rPr>
        <w:t>万元及利息，其中：</w:t>
      </w:r>
      <w:r>
        <w:rPr>
          <w:rFonts w:ascii="宋体" w:hAnsi="宋体" w:cs="宋体" w:eastAsia="宋体" w:hint="default"/>
          <w:spacing w:val="-2"/>
        </w:rPr>
        <w:t>7%</w:t>
      </w:r>
      <w:r>
        <w:rPr>
          <w:spacing w:val="-2"/>
        </w:rPr>
        <w:t>股份的投资款由千锋互联负责退还，</w:t>
      </w:r>
      <w:r>
        <w:rPr>
          <w:spacing w:val="-15"/>
        </w:rPr>
        <w:t> </w:t>
      </w:r>
      <w:r>
        <w:rPr>
          <w:spacing w:val="-15"/>
        </w:rPr>
      </w:r>
      <w:r>
        <w:rPr>
          <w:rFonts w:ascii="宋体" w:hAnsi="宋体" w:cs="宋体" w:eastAsia="宋体" w:hint="default"/>
        </w:rPr>
        <w:t>5%</w:t>
      </w:r>
      <w:r>
        <w:rPr/>
        <w:t>股份的投资款由千锋互联原股东负责退还。基于谨慎性原则，未确认</w:t>
      </w:r>
      <w:r>
        <w:rPr>
          <w:rFonts w:ascii="宋体" w:hAnsi="宋体" w:cs="宋体" w:eastAsia="宋体" w:hint="default"/>
        </w:rPr>
        <w:t>2017</w:t>
      </w:r>
      <w:r>
        <w:rPr/>
        <w:t>年度形成的利息收益。</w:t>
      </w:r>
    </w:p>
    <w:p>
      <w:pPr>
        <w:pStyle w:val="BodyText"/>
        <w:spacing w:line="408" w:lineRule="auto"/>
        <w:ind w:right="0" w:firstLine="420"/>
        <w:jc w:val="left"/>
      </w:pPr>
      <w:r>
        <w:rPr/>
        <w:t>退出对千锋互联的股权投资不会影响公司既定的经营及投资战略，对公司的经营成果等无重大影</w:t>
      </w:r>
      <w:r>
        <w:rPr>
          <w:w w:val="100"/>
        </w:rPr>
        <w:t> </w:t>
      </w:r>
      <w:r>
        <w:rPr>
          <w:spacing w:val="-2"/>
        </w:rPr>
        <w:t>响，有利于维护公司及全体股东的利益，有利于补充公司运营现金流，增强公司资产流动性和持续经营</w:t>
      </w:r>
      <w:r>
        <w:rPr>
          <w:spacing w:val="-21"/>
        </w:rPr>
        <w:t> </w:t>
      </w:r>
      <w:r>
        <w:rPr>
          <w:spacing w:val="-21"/>
        </w:rPr>
      </w:r>
      <w:r>
        <w:rPr/>
        <w:t>能力。</w:t>
      </w:r>
    </w:p>
    <w:p>
      <w:pPr>
        <w:pStyle w:val="BodyText"/>
        <w:spacing w:line="240" w:lineRule="auto"/>
        <w:ind w:left="573" w:right="0"/>
        <w:jc w:val="left"/>
      </w:pPr>
      <w:r>
        <w:rPr/>
        <w:t>上述对外投资事项详见公司于</w:t>
      </w:r>
      <w:r>
        <w:rPr>
          <w:rFonts w:ascii="宋体" w:hAnsi="宋体" w:cs="宋体" w:eastAsia="宋体" w:hint="default"/>
        </w:rPr>
        <w:t>2017</w:t>
      </w:r>
      <w:r>
        <w:rPr/>
        <w:t>年</w:t>
      </w:r>
      <w:r>
        <w:rPr>
          <w:rFonts w:ascii="宋体" w:hAnsi="宋体" w:cs="宋体" w:eastAsia="宋体" w:hint="default"/>
        </w:rPr>
        <w:t>01</w:t>
      </w:r>
      <w:r>
        <w:rPr/>
        <w:t>月</w:t>
      </w:r>
      <w:r>
        <w:rPr>
          <w:rFonts w:ascii="宋体" w:hAnsi="宋体" w:cs="宋体" w:eastAsia="宋体" w:hint="default"/>
        </w:rPr>
        <w:t>18</w:t>
      </w:r>
      <w:r>
        <w:rPr/>
        <w:t>日、</w:t>
      </w:r>
      <w:r>
        <w:rPr>
          <w:rFonts w:ascii="宋体" w:hAnsi="宋体" w:cs="宋体" w:eastAsia="宋体" w:hint="default"/>
        </w:rPr>
        <w:t>2017</w:t>
      </w:r>
      <w:r>
        <w:rPr/>
        <w:t>年</w:t>
      </w:r>
      <w:r>
        <w:rPr>
          <w:rFonts w:ascii="宋体" w:hAnsi="宋体" w:cs="宋体" w:eastAsia="宋体" w:hint="default"/>
        </w:rPr>
        <w:t>05</w:t>
      </w:r>
      <w:r>
        <w:rPr/>
        <w:t>月</w:t>
      </w:r>
      <w:r>
        <w:rPr>
          <w:rFonts w:ascii="宋体" w:hAnsi="宋体" w:cs="宋体" w:eastAsia="宋体" w:hint="default"/>
        </w:rPr>
        <w:t>25</w:t>
      </w:r>
      <w:r>
        <w:rPr/>
        <w:t>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29</w:t>
      </w:r>
      <w:r>
        <w:rPr/>
        <w:t>日在巨潮资讯网</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w:t>
      </w:r>
      <w:hyperlink r:id="rId13">
        <w:r>
          <w:rPr>
            <w:rFonts w:ascii="宋体" w:hAnsi="宋体" w:cs="宋体" w:eastAsia="宋体" w:hint="default"/>
          </w:rPr>
          <w:t>www.cninfo.com.cn</w:t>
        </w:r>
      </w:hyperlink>
      <w:r>
        <w:rPr/>
        <w:t>）披露的公告（公告编码：</w:t>
      </w:r>
      <w:r>
        <w:rPr>
          <w:rFonts w:ascii="宋体" w:hAnsi="宋体" w:cs="宋体" w:eastAsia="宋体" w:hint="default"/>
        </w:rPr>
        <w:t>2017-004</w:t>
      </w:r>
      <w:r>
        <w:rPr/>
        <w:t>、</w:t>
      </w:r>
      <w:r>
        <w:rPr>
          <w:rFonts w:ascii="宋体" w:hAnsi="宋体" w:cs="宋体" w:eastAsia="宋体" w:hint="default"/>
        </w:rPr>
        <w:t>2017-053</w:t>
      </w:r>
      <w:r>
        <w:rPr/>
        <w:t>、</w:t>
      </w:r>
      <w:r>
        <w:rPr>
          <w:rFonts w:ascii="宋体" w:hAnsi="宋体" w:cs="宋体" w:eastAsia="宋体" w:hint="default"/>
        </w:rPr>
        <w:t>2017-097</w:t>
      </w:r>
      <w:r>
        <w:rPr/>
        <w:t>）。</w:t>
      </w:r>
    </w:p>
    <w:p>
      <w:pPr>
        <w:spacing w:line="240" w:lineRule="auto" w:before="10"/>
        <w:rPr>
          <w:rFonts w:ascii="宋体" w:hAnsi="宋体" w:cs="宋体" w:eastAsia="宋体" w:hint="default"/>
          <w:sz w:val="14"/>
          <w:szCs w:val="14"/>
        </w:rPr>
      </w:pPr>
    </w:p>
    <w:p>
      <w:pPr>
        <w:pStyle w:val="BodyText"/>
        <w:spacing w:line="408" w:lineRule="auto" w:before="0"/>
        <w:ind w:right="225" w:firstLine="420"/>
        <w:jc w:val="left"/>
      </w:pPr>
      <w:r>
        <w:rPr/>
        <w:t>③</w:t>
      </w:r>
      <w:r>
        <w:rPr>
          <w:spacing w:val="-7"/>
        </w:rPr>
        <w:t> </w:t>
      </w:r>
      <w:r>
        <w:rPr/>
        <w:t>基于公司的长期战略规划，持续向互联网教育企业升级，报告期内公司筹划了重大资产重组，该</w:t>
      </w:r>
      <w:r>
        <w:rPr>
          <w:w w:val="100"/>
        </w:rPr>
        <w:t> </w:t>
      </w:r>
      <w:r>
        <w:rPr/>
        <w:t>次重组拟购买的资产属于教育行业，经向深圳证券交易所申请，公司股票于</w:t>
      </w:r>
      <w:r>
        <w:rPr>
          <w:rFonts w:ascii="宋体" w:hAnsi="宋体" w:cs="宋体" w:eastAsia="宋体" w:hint="default"/>
        </w:rPr>
        <w:t>2017</w:t>
      </w:r>
      <w:r>
        <w:rPr/>
        <w:t>年</w:t>
      </w:r>
      <w:r>
        <w:rPr>
          <w:rFonts w:ascii="宋体" w:hAnsi="宋体" w:cs="宋体" w:eastAsia="宋体" w:hint="default"/>
        </w:rPr>
        <w:t>03</w:t>
      </w:r>
      <w:r>
        <w:rPr/>
        <w:t>月</w:t>
      </w:r>
      <w:r>
        <w:rPr>
          <w:rFonts w:ascii="宋体" w:hAnsi="宋体" w:cs="宋体" w:eastAsia="宋体" w:hint="default"/>
        </w:rPr>
        <w:t>27</w:t>
      </w:r>
      <w:r>
        <w:rPr/>
        <w:t>日开市起停</w:t>
      </w:r>
      <w:r>
        <w:rPr>
          <w:w w:val="100"/>
        </w:rPr>
        <w:t> </w:t>
      </w:r>
      <w:r>
        <w:rPr/>
        <w:t>牌，并自</w:t>
      </w:r>
      <w:r>
        <w:rPr>
          <w:rFonts w:ascii="宋体" w:hAnsi="宋体" w:cs="宋体" w:eastAsia="宋体" w:hint="default"/>
        </w:rPr>
        <w:t>2017</w:t>
      </w:r>
      <w:r>
        <w:rPr/>
        <w:t>年</w:t>
      </w:r>
      <w:r>
        <w:rPr>
          <w:rFonts w:ascii="宋体" w:hAnsi="宋体" w:cs="宋体" w:eastAsia="宋体" w:hint="default"/>
        </w:rPr>
        <w:t>04</w:t>
      </w:r>
      <w:r>
        <w:rPr/>
        <w:t>月</w:t>
      </w:r>
      <w:r>
        <w:rPr>
          <w:rFonts w:ascii="宋体" w:hAnsi="宋体" w:cs="宋体" w:eastAsia="宋体" w:hint="default"/>
        </w:rPr>
        <w:t>11</w:t>
      </w:r>
      <w:r>
        <w:rPr/>
        <w:t>日开市起转入重大资产重组事项继续停牌。停牌期间，公司及有关各方均积极推</w:t>
      </w:r>
      <w:r>
        <w:rPr>
          <w:w w:val="100"/>
        </w:rPr>
        <w:t> </w:t>
      </w:r>
      <w:r>
        <w:rPr/>
        <w:t>进本次重组事项的各项工作，组织独立财务顾问、审计机构、律师事务所、评估机构等相关中介机构对</w:t>
      </w:r>
      <w:r>
        <w:rPr>
          <w:w w:val="100"/>
        </w:rPr>
        <w:t> </w:t>
      </w:r>
      <w:r>
        <w:rPr/>
        <w:t>标的公司开展了尽职调查、审计、评估等工作。结合尽职调查情况，公司会同重组各方进行了多次讨论</w:t>
      </w:r>
      <w:r>
        <w:rPr>
          <w:w w:val="100"/>
        </w:rPr>
        <w:t> </w:t>
      </w:r>
      <w:r>
        <w:rPr/>
        <w:t>和磋商，就合作条件、收购方式、交易价格等内容进行了深入讨论和沟通，公司与标的公司股东在核心</w:t>
      </w:r>
      <w:r>
        <w:rPr>
          <w:w w:val="100"/>
        </w:rPr>
        <w:t> </w:t>
      </w:r>
      <w:r>
        <w:rPr/>
        <w:t>交易条款上仍存在分歧，未能就交易方案的重要条款达成一致意见，公司及相关各方认为继续推进本次</w:t>
      </w:r>
      <w:r>
        <w:rPr>
          <w:w w:val="100"/>
        </w:rPr>
        <w:t> </w:t>
      </w:r>
      <w:r>
        <w:rPr/>
        <w:t>重大资产重组条件尚不够成熟，该标的公司整体成为上市公司资产有待进一步观察及培育。公司经审慎</w:t>
      </w:r>
      <w:r>
        <w:rPr>
          <w:w w:val="100"/>
        </w:rPr>
        <w:t> </w:t>
      </w:r>
      <w:r>
        <w:rPr/>
        <w:t>研究，从保护上市公司广大投资者及公司利益的角度出发，决定终止筹划本次重大资产重组事宜，经向</w:t>
      </w:r>
      <w:r>
        <w:rPr>
          <w:w w:val="100"/>
        </w:rPr>
        <w:t> </w:t>
      </w:r>
      <w:r>
        <w:rPr/>
        <w:t>深圳证券交易所申请并经审核通过后，公司股票于</w:t>
      </w:r>
      <w:r>
        <w:rPr>
          <w:rFonts w:ascii="宋体" w:hAnsi="宋体" w:cs="宋体" w:eastAsia="宋体" w:hint="default"/>
        </w:rPr>
        <w:t>2017</w:t>
      </w:r>
      <w:r>
        <w:rPr/>
        <w:t>年</w:t>
      </w:r>
      <w:r>
        <w:rPr>
          <w:rFonts w:ascii="宋体" w:hAnsi="宋体" w:cs="宋体" w:eastAsia="宋体" w:hint="default"/>
        </w:rPr>
        <w:t>05</w:t>
      </w:r>
      <w:r>
        <w:rPr/>
        <w:t>月</w:t>
      </w:r>
      <w:r>
        <w:rPr>
          <w:rFonts w:ascii="宋体" w:hAnsi="宋体" w:cs="宋体" w:eastAsia="宋体" w:hint="default"/>
        </w:rPr>
        <w:t>26</w:t>
      </w:r>
      <w:r>
        <w:rPr/>
        <w:t>日开市起复牌。</w:t>
      </w:r>
    </w:p>
    <w:p>
      <w:pPr>
        <w:pStyle w:val="BodyText"/>
        <w:spacing w:line="408" w:lineRule="auto"/>
        <w:ind w:left="573" w:right="0"/>
        <w:jc w:val="left"/>
      </w:pPr>
      <w:r>
        <w:rPr/>
        <w:t>④</w:t>
      </w:r>
      <w:r>
        <w:rPr>
          <w:spacing w:val="-1"/>
        </w:rPr>
        <w:t> </w:t>
      </w:r>
      <w:r>
        <w:rPr/>
        <w:t>设立深圳嘉道方直教育产业投资企业（有限合伙），深入教育产业布局</w:t>
      </w:r>
      <w:r>
        <w:rPr>
          <w:w w:val="100"/>
        </w:rPr>
        <w:t> </w:t>
      </w:r>
      <w:r>
        <w:rPr>
          <w:spacing w:val="-2"/>
        </w:rPr>
        <w:t>公司在巩固现有主营业务的基础上，遵循内生式增长与外延式扩张相结合的发展思路，积极探索在</w:t>
      </w:r>
    </w:p>
    <w:p>
      <w:pPr>
        <w:pStyle w:val="BodyText"/>
        <w:spacing w:line="240" w:lineRule="auto"/>
        <w:ind w:right="0"/>
        <w:jc w:val="left"/>
      </w:pPr>
      <w:r>
        <w:rPr/>
        <w:t>中小学教育、在线教育、非学历教育、学前教育、留学咨询等教育行业其他分支领域的投资，为进一步</w:t>
      </w:r>
    </w:p>
    <w:p>
      <w:pPr>
        <w:spacing w:after="0" w:line="240" w:lineRule="auto"/>
        <w:jc w:val="left"/>
        <w:sectPr>
          <w:footerReference w:type="default" r:id="rId18"/>
          <w:pgSz w:w="11910" w:h="16840"/>
          <w:pgMar w:footer="979" w:header="748" w:top="1060" w:bottom="1160" w:left="980" w:right="980"/>
          <w:pgNumType w:start="7"/>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推进在教育行业的资源整合和协同发展，加快实现公司业务结构的多元化，提升公司综合竞争能力，增</w:t>
      </w:r>
      <w:r>
        <w:rPr>
          <w:spacing w:val="-21"/>
        </w:rPr>
        <w:t> </w:t>
      </w:r>
      <w:r>
        <w:rPr>
          <w:spacing w:val="-21"/>
        </w:rPr>
      </w:r>
      <w:r>
        <w:rPr>
          <w:spacing w:val="-2"/>
        </w:rPr>
        <w:t>厚公司盈利能力，公司以有限合伙人身份用自有资金人民币</w:t>
      </w:r>
      <w:r>
        <w:rPr>
          <w:rFonts w:ascii="宋体" w:hAnsi="宋体" w:cs="宋体" w:eastAsia="宋体" w:hint="default"/>
          <w:spacing w:val="-2"/>
        </w:rPr>
        <w:t>12,000</w:t>
      </w:r>
      <w:r>
        <w:rPr>
          <w:spacing w:val="-2"/>
        </w:rPr>
        <w:t>万元，与深圳嘉道谷投资管理有限公</w:t>
      </w:r>
      <w:r>
        <w:rPr>
          <w:spacing w:val="-15"/>
        </w:rPr>
        <w:t> </w:t>
      </w:r>
      <w:r>
        <w:rPr>
          <w:spacing w:val="-15"/>
        </w:rPr>
      </w:r>
      <w:r>
        <w:rPr/>
        <w:t>司、深圳嘉道功程股权投资基金（有限合伙）共同发起设立深圳嘉道方直教育产业投资企业（有限合</w:t>
      </w:r>
      <w:r>
        <w:rPr>
          <w:w w:val="100"/>
        </w:rPr>
        <w:t> </w:t>
      </w:r>
      <w:r>
        <w:rPr/>
        <w:t>伙），该基金认缴出资总规模为人民币</w:t>
      </w:r>
      <w:r>
        <w:rPr>
          <w:rFonts w:ascii="宋体" w:hAnsi="宋体" w:cs="宋体" w:eastAsia="宋体" w:hint="default"/>
        </w:rPr>
        <w:t>30,100</w:t>
      </w:r>
      <w:r>
        <w:rPr/>
        <w:t>万元。</w:t>
      </w:r>
    </w:p>
    <w:p>
      <w:pPr>
        <w:pStyle w:val="BodyText"/>
        <w:spacing w:line="408" w:lineRule="auto"/>
        <w:ind w:right="0" w:firstLine="420"/>
        <w:jc w:val="left"/>
      </w:pPr>
      <w:r>
        <w:rPr>
          <w:spacing w:val="-2"/>
        </w:rPr>
        <w:t>截至目前，深圳嘉道方直教育产业投资企业（有限合伙）已对外投资了深圳博为教育科技有限公司</w:t>
      </w:r>
      <w:r>
        <w:rPr>
          <w:w w:val="100"/>
        </w:rPr>
        <w:t> </w:t>
      </w:r>
      <w:r>
        <w:rPr>
          <w:spacing w:val="-2"/>
        </w:rPr>
        <w:t>与北京圣达信教育科技有限公司，产业投资基金对外投资项目均是具有良好发展前景的优质项目，符合</w:t>
      </w:r>
      <w:r>
        <w:rPr>
          <w:spacing w:val="-21"/>
        </w:rPr>
        <w:t> </w:t>
      </w:r>
      <w:r>
        <w:rPr>
          <w:spacing w:val="-21"/>
        </w:rPr>
      </w:r>
      <w:r>
        <w:rPr/>
        <w:t>公司内生式增长与外延式扩张相结合的发展思路，为公司进一步推进在教育行业的资源整合和协同发</w:t>
      </w:r>
      <w:r>
        <w:rPr>
          <w:w w:val="100"/>
        </w:rPr>
        <w:t> </w:t>
      </w:r>
      <w:r>
        <w:rPr>
          <w:spacing w:val="-2"/>
        </w:rPr>
        <w:t>展，加快实现公司业务结构的多元化起到积极作用，有利于提升公司综合竞争能力，产业投资基金产生</w:t>
      </w:r>
      <w:r>
        <w:rPr>
          <w:spacing w:val="-21"/>
        </w:rPr>
        <w:t> </w:t>
      </w:r>
      <w:r>
        <w:rPr>
          <w:spacing w:val="-21"/>
        </w:rPr>
      </w:r>
      <w:r>
        <w:rPr/>
        <w:t>的投资收益可以为上市公司带来新的利润增长点，增厚公司盈利能力。</w:t>
      </w:r>
    </w:p>
    <w:p>
      <w:pPr>
        <w:pStyle w:val="Heading3"/>
        <w:spacing w:line="240" w:lineRule="auto" w:before="167"/>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3" w:right="54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5"/>
        <w:spacing w:line="332"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line="360" w:lineRule="auto" w:before="0"/>
        <w:ind w:left="153" w:right="5993"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40" w:lineRule="auto" w:before="25"/>
        <w:ind w:left="153" w:right="41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1"/>
        <w:ind w:left="153" w:right="59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3"/>
        <w:ind w:left="153" w:right="15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产业链相关业务》的披露要求：</w:t>
      </w:r>
      <w:r>
        <w:rPr>
          <w:rFonts w:ascii="宋体" w:hAnsi="宋体" w:cs="宋体" w:eastAsia="宋体" w:hint="default"/>
          <w:w w:val="99"/>
          <w:sz w:val="18"/>
          <w:szCs w:val="18"/>
        </w:rPr>
        <w:t> </w:t>
      </w:r>
      <w:r>
        <w:rPr>
          <w:rFonts w:ascii="宋体" w:hAnsi="宋体" w:cs="宋体" w:eastAsia="宋体" w:hint="default"/>
          <w:sz w:val="18"/>
          <w:szCs w:val="18"/>
        </w:rPr>
        <w:t>否</w:t>
      </w:r>
    </w:p>
    <w:p>
      <w:pPr>
        <w:spacing w:line="340" w:lineRule="auto" w:before="39"/>
        <w:ind w:left="153" w:right="68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41"/>
        <w:ind w:left="153"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5"/>
        <w:gridCol w:w="1596"/>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100,510,607.42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96,919,585.70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96,289,998.64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88,703,591.80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4,220,608.78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8,215,993.90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金太阳教育软件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82,910,533.15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74,699,904.68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4,220,608.78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8,215,993.90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-48.63%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8,139,135.30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14,003,687.12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5,240,330.19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17,836,380.55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18,296,998.74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11,874,561.16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12,999,075.40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59,668,472.45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58,720,753.01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60.59%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1.61%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11,131,193.26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6,902,758.55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61.26%</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980"/>
        </w:sectPr>
      </w:pPr>
    </w:p>
    <w:p>
      <w:pPr>
        <w:spacing w:line="35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4" w:space="5707"/>
            <w:col w:w="1029"/>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6"/>
        <w:gridCol w:w="1369"/>
        <w:gridCol w:w="1366"/>
        <w:gridCol w:w="1366"/>
        <w:gridCol w:w="1369"/>
        <w:gridCol w:w="1366"/>
        <w:gridCol w:w="1373"/>
      </w:tblGrid>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96,289,998.64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33,230,623.04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4,220,608.78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1,300,555.45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30.95%</w:t>
            </w: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100,510,607.42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34,531,178.49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方直金太阳教育 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82,910,533.15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31,136,381.28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4,220,608.78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1,300,555.45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30.95%</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8,139,135.30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5,240,330.19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2,094,241.76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100,510,607.42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34,531,178.49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17,836,380.55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5,322,410.27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11,874,561.16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1,995,536.99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-13.41%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0.92%</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59,668,472.45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19,282,906.81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11,131,193.26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7,930,324.42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366"/>
        <w:gridCol w:w="1369"/>
        <w:gridCol w:w="1366"/>
        <w:gridCol w:w="1366"/>
        <w:gridCol w:w="1369"/>
        <w:gridCol w:w="1366"/>
        <w:gridCol w:w="1373"/>
      </w:tblGrid>
      <w:tr>
        <w:trPr>
          <w:trHeight w:val="40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100,510,607.42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34,531,178.49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65.64%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18.80%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6" w:right="0"/>
              <w:jc w:val="left"/>
              <w:rPr>
                <w:rFonts w:ascii="Times New Roman" w:hAnsi="Times New Roman" w:cs="Times New Roman" w:eastAsia="Times New Roman" w:hint="default"/>
                <w:sz w:val="18"/>
                <w:szCs w:val="18"/>
              </w:rPr>
            </w:pPr>
            <w:r>
              <w:rPr>
                <w:rFonts w:ascii="Times New Roman"/>
                <w:sz w:val="18"/>
              </w:rPr>
              <w:t>-4.36%</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951"/>
        <w:gridCol w:w="1561"/>
        <w:gridCol w:w="1272"/>
        <w:gridCol w:w="1594"/>
        <w:gridCol w:w="1594"/>
        <w:gridCol w:w="1596"/>
      </w:tblGrid>
      <w:tr>
        <w:trPr>
          <w:trHeight w:val="403"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金太阳教育软件</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17,173,217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15,861,130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w:t>
            </w:r>
          </w:p>
        </w:tc>
      </w:tr>
      <w:tr>
        <w:trPr>
          <w:trHeight w:val="403" w:hRule="exact"/>
        </w:trPr>
        <w:tc>
          <w:tcPr>
            <w:tcW w:w="1951" w:type="dxa"/>
            <w:vMerge/>
            <w:tcBorders>
              <w:left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17,234,138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15,791,710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w:t>
            </w:r>
          </w:p>
        </w:tc>
      </w:tr>
      <w:tr>
        <w:trPr>
          <w:trHeight w:val="401" w:hRule="exact"/>
        </w:trPr>
        <w:tc>
          <w:tcPr>
            <w:tcW w:w="1951"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1,200,862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w:t>
            </w:r>
          </w:p>
        </w:tc>
      </w:tr>
      <w:tr>
        <w:trPr>
          <w:trHeight w:val="403"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12.65%</w:t>
            </w:r>
          </w:p>
        </w:tc>
      </w:tr>
      <w:tr>
        <w:trPr>
          <w:trHeight w:val="401" w:hRule="exact"/>
        </w:trPr>
        <w:tc>
          <w:tcPr>
            <w:tcW w:w="1951" w:type="dxa"/>
            <w:vMerge/>
            <w:tcBorders>
              <w:left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13.16%</w:t>
            </w:r>
          </w:p>
        </w:tc>
      </w:tr>
      <w:tr>
        <w:trPr>
          <w:trHeight w:val="403" w:hRule="exact"/>
        </w:trPr>
        <w:tc>
          <w:tcPr>
            <w:tcW w:w="1951"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33,230,623.04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23,992,349.76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1,300,555.45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5,074,700.70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810"/>
        <w:gridCol w:w="927"/>
        <w:gridCol w:w="1366"/>
        <w:gridCol w:w="1368"/>
        <w:gridCol w:w="1369"/>
        <w:gridCol w:w="1366"/>
        <w:gridCol w:w="1368"/>
      </w:tblGrid>
      <w:tr>
        <w:trPr>
          <w:trHeight w:val="402" w:hRule="exact"/>
        </w:trPr>
        <w:tc>
          <w:tcPr>
            <w:tcW w:w="1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810"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方直金太阳教育软件</w:t>
            </w:r>
          </w:p>
        </w:tc>
        <w:tc>
          <w:tcPr>
            <w:tcW w:w="92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31,136,381.28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23,992,349.76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29.78%</w:t>
            </w: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92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1,300,555.45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5,074,700.70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-74.37%</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2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2,094,241.76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footerReference w:type="default" r:id="rId19"/>
          <w:pgSz w:w="11910" w:h="16840"/>
          <w:pgMar w:footer="979" w:header="748"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931"/>
        <w:gridCol w:w="4638"/>
      </w:tblGrid>
      <w:tr>
        <w:trPr>
          <w:trHeight w:val="404"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50,149,293.16</w:t>
            </w:r>
          </w:p>
        </w:tc>
      </w:tr>
      <w:tr>
        <w:trPr>
          <w:trHeight w:val="401"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49.89%</w:t>
            </w:r>
          </w:p>
        </w:tc>
      </w:tr>
      <w:tr>
        <w:trPr>
          <w:trHeight w:val="403"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802"/>
        <w:gridCol w:w="3301"/>
        <w:gridCol w:w="2324"/>
        <w:gridCol w:w="3143"/>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23,599,772.21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8,143,744.54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6,641,127.18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6,010,368.01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5,754,281.22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50,149,293.16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49.89%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7"/>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931"/>
        <w:gridCol w:w="4638"/>
      </w:tblGrid>
      <w:tr>
        <w:trPr>
          <w:trHeight w:val="401"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18,189,122.29</w:t>
            </w:r>
          </w:p>
        </w:tc>
      </w:tr>
      <w:tr>
        <w:trPr>
          <w:trHeight w:val="403"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71.40%</w:t>
            </w:r>
          </w:p>
        </w:tc>
      </w:tr>
      <w:tr>
        <w:trPr>
          <w:trHeight w:val="401"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934"/>
        <w:gridCol w:w="3169"/>
        <w:gridCol w:w="2324"/>
        <w:gridCol w:w="3143"/>
      </w:tblGrid>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7,315,932.68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28.72%</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4,081,888.25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16.02%</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3,578,559.27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14.05%</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1,809,342.02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1,403,400.07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18,189,122.29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71.40%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after="0"/>
        <w:jc w:val="left"/>
        <w:rPr>
          <w:rFonts w:ascii="宋体" w:hAnsi="宋体" w:cs="宋体" w:eastAsia="宋体" w:hint="default"/>
          <w:sz w:val="18"/>
          <w:szCs w:val="18"/>
        </w:rPr>
        <w:sectPr>
          <w:footerReference w:type="default" r:id="rId20"/>
          <w:pgSz w:w="11910" w:h="16840"/>
          <w:pgMar w:footer="979" w:header="748" w:top="1060" w:bottom="1160" w:left="980" w:right="980"/>
          <w:pgNumType w:start="1"/>
        </w:sectPr>
      </w:pPr>
    </w:p>
    <w:p>
      <w:pPr>
        <w:spacing w:line="240" w:lineRule="auto" w:before="9"/>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5"/>
        <w:gridCol w:w="1637"/>
        <w:gridCol w:w="1637"/>
        <w:gridCol w:w="1462"/>
        <w:gridCol w:w="2916"/>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24,312,837.81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20,377,693.79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19.31%</w:t>
            </w:r>
          </w:p>
        </w:tc>
        <w:tc>
          <w:tcPr>
            <w:tcW w:w="2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40,698,973.37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36,893,933.55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10.31%</w:t>
            </w:r>
          </w:p>
        </w:tc>
        <w:tc>
          <w:tcPr>
            <w:tcW w:w="2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-3,489,909.26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-257,640.68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-1,254.56%</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主要原因是本年度公司非公开发行 股票募集资金款项到账产生利息。</w:t>
            </w:r>
          </w:p>
        </w:tc>
      </w:tr>
    </w:tbl>
    <w:p>
      <w:pPr>
        <w:spacing w:line="240" w:lineRule="auto" w:before="6"/>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right="0" w:firstLine="420"/>
        <w:jc w:val="left"/>
      </w:pPr>
      <w:r>
        <w:rPr>
          <w:spacing w:val="-2"/>
        </w:rPr>
        <w:t>报告期内，为了引导和应对市场新需求和新变化，公司持续加大研发投入，研发支出总额为</w:t>
      </w:r>
      <w:r>
        <w:rPr>
          <w:rFonts w:ascii="宋体" w:hAnsi="宋体" w:cs="宋体" w:eastAsia="宋体" w:hint="default"/>
          <w:spacing w:val="-2"/>
        </w:rPr>
        <w:t>2613.41</w:t>
      </w:r>
      <w:r>
        <w:rPr>
          <w:rFonts w:ascii="宋体" w:hAnsi="宋体" w:cs="宋体" w:eastAsia="宋体" w:hint="default"/>
          <w:w w:val="100"/>
        </w:rPr>
        <w:t> </w:t>
      </w:r>
      <w:r>
        <w:rPr/>
        <w:t>万元，占营业收入比例</w:t>
      </w:r>
      <w:r>
        <w:rPr>
          <w:rFonts w:ascii="宋体" w:hAnsi="宋体" w:cs="宋体" w:eastAsia="宋体" w:hint="default"/>
        </w:rPr>
        <w:t>26.00%</w:t>
      </w:r>
      <w:r>
        <w:rPr/>
        <w:t>。研发投入加大后，研发团队创新能力、教学研究能力和互联网平台构建</w:t>
      </w:r>
      <w:r>
        <w:rPr>
          <w:w w:val="100"/>
        </w:rPr>
        <w:t> </w:t>
      </w:r>
      <w:r>
        <w:rPr/>
        <w:t>和支撑能力得以提升，数字化内容、互联网产品和服务得到进一步丰富，夯实了公司的产品和服务体系</w:t>
      </w:r>
      <w:r>
        <w:rPr>
          <w:w w:val="100"/>
        </w:rPr>
        <w:t> </w:t>
      </w:r>
      <w:r>
        <w:rPr/>
        <w:t>的竞争力。</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229"/>
        <w:gridCol w:w="2268"/>
        <w:gridCol w:w="1983"/>
        <w:gridCol w:w="2088"/>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113</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44.31%</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47.06%</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26,134,126.45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23,692,741.63</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18,664,074.86</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24.45%</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18.77%</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388,387.77</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1,402,663.92</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7.52%</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8"/>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43"/>
        <w:gridCol w:w="2554"/>
        <w:gridCol w:w="2127"/>
        <w:gridCol w:w="1944"/>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6" w:right="0"/>
              <w:jc w:val="left"/>
              <w:rPr>
                <w:rFonts w:ascii="Times New Roman" w:hAnsi="Times New Roman" w:cs="Times New Roman" w:eastAsia="Times New Roman" w:hint="default"/>
                <w:sz w:val="18"/>
                <w:szCs w:val="18"/>
              </w:rPr>
            </w:pPr>
            <w:r>
              <w:rPr>
                <w:rFonts w:ascii="Times New Roman"/>
                <w:sz w:val="18"/>
              </w:rPr>
              <w:t>109,522,627.57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6" w:right="0"/>
              <w:jc w:val="left"/>
              <w:rPr>
                <w:rFonts w:ascii="Times New Roman" w:hAnsi="Times New Roman" w:cs="Times New Roman" w:eastAsia="Times New Roman" w:hint="default"/>
                <w:sz w:val="18"/>
                <w:szCs w:val="18"/>
              </w:rPr>
            </w:pPr>
            <w:r>
              <w:rPr>
                <w:rFonts w:ascii="Times New Roman"/>
                <w:sz w:val="18"/>
              </w:rPr>
              <w:t>112,968,481.28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943"/>
        <w:gridCol w:w="2554"/>
        <w:gridCol w:w="2127"/>
        <w:gridCol w:w="1944"/>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105,561,891.68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103,328,992.00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3,960,735.89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9,639,489.28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-58.91%</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583,869,290.93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502,414,854.69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16.21%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714,287,239.38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512,617,142.97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39.34%</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-130,417,948.45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-10,202,288.28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-1,178.32%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233,110,019.19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20,758.72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1,122,849.87%</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2,985,350.57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9,508,910.25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-68.60%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230,124,668.62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-9,488,151.53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2,525.39%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103,667,456.06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-10,050,950.53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1,131.42%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right="0" w:firstLine="420"/>
        <w:jc w:val="left"/>
      </w:pPr>
      <w:r>
        <w:rPr>
          <w:spacing w:val="-2"/>
        </w:rPr>
        <w:t>经营活动产生的现金流量净额同比减少</w:t>
      </w:r>
      <w:r>
        <w:rPr>
          <w:rFonts w:ascii="宋体" w:hAnsi="宋体" w:cs="宋体" w:eastAsia="宋体" w:hint="default"/>
          <w:spacing w:val="-2"/>
        </w:rPr>
        <w:t>58.91%</w:t>
      </w:r>
      <w:r>
        <w:rPr>
          <w:spacing w:val="-2"/>
        </w:rPr>
        <w:t>，主要是报告期内，公司正处在业务转型期，为了提</w:t>
      </w:r>
      <w:r>
        <w:rPr>
          <w:w w:val="100"/>
        </w:rPr>
        <w:t> </w:t>
      </w:r>
      <w:r>
        <w:rPr/>
        <w:t>高产品的运营能力，加大了人力投入及市场宣传推广的投入。</w:t>
      </w:r>
    </w:p>
    <w:p>
      <w:pPr>
        <w:pStyle w:val="BodyText"/>
        <w:spacing w:line="408" w:lineRule="auto"/>
        <w:ind w:right="0" w:firstLine="420"/>
        <w:jc w:val="left"/>
      </w:pPr>
      <w:r>
        <w:rPr/>
        <w:t>投资活动产生的现金流量净额同比减少</w:t>
      </w:r>
      <w:r>
        <w:rPr>
          <w:rFonts w:ascii="宋体" w:hAnsi="宋体" w:cs="宋体" w:eastAsia="宋体" w:hint="default"/>
        </w:rPr>
        <w:t>1178.32%</w:t>
      </w:r>
      <w:r>
        <w:rPr/>
        <w:t>，主要是报告期内，公司投资深圳嘉道方直教育产</w:t>
      </w:r>
      <w:r>
        <w:rPr>
          <w:w w:val="100"/>
        </w:rPr>
        <w:t> </w:t>
      </w:r>
      <w:r>
        <w:rPr>
          <w:spacing w:val="-2"/>
        </w:rPr>
        <w:t>业投资企业（有限合伙），认缴出资额</w:t>
      </w:r>
      <w:r>
        <w:rPr>
          <w:rFonts w:ascii="宋体" w:hAnsi="宋体" w:cs="宋体" w:eastAsia="宋体" w:hint="default"/>
          <w:spacing w:val="-2"/>
        </w:rPr>
        <w:t>12000</w:t>
      </w:r>
      <w:r>
        <w:rPr>
          <w:spacing w:val="-2"/>
        </w:rPr>
        <w:t>万，持有合伙企业</w:t>
      </w:r>
      <w:r>
        <w:rPr>
          <w:rFonts w:ascii="宋体" w:hAnsi="宋体" w:cs="宋体" w:eastAsia="宋体" w:hint="default"/>
          <w:spacing w:val="-2"/>
        </w:rPr>
        <w:t>39.87%</w:t>
      </w:r>
      <w:r>
        <w:rPr>
          <w:spacing w:val="-2"/>
        </w:rPr>
        <w:t>的股份。按合伙协议约定，从合伙</w:t>
      </w:r>
      <w:r>
        <w:rPr>
          <w:spacing w:val="-14"/>
        </w:rPr>
        <w:t> </w:t>
      </w:r>
      <w:r>
        <w:rPr>
          <w:spacing w:val="-14"/>
        </w:rPr>
      </w:r>
      <w:r>
        <w:rPr/>
        <w:t>企业成立之日起，分四年缴足，目前已投资</w:t>
      </w:r>
      <w:r>
        <w:rPr>
          <w:rFonts w:ascii="宋体" w:hAnsi="宋体" w:cs="宋体" w:eastAsia="宋体" w:hint="default"/>
        </w:rPr>
        <w:t>3000</w:t>
      </w:r>
      <w:r>
        <w:rPr/>
        <w:t>万。公司</w:t>
      </w:r>
      <w:r>
        <w:rPr>
          <w:rFonts w:ascii="宋体" w:hAnsi="宋体" w:cs="宋体" w:eastAsia="宋体" w:hint="default"/>
        </w:rPr>
        <w:t>2017</w:t>
      </w:r>
      <w:r>
        <w:rPr/>
        <w:t>年</w:t>
      </w:r>
      <w:r>
        <w:rPr>
          <w:rFonts w:ascii="宋体" w:hAnsi="宋体" w:cs="宋体" w:eastAsia="宋体" w:hint="default"/>
        </w:rPr>
        <w:t>12</w:t>
      </w:r>
      <w:r>
        <w:rPr/>
        <w:t>月与千锋互联及其原股东签署了《关</w:t>
      </w:r>
      <w:r>
        <w:rPr>
          <w:w w:val="100"/>
        </w:rPr>
        <w:t> </w:t>
      </w:r>
      <w:r>
        <w:rPr>
          <w:spacing w:val="-2"/>
        </w:rPr>
        <w:t>于北京千锋互联科技有限公司之退股返还投资款协议》，方直科技退出所占千锋互联</w:t>
      </w:r>
      <w:r>
        <w:rPr>
          <w:rFonts w:ascii="宋体" w:hAnsi="宋体" w:cs="宋体" w:eastAsia="宋体" w:hint="default"/>
          <w:spacing w:val="-2"/>
        </w:rPr>
        <w:t>12%</w:t>
      </w:r>
      <w:r>
        <w:rPr>
          <w:spacing w:val="-2"/>
        </w:rPr>
        <w:t>股份，千锋互联</w:t>
      </w:r>
      <w:r>
        <w:rPr>
          <w:spacing w:val="-21"/>
        </w:rPr>
        <w:t> </w:t>
      </w:r>
      <w:r>
        <w:rPr>
          <w:spacing w:val="-21"/>
        </w:rPr>
      </w:r>
      <w:r>
        <w:rPr/>
        <w:t>及其原股东按协议约定的时间退还投资款，截止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日部分退款未到帐。</w:t>
      </w:r>
    </w:p>
    <w:p>
      <w:pPr>
        <w:pStyle w:val="BodyText"/>
        <w:spacing w:line="408" w:lineRule="auto"/>
        <w:ind w:right="0" w:firstLine="420"/>
        <w:jc w:val="left"/>
      </w:pPr>
      <w:r>
        <w:rPr>
          <w:spacing w:val="-2"/>
        </w:rPr>
        <w:t>筹资活动产生的现金流量净额同比增加</w:t>
      </w:r>
      <w:r>
        <w:rPr>
          <w:rFonts w:ascii="宋体" w:hAnsi="宋体" w:cs="宋体" w:eastAsia="宋体" w:hint="default"/>
          <w:spacing w:val="-2"/>
        </w:rPr>
        <w:t>2525.39%</w:t>
      </w:r>
      <w:r>
        <w:rPr>
          <w:spacing w:val="-2"/>
        </w:rPr>
        <w:t>，主要是报告期内公司非公开发行股票，公司实际</w:t>
      </w:r>
      <w:r>
        <w:rPr>
          <w:w w:val="100"/>
        </w:rPr>
        <w:t> </w:t>
      </w:r>
      <w:r>
        <w:rPr/>
        <w:t>募集资金净额为人民币</w:t>
      </w:r>
      <w:r>
        <w:rPr>
          <w:rFonts w:ascii="宋体" w:hAnsi="宋体" w:cs="宋体" w:eastAsia="宋体" w:hint="default"/>
        </w:rPr>
        <w:t>227,997,145.91</w:t>
      </w:r>
      <w:r>
        <w:rPr/>
        <w:t>元，募集资金已全部到位。</w:t>
      </w:r>
    </w:p>
    <w:p>
      <w:pPr>
        <w:spacing w:line="240" w:lineRule="auto" w:before="2"/>
        <w:rPr>
          <w:rFonts w:ascii="宋体" w:hAnsi="宋体" w:cs="宋体" w:eastAsia="宋体" w:hint="default"/>
          <w:sz w:val="29"/>
          <w:szCs w:val="2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22"/>
        <w:gridCol w:w="1421"/>
        <w:gridCol w:w="1419"/>
        <w:gridCol w:w="3687"/>
        <w:gridCol w:w="1520"/>
      </w:tblGrid>
      <w:tr>
        <w:trPr>
          <w:trHeight w:val="402"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0"/>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3,745,855.84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37.13%</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闲置资金理财收益及对外投资形成收益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不具备</w:t>
            </w:r>
            <w:r>
              <w:rPr>
                <w:rFonts w:ascii="Times New Roman" w:hAnsi="Times New Roman" w:cs="Times New Roman" w:eastAsia="Times New Roman" w:hint="default"/>
                <w:sz w:val="18"/>
                <w:szCs w:val="18"/>
              </w:rPr>
              <w:t>/</w:t>
            </w:r>
            <w:r>
              <w:rPr>
                <w:rFonts w:ascii="宋体" w:hAnsi="宋体" w:cs="宋体" w:eastAsia="宋体" w:hint="default"/>
                <w:sz w:val="18"/>
                <w:szCs w:val="18"/>
              </w:rPr>
              <w:t>具备</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368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1,727,902.79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17.13%</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按谨慎性原则，对存货、应收账款、其他应收 款计提坏帐准备</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具备</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1,411,194.50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13.99%</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计入当期损益的政府补助及其他营业外收入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不具备</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79" w:type="dxa"/>
        <w:tblLayout w:type="fixed"/>
        <w:tblCellMar>
          <w:top w:w="0" w:type="dxa"/>
          <w:left w:w="0" w:type="dxa"/>
          <w:bottom w:w="0" w:type="dxa"/>
          <w:right w:w="0" w:type="dxa"/>
        </w:tblCellMar>
        <w:tblLook w:val="01E0"/>
      </w:tblPr>
      <w:tblGrid>
        <w:gridCol w:w="1524"/>
        <w:gridCol w:w="1421"/>
        <w:gridCol w:w="1419"/>
        <w:gridCol w:w="3687"/>
        <w:gridCol w:w="1520"/>
      </w:tblGrid>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69,233.54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3" w:right="0"/>
              <w:jc w:val="left"/>
              <w:rPr>
                <w:rFonts w:ascii="Times New Roman" w:hAnsi="Times New Roman" w:cs="Times New Roman" w:eastAsia="Times New Roman" w:hint="default"/>
                <w:sz w:val="18"/>
                <w:szCs w:val="18"/>
              </w:rPr>
            </w:pPr>
            <w:r>
              <w:rPr>
                <w:rFonts w:ascii="Times New Roman"/>
                <w:sz w:val="18"/>
              </w:rPr>
              <w:t>0.69%</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陈旧的电子设备已提完折旧，报废处理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不具备</w:t>
            </w:r>
          </w:p>
        </w:tc>
      </w:tr>
    </w:tbl>
    <w:p>
      <w:pPr>
        <w:spacing w:line="240" w:lineRule="auto" w:before="3"/>
        <w:rPr>
          <w:rFonts w:ascii="宋体" w:hAnsi="宋体" w:cs="宋体" w:eastAsia="宋体" w:hint="default"/>
          <w:sz w:val="18"/>
          <w:szCs w:val="18"/>
        </w:rPr>
      </w:pPr>
    </w:p>
    <w:p>
      <w:pPr>
        <w:pStyle w:val="Heading3"/>
        <w:spacing w:line="367" w:lineRule="exact"/>
        <w:ind w:right="0"/>
        <w:jc w:val="left"/>
        <w:rPr>
          <w:b w:val="0"/>
          <w:bCs w:val="0"/>
        </w:rPr>
      </w:pPr>
      <w:r>
        <w:rPr/>
        <w:t>四、资产及负债状况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243"/>
        <w:gridCol w:w="1419"/>
        <w:gridCol w:w="934"/>
        <w:gridCol w:w="1335"/>
        <w:gridCol w:w="924"/>
        <w:gridCol w:w="797"/>
        <w:gridCol w:w="2919"/>
      </w:tblGrid>
      <w:tr>
        <w:trPr>
          <w:trHeight w:val="383" w:hRule="exact"/>
        </w:trPr>
        <w:tc>
          <w:tcPr>
            <w:tcW w:w="1243" w:type="dxa"/>
            <w:vMerge w:val="restart"/>
            <w:tcBorders>
              <w:top w:val="single" w:sz="4" w:space="0" w:color="000000"/>
              <w:left w:val="single" w:sz="4" w:space="0" w:color="000000"/>
              <w:right w:val="single" w:sz="4" w:space="0" w:color="000000"/>
            </w:tcBorders>
            <w:shd w:val="clear" w:color="auto" w:fill="D2D2D2"/>
          </w:tcPr>
          <w:p>
            <w:pPr/>
          </w:p>
        </w:tc>
        <w:tc>
          <w:tcPr>
            <w:tcW w:w="23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3" w:hRule="exact"/>
        </w:trPr>
        <w:tc>
          <w:tcPr>
            <w:tcW w:w="1243" w:type="dxa"/>
            <w:vMerge/>
            <w:tcBorders>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83" w:right="9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78" w:right="9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124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1335"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166,476,159.08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27.35%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62,808,703.02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3"/>
              <w:jc w:val="left"/>
              <w:rPr>
                <w:rFonts w:ascii="宋体" w:hAnsi="宋体" w:cs="宋体" w:eastAsia="宋体" w:hint="default"/>
                <w:sz w:val="18"/>
                <w:szCs w:val="18"/>
              </w:rPr>
            </w:pPr>
            <w:r>
              <w:rPr>
                <w:rFonts w:ascii="宋体" w:hAnsi="宋体" w:cs="宋体" w:eastAsia="宋体" w:hint="default"/>
                <w:sz w:val="18"/>
                <w:szCs w:val="18"/>
              </w:rPr>
              <w:t>主要是报告期内公司非公开发行股 票，募集资金已全部到位。</w:t>
            </w:r>
          </w:p>
        </w:tc>
      </w:tr>
      <w:tr>
        <w:trPr>
          <w:trHeight w:val="401"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34,958,886.38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26,196,923.43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8,788,530.38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8,706,463.09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-0.90%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80,284,774.14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50,015,127.60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68"/>
              <w:jc w:val="left"/>
              <w:rPr>
                <w:rFonts w:ascii="宋体" w:hAnsi="宋体" w:cs="宋体" w:eastAsia="宋体" w:hint="default"/>
                <w:sz w:val="18"/>
                <w:szCs w:val="18"/>
              </w:rPr>
            </w:pPr>
            <w:r>
              <w:rPr>
                <w:rFonts w:ascii="宋体" w:hAnsi="宋体" w:cs="宋体" w:eastAsia="宋体" w:hint="default"/>
                <w:sz w:val="18"/>
                <w:szCs w:val="18"/>
              </w:rPr>
              <w:t>公司投资深圳嘉道方直教育产业投 </w:t>
            </w:r>
            <w:r>
              <w:rPr>
                <w:rFonts w:ascii="宋体" w:hAnsi="宋体" w:cs="宋体" w:eastAsia="宋体" w:hint="default"/>
                <w:spacing w:val="-6"/>
                <w:sz w:val="18"/>
                <w:szCs w:val="18"/>
              </w:rPr>
              <w:t>资企业（有限合伙），认缴出资额</w:t>
            </w:r>
            <w:r>
              <w:rPr>
                <w:rFonts w:ascii="宋体" w:hAnsi="宋体" w:cs="宋体" w:eastAsia="宋体" w:hint="default"/>
                <w:sz w:val="18"/>
                <w:szCs w:val="18"/>
              </w:rPr>
              <w:t> </w:t>
            </w:r>
            <w:r>
              <w:rPr>
                <w:rFonts w:ascii="Times New Roman" w:hAnsi="Times New Roman" w:cs="Times New Roman" w:eastAsia="Times New Roman" w:hint="default"/>
                <w:sz w:val="18"/>
                <w:szCs w:val="18"/>
              </w:rPr>
              <w:t>12000 </w:t>
            </w:r>
            <w:r>
              <w:rPr>
                <w:rFonts w:ascii="宋体" w:hAnsi="宋体" w:cs="宋体" w:eastAsia="宋体" w:hint="default"/>
                <w:sz w:val="18"/>
                <w:szCs w:val="18"/>
              </w:rPr>
              <w:t>万，持有合伙企业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39.87%</w:t>
            </w:r>
            <w:r>
              <w:rPr>
                <w:rFonts w:ascii="宋体" w:hAnsi="宋体" w:cs="宋体" w:eastAsia="宋体" w:hint="default"/>
                <w:sz w:val="18"/>
                <w:szCs w:val="18"/>
              </w:rPr>
              <w:t>的 股份。按合伙协议约定，从合伙企 业成立之日起，分四年缴足，目前 已投资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713"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97,878,613.23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19,016,004.01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为改善公司办公环境，所购置的新 办公楼投入使用</w:t>
            </w:r>
          </w:p>
        </w:tc>
      </w:tr>
      <w:tr>
        <w:trPr>
          <w:trHeight w:val="715"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317,751.00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77,087,905.04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83"/>
              <w:jc w:val="left"/>
              <w:rPr>
                <w:rFonts w:ascii="宋体" w:hAnsi="宋体" w:cs="宋体" w:eastAsia="宋体" w:hint="default"/>
                <w:sz w:val="18"/>
                <w:szCs w:val="18"/>
              </w:rPr>
            </w:pPr>
            <w:r>
              <w:rPr>
                <w:rFonts w:ascii="宋体" w:hAnsi="宋体" w:cs="宋体" w:eastAsia="宋体" w:hint="default"/>
                <w:sz w:val="18"/>
                <w:szCs w:val="18"/>
              </w:rPr>
              <w:t>为改善公司办公环境，所购置的新 办公楼投入使用</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3" w:right="61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Microsoft JhengHei" w:hAnsi="Microsoft JhengHei" w:cs="Microsoft JhengHei" w:eastAsia="Microsoft JhengHei" w:hint="default"/>
          <w:b/>
          <w:bCs/>
          <w:spacing w:val="-1"/>
          <w:sz w:val="21"/>
          <w:szCs w:val="21"/>
        </w:rPr>
        <w:t>、截至报告期末的资产权利受限情况</w:t>
      </w:r>
      <w:r>
        <w:rPr>
          <w:rFonts w:ascii="Microsoft JhengHei" w:hAnsi="Microsoft JhengHei" w:cs="Microsoft JhengHei" w:eastAsia="Microsoft JhengHei" w:hint="default"/>
          <w:b/>
          <w:bCs/>
          <w:spacing w:val="-22"/>
          <w:sz w:val="21"/>
          <w:szCs w:val="21"/>
        </w:rPr>
        <w:t> </w:t>
      </w:r>
      <w:r>
        <w:rPr>
          <w:rFonts w:ascii="Microsoft JhengHei" w:hAnsi="Microsoft JhengHei" w:cs="Microsoft JhengHei" w:eastAsia="Microsoft JhengHei" w:hint="default"/>
          <w:b/>
          <w:bCs/>
          <w:spacing w:val="-22"/>
          <w:sz w:val="21"/>
          <w:szCs w:val="21"/>
        </w:rPr>
      </w:r>
      <w:r>
        <w:rPr>
          <w:rFonts w:ascii="宋体" w:hAnsi="宋体" w:cs="宋体" w:eastAsia="宋体" w:hint="default"/>
          <w:sz w:val="18"/>
          <w:szCs w:val="18"/>
        </w:rPr>
        <w:t>无</w:t>
      </w:r>
    </w:p>
    <w:p>
      <w:pPr>
        <w:spacing w:after="0" w:line="482" w:lineRule="auto"/>
        <w:jc w:val="left"/>
        <w:rPr>
          <w:rFonts w:ascii="宋体" w:hAnsi="宋体" w:cs="宋体" w:eastAsia="宋体" w:hint="default"/>
          <w:sz w:val="18"/>
          <w:szCs w:val="18"/>
        </w:rPr>
        <w:sectPr>
          <w:pgSz w:w="11910" w:h="16840"/>
          <w:pgMar w:header="748" w:footer="979" w:top="1060" w:bottom="1160" w:left="980" w:right="980"/>
        </w:sectPr>
      </w:pPr>
    </w:p>
    <w:p>
      <w:pPr>
        <w:pStyle w:val="Heading3"/>
        <w:spacing w:line="369" w:lineRule="exact"/>
        <w:ind w:left="140" w:right="0"/>
        <w:jc w:val="left"/>
        <w:rPr>
          <w:b w:val="0"/>
          <w:bCs w:val="0"/>
        </w:rPr>
      </w:pPr>
      <w:r>
        <w:rPr/>
        <w:pict>
          <v:group style="position:absolute;margin-left:70.559998pt;margin-top:2.102063pt;width:700.9pt;height:.1pt;mso-position-horizontal-relative:page;mso-position-vertical-relative:paragraph;z-index:-722632" coordorigin="1411,42" coordsize="14018,2">
            <v:shape style="position:absolute;left:1411;top:42;width:14018;height:2" coordorigin="1411,42" coordsize="14018,0" path="m1411,42l15429,42e" filled="false" stroked="true" strokeweight=".72pt" strokecolor="#000000">
              <v:path arrowok="t"/>
            </v:shape>
            <w10:wrap type="none"/>
          </v:group>
        </w:pict>
      </w: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left="140"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9" w:right="0"/>
              <w:jc w:val="left"/>
              <w:rPr>
                <w:rFonts w:ascii="Times New Roman" w:hAnsi="Times New Roman" w:cs="Times New Roman" w:eastAsia="Times New Roman" w:hint="default"/>
                <w:sz w:val="18"/>
                <w:szCs w:val="18"/>
              </w:rPr>
            </w:pPr>
            <w:r>
              <w:rPr>
                <w:rFonts w:ascii="Times New Roman"/>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-41.29%</w:t>
            </w:r>
          </w:p>
        </w:tc>
      </w:tr>
    </w:tbl>
    <w:p>
      <w:pPr>
        <w:spacing w:line="240" w:lineRule="auto" w:before="5"/>
        <w:rPr>
          <w:rFonts w:ascii="宋体" w:hAnsi="宋体" w:cs="宋体" w:eastAsia="宋体" w:hint="default"/>
          <w:sz w:val="19"/>
          <w:szCs w:val="19"/>
        </w:rPr>
      </w:pPr>
    </w:p>
    <w:p>
      <w:pPr>
        <w:pStyle w:val="Heading5"/>
        <w:spacing w:line="335" w:lineRule="exact"/>
        <w:ind w:left="140"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3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414"/>
        <w:gridCol w:w="991"/>
        <w:gridCol w:w="566"/>
        <w:gridCol w:w="1136"/>
        <w:gridCol w:w="991"/>
        <w:gridCol w:w="852"/>
        <w:gridCol w:w="1558"/>
        <w:gridCol w:w="569"/>
        <w:gridCol w:w="1418"/>
        <w:gridCol w:w="1133"/>
        <w:gridCol w:w="1275"/>
        <w:gridCol w:w="427"/>
        <w:gridCol w:w="953"/>
        <w:gridCol w:w="722"/>
      </w:tblGrid>
      <w:tr>
        <w:trPr>
          <w:trHeight w:val="1028"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9"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3"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18"/>
              <w:jc w:val="left"/>
              <w:rPr>
                <w:rFonts w:ascii="宋体" w:hAnsi="宋体" w:cs="宋体" w:eastAsia="宋体" w:hint="default"/>
                <w:sz w:val="18"/>
                <w:szCs w:val="18"/>
              </w:rPr>
            </w:pPr>
            <w:r>
              <w:rPr>
                <w:rFonts w:ascii="宋体" w:hAnsi="宋体" w:cs="宋体" w:eastAsia="宋体" w:hint="default"/>
                <w:sz w:val="18"/>
                <w:szCs w:val="18"/>
              </w:rPr>
              <w:t>深圳嘉道方直教 育产业投资企业</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55"/>
              <w:jc w:val="left"/>
              <w:rPr>
                <w:rFonts w:ascii="宋体" w:hAnsi="宋体" w:cs="宋体" w:eastAsia="宋体" w:hint="default"/>
                <w:sz w:val="18"/>
                <w:szCs w:val="18"/>
              </w:rPr>
            </w:pPr>
            <w:r>
              <w:rPr>
                <w:rFonts w:ascii="宋体" w:hAnsi="宋体" w:cs="宋体" w:eastAsia="宋体" w:hint="default"/>
                <w:sz w:val="18"/>
                <w:szCs w:val="18"/>
              </w:rPr>
              <w:t>创业投资， 投资咨询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新设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39.87%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2"/>
              <w:jc w:val="both"/>
              <w:rPr>
                <w:rFonts w:ascii="宋体" w:hAnsi="宋体" w:cs="宋体" w:eastAsia="宋体" w:hint="default"/>
                <w:sz w:val="18"/>
                <w:szCs w:val="18"/>
              </w:rPr>
            </w:pPr>
            <w:r>
              <w:rPr>
                <w:rFonts w:ascii="宋体" w:hAnsi="宋体" w:cs="宋体" w:eastAsia="宋体" w:hint="default"/>
                <w:sz w:val="18"/>
                <w:szCs w:val="18"/>
              </w:rPr>
              <w:t>深圳嘉道谷投资管 理有限公司、深圳 嘉道功程股权投资 基金（有限合伙）</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2"/>
              <w:jc w:val="both"/>
              <w:rPr>
                <w:rFonts w:ascii="宋体" w:hAnsi="宋体" w:cs="宋体" w:eastAsia="宋体" w:hint="default"/>
                <w:sz w:val="18"/>
                <w:szCs w:val="18"/>
              </w:rPr>
            </w:pPr>
            <w:r>
              <w:rPr>
                <w:rFonts w:ascii="宋体" w:hAnsi="宋体" w:cs="宋体" w:eastAsia="宋体" w:hint="default"/>
                <w:sz w:val="18"/>
                <w:szCs w:val="18"/>
              </w:rPr>
              <w:t>从事以教育领域 为主的股权投资 及投资管理业务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-554,382.46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46"/>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404"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30,000,000.00</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-554,382.46</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6"/>
              <w:jc w:val="right"/>
              <w:rPr>
                <w:rFonts w:ascii="Times New Roman" w:hAnsi="Times New Roman" w:cs="Times New Roman" w:eastAsia="Times New Roman" w:hint="default"/>
                <w:sz w:val="18"/>
                <w:szCs w:val="18"/>
              </w:rPr>
            </w:pPr>
            <w:r>
              <w:rPr>
                <w:rFonts w:ascii="Times New Roman"/>
                <w:sz w:val="18"/>
              </w:rPr>
              <w:t>--</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5"/>
        <w:spacing w:line="335" w:lineRule="exact"/>
        <w:ind w:left="140"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left="140"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21"/>
          <w:footerReference w:type="default" r:id="rId22"/>
          <w:pgSz w:w="16840" w:h="11910" w:orient="landscape"/>
          <w:pgMar w:header="870" w:footer="979" w:top="1060" w:bottom="1160" w:left="1300" w:right="1300"/>
          <w:pgNumType w:start="5"/>
        </w:sectPr>
      </w:pPr>
    </w:p>
    <w:p>
      <w:pPr>
        <w:pStyle w:val="Heading5"/>
        <w:spacing w:line="352" w:lineRule="exact"/>
        <w:ind w:left="140" w:right="0"/>
        <w:jc w:val="left"/>
        <w:rPr>
          <w:b w:val="0"/>
          <w:bCs w:val="0"/>
        </w:rPr>
      </w:pPr>
      <w:r>
        <w:rPr/>
        <w:pict>
          <v:group style="position:absolute;margin-left:70.559998pt;margin-top:2.102063pt;width:700.9pt;height:.1pt;mso-position-horizontal-relative:page;mso-position-vertical-relative:paragraph;z-index:-722608" coordorigin="1411,42" coordsize="14018,2">
            <v:shape style="position:absolute;left:1411;top:42;width:14018;height:2" coordorigin="1411,42" coordsize="14018,0" path="m1411,42l15429,42e" filled="false" stroked="true" strokeweight=".72pt" strokecolor="#000000">
              <v:path arrowok="t"/>
            </v:shape>
            <w10:wrap type="none"/>
          </v:group>
        </w:pict>
      </w: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left="140"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2"/>
        <w:ind w:left="0" w:right="19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864"/>
        <w:gridCol w:w="1370"/>
        <w:gridCol w:w="852"/>
        <w:gridCol w:w="1275"/>
        <w:gridCol w:w="1277"/>
        <w:gridCol w:w="991"/>
        <w:gridCol w:w="1419"/>
        <w:gridCol w:w="1133"/>
        <w:gridCol w:w="1277"/>
        <w:gridCol w:w="2693"/>
        <w:gridCol w:w="852"/>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4"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9" w:right="60"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9" w:right="92"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41"/>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3" w:right="72" w:hanging="89"/>
              <w:jc w:val="left"/>
              <w:rPr>
                <w:rFonts w:ascii="宋体" w:hAnsi="宋体" w:cs="宋体" w:eastAsia="宋体" w:hint="default"/>
                <w:sz w:val="18"/>
                <w:szCs w:val="18"/>
              </w:rPr>
            </w:pPr>
            <w:r>
              <w:rPr>
                <w:rFonts w:ascii="宋体" w:hAnsi="宋体" w:cs="宋体" w:eastAsia="宋体" w:hint="default"/>
                <w:sz w:val="18"/>
                <w:szCs w:val="18"/>
              </w:rPr>
              <w:t>累计变更用途的 募集资金总额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10"/>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尚未使用募集资金用途及去向</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60"/>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公开发行股票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18,563.28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17,665.41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897.87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140"/>
              <w:jc w:val="left"/>
              <w:rPr>
                <w:rFonts w:ascii="宋体" w:hAnsi="宋体" w:cs="宋体" w:eastAsia="宋体" w:hint="default"/>
                <w:sz w:val="18"/>
                <w:szCs w:val="18"/>
              </w:rPr>
            </w:pPr>
            <w:r>
              <w:rPr>
                <w:rFonts w:ascii="宋体" w:hAnsi="宋体" w:cs="宋体" w:eastAsia="宋体" w:hint="default"/>
                <w:sz w:val="18"/>
                <w:szCs w:val="18"/>
              </w:rPr>
              <w:t>剩余募集资金及利息永久性补充 流动资金，已转入自有资金账户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22,799.72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1,163.92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1,163.92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21,635.8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存放在募集资金专户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41,363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1,247.11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18,829.33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22,533.67</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00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5" w:hRule="exact"/>
        </w:trPr>
        <w:tc>
          <w:tcPr>
            <w:tcW w:w="140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公司严格按照《公司法</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证</w:t>
            </w:r>
            <w:r>
              <w:rPr>
                <w:rFonts w:ascii="宋体" w:hAnsi="宋体" w:cs="宋体" w:eastAsia="宋体" w:hint="default"/>
                <w:sz w:val="18"/>
                <w:szCs w:val="18"/>
              </w:rPr>
              <w:t>券法</w:t>
            </w:r>
            <w:r>
              <w:rPr>
                <w:rFonts w:ascii="宋体" w:hAnsi="宋体" w:cs="宋体" w:eastAsia="宋体" w:hint="default"/>
                <w:spacing w:val="-92"/>
                <w:sz w:val="18"/>
                <w:szCs w:val="18"/>
              </w:rPr>
              <w:t>》、</w:t>
            </w:r>
            <w:r>
              <w:rPr>
                <w:rFonts w:ascii="宋体" w:hAnsi="宋体" w:cs="宋体" w:eastAsia="宋体" w:hint="default"/>
                <w:sz w:val="18"/>
                <w:szCs w:val="18"/>
              </w:rPr>
              <w:t>《深圳证券交易所创</w:t>
            </w:r>
            <w:r>
              <w:rPr>
                <w:rFonts w:ascii="宋体" w:hAnsi="宋体" w:cs="宋体" w:eastAsia="宋体" w:hint="default"/>
                <w:spacing w:val="2"/>
                <w:sz w:val="18"/>
                <w:szCs w:val="18"/>
              </w:rPr>
              <w:t>业</w:t>
            </w:r>
            <w:r>
              <w:rPr>
                <w:rFonts w:ascii="宋体" w:hAnsi="宋体" w:cs="宋体" w:eastAsia="宋体" w:hint="default"/>
                <w:sz w:val="18"/>
                <w:szCs w:val="18"/>
              </w:rPr>
              <w:t>板股票上市规则</w:t>
            </w:r>
            <w:r>
              <w:rPr>
                <w:rFonts w:ascii="宋体" w:hAnsi="宋体" w:cs="宋体" w:eastAsia="宋体" w:hint="default"/>
                <w:spacing w:val="-92"/>
                <w:sz w:val="18"/>
                <w:szCs w:val="18"/>
              </w:rPr>
              <w:t>》、</w:t>
            </w:r>
            <w:r>
              <w:rPr>
                <w:rFonts w:ascii="宋体" w:hAnsi="宋体" w:cs="宋体" w:eastAsia="宋体" w:hint="default"/>
                <w:sz w:val="18"/>
                <w:szCs w:val="18"/>
              </w:rPr>
              <w:t>《深圳证</w:t>
            </w:r>
            <w:r>
              <w:rPr>
                <w:rFonts w:ascii="宋体" w:hAnsi="宋体" w:cs="宋体" w:eastAsia="宋体" w:hint="default"/>
                <w:spacing w:val="2"/>
                <w:sz w:val="18"/>
                <w:szCs w:val="18"/>
              </w:rPr>
              <w:t>券</w:t>
            </w:r>
            <w:r>
              <w:rPr>
                <w:rFonts w:ascii="宋体" w:hAnsi="宋体" w:cs="宋体" w:eastAsia="宋体" w:hint="default"/>
                <w:sz w:val="18"/>
                <w:szCs w:val="18"/>
              </w:rPr>
              <w:t>交易所创业板上市公司规范运作指引》以及中国证监会相关法律法规的规定和要求、</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《募集资金管理制度》等规定使用募集资金，并及时、真实、准确、完整履行相关信息披露工作，不存在违规使用募集资金的情形。</w:t>
            </w:r>
          </w:p>
        </w:tc>
      </w:tr>
    </w:tbl>
    <w:p>
      <w:pPr>
        <w:spacing w:line="240" w:lineRule="auto" w:before="6"/>
        <w:rPr>
          <w:rFonts w:ascii="宋体" w:hAnsi="宋体" w:cs="宋体" w:eastAsia="宋体" w:hint="default"/>
          <w:sz w:val="19"/>
          <w:szCs w:val="19"/>
        </w:rPr>
      </w:pPr>
    </w:p>
    <w:p>
      <w:pPr>
        <w:pStyle w:val="Heading5"/>
        <w:spacing w:line="335" w:lineRule="exact"/>
        <w:ind w:left="140"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9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376"/>
        <w:gridCol w:w="852"/>
        <w:gridCol w:w="992"/>
        <w:gridCol w:w="991"/>
        <w:gridCol w:w="852"/>
        <w:gridCol w:w="1275"/>
        <w:gridCol w:w="1277"/>
        <w:gridCol w:w="1560"/>
        <w:gridCol w:w="1275"/>
        <w:gridCol w:w="994"/>
        <w:gridCol w:w="1416"/>
      </w:tblGrid>
      <w:tr>
        <w:trPr>
          <w:trHeight w:val="1026"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2" w:right="105" w:hanging="992"/>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31" w:right="2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6" w:right="38"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6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7" w:right="89"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 投入金额</w:t>
            </w:r>
            <w:r>
              <w:rPr>
                <w:rFonts w:ascii="Times New Roman" w:hAnsi="Times New Roman" w:cs="Times New Roman" w:eastAsia="Times New Roman"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firstLine="69"/>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截至期末投资 进度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4" w:right="53"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0" w:right="92" w:hanging="269"/>
              <w:jc w:val="left"/>
              <w:rPr>
                <w:rFonts w:ascii="宋体" w:hAnsi="宋体" w:cs="宋体" w:eastAsia="宋体" w:hint="default"/>
                <w:sz w:val="18"/>
                <w:szCs w:val="18"/>
              </w:rPr>
            </w:pPr>
            <w:r>
              <w:rPr>
                <w:rFonts w:ascii="宋体" w:hAnsi="宋体" w:cs="宋体" w:eastAsia="宋体" w:hint="default"/>
                <w:sz w:val="18"/>
                <w:szCs w:val="18"/>
              </w:rPr>
              <w:t>本报告期实现 的效益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3" w:right="72" w:hanging="92"/>
              <w:jc w:val="left"/>
              <w:rPr>
                <w:rFonts w:ascii="宋体" w:hAnsi="宋体" w:cs="宋体" w:eastAsia="宋体" w:hint="default"/>
                <w:sz w:val="18"/>
                <w:szCs w:val="18"/>
              </w:rPr>
            </w:pPr>
            <w:r>
              <w:rPr>
                <w:rFonts w:ascii="宋体" w:hAnsi="宋体" w:cs="宋体" w:eastAsia="宋体" w:hint="default"/>
                <w:sz w:val="18"/>
                <w:szCs w:val="18"/>
              </w:rPr>
              <w:t>项目可行性是否 发生重大变化</w:t>
            </w:r>
          </w:p>
        </w:tc>
      </w:tr>
      <w:tr>
        <w:trPr>
          <w:trHeight w:val="402" w:hRule="exact"/>
        </w:trPr>
        <w:tc>
          <w:tcPr>
            <w:tcW w:w="1386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6840" w:h="11910" w:orient="landscape"/>
          <w:pgMar w:header="870" w:footer="979" w:top="1060" w:bottom="1160" w:left="1300" w:right="1240"/>
        </w:sectPr>
      </w:pPr>
    </w:p>
    <w:p>
      <w:pPr>
        <w:spacing w:line="240" w:lineRule="auto" w:before="0"/>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376"/>
        <w:gridCol w:w="852"/>
        <w:gridCol w:w="992"/>
        <w:gridCol w:w="991"/>
        <w:gridCol w:w="852"/>
        <w:gridCol w:w="1275"/>
        <w:gridCol w:w="1277"/>
        <w:gridCol w:w="1560"/>
        <w:gridCol w:w="1275"/>
        <w:gridCol w:w="994"/>
        <w:gridCol w:w="1416"/>
      </w:tblGrid>
      <w:tr>
        <w:trPr>
          <w:trHeight w:val="730" w:hRule="exact"/>
        </w:trPr>
        <w:tc>
          <w:tcPr>
            <w:tcW w:w="2376" w:type="dxa"/>
            <w:tcBorders>
              <w:top w:val="single" w:sz="15" w:space="0" w:color="000000"/>
              <w:left w:val="single" w:sz="4" w:space="0" w:color="000000"/>
              <w:bottom w:val="single" w:sz="4" w:space="0" w:color="000000"/>
              <w:right w:val="single" w:sz="4" w:space="0" w:color="000000"/>
            </w:tcBorders>
          </w:tcPr>
          <w:p>
            <w:pPr>
              <w:pStyle w:val="TableParagraph"/>
              <w:spacing w:line="297" w:lineRule="auto" w:before="53"/>
              <w:ind w:left="21"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中小学英语同步教育软件项 目升级及版本扩产项目</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3,528</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3,528</w:t>
            </w:r>
          </w:p>
        </w:tc>
        <w:tc>
          <w:tcPr>
            <w:tcW w:w="852"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3,700.77</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1,136.45</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1"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中小学多学科（不含英语） 同步教育软件项目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2,724</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营销服务中心建设项目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2,361.23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研发中心建设项目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1,221.64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、教学研云平台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14,174.54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14,174.54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、同步资源学习系统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8,625.18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8,625.18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60"/>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32,951.72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32,951.72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1,163.92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10,995.86</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73" w:right="0"/>
              <w:jc w:val="lef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438.32</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3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641"/>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386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1"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其他与主营业务相关的营 运资金项目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8,411.28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8,411.28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7,833.47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60"/>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41"/>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60"/>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8,411.28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8,411.28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7,833.47</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73" w:right="0"/>
              <w:jc w:val="lef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3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641"/>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60"/>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18,829.33</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438.32</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41"/>
              <w:jc w:val="right"/>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 w:right="183"/>
              <w:jc w:val="left"/>
              <w:rPr>
                <w:rFonts w:ascii="宋体" w:hAnsi="宋体" w:cs="宋体" w:eastAsia="宋体" w:hint="default"/>
                <w:sz w:val="18"/>
                <w:szCs w:val="18"/>
              </w:rPr>
            </w:pPr>
            <w:r>
              <w:rPr>
                <w:rFonts w:ascii="宋体" w:hAnsi="宋体" w:cs="宋体" w:eastAsia="宋体" w:hint="default"/>
                <w:sz w:val="18"/>
                <w:szCs w:val="18"/>
              </w:rPr>
              <w:t>未达到计划进度或预计收益 的情况和原因（分具体项 目）</w:t>
            </w:r>
          </w:p>
        </w:tc>
        <w:tc>
          <w:tcPr>
            <w:tcW w:w="114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7" w:firstLine="360"/>
              <w:jc w:val="both"/>
              <w:rPr>
                <w:rFonts w:ascii="宋体" w:hAnsi="宋体" w:cs="宋体" w:eastAsia="宋体" w:hint="default"/>
                <w:sz w:val="18"/>
                <w:szCs w:val="18"/>
              </w:rPr>
            </w:pPr>
            <w:r>
              <w:rPr>
                <w:rFonts w:ascii="宋体" w:hAnsi="宋体" w:cs="宋体" w:eastAsia="宋体" w:hint="default"/>
                <w:spacing w:val="-3"/>
                <w:sz w:val="18"/>
                <w:szCs w:val="18"/>
              </w:rPr>
              <w:t>首发募投项目《中小学多学科（不含英语）同步教育软件项目》、《中小学英语同步教育软件项目升级及版本扩产项目》因项目周期长，随着</w:t>
            </w:r>
            <w:r>
              <w:rPr>
                <w:rFonts w:ascii="宋体" w:hAnsi="宋体" w:cs="宋体" w:eastAsia="宋体" w:hint="default"/>
                <w:sz w:val="18"/>
                <w:szCs w:val="18"/>
              </w:rPr>
              <w:t> 时间的推移及计算机及网络相关技术飞速发展，用户的使用环境已经发生了较大的变化，光驱等相关设备快速消失，原产品已经到了产品生命周 期末期。公司当前的销售方向，已转向升级的网络产品，所以，相关产品收入会下降。原产品将逐步退出市场被新型网络产品替换。</w:t>
            </w:r>
          </w:p>
        </w:tc>
      </w:tr>
      <w:tr>
        <w:trPr>
          <w:trHeight w:val="71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183"/>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114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6" w:lineRule="auto"/>
              <w:ind w:left="21" w:right="183"/>
              <w:jc w:val="left"/>
              <w:rPr>
                <w:rFonts w:ascii="宋体" w:hAnsi="宋体" w:cs="宋体" w:eastAsia="宋体" w:hint="default"/>
                <w:sz w:val="18"/>
                <w:szCs w:val="18"/>
              </w:rPr>
            </w:pPr>
            <w:r>
              <w:rPr>
                <w:rFonts w:ascii="宋体" w:hAnsi="宋体" w:cs="宋体" w:eastAsia="宋体" w:hint="default"/>
                <w:sz w:val="18"/>
                <w:szCs w:val="18"/>
              </w:rPr>
              <w:t>超募资金的金额、用途及使 用进展情况</w:t>
            </w:r>
          </w:p>
        </w:tc>
        <w:tc>
          <w:tcPr>
            <w:tcW w:w="114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2" w:hRule="exact"/>
        </w:trPr>
        <w:tc>
          <w:tcPr>
            <w:tcW w:w="2376" w:type="dxa"/>
            <w:vMerge/>
            <w:tcBorders>
              <w:left w:val="single" w:sz="4" w:space="0" w:color="000000"/>
              <w:bottom w:val="single" w:sz="4" w:space="0" w:color="000000"/>
              <w:right w:val="single" w:sz="4" w:space="0" w:color="000000"/>
            </w:tcBorders>
            <w:shd w:val="clear" w:color="auto" w:fill="D2D2D2"/>
          </w:tcPr>
          <w:p>
            <w:pPr/>
          </w:p>
        </w:tc>
        <w:tc>
          <w:tcPr>
            <w:tcW w:w="114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超募资金金额为</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8,411.28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万元，截至</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日超募资金已使用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7833.47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万元，用于购置深圳办公房产及装修，该超募资金的使用</w:t>
            </w:r>
          </w:p>
          <w:p>
            <w:pPr>
              <w:pStyle w:val="TableParagraph"/>
              <w:spacing w:line="307" w:lineRule="auto" w:before="63"/>
              <w:ind w:left="23" w:right="106"/>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年第一次临时股东大会及公司第二届董事会第八次会议审议通过。</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日，公司召开第三届董事会第二十六次会议和第 </w:t>
            </w:r>
            <w:r>
              <w:rPr>
                <w:rFonts w:ascii="宋体" w:hAnsi="宋体" w:cs="宋体" w:eastAsia="宋体" w:hint="default"/>
                <w:spacing w:val="-2"/>
                <w:sz w:val="18"/>
                <w:szCs w:val="18"/>
              </w:rPr>
              <w:t>三届监事会第二十二次会议审议通过了《关于使用首次公开发行股票剩余超募资金及利息永久补充流动资金的议案》，将首次公开发行股票剩余</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超募资金永久补充流动资金。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年第三次临时股东大会审议通过了上述议案</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日公司将超 募集资金专户节余额及利息转入自有资金账户并进行销户处理。</w:t>
            </w:r>
          </w:p>
        </w:tc>
      </w:tr>
    </w:tbl>
    <w:p>
      <w:pPr>
        <w:spacing w:after="0" w:line="307" w:lineRule="auto"/>
        <w:jc w:val="left"/>
        <w:rPr>
          <w:rFonts w:ascii="宋体" w:hAnsi="宋体" w:cs="宋体" w:eastAsia="宋体" w:hint="default"/>
          <w:sz w:val="18"/>
          <w:szCs w:val="18"/>
        </w:rPr>
        <w:sectPr>
          <w:pgSz w:w="16840" w:h="11910" w:orient="landscape"/>
          <w:pgMar w:header="870" w:footer="979" w:top="1060" w:bottom="1160" w:left="1360" w:right="1320"/>
        </w:sectPr>
      </w:pPr>
    </w:p>
    <w:p>
      <w:pPr>
        <w:spacing w:line="240" w:lineRule="auto" w:before="0"/>
        <w:rPr>
          <w:rFonts w:ascii="Times New Roman" w:hAnsi="Times New Roman" w:cs="Times New Roman" w:eastAsia="Times New Roman"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2376"/>
        <w:gridCol w:w="11483"/>
      </w:tblGrid>
      <w:tr>
        <w:trPr>
          <w:trHeight w:val="418" w:hRule="exact"/>
        </w:trPr>
        <w:tc>
          <w:tcPr>
            <w:tcW w:w="2376"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21" w:right="183"/>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114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2376" w:type="dxa"/>
            <w:vMerge/>
            <w:tcBorders>
              <w:left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7" w:hRule="exact"/>
        </w:trPr>
        <w:tc>
          <w:tcPr>
            <w:tcW w:w="2376" w:type="dxa"/>
            <w:vMerge/>
            <w:tcBorders>
              <w:left w:val="single" w:sz="4" w:space="0" w:color="000000"/>
              <w:bottom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日公告《关</w:t>
            </w:r>
            <w:r>
              <w:rPr>
                <w:rFonts w:ascii="宋体" w:hAnsi="宋体" w:cs="宋体" w:eastAsia="宋体" w:hint="default"/>
                <w:spacing w:val="-3"/>
                <w:sz w:val="18"/>
                <w:szCs w:val="18"/>
              </w:rPr>
              <w:t>于</w:t>
            </w:r>
            <w:r>
              <w:rPr>
                <w:rFonts w:ascii="宋体" w:hAnsi="宋体" w:cs="宋体" w:eastAsia="宋体" w:hint="default"/>
                <w:sz w:val="18"/>
                <w:szCs w:val="18"/>
              </w:rPr>
              <w:t>募投项目部分实施地变更</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将</w:t>
            </w:r>
            <w:r>
              <w:rPr>
                <w:rFonts w:ascii="宋体" w:hAnsi="宋体" w:cs="宋体" w:eastAsia="宋体" w:hint="default"/>
                <w:sz w:val="18"/>
                <w:szCs w:val="18"/>
              </w:rPr>
              <w:t>中小学英语同步教育软件项目升级及版本扩产项目、中小学多学科（不含英</w:t>
            </w:r>
          </w:p>
          <w:p>
            <w:pPr>
              <w:pStyle w:val="TableParagraph"/>
              <w:spacing w:line="300" w:lineRule="auto" w:before="60"/>
              <w:ind w:left="23" w:right="103"/>
              <w:jc w:val="left"/>
              <w:rPr>
                <w:rFonts w:ascii="宋体" w:hAnsi="宋体" w:cs="宋体" w:eastAsia="宋体" w:hint="default"/>
                <w:sz w:val="18"/>
                <w:szCs w:val="18"/>
              </w:rPr>
            </w:pPr>
            <w:r>
              <w:rPr>
                <w:rFonts w:ascii="宋体" w:hAnsi="宋体" w:cs="宋体" w:eastAsia="宋体" w:hint="default"/>
                <w:sz w:val="18"/>
                <w:szCs w:val="18"/>
              </w:rPr>
              <w:t>语）同步教育软件项目和研发中心建设项目的部分工作移至长沙分公司展开，募投项目部分实施地点变更为长沙市高新区桐梓坡西路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229 </w:t>
            </w:r>
            <w:r>
              <w:rPr>
                <w:rFonts w:ascii="宋体" w:hAnsi="宋体" w:cs="宋体" w:eastAsia="宋体" w:hint="default"/>
                <w:sz w:val="18"/>
                <w:szCs w:val="18"/>
              </w:rPr>
              <w:t>号麓谷 国际工业园孵化楼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1001</w:t>
            </w:r>
            <w:r>
              <w:rPr>
                <w:rFonts w:ascii="宋体" w:hAnsi="宋体" w:cs="宋体" w:eastAsia="宋体" w:hint="default"/>
                <w:sz w:val="18"/>
                <w:szCs w:val="18"/>
              </w:rPr>
              <w:t>。</w:t>
            </w:r>
          </w:p>
        </w:tc>
      </w:tr>
      <w:tr>
        <w:trPr>
          <w:trHeight w:val="71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183"/>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3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 w:right="183"/>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2376" w:type="dxa"/>
            <w:vMerge/>
            <w:tcBorders>
              <w:left w:val="single" w:sz="4" w:space="0" w:color="000000"/>
              <w:bottom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本期置换大华会计师事务所（特殊普通合伙）验资等费用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万及中国证券登记结算有限责任公司深圳分公司登记托管费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0.94 </w:t>
            </w:r>
            <w:r>
              <w:rPr>
                <w:rFonts w:ascii="宋体" w:hAnsi="宋体" w:cs="宋体" w:eastAsia="宋体" w:hint="default"/>
                <w:sz w:val="18"/>
                <w:szCs w:val="18"/>
              </w:rPr>
              <w:t>万</w:t>
            </w:r>
          </w:p>
        </w:tc>
      </w:tr>
      <w:tr>
        <w:trPr>
          <w:trHeight w:val="403" w:hRule="exact"/>
        </w:trPr>
        <w:tc>
          <w:tcPr>
            <w:tcW w:w="23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 w:right="183"/>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76" w:type="dxa"/>
            <w:vMerge/>
            <w:tcBorders>
              <w:left w:val="single" w:sz="4" w:space="0" w:color="000000"/>
              <w:bottom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22"/>
              <w:ind w:left="21" w:right="183"/>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90" w:hRule="exact"/>
        </w:trPr>
        <w:tc>
          <w:tcPr>
            <w:tcW w:w="2376" w:type="dxa"/>
            <w:vMerge/>
            <w:tcBorders>
              <w:left w:val="single" w:sz="4" w:space="0" w:color="000000"/>
              <w:bottom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中小学多学科（不含英语）同步教育软件项目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，本项目资金节余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175.70 </w:t>
            </w:r>
            <w:r>
              <w:rPr>
                <w:rFonts w:ascii="宋体" w:hAnsi="宋体" w:cs="宋体" w:eastAsia="宋体" w:hint="default"/>
                <w:sz w:val="18"/>
                <w:szCs w:val="18"/>
              </w:rPr>
              <w:t>万元。项目期间，公司通过积极开展培训，提升了员工的综合能 力，在技术改造及技术创新方面加强管理，提升了工作效率、节约了一定的人工成本及软硬件投入。</w:t>
            </w:r>
          </w:p>
          <w:p>
            <w:pPr>
              <w:pStyle w:val="TableParagraph"/>
              <w:spacing w:line="309" w:lineRule="auto" w:before="70"/>
              <w:ind w:left="23"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，本项目资金节余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338.77 </w:t>
            </w:r>
            <w:r>
              <w:rPr>
                <w:rFonts w:ascii="宋体" w:hAnsi="宋体" w:cs="宋体" w:eastAsia="宋体" w:hint="default"/>
                <w:sz w:val="18"/>
                <w:szCs w:val="18"/>
              </w:rPr>
              <w:t>万元，根据公司具体发展情况调整分公司及办事处建设，办公配套设施的投入有所结余， 另外，在客户服务中心建设方面，产品稳定性良好，售后咨询率低，在服务旺季时采用外包客户服务座席方式增加服务能力，客户服务系统的投 入有结余。</w:t>
            </w:r>
          </w:p>
        </w:tc>
      </w:tr>
      <w:tr>
        <w:trPr>
          <w:trHeight w:val="1028"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183"/>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06"/>
              <w:jc w:val="left"/>
              <w:rPr>
                <w:rFonts w:ascii="宋体" w:hAnsi="宋体" w:cs="宋体" w:eastAsia="宋体" w:hint="default"/>
                <w:sz w:val="18"/>
                <w:szCs w:val="18"/>
              </w:rPr>
            </w:pPr>
            <w:r>
              <w:rPr>
                <w:rFonts w:ascii="宋体" w:hAnsi="宋体" w:cs="宋体" w:eastAsia="宋体" w:hint="default"/>
                <w:sz w:val="18"/>
                <w:szCs w:val="18"/>
              </w:rPr>
              <w:t>公司召开第三届董事会第二十六次会议和第三届监事会第二十二次会议审议通过了《关于运用闲置募集资金购买短期银行保本理财产品的议 </w:t>
            </w:r>
            <w:r>
              <w:rPr>
                <w:rFonts w:ascii="宋体" w:hAnsi="宋体" w:cs="宋体" w:eastAsia="宋体" w:hint="default"/>
                <w:spacing w:val="-12"/>
                <w:sz w:val="18"/>
                <w:szCs w:val="18"/>
              </w:rPr>
              <w:t>案》，并经过公司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1"/>
                <w:sz w:val="18"/>
                <w:szCs w:val="18"/>
              </w:rPr>
              <w:t>年第三次临时股东大会审议通过，同意公司利用闲置募集资金购买安全性高、流动性好、由商业银行发行并提供保本承诺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的短期银行保本理财产品。在额度内，资金可以滚动使用。尚未使用的募集资金均存放在公司的募集资金专户。</w:t>
            </w:r>
          </w:p>
        </w:tc>
      </w:tr>
      <w:tr>
        <w:trPr>
          <w:trHeight w:val="71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183"/>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460" w:right="0" w:firstLine="0"/>
        <w:jc w:val="left"/>
        <w:rPr>
          <w:rFonts w:ascii="宋体" w:hAnsi="宋体" w:cs="宋体" w:eastAsia="宋体" w:hint="default"/>
          <w:sz w:val="18"/>
          <w:szCs w:val="18"/>
        </w:rPr>
      </w:pPr>
      <w:r>
        <w:rPr>
          <w:rFonts w:ascii="宋体" w:hAnsi="宋体" w:cs="宋体" w:eastAsia="宋体" w:hint="default"/>
          <w:sz w:val="18"/>
          <w:szCs w:val="18"/>
        </w:rPr>
        <w:t>注：公司首发项目募集资金及超募资金节余金额及利息共计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2200.14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日，公司召开第三届董事会第二十六次会议和第三届监事会第二十二次会议审</w:t>
      </w:r>
    </w:p>
    <w:p>
      <w:pPr>
        <w:spacing w:before="63"/>
        <w:ind w:left="100" w:right="0" w:firstLine="0"/>
        <w:jc w:val="left"/>
        <w:rPr>
          <w:rFonts w:ascii="宋体" w:hAnsi="宋体" w:cs="宋体" w:eastAsia="宋体" w:hint="default"/>
          <w:sz w:val="18"/>
          <w:szCs w:val="18"/>
        </w:rPr>
      </w:pPr>
      <w:r>
        <w:rPr>
          <w:rFonts w:ascii="宋体" w:hAnsi="宋体" w:cs="宋体" w:eastAsia="宋体" w:hint="default"/>
          <w:sz w:val="18"/>
          <w:szCs w:val="18"/>
        </w:rPr>
        <w:t>议通过了《关于使用首次公开发行股票剩余超募资金及利息永久补充流动资金的议案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将</w:t>
      </w:r>
      <w:r>
        <w:rPr>
          <w:rFonts w:ascii="宋体" w:hAnsi="宋体" w:cs="宋体" w:eastAsia="宋体" w:hint="default"/>
          <w:sz w:val="18"/>
          <w:szCs w:val="18"/>
        </w:rPr>
        <w:t>首次公开发行股票剩余超募资金永久补充流动资金</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16"/>
          <w:sz w:val="18"/>
          <w:szCs w:val="18"/>
        </w:rPr>
        <w:t> </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16"/>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日，公司召开的</w:t>
      </w:r>
    </w:p>
    <w:p>
      <w:pPr>
        <w:spacing w:before="63"/>
        <w:ind w:left="1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年第三次临时股东大会审议通过了上述议案。</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日公司将超募集资金专户节余额及利息转入自有资金账户并进行销户处理。</w:t>
      </w:r>
    </w:p>
    <w:p>
      <w:pPr>
        <w:spacing w:after="0"/>
        <w:jc w:val="left"/>
        <w:rPr>
          <w:rFonts w:ascii="宋体" w:hAnsi="宋体" w:cs="宋体" w:eastAsia="宋体" w:hint="default"/>
          <w:sz w:val="18"/>
          <w:szCs w:val="18"/>
        </w:rPr>
        <w:sectPr>
          <w:pgSz w:w="16840" w:h="11910" w:orient="landscape"/>
          <w:pgMar w:header="870" w:footer="979" w:top="1060" w:bottom="1160" w:left="1340" w:right="13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七、主要控股参股公司分析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公司报告期内无应当披露的重要控股参股公司信息。</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九、公司未来发展的展望</w:t>
      </w:r>
      <w:r>
        <w:rPr>
          <w:b w:val="0"/>
          <w:bCs w:val="0"/>
        </w:rPr>
      </w:r>
    </w:p>
    <w:p>
      <w:pPr>
        <w:spacing w:line="240" w:lineRule="auto" w:before="13"/>
        <w:rPr>
          <w:rFonts w:ascii="Microsoft JhengHei" w:hAnsi="Microsoft JhengHei" w:cs="Microsoft JhengHei" w:eastAsia="Microsoft JhengHei" w:hint="default"/>
          <w:b/>
          <w:bCs/>
          <w:sz w:val="17"/>
          <w:szCs w:val="17"/>
        </w:rPr>
      </w:pPr>
    </w:p>
    <w:p>
      <w:pPr>
        <w:pStyle w:val="Heading5"/>
        <w:spacing w:line="374" w:lineRule="auto"/>
        <w:ind w:left="575" w:right="6624" w:hanging="423"/>
        <w:jc w:val="left"/>
        <w:rPr>
          <w:b w:val="0"/>
          <w:bCs w:val="0"/>
        </w:rPr>
      </w:pPr>
      <w:r>
        <w:rPr/>
        <w:t>（一）、公司所处行业的发展趋势</w:t>
      </w:r>
      <w:r>
        <w:rPr>
          <w:spacing w:val="-41"/>
        </w:rPr>
        <w:t> </w:t>
      </w:r>
      <w:r>
        <w:rPr>
          <w:spacing w:val="-41"/>
        </w:rPr>
      </w:r>
      <w:r>
        <w:rPr>
          <w:rFonts w:ascii="Arial" w:hAnsi="Arial" w:cs="Arial" w:eastAsia="Arial" w:hint="default"/>
        </w:rPr>
        <w:t>1</w:t>
      </w:r>
      <w:r>
        <w:rPr/>
        <w:t>、教育行业发展趋势简析</w:t>
      </w:r>
      <w:r>
        <w:rPr>
          <w:b w:val="0"/>
          <w:bCs w:val="0"/>
        </w:rPr>
      </w:r>
    </w:p>
    <w:p>
      <w:pPr>
        <w:pStyle w:val="BodyText"/>
        <w:spacing w:line="408" w:lineRule="auto" w:before="111"/>
        <w:ind w:right="146" w:firstLine="422"/>
        <w:jc w:val="both"/>
      </w:pPr>
      <w:r>
        <w:rPr>
          <w:spacing w:val="-2"/>
        </w:rPr>
        <w:t>百年大计，教育为本。随着中国经济持续发展，居民收入水平的不断提高，国民教育消费观念进一步</w:t>
      </w:r>
      <w:r>
        <w:rPr>
          <w:w w:val="100"/>
        </w:rPr>
        <w:t> </w:t>
      </w:r>
      <w:r>
        <w:rPr>
          <w:spacing w:val="-5"/>
        </w:rPr>
        <w:t>加强，教育行业目前正处于快速发展时期，国家政策支持、“财政</w:t>
      </w:r>
      <w:r>
        <w:rPr>
          <w:rFonts w:ascii="宋体" w:hAnsi="宋体" w:cs="宋体" w:eastAsia="宋体" w:hint="default"/>
          <w:spacing w:val="-5"/>
        </w:rPr>
        <w:t>+</w:t>
      </w:r>
      <w:r>
        <w:rPr>
          <w:spacing w:val="-5"/>
        </w:rPr>
        <w:t>社会”双资本助推、前沿技术革新及社</w:t>
      </w:r>
      <w:r>
        <w:rPr>
          <w:spacing w:val="-11"/>
        </w:rPr>
        <w:t> </w:t>
      </w:r>
      <w:r>
        <w:rPr>
          <w:spacing w:val="-11"/>
        </w:rPr>
      </w:r>
      <w:r>
        <w:rPr>
          <w:spacing w:val="-2"/>
        </w:rPr>
        <w:t>会教育观念的转变将长期驱动教育市场稳步增长，中国教育行业已从前几年资本和创业者的疯狂涌入回归</w:t>
      </w:r>
      <w:r>
        <w:rPr>
          <w:spacing w:val="-43"/>
        </w:rPr>
        <w:t> </w:t>
      </w:r>
      <w:r>
        <w:rPr>
          <w:spacing w:val="-43"/>
        </w:rPr>
      </w:r>
      <w:r>
        <w:rPr/>
        <w:t>至理性阶段并将逐渐迈向成熟。</w:t>
      </w:r>
    </w:p>
    <w:p>
      <w:pPr>
        <w:pStyle w:val="BodyText"/>
        <w:spacing w:line="408" w:lineRule="auto" w:before="147"/>
        <w:ind w:right="146" w:firstLine="422"/>
        <w:jc w:val="both"/>
      </w:pPr>
      <w:r>
        <w:rPr>
          <w:rFonts w:ascii="宋体" w:hAnsi="宋体" w:cs="宋体" w:eastAsia="宋体" w:hint="default"/>
          <w:spacing w:val="-2"/>
        </w:rPr>
        <w:t>2017</w:t>
      </w:r>
      <w:r>
        <w:rPr>
          <w:spacing w:val="-2"/>
        </w:rPr>
        <w:t>年，党的十九大报告围绕“优先发展教育事业”作出新的全面部署，明确提出“建设教育强国是</w:t>
      </w:r>
      <w:r>
        <w:rPr>
          <w:w w:val="100"/>
        </w:rPr>
        <w:t> </w:t>
      </w:r>
      <w:r>
        <w:rPr>
          <w:spacing w:val="-7"/>
        </w:rPr>
        <w:t>中华民族伟大复兴的基础工程，必须把教育事业放在优先位置，加快教育现代化，办好人民满意的教育”。</w:t>
      </w:r>
      <w:r>
        <w:rPr>
          <w:spacing w:val="-16"/>
        </w:rPr>
        <w:t> </w:t>
      </w:r>
      <w:r>
        <w:rPr>
          <w:spacing w:val="-16"/>
        </w:rPr>
      </w:r>
      <w:r>
        <w:rPr>
          <w:spacing w:val="-2"/>
        </w:rPr>
        <w:t>随着国家计划生育政策的落实和教育政策的调整，庞大用户群体成为教育行业蓬勃发展的稳固基石，教育</w:t>
      </w:r>
      <w:r>
        <w:rPr>
          <w:spacing w:val="-42"/>
        </w:rPr>
        <w:t> </w:t>
      </w:r>
      <w:r>
        <w:rPr>
          <w:spacing w:val="-42"/>
        </w:rPr>
      </w:r>
      <w:r>
        <w:rPr>
          <w:spacing w:val="-2"/>
        </w:rPr>
        <w:t>消费升级催生了教育行业细分赛道的产生与分化，并大幅拉高了教育市场规模的天花板。近两年教育新政</w:t>
      </w:r>
    </w:p>
    <w:p>
      <w:pPr>
        <w:spacing w:after="0" w:line="408" w:lineRule="auto"/>
        <w:jc w:val="both"/>
        <w:sectPr>
          <w:headerReference w:type="default" r:id="rId23"/>
          <w:footerReference w:type="default" r:id="rId24"/>
          <w:pgSz w:w="11910" w:h="16840"/>
          <w:pgMar w:header="880" w:footer="979" w:top="1100" w:bottom="1160" w:left="980" w:right="980"/>
          <w:pgNumType w:start="2"/>
        </w:sectPr>
      </w:pPr>
    </w:p>
    <w:p>
      <w:pPr>
        <w:spacing w:line="240" w:lineRule="auto" w:before="12"/>
        <w:rPr>
          <w:rFonts w:ascii="宋体" w:hAnsi="宋体" w:cs="宋体" w:eastAsia="宋体" w:hint="default"/>
          <w:sz w:val="26"/>
          <w:szCs w:val="26"/>
        </w:rPr>
      </w:pPr>
    </w:p>
    <w:p>
      <w:pPr>
        <w:pStyle w:val="BodyText"/>
        <w:spacing w:line="408" w:lineRule="auto" w:before="36"/>
        <w:ind w:right="325"/>
        <w:jc w:val="both"/>
      </w:pPr>
      <w:r>
        <w:rPr>
          <w:spacing w:val="-2"/>
        </w:rPr>
        <w:t>频发，突显了国家对全面教育改革的高度重视，根据党中央的总体要求，公共财政优先保障教育方面的投</w:t>
      </w:r>
      <w:r>
        <w:rPr>
          <w:spacing w:val="-45"/>
        </w:rPr>
        <w:t> </w:t>
      </w:r>
      <w:r>
        <w:rPr>
          <w:spacing w:val="-45"/>
        </w:rPr>
      </w:r>
      <w:r>
        <w:rPr>
          <w:spacing w:val="-2"/>
        </w:rPr>
        <w:t>入，近十年来全国财政性教育经费投入逐年增加，占</w:t>
      </w:r>
      <w:r>
        <w:rPr>
          <w:rFonts w:ascii="宋体" w:hAnsi="宋体" w:cs="宋体" w:eastAsia="宋体" w:hint="default"/>
          <w:spacing w:val="-2"/>
        </w:rPr>
        <w:t>GDP</w:t>
      </w:r>
      <w:r>
        <w:rPr>
          <w:spacing w:val="-2"/>
        </w:rPr>
        <w:t>比已经连续</w:t>
      </w:r>
      <w:r>
        <w:rPr>
          <w:rFonts w:ascii="宋体" w:hAnsi="宋体" w:cs="宋体" w:eastAsia="宋体" w:hint="default"/>
          <w:spacing w:val="-2"/>
        </w:rPr>
        <w:t>5</w:t>
      </w:r>
      <w:r>
        <w:rPr>
          <w:spacing w:val="-2"/>
        </w:rPr>
        <w:t>年保持在</w:t>
      </w:r>
      <w:r>
        <w:rPr>
          <w:rFonts w:ascii="宋体" w:hAnsi="宋体" w:cs="宋体" w:eastAsia="宋体" w:hint="default"/>
          <w:spacing w:val="-2"/>
        </w:rPr>
        <w:t>4%</w:t>
      </w:r>
      <w:r>
        <w:rPr>
          <w:spacing w:val="-2"/>
        </w:rPr>
        <w:t>以上，为教育事业全面发</w:t>
      </w:r>
      <w:r>
        <w:rPr>
          <w:spacing w:val="-38"/>
        </w:rPr>
        <w:t> </w:t>
      </w:r>
      <w:r>
        <w:rPr>
          <w:spacing w:val="-38"/>
        </w:rPr>
      </w:r>
      <w:r>
        <w:rPr>
          <w:spacing w:val="-7"/>
        </w:rPr>
        <w:t>展奠定了坚实的基础，对教育的持续稳定投入，也为我国教育信息化市场规模实现了快速发展。与此同时，</w:t>
      </w:r>
      <w:r>
        <w:rPr>
          <w:spacing w:val="-17"/>
        </w:rPr>
        <w:t> </w:t>
      </w:r>
      <w:r>
        <w:rPr>
          <w:spacing w:val="-17"/>
        </w:rPr>
      </w:r>
      <w:r>
        <w:rPr>
          <w:spacing w:val="-2"/>
        </w:rPr>
        <w:t>前沿科技的革新、人工智能与教育的融合发展进一步推动教育行业的智能化升级，新型教育服务供给方式</w:t>
      </w:r>
      <w:r>
        <w:rPr>
          <w:spacing w:val="-43"/>
        </w:rPr>
        <w:t> </w:t>
      </w:r>
      <w:r>
        <w:rPr>
          <w:spacing w:val="-43"/>
        </w:rPr>
      </w:r>
      <w:r>
        <w:rPr>
          <w:spacing w:val="-2"/>
        </w:rPr>
        <w:t>的出现，从而大大提升了教育效率、教育规模化程度以及优质教育资源的可获取度，对促进教育公平、加</w:t>
      </w:r>
      <w:r>
        <w:rPr>
          <w:spacing w:val="-47"/>
        </w:rPr>
        <w:t> </w:t>
      </w:r>
      <w:r>
        <w:rPr>
          <w:spacing w:val="-47"/>
        </w:rPr>
      </w:r>
      <w:r>
        <w:rPr/>
        <w:t>快教育现代化、提升教育质量、推动教育改革具有重大意义，也重新定义了中国未来教育的新形态。</w:t>
      </w:r>
    </w:p>
    <w:p>
      <w:pPr>
        <w:pStyle w:val="BodyText"/>
        <w:spacing w:line="408" w:lineRule="auto" w:before="147"/>
        <w:ind w:right="5" w:firstLine="422"/>
        <w:jc w:val="left"/>
      </w:pPr>
      <w:r>
        <w:rPr>
          <w:spacing w:val="-2"/>
        </w:rPr>
        <w:t>我国教育行业大环境发生着日新月异的变化，教育信息化事业也取得了长足的发展，以“三通两平台”</w:t>
      </w:r>
      <w:r>
        <w:rPr>
          <w:w w:val="100"/>
        </w:rPr>
        <w:t> </w:t>
      </w:r>
      <w:r>
        <w:rPr/>
        <w:t>为代表的基础信息化初步建成，教育管理信息化和教学信息化的重要性逐渐凸显，未来教育基础建设目标</w:t>
      </w:r>
      <w:r>
        <w:rPr>
          <w:w w:val="100"/>
        </w:rPr>
        <w:t> </w:t>
      </w:r>
      <w:r>
        <w:rPr/>
        <w:t>清晰明朗，教育信息化建设在综合驱动力推动下将迎来高速发展阶段。</w:t>
      </w:r>
    </w:p>
    <w:p>
      <w:pPr>
        <w:pStyle w:val="BodyText"/>
        <w:spacing w:line="417" w:lineRule="auto" w:before="77"/>
        <w:ind w:left="573" w:right="5" w:firstLine="2"/>
        <w:jc w:val="left"/>
      </w:pPr>
      <w:r>
        <w:rPr>
          <w:rFonts w:ascii="Arial" w:hAnsi="Arial" w:cs="Arial" w:eastAsia="Arial" w:hint="default"/>
          <w:b/>
          <w:bCs/>
        </w:rPr>
        <w:t>2</w:t>
      </w:r>
      <w:r>
        <w:rPr>
          <w:rFonts w:ascii="Microsoft JhengHei" w:hAnsi="Microsoft JhengHei" w:cs="Microsoft JhengHei" w:eastAsia="Microsoft JhengHei" w:hint="default"/>
          <w:b/>
          <w:bCs/>
        </w:rPr>
        <w:t>、行业相关政策改革</w:t>
      </w:r>
      <w:r>
        <w:rPr>
          <w:rFonts w:ascii="Microsoft JhengHei" w:hAnsi="Microsoft JhengHei" w:cs="Microsoft JhengHei" w:eastAsia="Microsoft JhengHei" w:hint="default"/>
          <w:b/>
          <w:bCs/>
          <w:w w:val="100"/>
        </w:rPr>
        <w:t> </w:t>
      </w:r>
      <w:r>
        <w:rPr>
          <w:spacing w:val="-5"/>
        </w:rPr>
        <w:t>公司致力于为广大中小学教师与学生提供优质、同步、配套的教育软件及互联网在线全面系统的服务，</w:t>
      </w:r>
    </w:p>
    <w:p>
      <w:pPr>
        <w:pStyle w:val="BodyText"/>
        <w:spacing w:line="240" w:lineRule="auto" w:before="37"/>
        <w:ind w:right="0"/>
        <w:jc w:val="both"/>
      </w:pPr>
      <w:r>
        <w:rPr/>
        <w:t>涉及教育、软件、出版、动漫和互联网等多个领域，相关行业政策改革也影响着公司未来发展。</w:t>
      </w:r>
    </w:p>
    <w:p>
      <w:pPr>
        <w:spacing w:line="240" w:lineRule="auto" w:before="5"/>
        <w:rPr>
          <w:rFonts w:ascii="宋体" w:hAnsi="宋体" w:cs="宋体" w:eastAsia="宋体" w:hint="default"/>
          <w:sz w:val="17"/>
          <w:szCs w:val="17"/>
        </w:rPr>
      </w:pPr>
    </w:p>
    <w:p>
      <w:pPr>
        <w:spacing w:line="372" w:lineRule="auto" w:before="0"/>
        <w:ind w:left="573" w:right="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）教育行业相关新政策</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4"/>
          <w:sz w:val="21"/>
          <w:szCs w:val="21"/>
        </w:rPr>
        <w:t>2018</w:t>
      </w:r>
      <w:r>
        <w:rPr>
          <w:rFonts w:ascii="宋体" w:hAnsi="宋体" w:cs="宋体" w:eastAsia="宋体" w:hint="default"/>
          <w:spacing w:val="-4"/>
          <w:sz w:val="21"/>
          <w:szCs w:val="21"/>
        </w:rPr>
        <w:t>年</w:t>
      </w:r>
      <w:r>
        <w:rPr>
          <w:rFonts w:ascii="宋体" w:hAnsi="宋体" w:cs="宋体" w:eastAsia="宋体" w:hint="default"/>
          <w:spacing w:val="-4"/>
          <w:sz w:val="21"/>
          <w:szCs w:val="21"/>
        </w:rPr>
        <w:t>1</w:t>
      </w:r>
      <w:r>
        <w:rPr>
          <w:rFonts w:ascii="宋体" w:hAnsi="宋体" w:cs="宋体" w:eastAsia="宋体" w:hint="default"/>
          <w:spacing w:val="-4"/>
          <w:sz w:val="21"/>
          <w:szCs w:val="21"/>
        </w:rPr>
        <w:t>月，教育部发布</w:t>
      </w:r>
      <w:r>
        <w:rPr>
          <w:rFonts w:ascii="Microsoft JhengHei" w:hAnsi="Microsoft JhengHei" w:cs="Microsoft JhengHei" w:eastAsia="Microsoft JhengHei" w:hint="default"/>
          <w:b/>
          <w:bCs/>
          <w:spacing w:val="-4"/>
          <w:sz w:val="21"/>
          <w:szCs w:val="21"/>
        </w:rPr>
        <w:t>《教育部</w:t>
      </w:r>
      <w:r>
        <w:rPr>
          <w:rFonts w:ascii="Arial" w:hAnsi="Arial" w:cs="Arial" w:eastAsia="Arial" w:hint="default"/>
          <w:b/>
          <w:bCs/>
          <w:spacing w:val="-4"/>
          <w:sz w:val="21"/>
          <w:szCs w:val="21"/>
        </w:rPr>
        <w:t>2018</w:t>
      </w:r>
      <w:r>
        <w:rPr>
          <w:rFonts w:ascii="Microsoft JhengHei" w:hAnsi="Microsoft JhengHei" w:cs="Microsoft JhengHei" w:eastAsia="Microsoft JhengHei" w:hint="default"/>
          <w:b/>
          <w:bCs/>
          <w:spacing w:val="-4"/>
          <w:sz w:val="21"/>
          <w:szCs w:val="21"/>
        </w:rPr>
        <w:t>年工作要点》</w:t>
      </w:r>
      <w:r>
        <w:rPr>
          <w:rFonts w:ascii="宋体" w:hAnsi="宋体" w:cs="宋体" w:eastAsia="宋体" w:hint="default"/>
          <w:spacing w:val="-4"/>
          <w:sz w:val="21"/>
          <w:szCs w:val="21"/>
        </w:rPr>
        <w:t>，推进教育优先发展，落实立德树人根本任务，深</w:t>
      </w:r>
    </w:p>
    <w:p>
      <w:pPr>
        <w:pStyle w:val="BodyText"/>
        <w:spacing w:line="408" w:lineRule="auto" w:before="16"/>
        <w:ind w:right="5"/>
        <w:jc w:val="left"/>
      </w:pPr>
      <w:r>
        <w:rPr>
          <w:spacing w:val="-2"/>
        </w:rPr>
        <w:t>化教育改革，推进教育公平，发展素质教育，加快教育现代化，努力培养德智体美全面发展的社会主义建</w:t>
      </w:r>
      <w:r>
        <w:rPr>
          <w:spacing w:val="-47"/>
        </w:rPr>
        <w:t> </w:t>
      </w:r>
      <w:r>
        <w:rPr>
          <w:spacing w:val="-47"/>
        </w:rPr>
      </w:r>
      <w:r>
        <w:rPr>
          <w:spacing w:val="-2"/>
        </w:rPr>
        <w:t>设者和接班人，培养担当民族复兴大任的时代新人。提出一、深入学习贯彻习近平新时代中国特色社会主</w:t>
      </w:r>
      <w:r>
        <w:rPr>
          <w:spacing w:val="-45"/>
        </w:rPr>
        <w:t> </w:t>
      </w:r>
      <w:r>
        <w:rPr>
          <w:spacing w:val="-45"/>
        </w:rPr>
      </w:r>
      <w:r>
        <w:rPr/>
        <w:t>义思想和党的十九大精神，坚决维护党中央权威和集中统一领导；二、加强和改进党对教育工作的领导，</w:t>
      </w:r>
      <w:r>
        <w:rPr>
          <w:spacing w:val="-24"/>
        </w:rPr>
        <w:t> </w:t>
      </w:r>
      <w:r>
        <w:rPr>
          <w:spacing w:val="-24"/>
        </w:rPr>
      </w:r>
      <w:r>
        <w:rPr>
          <w:spacing w:val="-2"/>
        </w:rPr>
        <w:t>推动全面从严治党向纵深发展；三、深化教育体制机制改革，充分激发教育发展活力；四、落实立德树人</w:t>
      </w:r>
      <w:r>
        <w:rPr>
          <w:spacing w:val="-43"/>
        </w:rPr>
        <w:t> </w:t>
      </w:r>
      <w:r>
        <w:rPr>
          <w:spacing w:val="-43"/>
        </w:rPr>
      </w:r>
      <w:r>
        <w:rPr>
          <w:spacing w:val="-2"/>
        </w:rPr>
        <w:t>根本任务，大力发展素质教育；五、大力促进教育公平，完善公共教育服务体系；六、着力提升质量，扎</w:t>
      </w:r>
      <w:r>
        <w:rPr>
          <w:spacing w:val="-49"/>
        </w:rPr>
        <w:t> </w:t>
      </w:r>
      <w:r>
        <w:rPr>
          <w:spacing w:val="-49"/>
        </w:rPr>
      </w:r>
      <w:r>
        <w:rPr/>
        <w:t>实推进教育内涵式发展；七、全面加强教师队伍建设，培养高素质教师队伍；八、进一步提高保障能力，</w:t>
      </w:r>
      <w:r>
        <w:rPr>
          <w:spacing w:val="-24"/>
        </w:rPr>
        <w:t> </w:t>
      </w:r>
      <w:r>
        <w:rPr>
          <w:spacing w:val="-24"/>
        </w:rPr>
      </w:r>
      <w:r>
        <w:rPr/>
        <w:t>夯实教育可持续发展基础。</w:t>
      </w:r>
    </w:p>
    <w:p>
      <w:pPr>
        <w:spacing w:before="80"/>
        <w:ind w:left="153" w:right="5" w:firstLine="420"/>
        <w:jc w:val="left"/>
        <w:rPr>
          <w:rFonts w:ascii="宋体" w:hAnsi="宋体" w:cs="宋体" w:eastAsia="宋体" w:hint="default"/>
          <w:sz w:val="21"/>
          <w:szCs w:val="21"/>
        </w:rPr>
      </w:pPr>
      <w:r>
        <w:rPr>
          <w:rFonts w:ascii="宋体" w:hAnsi="宋体" w:cs="宋体" w:eastAsia="宋体" w:hint="default"/>
          <w:spacing w:val="-4"/>
          <w:sz w:val="21"/>
          <w:szCs w:val="21"/>
        </w:rPr>
        <w:t>2018</w:t>
      </w:r>
      <w:r>
        <w:rPr>
          <w:rFonts w:ascii="宋体" w:hAnsi="宋体" w:cs="宋体" w:eastAsia="宋体" w:hint="default"/>
          <w:spacing w:val="-4"/>
          <w:sz w:val="21"/>
          <w:szCs w:val="21"/>
        </w:rPr>
        <w:t>年</w:t>
      </w:r>
      <w:r>
        <w:rPr>
          <w:rFonts w:ascii="宋体" w:hAnsi="宋体" w:cs="宋体" w:eastAsia="宋体" w:hint="default"/>
          <w:spacing w:val="-4"/>
          <w:sz w:val="21"/>
          <w:szCs w:val="21"/>
        </w:rPr>
        <w:t>2</w:t>
      </w:r>
      <w:r>
        <w:rPr>
          <w:rFonts w:ascii="宋体" w:hAnsi="宋体" w:cs="宋体" w:eastAsia="宋体" w:hint="default"/>
          <w:spacing w:val="-4"/>
          <w:sz w:val="21"/>
          <w:szCs w:val="21"/>
        </w:rPr>
        <w:t>月，教育部发布了</w:t>
      </w:r>
      <w:r>
        <w:rPr>
          <w:rFonts w:ascii="Microsoft JhengHei" w:hAnsi="Microsoft JhengHei" w:cs="Microsoft JhengHei" w:eastAsia="Microsoft JhengHei" w:hint="default"/>
          <w:b/>
          <w:bCs/>
          <w:spacing w:val="-4"/>
          <w:sz w:val="21"/>
          <w:szCs w:val="21"/>
        </w:rPr>
        <w:t>《</w:t>
      </w:r>
      <w:r>
        <w:rPr>
          <w:rFonts w:ascii="Arial" w:hAnsi="Arial" w:cs="Arial" w:eastAsia="Arial" w:hint="default"/>
          <w:b/>
          <w:bCs/>
          <w:spacing w:val="-4"/>
          <w:sz w:val="21"/>
          <w:szCs w:val="21"/>
        </w:rPr>
        <w:t>2018</w:t>
      </w:r>
      <w:r>
        <w:rPr>
          <w:rFonts w:ascii="Microsoft JhengHei" w:hAnsi="Microsoft JhengHei" w:cs="Microsoft JhengHei" w:eastAsia="Microsoft JhengHei" w:hint="default"/>
          <w:b/>
          <w:bCs/>
          <w:spacing w:val="-4"/>
          <w:sz w:val="21"/>
          <w:szCs w:val="21"/>
        </w:rPr>
        <w:t>年教育信息化和网络安全工作要点》</w:t>
      </w:r>
      <w:r>
        <w:rPr>
          <w:rFonts w:ascii="宋体" w:hAnsi="宋体" w:cs="宋体" w:eastAsia="宋体" w:hint="default"/>
          <w:spacing w:val="-4"/>
          <w:sz w:val="21"/>
          <w:szCs w:val="21"/>
        </w:rPr>
        <w:t>提出“围绕解决教育改革发展的</w:t>
      </w:r>
    </w:p>
    <w:p>
      <w:pPr>
        <w:pStyle w:val="BodyText"/>
        <w:spacing w:line="408" w:lineRule="auto" w:before="170"/>
        <w:ind w:right="326"/>
        <w:jc w:val="both"/>
      </w:pPr>
      <w:r>
        <w:rPr>
          <w:spacing w:val="-2"/>
        </w:rPr>
        <w:t>重大问题，以促进教育公平、提高教育质量为重点，以“服务全局、融合创新、深化应用、完善机制”为</w:t>
      </w:r>
      <w:r>
        <w:rPr>
          <w:spacing w:val="-41"/>
        </w:rPr>
        <w:t> </w:t>
      </w:r>
      <w:r>
        <w:rPr>
          <w:spacing w:val="-41"/>
        </w:rPr>
      </w:r>
      <w:r>
        <w:rPr>
          <w:spacing w:val="-7"/>
        </w:rPr>
        <w:t>原则，坚持稳中求进工作总基调，深入落实《教育信息化“十三五”规划》，大力推动“四个提升”和“四</w:t>
      </w:r>
      <w:r>
        <w:rPr>
          <w:spacing w:val="-23"/>
        </w:rPr>
        <w:t> </w:t>
      </w:r>
      <w:r>
        <w:rPr>
          <w:spacing w:val="-23"/>
        </w:rPr>
      </w:r>
      <w:r>
        <w:rPr>
          <w:spacing w:val="-5"/>
        </w:rPr>
        <w:t>个拓展”，办好网络教育，发展“互联网</w:t>
      </w:r>
      <w:r>
        <w:rPr>
          <w:rFonts w:ascii="宋体" w:hAnsi="宋体" w:cs="宋体" w:eastAsia="宋体" w:hint="default"/>
          <w:spacing w:val="-5"/>
        </w:rPr>
        <w:t>+</w:t>
      </w:r>
      <w:r>
        <w:rPr>
          <w:spacing w:val="-5"/>
        </w:rPr>
        <w:t>教育”，实现教育信息化的转段升级，充分发挥对教育现代化的</w:t>
      </w:r>
      <w:r>
        <w:rPr>
          <w:spacing w:val="-9"/>
        </w:rPr>
        <w:t> </w:t>
      </w:r>
      <w:r>
        <w:rPr>
          <w:spacing w:val="-9"/>
        </w:rPr>
      </w:r>
      <w:r>
        <w:rPr>
          <w:spacing w:val="-2"/>
        </w:rPr>
        <w:t>支撑和引领作用。”提出工作核心目标：一是全面落实党中央、国务院对教育领域网络安全和信息化的战</w:t>
      </w:r>
      <w:r>
        <w:rPr>
          <w:spacing w:val="-44"/>
        </w:rPr>
        <w:t> </w:t>
      </w:r>
      <w:r>
        <w:rPr>
          <w:spacing w:val="-44"/>
        </w:rPr>
      </w:r>
      <w:r>
        <w:rPr>
          <w:spacing w:val="-2"/>
        </w:rPr>
        <w:t>略部署；二是充分发挥教育信息化对教育改革发展的引领作用，启动实施智慧教育创新引领行动和百区千</w:t>
      </w:r>
      <w:r>
        <w:rPr>
          <w:spacing w:val="-44"/>
        </w:rPr>
        <w:t> </w:t>
      </w:r>
      <w:r>
        <w:rPr>
          <w:spacing w:val="-44"/>
        </w:rPr>
      </w:r>
      <w:r>
        <w:rPr>
          <w:spacing w:val="-7"/>
        </w:rPr>
        <w:t>校万课示范行动；三是基本形成国家数字教育资源公共服务体系，提升数字教育资源服务均等化、普惠化、</w:t>
      </w:r>
    </w:p>
    <w:p>
      <w:pPr>
        <w:spacing w:after="0" w:line="408" w:lineRule="auto"/>
        <w:jc w:val="both"/>
        <w:sectPr>
          <w:pgSz w:w="11910" w:h="16840"/>
          <w:pgMar w:header="880" w:footer="979" w:top="1100" w:bottom="1160" w:left="980" w:right="800"/>
        </w:sectPr>
      </w:pPr>
    </w:p>
    <w:p>
      <w:pPr>
        <w:spacing w:line="240" w:lineRule="auto" w:before="12"/>
        <w:rPr>
          <w:rFonts w:ascii="宋体" w:hAnsi="宋体" w:cs="宋体" w:eastAsia="宋体" w:hint="default"/>
          <w:sz w:val="26"/>
          <w:szCs w:val="26"/>
        </w:rPr>
      </w:pPr>
    </w:p>
    <w:p>
      <w:pPr>
        <w:pStyle w:val="BodyText"/>
        <w:spacing w:line="408" w:lineRule="auto" w:before="36"/>
        <w:ind w:right="205"/>
        <w:jc w:val="both"/>
      </w:pPr>
      <w:r>
        <w:rPr>
          <w:spacing w:val="-2"/>
        </w:rPr>
        <w:t>便捷化水平；四是全面开展网络学习空间普及行动，师生网络学习空间开通数量新增</w:t>
      </w:r>
      <w:r>
        <w:rPr>
          <w:rFonts w:ascii="宋体" w:hAnsi="宋体" w:cs="宋体" w:eastAsia="宋体" w:hint="default"/>
          <w:spacing w:val="-2"/>
        </w:rPr>
        <w:t>1000</w:t>
      </w:r>
      <w:r>
        <w:rPr>
          <w:spacing w:val="-2"/>
        </w:rPr>
        <w:t>万个；五是实施</w:t>
      </w:r>
      <w:r>
        <w:rPr>
          <w:spacing w:val="-40"/>
        </w:rPr>
        <w:t> </w:t>
      </w:r>
      <w:r>
        <w:rPr>
          <w:spacing w:val="-40"/>
        </w:rPr>
      </w:r>
      <w:r>
        <w:rPr/>
        <w:t>学生信息素养培育行动，探索建立中小学生信息素养评价指标体系；六是大力提升“互联网</w:t>
      </w:r>
      <w:r>
        <w:rPr>
          <w:rFonts w:ascii="宋体" w:hAnsi="宋体" w:cs="宋体" w:eastAsia="宋体" w:hint="default"/>
        </w:rPr>
        <w:t>+</w:t>
      </w:r>
      <w:r>
        <w:rPr/>
        <w:t>政务服务”</w:t>
      </w:r>
      <w:r>
        <w:rPr>
          <w:spacing w:val="-21"/>
        </w:rPr>
        <w:t> </w:t>
      </w:r>
      <w:r>
        <w:rPr>
          <w:spacing w:val="-21"/>
        </w:rPr>
      </w:r>
      <w:r>
        <w:rPr>
          <w:spacing w:val="-2"/>
        </w:rPr>
        <w:t>水平和教育治理能力；七是基本实现各级各类学校互联网接入和提速；八是有序开展网络扶智工程攻坚行</w:t>
      </w:r>
      <w:r>
        <w:rPr>
          <w:spacing w:val="-43"/>
        </w:rPr>
        <w:t> </w:t>
      </w:r>
      <w:r>
        <w:rPr>
          <w:spacing w:val="-43"/>
        </w:rPr>
      </w:r>
      <w:r>
        <w:rPr>
          <w:spacing w:val="-2"/>
        </w:rPr>
        <w:t>动，有效提升以“三区三州”为重点的深度贫困地区教育质量；九是进一步提升网络安全人才培养能力和</w:t>
      </w:r>
      <w:r>
        <w:rPr>
          <w:spacing w:val="-44"/>
        </w:rPr>
        <w:t> </w:t>
      </w:r>
      <w:r>
        <w:rPr>
          <w:spacing w:val="-44"/>
        </w:rPr>
      </w:r>
      <w:r>
        <w:rPr>
          <w:spacing w:val="-2"/>
        </w:rPr>
        <w:t>防护水平。增设一批网络空间安全学位授权点，加快一流网络安全学院建设步伐。工作要点还明确了</w:t>
      </w:r>
      <w:r>
        <w:rPr>
          <w:rFonts w:ascii="宋体" w:hAnsi="宋体" w:cs="宋体" w:eastAsia="宋体" w:hint="default"/>
          <w:spacing w:val="-2"/>
        </w:rPr>
        <w:t>2018</w:t>
      </w:r>
      <w:r>
        <w:rPr>
          <w:rFonts w:ascii="宋体" w:hAnsi="宋体" w:cs="宋体" w:eastAsia="宋体" w:hint="default"/>
          <w:spacing w:val="-40"/>
        </w:rPr>
        <w:t> </w:t>
      </w:r>
      <w:r>
        <w:rPr>
          <w:rFonts w:ascii="宋体" w:hAnsi="宋体" w:cs="宋体" w:eastAsia="宋体" w:hint="default"/>
          <w:spacing w:val="-40"/>
        </w:rPr>
      </w:r>
      <w:r>
        <w:rPr/>
        <w:t>年教育信息化及网络安全工作的</w:t>
      </w:r>
      <w:r>
        <w:rPr>
          <w:rFonts w:ascii="宋体" w:hAnsi="宋体" w:cs="宋体" w:eastAsia="宋体" w:hint="default"/>
        </w:rPr>
        <w:t>29</w:t>
      </w:r>
      <w:r>
        <w:rPr/>
        <w:t>项重点任务，进一步细化了具体工作要求，助力教育信息化发展。</w:t>
      </w:r>
    </w:p>
    <w:p>
      <w:pPr>
        <w:pStyle w:val="BodyText"/>
        <w:spacing w:line="408" w:lineRule="auto" w:before="147"/>
        <w:ind w:right="0" w:firstLine="420"/>
        <w:jc w:val="left"/>
      </w:pP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月，中国共产党第十九次全国代表大会习近平代表第十八届中央委员会向大会作了题为《决</w:t>
      </w:r>
      <w:r>
        <w:rPr>
          <w:w w:val="100"/>
        </w:rPr>
        <w:t> </w:t>
      </w:r>
      <w:r>
        <w:rPr/>
        <w:t>胜全面建成小康社会 </w:t>
      </w:r>
      <w:r>
        <w:rPr>
          <w:spacing w:val="-5"/>
        </w:rPr>
        <w:t>夺取新时代中国特色社会主义伟大胜利》的报告。关于中国教育事业的发展，报告指</w:t>
      </w:r>
      <w:r>
        <w:rPr>
          <w:spacing w:val="-58"/>
        </w:rPr>
        <w:t> </w:t>
      </w:r>
      <w:r>
        <w:rPr>
          <w:spacing w:val="-58"/>
        </w:rPr>
      </w:r>
      <w:r>
        <w:rPr>
          <w:spacing w:val="-7"/>
        </w:rPr>
        <w:t>出：“优先发展教育事业。建设教育强国是中华民族伟大复兴的基础工程，必须把教育事业放在优先位置，</w:t>
      </w:r>
      <w:r>
        <w:rPr>
          <w:spacing w:val="-19"/>
        </w:rPr>
        <w:t> </w:t>
      </w:r>
      <w:r>
        <w:rPr>
          <w:spacing w:val="-19"/>
        </w:rPr>
      </w:r>
      <w:r>
        <w:rPr>
          <w:spacing w:val="-2"/>
        </w:rPr>
        <w:t>深化教育改革，加快教育现代化，办好人民满意的教育。要全面贯彻党的教育方针，落实立德树人根本任</w:t>
      </w:r>
      <w:r>
        <w:rPr>
          <w:spacing w:val="-50"/>
        </w:rPr>
        <w:t> </w:t>
      </w:r>
      <w:r>
        <w:rPr>
          <w:spacing w:val="-50"/>
        </w:rPr>
      </w:r>
      <w:r>
        <w:rPr>
          <w:spacing w:val="-2"/>
        </w:rPr>
        <w:t>务，发展素质教育，推进教育公平，培养德智体美全面发展的社会主义建设者和接班人。推动城乡义务教</w:t>
      </w:r>
      <w:r>
        <w:rPr>
          <w:spacing w:val="-47"/>
        </w:rPr>
        <w:t> </w:t>
      </w:r>
      <w:r>
        <w:rPr>
          <w:spacing w:val="-47"/>
        </w:rPr>
      </w:r>
      <w:r>
        <w:rPr>
          <w:spacing w:val="-2"/>
        </w:rPr>
        <w:t>育一体化发展，高度重视农村义务教育，办好学前教育、特殊教育和网络教育，普及高中阶段教育，努力</w:t>
      </w:r>
      <w:r>
        <w:rPr>
          <w:spacing w:val="-43"/>
        </w:rPr>
        <w:t> </w:t>
      </w:r>
      <w:r>
        <w:rPr>
          <w:spacing w:val="-43"/>
        </w:rPr>
      </w:r>
      <w:r>
        <w:rPr>
          <w:spacing w:val="-2"/>
        </w:rPr>
        <w:t>让每个孩子都能享有公平而有质量的教育。完善职业教育和培训体系，深化产教融合、校企合作。加快一</w:t>
      </w:r>
      <w:r>
        <w:rPr>
          <w:spacing w:val="-47"/>
        </w:rPr>
        <w:t> </w:t>
      </w:r>
      <w:r>
        <w:rPr>
          <w:spacing w:val="-47"/>
        </w:rPr>
      </w:r>
      <w:r>
        <w:rPr>
          <w:spacing w:val="-2"/>
        </w:rPr>
        <w:t>流大学和一流学科建设，实现高等教育内涵式发展。健全学生资助制度，使绝大多数城乡新增劳动力接受</w:t>
      </w:r>
      <w:r>
        <w:rPr>
          <w:spacing w:val="-43"/>
        </w:rPr>
        <w:t> </w:t>
      </w:r>
      <w:r>
        <w:rPr>
          <w:spacing w:val="-43"/>
        </w:rPr>
      </w:r>
      <w:r>
        <w:rPr>
          <w:spacing w:val="-2"/>
        </w:rPr>
        <w:t>高中阶段教育、更多接受高等教育。支持和规范社会力量兴办教育。加强师德师风建设，培养高素质教师</w:t>
      </w:r>
      <w:r>
        <w:rPr>
          <w:spacing w:val="-50"/>
        </w:rPr>
        <w:t> </w:t>
      </w:r>
      <w:r>
        <w:rPr>
          <w:spacing w:val="-50"/>
        </w:rPr>
      </w:r>
      <w:r>
        <w:rPr>
          <w:spacing w:val="-5"/>
        </w:rPr>
        <w:t>队伍，倡导全社会尊师重教。办好继续教育，加快建设学习型社会，大力提高国民素质。” </w:t>
      </w:r>
      <w:r>
        <w:rPr/>
        <w:t>报告体现了国</w:t>
      </w:r>
      <w:r>
        <w:rPr>
          <w:spacing w:val="-38"/>
        </w:rPr>
        <w:t> </w:t>
      </w:r>
      <w:r>
        <w:rPr>
          <w:spacing w:val="-38"/>
        </w:rPr>
      </w:r>
      <w:r>
        <w:rPr/>
        <w:t>家对全方位“升级”未来教育的重视程度，亦给未来五年内依然专注于同步教育、互联网</w:t>
      </w:r>
      <w:r>
        <w:rPr>
          <w:rFonts w:ascii="宋体" w:hAnsi="宋体" w:cs="宋体" w:eastAsia="宋体" w:hint="default"/>
        </w:rPr>
        <w:t>+</w:t>
      </w:r>
      <w:r>
        <w:rPr/>
        <w:t>教育、</w:t>
      </w:r>
      <w:r>
        <w:rPr>
          <w:rFonts w:ascii="宋体" w:hAnsi="宋体" w:cs="宋体" w:eastAsia="宋体" w:hint="default"/>
        </w:rPr>
        <w:t>STEAM</w:t>
      </w:r>
      <w:r>
        <w:rPr/>
        <w:t>、</w:t>
      </w:r>
      <w:r>
        <w:rPr>
          <w:spacing w:val="-25"/>
        </w:rPr>
        <w:t> </w:t>
      </w:r>
      <w:r>
        <w:rPr/>
        <w:t>教育投资等优质企业带来了重要的政策支持与战略引导。</w:t>
      </w:r>
    </w:p>
    <w:p>
      <w:pPr>
        <w:pStyle w:val="BodyText"/>
        <w:spacing w:line="408" w:lineRule="auto" w:before="144"/>
        <w:ind w:right="206" w:firstLine="420"/>
        <w:jc w:val="both"/>
      </w:pPr>
      <w:r>
        <w:rPr>
          <w:rFonts w:ascii="宋体" w:hAnsi="宋体" w:cs="宋体" w:eastAsia="宋体" w:hint="default"/>
          <w:spacing w:val="-5"/>
        </w:rPr>
        <w:t>2017</w:t>
      </w:r>
      <w:r>
        <w:rPr>
          <w:spacing w:val="-5"/>
        </w:rPr>
        <w:t>年</w:t>
      </w:r>
      <w:r>
        <w:rPr>
          <w:rFonts w:ascii="宋体" w:hAnsi="宋体" w:cs="宋体" w:eastAsia="宋体" w:hint="default"/>
          <w:spacing w:val="-5"/>
        </w:rPr>
        <w:t>1</w:t>
      </w:r>
      <w:r>
        <w:rPr>
          <w:spacing w:val="-5"/>
        </w:rPr>
        <w:t>月，国务院印发《国家教育事业发展“十三五”规划》，这是“十三五”时期指导全国教育改</w:t>
      </w:r>
      <w:r>
        <w:rPr>
          <w:w w:val="100"/>
        </w:rPr>
        <w:t> </w:t>
      </w:r>
      <w:r>
        <w:rPr>
          <w:spacing w:val="-2"/>
        </w:rPr>
        <w:t>革发展的纲领性文件。《规划》确定了“十三五”教育改革发展的指导思想、基本原则、主要目标和主题</w:t>
      </w:r>
      <w:r>
        <w:rPr>
          <w:spacing w:val="-45"/>
        </w:rPr>
        <w:t> </w:t>
      </w:r>
      <w:r>
        <w:rPr>
          <w:spacing w:val="-45"/>
        </w:rPr>
      </w:r>
      <w:r>
        <w:rPr>
          <w:spacing w:val="-2"/>
        </w:rPr>
        <w:t>主线，提出到</w:t>
      </w:r>
      <w:r>
        <w:rPr>
          <w:rFonts w:ascii="宋体" w:hAnsi="宋体" w:cs="宋体" w:eastAsia="宋体" w:hint="default"/>
          <w:spacing w:val="-2"/>
        </w:rPr>
        <w:t>2020</w:t>
      </w:r>
      <w:r>
        <w:rPr>
          <w:spacing w:val="-2"/>
        </w:rPr>
        <w:t>年教育现代化取得重要进展，教育总体实力和国际影响力显著增强，推动我国迈入人力</w:t>
      </w:r>
      <w:r>
        <w:rPr>
          <w:spacing w:val="-43"/>
        </w:rPr>
        <w:t> </w:t>
      </w:r>
      <w:r>
        <w:rPr>
          <w:spacing w:val="-43"/>
        </w:rPr>
      </w:r>
      <w:r>
        <w:rPr/>
        <w:t>资源强国和人才强国行列，为实现中国教育现代化</w:t>
      </w:r>
      <w:r>
        <w:rPr>
          <w:rFonts w:ascii="宋体" w:hAnsi="宋体" w:cs="宋体" w:eastAsia="宋体" w:hint="default"/>
        </w:rPr>
        <w:t>2030</w:t>
      </w:r>
      <w:r>
        <w:rPr/>
        <w:t>远景目标奠定坚实基础。</w:t>
      </w:r>
    </w:p>
    <w:p>
      <w:pPr>
        <w:pStyle w:val="BodyText"/>
        <w:spacing w:line="240" w:lineRule="auto" w:before="147"/>
        <w:ind w:left="573" w:right="0"/>
        <w:jc w:val="left"/>
      </w:pPr>
      <w:r>
        <w:rPr>
          <w:rFonts w:ascii="宋体" w:hAnsi="宋体" w:cs="宋体" w:eastAsia="宋体" w:hint="default"/>
          <w:spacing w:val="-7"/>
        </w:rPr>
        <w:t>2016</w:t>
      </w:r>
      <w:r>
        <w:rPr>
          <w:spacing w:val="-7"/>
        </w:rPr>
        <w:t>年</w:t>
      </w:r>
      <w:r>
        <w:rPr>
          <w:rFonts w:ascii="宋体" w:hAnsi="宋体" w:cs="宋体" w:eastAsia="宋体" w:hint="default"/>
          <w:spacing w:val="-7"/>
        </w:rPr>
        <w:t>12</w:t>
      </w:r>
      <w:r>
        <w:rPr>
          <w:spacing w:val="-7"/>
        </w:rPr>
        <w:t>月，国务院发布《“十三五”国家信息化规划》，规划提出在“重大任务和重点工程”部分，</w:t>
      </w:r>
    </w:p>
    <w:p>
      <w:pPr>
        <w:spacing w:line="240" w:lineRule="auto" w:before="10"/>
        <w:rPr>
          <w:rFonts w:ascii="宋体" w:hAnsi="宋体" w:cs="宋体" w:eastAsia="宋体" w:hint="default"/>
          <w:sz w:val="14"/>
          <w:szCs w:val="14"/>
        </w:rPr>
      </w:pPr>
    </w:p>
    <w:p>
      <w:pPr>
        <w:pStyle w:val="BodyText"/>
        <w:spacing w:line="408" w:lineRule="auto" w:before="0"/>
        <w:ind w:right="206"/>
        <w:jc w:val="both"/>
      </w:pPr>
      <w:r>
        <w:rPr>
          <w:spacing w:val="-2"/>
        </w:rPr>
        <w:t>《规划》提到，要建设泛在先进的信息基础设施体系，推进宽带乡村建设，推广农村电商、远程教育、远</w:t>
      </w:r>
      <w:r>
        <w:rPr>
          <w:spacing w:val="-42"/>
        </w:rPr>
        <w:t> </w:t>
      </w:r>
      <w:r>
        <w:rPr>
          <w:spacing w:val="-42"/>
        </w:rPr>
      </w:r>
      <w:r>
        <w:rPr>
          <w:spacing w:val="-2"/>
        </w:rPr>
        <w:t>程医疗、金融网点进村等信息服务；形成普惠便捷的信息惠民体系，利用信息化手段不断扩大优质教育资</w:t>
      </w:r>
      <w:r>
        <w:rPr>
          <w:spacing w:val="-44"/>
        </w:rPr>
        <w:t> </w:t>
      </w:r>
      <w:r>
        <w:rPr>
          <w:spacing w:val="-44"/>
        </w:rPr>
      </w:r>
      <w:r>
        <w:rPr>
          <w:spacing w:val="-7"/>
        </w:rPr>
        <w:t>源覆盖面，构建网络化、数字化、个性化、终身化的教育体系，建设学习型社会；推进就业、养老、教育、</w:t>
      </w:r>
      <w:r>
        <w:rPr>
          <w:spacing w:val="-24"/>
        </w:rPr>
        <w:t> </w:t>
      </w:r>
      <w:r>
        <w:rPr>
          <w:spacing w:val="-24"/>
        </w:rPr>
      </w:r>
      <w:r>
        <w:rPr>
          <w:spacing w:val="-7"/>
        </w:rPr>
        <w:t>职业培训、技能人才评价、工伤、生育、法律服务等信息全国联网，构建线上线下相衔接的信息服务体系。</w:t>
      </w:r>
    </w:p>
    <w:p>
      <w:pPr>
        <w:pStyle w:val="Heading5"/>
        <w:spacing w:line="240" w:lineRule="auto" w:before="80"/>
        <w:ind w:left="575" w:right="6954"/>
        <w:jc w:val="left"/>
        <w:rPr>
          <w:b w:val="0"/>
          <w:bCs w:val="0"/>
        </w:rPr>
      </w:pPr>
      <w:r>
        <w:rPr/>
        <w:t>（</w:t>
      </w:r>
      <w:r>
        <w:rPr>
          <w:rFonts w:ascii="Arial" w:hAnsi="Arial" w:cs="Arial" w:eastAsia="Arial" w:hint="default"/>
        </w:rPr>
        <w:t>2</w:t>
      </w:r>
      <w:r>
        <w:rPr/>
        <w:t>）软件行业相关新政策</w:t>
      </w:r>
      <w:r>
        <w:rPr>
          <w:b w:val="0"/>
          <w:bCs w:val="0"/>
        </w:rPr>
      </w:r>
    </w:p>
    <w:p>
      <w:pPr>
        <w:spacing w:after="0" w:line="240" w:lineRule="auto"/>
        <w:jc w:val="left"/>
        <w:sectPr>
          <w:footerReference w:type="default" r:id="rId25"/>
          <w:pgSz w:w="11910" w:h="16840"/>
          <w:pgMar w:footer="979" w:header="880" w:top="1100" w:bottom="1160" w:left="980" w:right="920"/>
          <w:pgNumType w:start="1"/>
        </w:sectPr>
      </w:pPr>
    </w:p>
    <w:p>
      <w:pPr>
        <w:spacing w:line="240" w:lineRule="auto" w:before="4"/>
        <w:rPr>
          <w:rFonts w:ascii="Microsoft JhengHei" w:hAnsi="Microsoft JhengHei" w:cs="Microsoft JhengHei" w:eastAsia="Microsoft JhengHei" w:hint="default"/>
          <w:b/>
          <w:bCs/>
          <w:sz w:val="20"/>
          <w:szCs w:val="20"/>
        </w:rPr>
      </w:pPr>
    </w:p>
    <w:p>
      <w:pPr>
        <w:pStyle w:val="BodyText"/>
        <w:spacing w:line="408" w:lineRule="auto" w:before="36"/>
        <w:ind w:right="326" w:firstLine="420"/>
        <w:jc w:val="both"/>
      </w:pPr>
      <w:r>
        <w:rPr>
          <w:spacing w:val="-2"/>
        </w:rPr>
        <w:t>软件行业相关法规包括《计算机软件保护条例》、《计算机软件著作权登记办法》、《软件企业认定</w:t>
      </w:r>
      <w:r>
        <w:rPr>
          <w:w w:val="100"/>
        </w:rPr>
        <w:t> </w:t>
      </w:r>
      <w:r>
        <w:rPr>
          <w:spacing w:val="-2"/>
        </w:rPr>
        <w:t>标准及管理办法》、《软件产品登记管理办法》、《国家软件产业基地管理办法》、《国家规划布局内的</w:t>
      </w:r>
      <w:r>
        <w:rPr>
          <w:spacing w:val="-44"/>
        </w:rPr>
        <w:t> </w:t>
      </w:r>
      <w:r>
        <w:rPr>
          <w:spacing w:val="-44"/>
        </w:rPr>
      </w:r>
      <w:r>
        <w:rPr>
          <w:spacing w:val="-2"/>
        </w:rPr>
        <w:t>重点软件企业认定管理办法》、《软件出口管理和统计办法》等。《中国软件行业基本公约》为国内软件</w:t>
      </w:r>
      <w:r>
        <w:rPr>
          <w:spacing w:val="-44"/>
        </w:rPr>
        <w:t> </w:t>
      </w:r>
      <w:r>
        <w:rPr>
          <w:spacing w:val="-44"/>
        </w:rPr>
      </w:r>
      <w:r>
        <w:rPr/>
        <w:t>行业规范。</w:t>
      </w:r>
    </w:p>
    <w:p>
      <w:pPr>
        <w:pStyle w:val="BodyText"/>
        <w:spacing w:line="408" w:lineRule="auto" w:before="147"/>
        <w:ind w:right="326" w:firstLine="420"/>
        <w:jc w:val="both"/>
      </w:pPr>
      <w:r>
        <w:rPr>
          <w:spacing w:val="-2"/>
        </w:rPr>
        <w:t>国务院办公厅《</w:t>
      </w:r>
      <w:r>
        <w:rPr>
          <w:rFonts w:ascii="宋体" w:hAnsi="宋体" w:cs="宋体" w:eastAsia="宋体" w:hint="default"/>
          <w:spacing w:val="-2"/>
        </w:rPr>
        <w:t>2006</w:t>
      </w:r>
      <w:r>
        <w:rPr>
          <w:spacing w:val="-2"/>
        </w:rPr>
        <w:t>—</w:t>
      </w:r>
      <w:r>
        <w:rPr>
          <w:rFonts w:ascii="宋体" w:hAnsi="宋体" w:cs="宋体" w:eastAsia="宋体" w:hint="default"/>
          <w:spacing w:val="-2"/>
        </w:rPr>
        <w:t>2020</w:t>
      </w:r>
      <w:r>
        <w:rPr>
          <w:spacing w:val="-2"/>
        </w:rPr>
        <w:t>年国家信息化发展战略》提出，我国信息化发展的战略重点是推进社会信</w:t>
      </w:r>
      <w:r>
        <w:rPr>
          <w:w w:val="100"/>
        </w:rPr>
        <w:t> </w:t>
      </w:r>
      <w:r>
        <w:rPr>
          <w:spacing w:val="-2"/>
        </w:rPr>
        <w:t>息化和加快教育科研信息化步伐。</w:t>
      </w:r>
      <w:r>
        <w:rPr>
          <w:rFonts w:ascii="宋体" w:hAnsi="宋体" w:cs="宋体" w:eastAsia="宋体" w:hint="default"/>
          <w:spacing w:val="-2"/>
        </w:rPr>
        <w:t>2009</w:t>
      </w:r>
      <w:r>
        <w:rPr>
          <w:spacing w:val="-2"/>
        </w:rPr>
        <w:t>年初，《电子信息产业振兴规划》从财政、税收优惠与减免、扩大</w:t>
      </w:r>
      <w:r>
        <w:rPr>
          <w:spacing w:val="-38"/>
        </w:rPr>
        <w:t> </w:t>
      </w:r>
      <w:r>
        <w:rPr>
          <w:spacing w:val="-38"/>
        </w:rPr>
      </w:r>
      <w:r>
        <w:rPr/>
        <w:t>投资、改善软硬件环境等多角度制订了十项政策措施，这些优惠措施将对软件企业带来实质利好。</w:t>
      </w:r>
    </w:p>
    <w:p>
      <w:pPr>
        <w:pStyle w:val="BodyText"/>
        <w:spacing w:line="408" w:lineRule="auto" w:before="144"/>
        <w:ind w:right="5" w:firstLine="420"/>
        <w:jc w:val="left"/>
      </w:pPr>
      <w:r>
        <w:rPr/>
        <w:t>国家及相关部门对软件相关行业制定了税收优惠政策，根据国务院《关于印发鼓励软件企业和集成电</w:t>
      </w:r>
      <w:r>
        <w:rPr>
          <w:w w:val="100"/>
        </w:rPr>
        <w:t> </w:t>
      </w:r>
      <w:r>
        <w:rPr/>
        <w:t>路产业发展若干政策的通知》（国发</w:t>
      </w:r>
      <w:r>
        <w:rPr>
          <w:rFonts w:ascii="宋体" w:hAnsi="宋体" w:cs="宋体" w:eastAsia="宋体" w:hint="default"/>
        </w:rPr>
        <w:t>[2000]18</w:t>
      </w:r>
      <w:r>
        <w:rPr/>
        <w:t>号）和《财政部、国家税务总局关于部分货物适用增值税低</w:t>
      </w:r>
      <w:r>
        <w:rPr>
          <w:w w:val="100"/>
        </w:rPr>
        <w:t> </w:t>
      </w:r>
      <w:r>
        <w:rPr>
          <w:spacing w:val="-4"/>
        </w:rPr>
        <w:t>税率和简易办法征收增值税政策的通知》（财税</w:t>
      </w:r>
      <w:r>
        <w:rPr>
          <w:rFonts w:ascii="宋体" w:hAnsi="宋体" w:cs="宋体" w:eastAsia="宋体" w:hint="default"/>
          <w:spacing w:val="-4"/>
        </w:rPr>
        <w:t>[2009]9</w:t>
      </w:r>
      <w:r>
        <w:rPr>
          <w:spacing w:val="-4"/>
        </w:rPr>
        <w:t>号）文有关精神，</w:t>
      </w:r>
      <w:r>
        <w:rPr>
          <w:rFonts w:ascii="宋体" w:hAnsi="宋体" w:cs="宋体" w:eastAsia="宋体" w:hint="default"/>
          <w:spacing w:val="-4"/>
        </w:rPr>
        <w:t>2012</w:t>
      </w:r>
      <w:r>
        <w:rPr>
          <w:spacing w:val="-4"/>
        </w:rPr>
        <w:t>年底以前，自行开发研制软</w:t>
      </w:r>
      <w:r>
        <w:rPr>
          <w:spacing w:val="-36"/>
        </w:rPr>
        <w:t> </w:t>
      </w:r>
      <w:r>
        <w:rPr>
          <w:spacing w:val="-36"/>
        </w:rPr>
      </w:r>
      <w:r>
        <w:rPr>
          <w:spacing w:val="-2"/>
        </w:rPr>
        <w:t>件产品销售收入按</w:t>
      </w:r>
      <w:r>
        <w:rPr>
          <w:rFonts w:ascii="宋体" w:hAnsi="宋体" w:cs="宋体" w:eastAsia="宋体" w:hint="default"/>
          <w:spacing w:val="-2"/>
        </w:rPr>
        <w:t>13%</w:t>
      </w:r>
      <w:r>
        <w:rPr>
          <w:spacing w:val="-2"/>
        </w:rPr>
        <w:t>的法定税率计缴增值税，对实际税负超过</w:t>
      </w:r>
      <w:r>
        <w:rPr>
          <w:rFonts w:ascii="宋体" w:hAnsi="宋体" w:cs="宋体" w:eastAsia="宋体" w:hint="default"/>
          <w:spacing w:val="-2"/>
        </w:rPr>
        <w:t>3%</w:t>
      </w:r>
      <w:r>
        <w:rPr>
          <w:spacing w:val="-2"/>
        </w:rPr>
        <w:t>的部分实行即征即退政策。继“互联网+”</w:t>
      </w:r>
      <w:r>
        <w:rPr>
          <w:spacing w:val="-37"/>
        </w:rPr>
        <w:t> </w:t>
      </w:r>
      <w:r>
        <w:rPr>
          <w:spacing w:val="-37"/>
        </w:rPr>
      </w:r>
      <w:r>
        <w:rPr/>
        <w:t>纳入政府工作报告，政策对于软件产业的扶持力度颇大。</w:t>
      </w:r>
    </w:p>
    <w:p>
      <w:pPr>
        <w:spacing w:line="417" w:lineRule="auto" w:before="80"/>
        <w:ind w:left="573" w:right="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）出版行业相关新政策</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7"/>
          <w:sz w:val="21"/>
          <w:szCs w:val="21"/>
        </w:rPr>
        <w:t>2017</w:t>
      </w:r>
      <w:r>
        <w:rPr>
          <w:rFonts w:ascii="宋体" w:hAnsi="宋体" w:cs="宋体" w:eastAsia="宋体" w:hint="default"/>
          <w:spacing w:val="-7"/>
          <w:sz w:val="21"/>
          <w:szCs w:val="21"/>
        </w:rPr>
        <w:t>年，出版行业在顶层设计、政策利好的推动下锐意前行—党的十九大指明方向、路径、前景，“十</w:t>
      </w:r>
    </w:p>
    <w:p>
      <w:pPr>
        <w:pStyle w:val="BodyText"/>
        <w:spacing w:line="408" w:lineRule="auto" w:before="37"/>
        <w:ind w:right="326"/>
        <w:jc w:val="both"/>
      </w:pPr>
      <w:r>
        <w:rPr>
          <w:spacing w:val="-7"/>
        </w:rPr>
        <w:t>三五”规划战略布局，多部文化领域法律法规密集颁布施行，弘扬中华优秀传统文化，纵深拓展全民阅读，</w:t>
      </w:r>
      <w:r>
        <w:rPr>
          <w:spacing w:val="-17"/>
        </w:rPr>
        <w:t> </w:t>
      </w:r>
      <w:r>
        <w:rPr>
          <w:spacing w:val="-17"/>
        </w:rPr>
      </w:r>
      <w:r>
        <w:rPr>
          <w:spacing w:val="-2"/>
        </w:rPr>
        <w:t>扶持实体书店转型升级，推动中国出版“走出去”“走进去”，三科统编教材全面使用等政策对</w:t>
      </w:r>
      <w:r>
        <w:rPr>
          <w:rFonts w:ascii="宋体" w:hAnsi="宋体" w:cs="宋体" w:eastAsia="宋体" w:hint="default"/>
          <w:spacing w:val="-2"/>
        </w:rPr>
        <w:t>2018</w:t>
      </w:r>
      <w:r>
        <w:rPr>
          <w:spacing w:val="-2"/>
        </w:rPr>
        <w:t>年乃</w:t>
      </w:r>
      <w:r>
        <w:rPr>
          <w:spacing w:val="-39"/>
        </w:rPr>
        <w:t> </w:t>
      </w:r>
      <w:r>
        <w:rPr/>
        <w:t>至今后数年的出版业，都将产生深远影响。</w:t>
      </w:r>
    </w:p>
    <w:p>
      <w:pPr>
        <w:pStyle w:val="BodyText"/>
        <w:spacing w:line="408" w:lineRule="auto" w:before="144"/>
        <w:ind w:right="5" w:firstLine="420"/>
        <w:jc w:val="left"/>
      </w:pPr>
      <w:r>
        <w:rPr>
          <w:spacing w:val="-5"/>
        </w:rPr>
        <w:t>十九大报告中对文化及文化产业的理论阐述，标志着我国文化产业发展迈入了新时代，开启了新征程，</w:t>
      </w:r>
      <w:r>
        <w:rPr>
          <w:w w:val="100"/>
        </w:rPr>
        <w:t> </w:t>
      </w:r>
      <w:r>
        <w:rPr>
          <w:spacing w:val="-2"/>
        </w:rPr>
        <w:t>也为出版业确立了新的目标和发展方向。</w:t>
      </w:r>
      <w:r>
        <w:rPr>
          <w:rFonts w:ascii="宋体" w:hAnsi="宋体" w:cs="宋体" w:eastAsia="宋体" w:hint="default"/>
          <w:spacing w:val="-2"/>
        </w:rPr>
        <w:t>2017</w:t>
      </w:r>
      <w:r>
        <w:rPr>
          <w:spacing w:val="-2"/>
        </w:rPr>
        <w:t>年，根据国家“十三五”规划，相关部门推出“十三五”规</w:t>
      </w:r>
      <w:r>
        <w:rPr>
          <w:spacing w:val="-41"/>
        </w:rPr>
        <w:t> </w:t>
      </w:r>
      <w:r>
        <w:rPr>
          <w:spacing w:val="-41"/>
        </w:rPr>
      </w:r>
      <w:r>
        <w:rPr/>
        <w:t>划，对今后五年的文化产业发展提出了目标、任务和对策。</w:t>
      </w:r>
    </w:p>
    <w:p>
      <w:pPr>
        <w:pStyle w:val="BodyText"/>
        <w:spacing w:line="408" w:lineRule="auto" w:before="147"/>
        <w:ind w:right="328" w:firstLine="420"/>
        <w:jc w:val="both"/>
      </w:pPr>
      <w:r>
        <w:rPr>
          <w:rFonts w:ascii="宋体" w:hAnsi="宋体" w:cs="宋体" w:eastAsia="宋体" w:hint="default"/>
          <w:spacing w:val="-5"/>
        </w:rPr>
        <w:t>2017</w:t>
      </w:r>
      <w:r>
        <w:rPr>
          <w:spacing w:val="-5"/>
        </w:rPr>
        <w:t>年</w:t>
      </w:r>
      <w:r>
        <w:rPr>
          <w:rFonts w:ascii="宋体" w:hAnsi="宋体" w:cs="宋体" w:eastAsia="宋体" w:hint="default"/>
          <w:spacing w:val="-5"/>
        </w:rPr>
        <w:t>2</w:t>
      </w:r>
      <w:r>
        <w:rPr>
          <w:spacing w:val="-5"/>
        </w:rPr>
        <w:t>月，国家版权局印发《版权工作“十三五”规划》，在完善版权法律制度体系、完善版权行政</w:t>
      </w:r>
      <w:r>
        <w:rPr>
          <w:w w:val="100"/>
        </w:rPr>
        <w:t> </w:t>
      </w:r>
      <w:r>
        <w:rPr>
          <w:spacing w:val="-4"/>
        </w:rPr>
        <w:t>管理体系、完善版权社会服务体系、完善版权涉外工作体系等</w:t>
      </w:r>
      <w:r>
        <w:rPr>
          <w:rFonts w:ascii="宋体" w:hAnsi="宋体" w:cs="宋体" w:eastAsia="宋体" w:hint="default"/>
          <w:spacing w:val="-4"/>
        </w:rPr>
        <w:t>4</w:t>
      </w:r>
      <w:r>
        <w:rPr>
          <w:spacing w:val="-4"/>
        </w:rPr>
        <w:t>个方面提出了</w:t>
      </w:r>
      <w:r>
        <w:rPr>
          <w:rFonts w:ascii="宋体" w:hAnsi="宋体" w:cs="宋体" w:eastAsia="宋体" w:hint="default"/>
          <w:spacing w:val="-4"/>
        </w:rPr>
        <w:t>26</w:t>
      </w:r>
      <w:r>
        <w:rPr>
          <w:spacing w:val="-4"/>
        </w:rPr>
        <w:t>项重点任务，提出要加强对</w:t>
      </w:r>
      <w:r>
        <w:rPr>
          <w:spacing w:val="-49"/>
        </w:rPr>
        <w:t> </w:t>
      </w:r>
      <w:r>
        <w:rPr>
          <w:spacing w:val="-49"/>
        </w:rPr>
      </w:r>
      <w:r>
        <w:rPr/>
        <w:t>网络文学、音乐、影视、动漫等重点领域的监测监管。</w:t>
      </w:r>
    </w:p>
    <w:p>
      <w:pPr>
        <w:pStyle w:val="BodyText"/>
        <w:spacing w:line="408" w:lineRule="auto" w:before="147"/>
        <w:ind w:right="326" w:firstLine="420"/>
        <w:jc w:val="both"/>
      </w:pPr>
      <w:r>
        <w:rPr>
          <w:rFonts w:ascii="宋体" w:hAnsi="宋体" w:cs="宋体" w:eastAsia="宋体" w:hint="default"/>
          <w:spacing w:val="-5"/>
        </w:rPr>
        <w:t>2017</w:t>
      </w:r>
      <w:r>
        <w:rPr>
          <w:spacing w:val="-5"/>
        </w:rPr>
        <w:t>年</w:t>
      </w:r>
      <w:r>
        <w:rPr>
          <w:rFonts w:ascii="宋体" w:hAnsi="宋体" w:cs="宋体" w:eastAsia="宋体" w:hint="default"/>
          <w:spacing w:val="-5"/>
        </w:rPr>
        <w:t>4</w:t>
      </w:r>
      <w:r>
        <w:rPr>
          <w:spacing w:val="-5"/>
        </w:rPr>
        <w:t>月，文化部发布《“十三五”时期文化产业发展规划》，明确了“十三五”时期文化产业发展</w:t>
      </w:r>
      <w:r>
        <w:rPr>
          <w:w w:val="100"/>
        </w:rPr>
        <w:t> </w:t>
      </w:r>
      <w:r>
        <w:rPr>
          <w:spacing w:val="-4"/>
        </w:rPr>
        <w:t>的总体要求、</w:t>
      </w:r>
      <w:r>
        <w:rPr>
          <w:rFonts w:ascii="宋体" w:hAnsi="宋体" w:cs="宋体" w:eastAsia="宋体" w:hint="default"/>
          <w:spacing w:val="-4"/>
        </w:rPr>
        <w:t>9</w:t>
      </w:r>
      <w:r>
        <w:rPr>
          <w:spacing w:val="-4"/>
        </w:rPr>
        <w:t>方面主要任务、</w:t>
      </w:r>
      <w:r>
        <w:rPr>
          <w:rFonts w:ascii="宋体" w:hAnsi="宋体" w:cs="宋体" w:eastAsia="宋体" w:hint="default"/>
          <w:spacing w:val="-4"/>
        </w:rPr>
        <w:t>11</w:t>
      </w:r>
      <w:r>
        <w:rPr>
          <w:spacing w:val="-4"/>
        </w:rPr>
        <w:t>个重点行业和</w:t>
      </w:r>
      <w:r>
        <w:rPr>
          <w:rFonts w:ascii="宋体" w:hAnsi="宋体" w:cs="宋体" w:eastAsia="宋体" w:hint="default"/>
          <w:spacing w:val="-4"/>
        </w:rPr>
        <w:t>7</w:t>
      </w:r>
      <w:r>
        <w:rPr>
          <w:spacing w:val="-4"/>
        </w:rPr>
        <w:t>项保障措施，并以</w:t>
      </w:r>
      <w:r>
        <w:rPr>
          <w:rFonts w:ascii="宋体" w:hAnsi="宋体" w:cs="宋体" w:eastAsia="宋体" w:hint="default"/>
          <w:spacing w:val="-4"/>
        </w:rPr>
        <w:t>8</w:t>
      </w:r>
      <w:r>
        <w:rPr>
          <w:spacing w:val="-4"/>
        </w:rPr>
        <w:t>个专栏列出</w:t>
      </w:r>
      <w:r>
        <w:rPr>
          <w:rFonts w:ascii="宋体" w:hAnsi="宋体" w:cs="宋体" w:eastAsia="宋体" w:hint="default"/>
          <w:spacing w:val="-4"/>
        </w:rPr>
        <w:t>22</w:t>
      </w:r>
      <w:r>
        <w:rPr>
          <w:spacing w:val="-4"/>
        </w:rPr>
        <w:t>项重大工程和项目，着力</w:t>
      </w:r>
      <w:r>
        <w:rPr>
          <w:spacing w:val="-46"/>
        </w:rPr>
        <w:t> </w:t>
      </w:r>
      <w:r>
        <w:rPr>
          <w:spacing w:val="-46"/>
        </w:rPr>
      </w:r>
      <w:r>
        <w:rPr/>
        <w:t>增强可操作性，是“十三五”时期文化产业工作的总体规划。</w:t>
      </w:r>
    </w:p>
    <w:p>
      <w:pPr>
        <w:pStyle w:val="BodyText"/>
        <w:spacing w:line="408" w:lineRule="auto" w:before="144"/>
        <w:ind w:right="326" w:firstLine="420"/>
        <w:jc w:val="both"/>
      </w:pPr>
      <w:r>
        <w:rPr>
          <w:rFonts w:ascii="宋体" w:hAnsi="宋体" w:cs="宋体" w:eastAsia="宋体" w:hint="default"/>
          <w:spacing w:val="-5"/>
        </w:rPr>
        <w:t>2017</w:t>
      </w:r>
      <w:r>
        <w:rPr>
          <w:spacing w:val="-5"/>
        </w:rPr>
        <w:t>年</w:t>
      </w:r>
      <w:r>
        <w:rPr>
          <w:rFonts w:ascii="宋体" w:hAnsi="宋体" w:cs="宋体" w:eastAsia="宋体" w:hint="default"/>
          <w:spacing w:val="-5"/>
        </w:rPr>
        <w:t>5</w:t>
      </w:r>
      <w:r>
        <w:rPr>
          <w:spacing w:val="-5"/>
        </w:rPr>
        <w:t>月，中共中央办公厅、国务院办公厅印发《国家“十三五”时期文化发展改革规划纲要》，为</w:t>
      </w:r>
      <w:r>
        <w:rPr>
          <w:w w:val="100"/>
        </w:rPr>
        <w:t> </w:t>
      </w:r>
      <w:r>
        <w:rPr>
          <w:spacing w:val="-2"/>
        </w:rPr>
        <w:t>文化产业发展指明方向，明确了“十三五”时期文化发展改革的总体要求，提出了</w:t>
      </w:r>
      <w:r>
        <w:rPr>
          <w:rFonts w:ascii="宋体" w:hAnsi="宋体" w:cs="宋体" w:eastAsia="宋体" w:hint="default"/>
          <w:spacing w:val="-2"/>
        </w:rPr>
        <w:t>11</w:t>
      </w:r>
      <w:r>
        <w:rPr>
          <w:spacing w:val="-2"/>
        </w:rPr>
        <w:t>项全面实现文化发展</w:t>
      </w:r>
    </w:p>
    <w:p>
      <w:pPr>
        <w:spacing w:after="0" w:line="408" w:lineRule="auto"/>
        <w:jc w:val="both"/>
        <w:sectPr>
          <w:pgSz w:w="11910" w:h="16840"/>
          <w:pgMar w:header="880" w:footer="979" w:top="1100" w:bottom="1160" w:left="980" w:right="800"/>
        </w:sectPr>
      </w:pPr>
    </w:p>
    <w:p>
      <w:pPr>
        <w:spacing w:line="240" w:lineRule="auto" w:before="12"/>
        <w:rPr>
          <w:rFonts w:ascii="宋体" w:hAnsi="宋体" w:cs="宋体" w:eastAsia="宋体" w:hint="default"/>
          <w:sz w:val="26"/>
          <w:szCs w:val="26"/>
        </w:rPr>
      </w:pPr>
    </w:p>
    <w:p>
      <w:pPr>
        <w:pStyle w:val="BodyText"/>
        <w:spacing w:line="408" w:lineRule="auto" w:before="36"/>
        <w:ind w:right="0"/>
        <w:jc w:val="left"/>
      </w:pPr>
      <w:r>
        <w:rPr/>
        <w:t>的目标任务。《纲要》从理论建设、文艺创作、媒体建设、公共文化、文化产业、传统文化、文化开放、</w:t>
      </w:r>
      <w:r>
        <w:rPr>
          <w:spacing w:val="-24"/>
        </w:rPr>
        <w:t> </w:t>
      </w:r>
      <w:r>
        <w:rPr>
          <w:spacing w:val="-24"/>
        </w:rPr>
      </w:r>
      <w:r>
        <w:rPr>
          <w:spacing w:val="-5"/>
        </w:rPr>
        <w:t>文化体制改革等</w:t>
      </w:r>
      <w:r>
        <w:rPr>
          <w:rFonts w:ascii="宋体" w:hAnsi="宋体" w:cs="宋体" w:eastAsia="宋体" w:hint="default"/>
          <w:spacing w:val="-5"/>
        </w:rPr>
        <w:t>8</w:t>
      </w:r>
      <w:r>
        <w:rPr>
          <w:spacing w:val="-5"/>
        </w:rPr>
        <w:t>个方面确立了“十三五”时期文化发展改革的主要目标。这些目标，既有定性的，也有定</w:t>
      </w:r>
      <w:r>
        <w:rPr>
          <w:spacing w:val="-9"/>
        </w:rPr>
        <w:t> </w:t>
      </w:r>
      <w:r>
        <w:rPr>
          <w:spacing w:val="-9"/>
        </w:rPr>
      </w:r>
      <w:r>
        <w:rPr>
          <w:spacing w:val="-2"/>
        </w:rPr>
        <w:t>量的，既有预期性的，也有约束性的，各有侧重而又相互关联，总的考虑是与全面深化改革的总目标衔接</w:t>
      </w:r>
      <w:r>
        <w:rPr>
          <w:spacing w:val="-47"/>
        </w:rPr>
        <w:t> </w:t>
      </w:r>
      <w:r>
        <w:rPr>
          <w:spacing w:val="-47"/>
        </w:rPr>
      </w:r>
      <w:r>
        <w:rPr/>
        <w:t>配套，确保到</w:t>
      </w:r>
      <w:r>
        <w:rPr>
          <w:rFonts w:ascii="宋体" w:hAnsi="宋体" w:cs="宋体" w:eastAsia="宋体" w:hint="default"/>
        </w:rPr>
        <w:t>2020</w:t>
      </w:r>
      <w:r>
        <w:rPr/>
        <w:t>年中国特色社会主义文化制度更加成熟更加定型。</w:t>
      </w:r>
    </w:p>
    <w:p>
      <w:pPr>
        <w:spacing w:line="415" w:lineRule="auto" w:before="80"/>
        <w:ind w:left="573" w:right="0"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（二）、公司未来的发经营展战略</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2018</w:t>
      </w:r>
      <w:r>
        <w:rPr>
          <w:rFonts w:ascii="宋体" w:hAnsi="宋体" w:cs="宋体" w:eastAsia="宋体" w:hint="default"/>
          <w:spacing w:val="-2"/>
          <w:sz w:val="21"/>
          <w:szCs w:val="21"/>
        </w:rPr>
        <w:t>年至</w:t>
      </w:r>
      <w:r>
        <w:rPr>
          <w:rFonts w:ascii="宋体" w:hAnsi="宋体" w:cs="宋体" w:eastAsia="宋体" w:hint="default"/>
          <w:spacing w:val="-2"/>
          <w:sz w:val="21"/>
          <w:szCs w:val="21"/>
        </w:rPr>
        <w:t>2020</w:t>
      </w:r>
      <w:r>
        <w:rPr>
          <w:rFonts w:ascii="宋体" w:hAnsi="宋体" w:cs="宋体" w:eastAsia="宋体" w:hint="default"/>
          <w:spacing w:val="-2"/>
          <w:sz w:val="21"/>
          <w:szCs w:val="21"/>
        </w:rPr>
        <w:t>年是方直科技革命性的三年，方直科技以现有的优质教育资源、人力资源、品牌渠道</w:t>
      </w:r>
    </w:p>
    <w:p>
      <w:pPr>
        <w:pStyle w:val="BodyText"/>
        <w:spacing w:line="408" w:lineRule="auto" w:before="40"/>
        <w:ind w:right="0"/>
        <w:jc w:val="left"/>
      </w:pPr>
      <w:r>
        <w:rPr>
          <w:spacing w:val="-2"/>
        </w:rPr>
        <w:t>资源和资金平台资源为企业核心战略资源</w:t>
      </w:r>
      <w:r>
        <w:rPr>
          <w:rFonts w:ascii="宋体" w:hAnsi="宋体" w:cs="宋体" w:eastAsia="宋体" w:hint="default"/>
          <w:spacing w:val="-2"/>
        </w:rPr>
        <w:t>,</w:t>
      </w:r>
      <w:r>
        <w:rPr>
          <w:spacing w:val="-2"/>
        </w:rPr>
        <w:t>并以长期建设企业核心战略资源为指导思想制定方直科技未来</w:t>
      </w:r>
      <w:r>
        <w:rPr>
          <w:spacing w:val="-22"/>
        </w:rPr>
        <w:t> </w:t>
      </w:r>
      <w:r>
        <w:rPr>
          <w:spacing w:val="-22"/>
        </w:rPr>
      </w:r>
      <w:r>
        <w:rPr/>
        <w:t>的整体发展战略。公司未来将充分发挥在同步教育行业的领先地位，借助品牌势能拓展全国市场，扩大</w:t>
      </w:r>
      <w:r>
        <w:rPr>
          <w:w w:val="100"/>
        </w:rPr>
        <w:t> </w:t>
      </w:r>
      <w:r>
        <w:rPr/>
        <w:t>优质资源覆盖面，促进教育公平。积极利用公司深厚的精品资源优势及先进的技术优势，全面加速推进</w:t>
      </w:r>
      <w:r>
        <w:rPr>
          <w:w w:val="100"/>
        </w:rPr>
        <w:t> </w:t>
      </w:r>
      <w:r>
        <w:rPr/>
        <w:t>公司优质资源建设、自主知识产权建设及平台建设，完成覆盖小学、初中、高中学段的多学科、多版</w:t>
      </w:r>
      <w:r>
        <w:rPr>
          <w:w w:val="100"/>
        </w:rPr>
        <w:t> </w:t>
      </w:r>
      <w:r>
        <w:rPr/>
        <w:t>本、全学段的优质、同步、配套的教与学资源体系，致力于覆盖课前、课中、课后等教与学多场景需</w:t>
      </w:r>
      <w:r>
        <w:rPr>
          <w:w w:val="100"/>
        </w:rPr>
        <w:t> </w:t>
      </w:r>
      <w:r>
        <w:rPr/>
        <w:t>求，为全方面的教与学提供整体配套解决方案，推动教育服务模式变革，将公司打造成优质教育服务的</w:t>
      </w:r>
      <w:r>
        <w:rPr>
          <w:w w:val="100"/>
        </w:rPr>
        <w:t> </w:t>
      </w:r>
      <w:r>
        <w:rPr/>
        <w:t>龙头企业。</w:t>
      </w:r>
    </w:p>
    <w:p>
      <w:pPr>
        <w:spacing w:line="420" w:lineRule="auto" w:before="77"/>
        <w:ind w:left="573" w:right="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、资源建设：建设全学科多版本全学段的精品资源体系</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49"/>
          <w:sz w:val="21"/>
          <w:szCs w:val="21"/>
        </w:rPr>
      </w:r>
      <w:r>
        <w:rPr>
          <w:rFonts w:ascii="宋体" w:hAnsi="宋体" w:cs="宋体" w:eastAsia="宋体" w:hint="default"/>
          <w:spacing w:val="-2"/>
          <w:sz w:val="21"/>
          <w:szCs w:val="21"/>
        </w:rPr>
        <w:t>公司将继续以优质配套和同步为产品和服务的准则，为学校教师家长和学生提供优质服务，在不断建</w:t>
      </w:r>
    </w:p>
    <w:p>
      <w:pPr>
        <w:pStyle w:val="BodyText"/>
        <w:spacing w:line="408" w:lineRule="auto" w:before="36"/>
        <w:ind w:right="0"/>
        <w:jc w:val="left"/>
      </w:pPr>
      <w:r>
        <w:rPr>
          <w:spacing w:val="-2"/>
        </w:rPr>
        <w:t>设自有知识产权的同时，还需要获得网络出版资质，建立以互联网云平台为技术基础的优质数字化教育资</w:t>
      </w:r>
      <w:r>
        <w:rPr>
          <w:spacing w:val="-43"/>
        </w:rPr>
        <w:t> </w:t>
      </w:r>
      <w:r>
        <w:rPr>
          <w:spacing w:val="-43"/>
        </w:rPr>
      </w:r>
      <w:r>
        <w:rPr/>
        <w:t>源整体解决方案</w:t>
      </w:r>
      <w:r>
        <w:rPr>
          <w:rFonts w:ascii="宋体" w:hAnsi="宋体" w:cs="宋体" w:eastAsia="宋体" w:hint="default"/>
        </w:rPr>
        <w:t>,</w:t>
      </w:r>
      <w:r>
        <w:rPr/>
        <w:t>为开放式在线教育运营奠定坚实的基础。</w:t>
      </w:r>
    </w:p>
    <w:p>
      <w:pPr>
        <w:pStyle w:val="BodyText"/>
        <w:spacing w:line="408" w:lineRule="auto" w:before="144"/>
        <w:ind w:right="208" w:firstLine="420"/>
        <w:jc w:val="both"/>
      </w:pPr>
      <w:r>
        <w:rPr>
          <w:spacing w:val="-2"/>
        </w:rPr>
        <w:t>在完成各学段的主流版本、主学科资源建设，完成数字教材、数字教辅等基础资源的建设上，形成各</w:t>
      </w:r>
      <w:r>
        <w:rPr>
          <w:w w:val="100"/>
        </w:rPr>
        <w:t> </w:t>
      </w:r>
      <w:r>
        <w:rPr>
          <w:spacing w:val="-2"/>
        </w:rPr>
        <w:t>科各版本的配套资源、同步题库，并打造和运营名师优课平台，进一步聚焦名师优质资源。形成一方面满</w:t>
      </w:r>
      <w:r>
        <w:rPr>
          <w:spacing w:val="-50"/>
        </w:rPr>
        <w:t> </w:t>
      </w:r>
      <w:r>
        <w:rPr>
          <w:spacing w:val="-50"/>
        </w:rPr>
      </w:r>
      <w:r>
        <w:rPr>
          <w:spacing w:val="-2"/>
        </w:rPr>
        <w:t>足传统模式的配套基础资源，继续保持公司在征订业务的领先局面；另一方面，形成学、练、测、评一体</w:t>
      </w:r>
      <w:r>
        <w:rPr>
          <w:spacing w:val="-45"/>
        </w:rPr>
        <w:t> </w:t>
      </w:r>
      <w:r>
        <w:rPr>
          <w:spacing w:val="-45"/>
        </w:rPr>
      </w:r>
      <w:r>
        <w:rPr/>
        <w:t>的自主资源体系，进一步满足个性化发展的需要。</w:t>
      </w:r>
    </w:p>
    <w:p>
      <w:pPr>
        <w:spacing w:line="417" w:lineRule="auto" w:before="80"/>
        <w:ind w:left="573" w:right="0"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、平台建设：构建跨平台跨终端平台化综合服务体系</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pacing w:val="-51"/>
          <w:sz w:val="21"/>
          <w:szCs w:val="21"/>
        </w:rPr>
      </w:r>
      <w:r>
        <w:rPr>
          <w:rFonts w:ascii="宋体" w:hAnsi="宋体" w:cs="宋体" w:eastAsia="宋体" w:hint="default"/>
          <w:spacing w:val="-5"/>
          <w:sz w:val="21"/>
          <w:szCs w:val="21"/>
        </w:rPr>
        <w:t>公司将持续加强建设自有</w:t>
      </w:r>
      <w:r>
        <w:rPr>
          <w:rFonts w:ascii="宋体" w:hAnsi="宋体" w:cs="宋体" w:eastAsia="宋体" w:hint="default"/>
          <w:spacing w:val="-5"/>
          <w:sz w:val="21"/>
          <w:szCs w:val="21"/>
        </w:rPr>
        <w:t>MOD</w:t>
      </w:r>
      <w:r>
        <w:rPr>
          <w:rFonts w:ascii="宋体" w:hAnsi="宋体" w:cs="宋体" w:eastAsia="宋体" w:hint="default"/>
          <w:spacing w:val="-5"/>
          <w:sz w:val="21"/>
          <w:szCs w:val="21"/>
        </w:rPr>
        <w:t>资源平台，通过互联网思维与技术相结合将优质、配套、同步的精品资源</w:t>
      </w:r>
    </w:p>
    <w:p>
      <w:pPr>
        <w:pStyle w:val="BodyText"/>
        <w:spacing w:line="408" w:lineRule="auto" w:before="37"/>
        <w:ind w:right="206"/>
        <w:jc w:val="both"/>
      </w:pPr>
      <w:r>
        <w:rPr>
          <w:spacing w:val="-4"/>
        </w:rPr>
        <w:t>得以高效利用，实现五通一平台，持续对接与征订、运营商、</w:t>
      </w:r>
      <w:r>
        <w:rPr>
          <w:rFonts w:ascii="宋体" w:hAnsi="宋体" w:cs="宋体" w:eastAsia="宋体" w:hint="default"/>
          <w:spacing w:val="-4"/>
        </w:rPr>
        <w:t>C</w:t>
      </w:r>
      <w:r>
        <w:rPr>
          <w:spacing w:val="-4"/>
        </w:rPr>
        <w:t>端、</w:t>
      </w:r>
      <w:r>
        <w:rPr>
          <w:rFonts w:ascii="宋体" w:hAnsi="宋体" w:cs="宋体" w:eastAsia="宋体" w:hint="default"/>
          <w:spacing w:val="-4"/>
        </w:rPr>
        <w:t>B</w:t>
      </w:r>
      <w:r>
        <w:rPr>
          <w:spacing w:val="-4"/>
        </w:rPr>
        <w:t>端、</w:t>
      </w:r>
      <w:r>
        <w:rPr>
          <w:rFonts w:ascii="宋体" w:hAnsi="宋体" w:cs="宋体" w:eastAsia="宋体" w:hint="default"/>
          <w:spacing w:val="-4"/>
        </w:rPr>
        <w:t>VIP</w:t>
      </w:r>
      <w:r>
        <w:rPr>
          <w:spacing w:val="-4"/>
        </w:rPr>
        <w:t>的用户、资源、服务的平台支</w:t>
      </w:r>
      <w:r>
        <w:rPr>
          <w:spacing w:val="-45"/>
        </w:rPr>
        <w:t> </w:t>
      </w:r>
      <w:r>
        <w:rPr>
          <w:spacing w:val="-45"/>
        </w:rPr>
      </w:r>
      <w:r>
        <w:rPr>
          <w:spacing w:val="-5"/>
        </w:rPr>
        <w:t>撑，发挥资源最大效能。以自有</w:t>
      </w:r>
      <w:r>
        <w:rPr>
          <w:rFonts w:ascii="宋体" w:hAnsi="宋体" w:cs="宋体" w:eastAsia="宋体" w:hint="default"/>
          <w:spacing w:val="-5"/>
        </w:rPr>
        <w:t>MOD</w:t>
      </w:r>
      <w:r>
        <w:rPr>
          <w:spacing w:val="-5"/>
        </w:rPr>
        <w:t>平台为基础，针对不同的教学时段（课前、课中、课后、假期等）、针</w:t>
      </w:r>
      <w:r>
        <w:rPr>
          <w:spacing w:val="-3"/>
        </w:rPr>
        <w:t> </w:t>
      </w:r>
      <w:r>
        <w:rPr>
          <w:spacing w:val="-3"/>
        </w:rPr>
      </w:r>
      <w:r>
        <w:rPr>
          <w:spacing w:val="-2"/>
        </w:rPr>
        <w:t>对不同的用户对象（老师、学生、家长、学校管理者、区域管理者等）提供精准资源服务，通过对优质的</w:t>
      </w:r>
      <w:r>
        <w:rPr>
          <w:spacing w:val="-47"/>
        </w:rPr>
        <w:t> </w:t>
      </w:r>
      <w:r>
        <w:rPr>
          <w:spacing w:val="-47"/>
        </w:rPr>
      </w:r>
      <w:r>
        <w:rPr>
          <w:spacing w:val="-2"/>
        </w:rPr>
        <w:t>教学资源的整合与沟通形成良好的教学研氛围，提高学校、教师及学生的教学研及学习效率，激发市场活</w:t>
      </w:r>
      <w:r>
        <w:rPr>
          <w:spacing w:val="-44"/>
        </w:rPr>
        <w:t> </w:t>
      </w:r>
      <w:r>
        <w:rPr>
          <w:spacing w:val="-44"/>
        </w:rPr>
      </w:r>
      <w:r>
        <w:rPr>
          <w:spacing w:val="-7"/>
        </w:rPr>
        <w:t>力，进而提高对公司产品的粘性，形成“内容资源</w:t>
      </w:r>
      <w:r>
        <w:rPr>
          <w:rFonts w:ascii="宋体" w:hAnsi="宋体" w:cs="宋体" w:eastAsia="宋体" w:hint="default"/>
          <w:spacing w:val="-7"/>
        </w:rPr>
        <w:t>+</w:t>
      </w:r>
      <w:r>
        <w:rPr>
          <w:spacing w:val="-7"/>
        </w:rPr>
        <w:t>自营平台</w:t>
      </w:r>
      <w:r>
        <w:rPr>
          <w:rFonts w:ascii="宋体" w:hAnsi="宋体" w:cs="宋体" w:eastAsia="宋体" w:hint="default"/>
          <w:spacing w:val="-7"/>
        </w:rPr>
        <w:t>+</w:t>
      </w:r>
      <w:r>
        <w:rPr>
          <w:spacing w:val="-7"/>
        </w:rPr>
        <w:t>平台对接”的运营模式，实现优质资源自建、</w:t>
      </w:r>
    </w:p>
    <w:p>
      <w:pPr>
        <w:spacing w:after="0" w:line="408" w:lineRule="auto"/>
        <w:jc w:val="both"/>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right="206"/>
        <w:jc w:val="both"/>
      </w:pPr>
      <w:r>
        <w:rPr>
          <w:spacing w:val="-2"/>
        </w:rPr>
        <w:t>精品资源共享、内外资源同生的资源运营生态，构建基于优质资源的多渠道合作运营和服务于多重用户云</w:t>
      </w:r>
      <w:r>
        <w:rPr>
          <w:spacing w:val="-43"/>
        </w:rPr>
        <w:t> </w:t>
      </w:r>
      <w:r>
        <w:rPr>
          <w:spacing w:val="-43"/>
        </w:rPr>
      </w:r>
      <w:r>
        <w:rPr/>
        <w:t>服务平台。</w:t>
      </w:r>
    </w:p>
    <w:p>
      <w:pPr>
        <w:spacing w:line="415" w:lineRule="auto" w:before="80"/>
        <w:ind w:left="573"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、营销建设：中心辐射多管齐下加快复制强化渗透</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宋体" w:hAnsi="宋体" w:cs="宋体" w:eastAsia="宋体" w:hint="default"/>
          <w:spacing w:val="-2"/>
          <w:sz w:val="21"/>
          <w:szCs w:val="21"/>
        </w:rPr>
        <w:t>公司将持续以征订和教材同步产品为依托，大规模发展用户，开发公司的资源管理和服务平台与上</w:t>
      </w:r>
    </w:p>
    <w:p>
      <w:pPr>
        <w:pStyle w:val="BodyText"/>
        <w:spacing w:line="408" w:lineRule="auto" w:before="40"/>
        <w:ind w:right="393"/>
        <w:jc w:val="both"/>
      </w:pPr>
      <w:r>
        <w:rPr>
          <w:spacing w:val="-2"/>
        </w:rPr>
        <w:t>游资源加大合作。并与合作伙伴（包括代理商、终端产品商、出版社、运营商或系统集成）合作有效地</w:t>
      </w:r>
      <w:r>
        <w:rPr>
          <w:spacing w:val="-21"/>
        </w:rPr>
        <w:t> </w:t>
      </w:r>
      <w:r>
        <w:rPr>
          <w:spacing w:val="-21"/>
        </w:rPr>
      </w:r>
      <w:r>
        <w:rPr>
          <w:spacing w:val="-2"/>
        </w:rPr>
        <w:t>为用户提供有价值的服务，最大限度的发挥资源多重渠道多种载体的价值。在重点市场，集中资源，快</w:t>
      </w:r>
      <w:r>
        <w:rPr>
          <w:spacing w:val="-21"/>
        </w:rPr>
        <w:t> </w:t>
      </w:r>
      <w:r>
        <w:rPr>
          <w:spacing w:val="-21"/>
        </w:rPr>
      </w:r>
      <w:r>
        <w:rPr>
          <w:spacing w:val="-2"/>
        </w:rPr>
        <w:t>速规划样板工程和样板基地的建设，拿下重点区域和学校。并以成熟样板为核心向全国战略重要位置的</w:t>
      </w:r>
      <w:r>
        <w:rPr>
          <w:spacing w:val="-21"/>
        </w:rPr>
        <w:t> </w:t>
      </w:r>
      <w:r>
        <w:rPr>
          <w:spacing w:val="-21"/>
        </w:rPr>
      </w:r>
      <w:r>
        <w:rPr/>
        <w:t>省会城市复制，进一步拓宽多渠道建设，全面实现新业务模式下的多学科多版本全学段的服务。</w:t>
      </w:r>
    </w:p>
    <w:p>
      <w:pPr>
        <w:spacing w:line="420" w:lineRule="auto" w:before="78"/>
        <w:ind w:left="575" w:right="0"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、人才建设：适应经营环境的人力资源生态系统</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pacing w:val="-3"/>
          <w:sz w:val="21"/>
          <w:szCs w:val="21"/>
        </w:rPr>
        <w:t>随着互联网的发展，商业模式由产品型向互联网服务型转换，对人才建设也提出了更高的要求，公司</w:t>
      </w:r>
    </w:p>
    <w:p>
      <w:pPr>
        <w:pStyle w:val="BodyText"/>
        <w:spacing w:line="408" w:lineRule="auto" w:before="35"/>
        <w:ind w:right="206"/>
        <w:jc w:val="both"/>
      </w:pPr>
      <w:r>
        <w:rPr>
          <w:spacing w:val="-2"/>
        </w:rPr>
        <w:t>将继续以人力资源作为公司的核心战略资源为导向，不断完善人才的衡量与评价标准，提供配套的人才发</w:t>
      </w:r>
      <w:r>
        <w:rPr>
          <w:spacing w:val="-43"/>
        </w:rPr>
        <w:t> </w:t>
      </w:r>
      <w:r>
        <w:rPr>
          <w:spacing w:val="-43"/>
        </w:rPr>
      </w:r>
      <w:r>
        <w:rPr>
          <w:spacing w:val="-2"/>
        </w:rPr>
        <w:t>展学习解决方案，并建立配套的激励机制，积极打造一片培养人才的沃土。按照人才资源建设优于财务指</w:t>
      </w:r>
      <w:r>
        <w:rPr>
          <w:spacing w:val="-44"/>
        </w:rPr>
        <w:t> </w:t>
      </w:r>
      <w:r>
        <w:rPr>
          <w:spacing w:val="-44"/>
        </w:rPr>
      </w:r>
      <w:r>
        <w:rPr>
          <w:spacing w:val="-2"/>
        </w:rPr>
        <w:t>标的发展方针，将公司现有的职业化树状管理模式全面向产品制项目管理模式进行转变，让更多的优秀人</w:t>
      </w:r>
      <w:r>
        <w:rPr>
          <w:spacing w:val="-43"/>
        </w:rPr>
        <w:t> </w:t>
      </w:r>
      <w:r>
        <w:rPr>
          <w:spacing w:val="-43"/>
        </w:rPr>
      </w:r>
      <w:r>
        <w:rPr/>
        <w:t>才成长起来。</w:t>
      </w:r>
    </w:p>
    <w:p>
      <w:pPr>
        <w:spacing w:line="376" w:lineRule="auto" w:before="78"/>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w:t>
      </w:r>
      <w:r>
        <w:rPr>
          <w:rFonts w:ascii="Arial" w:hAnsi="Arial" w:cs="Arial" w:eastAsia="Arial" w:hint="default"/>
          <w:b/>
          <w:bCs/>
          <w:sz w:val="21"/>
          <w:szCs w:val="21"/>
        </w:rPr>
        <w:t>2018</w:t>
      </w:r>
      <w:r>
        <w:rPr>
          <w:rFonts w:ascii="Microsoft JhengHei" w:hAnsi="Microsoft JhengHei" w:cs="Microsoft JhengHei" w:eastAsia="Microsoft JhengHei" w:hint="default"/>
          <w:b/>
          <w:bCs/>
          <w:sz w:val="21"/>
          <w:szCs w:val="21"/>
        </w:rPr>
        <w:t>年经营工作计划：</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2018</w:t>
      </w:r>
      <w:r>
        <w:rPr>
          <w:rFonts w:ascii="宋体" w:hAnsi="宋体" w:cs="宋体" w:eastAsia="宋体" w:hint="default"/>
          <w:spacing w:val="-2"/>
          <w:sz w:val="21"/>
          <w:szCs w:val="21"/>
        </w:rPr>
        <w:t>年公司将继续秉持“人人分享优质教育”的理念，坚持“科技服务于教育”，大力发展在线教育</w:t>
      </w:r>
    </w:p>
    <w:p>
      <w:pPr>
        <w:pStyle w:val="BodyText"/>
        <w:spacing w:line="408" w:lineRule="auto" w:before="73"/>
        <w:ind w:right="206"/>
        <w:jc w:val="both"/>
      </w:pPr>
      <w:r>
        <w:rPr>
          <w:spacing w:val="-7"/>
        </w:rPr>
        <w:t>资源运营和服务，紧密围绕公司发展战略，进一步推动互联网教育转型升级，同时加快推进优质资源整合，</w:t>
      </w:r>
      <w:r>
        <w:rPr>
          <w:spacing w:val="-18"/>
        </w:rPr>
        <w:t> </w:t>
      </w:r>
      <w:r>
        <w:rPr>
          <w:spacing w:val="-18"/>
        </w:rPr>
      </w:r>
      <w:r>
        <w:rPr>
          <w:spacing w:val="-2"/>
        </w:rPr>
        <w:t>积极探索教育行业各细分领域的投资并购机会，推动公司业务外延式发展，加速经营业绩的快速提升和业</w:t>
      </w:r>
      <w:r>
        <w:rPr>
          <w:spacing w:val="-43"/>
        </w:rPr>
        <w:t> </w:t>
      </w:r>
      <w:r>
        <w:rPr>
          <w:spacing w:val="-43"/>
        </w:rPr>
      </w:r>
      <w:r>
        <w:rPr/>
        <w:t>务结构的优化转型。为确保</w:t>
      </w:r>
      <w:r>
        <w:rPr>
          <w:rFonts w:ascii="宋体" w:hAnsi="宋体" w:cs="宋体" w:eastAsia="宋体" w:hint="default"/>
        </w:rPr>
        <w:t>2018</w:t>
      </w:r>
      <w:r>
        <w:rPr/>
        <w:t>年经营目标的实现，公司将着重做好以下工作：</w:t>
      </w:r>
    </w:p>
    <w:p>
      <w:pPr>
        <w:pStyle w:val="BodyText"/>
        <w:spacing w:line="408" w:lineRule="auto" w:before="87"/>
        <w:ind w:right="0" w:firstLine="420"/>
        <w:jc w:val="left"/>
      </w:pPr>
      <w:r>
        <w:rPr>
          <w:rFonts w:ascii="宋体" w:hAnsi="宋体" w:cs="宋体" w:eastAsia="宋体" w:hint="default"/>
          <w:spacing w:val="-6"/>
        </w:rPr>
        <w:t>1</w:t>
      </w:r>
      <w:r>
        <w:rPr>
          <w:spacing w:val="-6"/>
        </w:rPr>
        <w:t>、资源建设方面</w:t>
      </w:r>
      <w:r>
        <w:rPr>
          <w:rFonts w:ascii="宋体" w:hAnsi="宋体" w:cs="宋体" w:eastAsia="宋体" w:hint="default"/>
          <w:spacing w:val="-6"/>
        </w:rPr>
        <w:t>:</w:t>
      </w:r>
      <w:r>
        <w:rPr>
          <w:rFonts w:ascii="宋体" w:hAnsi="宋体" w:cs="宋体" w:eastAsia="宋体" w:hint="default"/>
          <w:spacing w:val="29"/>
        </w:rPr>
        <w:t> </w:t>
      </w:r>
      <w:r>
        <w:rPr>
          <w:spacing w:val="-4"/>
        </w:rPr>
        <w:t>确定以小学阶段用户为主要目标用户群体，重点加快英语资源的产品化，全面推进</w:t>
      </w:r>
      <w:r>
        <w:rPr>
          <w:w w:val="100"/>
        </w:rPr>
        <w:t> </w:t>
      </w:r>
      <w:r>
        <w:rPr/>
        <w:t>语文、数学等多学科的资源建设，在征订、数字教辅等项目驱动下，形成小学主流学科资源的整体覆盖。</w:t>
      </w:r>
      <w:r>
        <w:rPr>
          <w:spacing w:val="-23"/>
        </w:rPr>
        <w:t> </w:t>
      </w:r>
      <w:r>
        <w:rPr>
          <w:spacing w:val="-23"/>
        </w:rPr>
      </w:r>
      <w:r>
        <w:rPr>
          <w:spacing w:val="-2"/>
        </w:rPr>
        <w:t>与此同时，加快推动全学科名师优课精品资源的引进，建立与名师共同运营推广的模式，打造业内标杆名</w:t>
      </w:r>
      <w:r>
        <w:rPr>
          <w:spacing w:val="-43"/>
        </w:rPr>
        <w:t> </w:t>
      </w:r>
      <w:r>
        <w:rPr>
          <w:spacing w:val="-43"/>
        </w:rPr>
      </w:r>
      <w:r>
        <w:rPr/>
        <w:t>师，从形成宣传带动作用。</w:t>
      </w:r>
    </w:p>
    <w:p>
      <w:pPr>
        <w:pStyle w:val="BodyText"/>
        <w:spacing w:line="408" w:lineRule="auto" w:before="84"/>
        <w:ind w:right="208" w:firstLine="420"/>
        <w:jc w:val="both"/>
      </w:pPr>
      <w:r>
        <w:rPr>
          <w:rFonts w:ascii="宋体" w:hAnsi="宋体" w:cs="宋体" w:eastAsia="宋体" w:hint="default"/>
          <w:spacing w:val="-5"/>
        </w:rPr>
        <w:t>2</w:t>
      </w:r>
      <w:r>
        <w:rPr>
          <w:spacing w:val="-5"/>
        </w:rPr>
        <w:t>、平台建设方面：持续推进</w:t>
      </w:r>
      <w:r>
        <w:rPr>
          <w:rFonts w:ascii="宋体" w:hAnsi="宋体" w:cs="宋体" w:eastAsia="宋体" w:hint="default"/>
          <w:spacing w:val="-5"/>
        </w:rPr>
        <w:t>MOD</w:t>
      </w:r>
      <w:r>
        <w:rPr>
          <w:rFonts w:ascii="宋体" w:hAnsi="宋体" w:cs="宋体" w:eastAsia="宋体" w:hint="default"/>
          <w:spacing w:val="53"/>
        </w:rPr>
        <w:t> </w:t>
      </w:r>
      <w:r>
        <w:rPr>
          <w:spacing w:val="-4"/>
        </w:rPr>
        <w:t>资源平台系统建设，包括数据分析系统、产品接入管理系统、教学资</w:t>
      </w:r>
      <w:r>
        <w:rPr>
          <w:w w:val="100"/>
        </w:rPr>
        <w:t> </w:t>
      </w:r>
      <w:r>
        <w:rPr>
          <w:spacing w:val="-5"/>
        </w:rPr>
        <w:t>源系统、题库资源系统、知识点引擎的迭代与新建，实现资源平台全学科全学段覆盖。基于</w:t>
      </w:r>
      <w:r>
        <w:rPr>
          <w:spacing w:val="27"/>
        </w:rPr>
        <w:t> </w:t>
      </w:r>
      <w:r>
        <w:rPr>
          <w:rFonts w:ascii="宋体" w:hAnsi="宋体" w:cs="宋体" w:eastAsia="宋体" w:hint="default"/>
        </w:rPr>
        <w:t>MOD</w:t>
      </w:r>
      <w:r>
        <w:rPr>
          <w:rFonts w:ascii="宋体" w:hAnsi="宋体" w:cs="宋体" w:eastAsia="宋体" w:hint="default"/>
          <w:spacing w:val="27"/>
        </w:rPr>
        <w:t> </w:t>
      </w:r>
      <w:r>
        <w:rPr/>
        <w:t>资源平台</w:t>
      </w:r>
      <w:r>
        <w:rPr>
          <w:spacing w:val="-99"/>
        </w:rPr>
        <w:t> </w:t>
      </w:r>
      <w:r>
        <w:rPr>
          <w:spacing w:val="-99"/>
        </w:rPr>
      </w:r>
      <w:r>
        <w:rPr>
          <w:spacing w:val="-2"/>
        </w:rPr>
        <w:t>规划，持续输出更多的资源标准规范，完善平台功能性建设，尝试对市场化导向的新产品预演，并优先支</w:t>
      </w:r>
      <w:r>
        <w:rPr>
          <w:spacing w:val="-50"/>
        </w:rPr>
        <w:t> </w:t>
      </w:r>
      <w:r>
        <w:rPr>
          <w:spacing w:val="-50"/>
        </w:rPr>
      </w:r>
      <w:r>
        <w:rPr>
          <w:spacing w:val="-2"/>
        </w:rPr>
        <w:t>撑收入型的产品协同开发。在持续建设平台能力同时，有序支撑同步学、同步练、点读宝</w:t>
      </w:r>
      <w:r>
        <w:rPr>
          <w:spacing w:val="49"/>
        </w:rPr>
        <w:t> </w:t>
      </w:r>
      <w:r>
        <w:rPr>
          <w:spacing w:val="-2"/>
        </w:rPr>
        <w:t>等</w:t>
      </w:r>
      <w:r>
        <w:rPr>
          <w:rFonts w:ascii="宋体" w:hAnsi="宋体" w:cs="宋体" w:eastAsia="宋体" w:hint="default"/>
          <w:spacing w:val="-2"/>
        </w:rPr>
        <w:t>APP</w:t>
      </w:r>
      <w:r>
        <w:rPr>
          <w:spacing w:val="-2"/>
        </w:rPr>
        <w:t>主线产品</w:t>
      </w:r>
      <w:r>
        <w:rPr>
          <w:spacing w:val="-94"/>
        </w:rPr>
        <w:t> </w:t>
      </w:r>
      <w:r>
        <w:rPr>
          <w:spacing w:val="-94"/>
        </w:rPr>
      </w:r>
      <w:r>
        <w:rPr/>
        <w:t>的分模块接入（包括学习报告、错题集等分类模块），形成一套高效的联合开发和联调对接机制。</w:t>
      </w:r>
    </w:p>
    <w:p>
      <w:pPr>
        <w:spacing w:after="0" w:line="408" w:lineRule="auto"/>
        <w:jc w:val="both"/>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right="205" w:firstLine="420"/>
        <w:jc w:val="both"/>
      </w:pPr>
      <w:r>
        <w:rPr>
          <w:rFonts w:ascii="宋体" w:hAnsi="宋体" w:cs="宋体" w:eastAsia="宋体" w:hint="default"/>
          <w:spacing w:val="-5"/>
        </w:rPr>
        <w:t>3</w:t>
      </w:r>
      <w:r>
        <w:rPr>
          <w:spacing w:val="-5"/>
        </w:rPr>
        <w:t>、营销建设方面：根据人人分享优质教育的企业使命，大规模发展用户，从中选择高付费用户，提升</w:t>
      </w:r>
      <w:r>
        <w:rPr>
          <w:w w:val="100"/>
        </w:rPr>
        <w:t> </w:t>
      </w:r>
      <w:r>
        <w:rPr>
          <w:spacing w:val="-2"/>
        </w:rPr>
        <w:t>高端客户服务价值。解决从普及到定制高中低端服务痛点，满足从整体到个体课内课外学习需求。在</w:t>
      </w:r>
      <w:r>
        <w:rPr>
          <w:rFonts w:ascii="宋体" w:hAnsi="宋体" w:cs="宋体" w:eastAsia="宋体" w:hint="default"/>
          <w:spacing w:val="-2"/>
        </w:rPr>
        <w:t>2018</w:t>
      </w:r>
      <w:r>
        <w:rPr>
          <w:rFonts w:ascii="宋体" w:hAnsi="宋体" w:cs="宋体" w:eastAsia="宋体" w:hint="default"/>
          <w:spacing w:val="-38"/>
        </w:rPr>
        <w:t> </w:t>
      </w:r>
      <w:r>
        <w:rPr>
          <w:rFonts w:ascii="宋体" w:hAnsi="宋体" w:cs="宋体" w:eastAsia="宋体" w:hint="default"/>
          <w:spacing w:val="-38"/>
        </w:rPr>
      </w:r>
      <w:r>
        <w:rPr/>
        <w:t>年重点建设如深圳、广州、北京、太原、西安等一线城市。</w:t>
      </w:r>
    </w:p>
    <w:p>
      <w:pPr>
        <w:pStyle w:val="BodyText"/>
        <w:spacing w:line="408" w:lineRule="auto" w:before="87"/>
        <w:ind w:right="209" w:firstLine="420"/>
        <w:jc w:val="both"/>
      </w:pPr>
      <w:r>
        <w:rPr>
          <w:rFonts w:ascii="宋体" w:hAnsi="宋体" w:cs="宋体" w:eastAsia="宋体" w:hint="default"/>
          <w:spacing w:val="-9"/>
        </w:rPr>
        <w:t>4</w:t>
      </w:r>
      <w:r>
        <w:rPr>
          <w:spacing w:val="-9"/>
        </w:rPr>
        <w:t>、人才建设方面：根据公司发展要求，加大优秀人才的引进与培养：建立初、中、高级任职资格标准，</w:t>
      </w:r>
      <w:r>
        <w:rPr>
          <w:w w:val="100"/>
        </w:rPr>
        <w:t> </w:t>
      </w:r>
      <w:r>
        <w:rPr/>
        <w:t>完成初级人才培养计划，依据任职资格标准建立快进快出的考核机制。</w:t>
      </w:r>
    </w:p>
    <w:p>
      <w:pPr>
        <w:pStyle w:val="Heading5"/>
        <w:spacing w:line="374" w:lineRule="auto" w:before="77"/>
        <w:ind w:left="575" w:right="4101"/>
        <w:jc w:val="left"/>
        <w:rPr>
          <w:b w:val="0"/>
          <w:bCs w:val="0"/>
        </w:rPr>
      </w:pPr>
      <w:r>
        <w:rPr>
          <w:spacing w:val="-1"/>
        </w:rPr>
        <w:t>（五）、公司未来发展可能面临的风险</w:t>
      </w:r>
      <w:r>
        <w:rPr>
          <w:spacing w:val="-22"/>
        </w:rPr>
        <w:t> </w:t>
      </w:r>
      <w:r>
        <w:rPr>
          <w:spacing w:val="-22"/>
        </w:rPr>
      </w:r>
      <w:r>
        <w:rPr>
          <w:rFonts w:ascii="Arial" w:hAnsi="Arial" w:cs="Arial" w:eastAsia="Arial" w:hint="default"/>
        </w:rPr>
        <w:t>1</w:t>
      </w:r>
      <w:r>
        <w:rPr/>
        <w:t>、宏观政策的风险</w:t>
      </w:r>
      <w:r>
        <w:rPr>
          <w:b w:val="0"/>
          <w:bCs w:val="0"/>
        </w:rPr>
      </w:r>
    </w:p>
    <w:p>
      <w:pPr>
        <w:pStyle w:val="BodyText"/>
        <w:spacing w:line="408" w:lineRule="auto" w:before="114"/>
        <w:ind w:right="206" w:firstLine="420"/>
        <w:jc w:val="both"/>
      </w:pPr>
      <w:r>
        <w:rPr>
          <w:spacing w:val="-2"/>
        </w:rPr>
        <w:t>随着教育改革的深入，国家教育部在</w:t>
      </w:r>
      <w:r>
        <w:rPr>
          <w:rFonts w:ascii="宋体" w:hAnsi="宋体" w:cs="宋体" w:eastAsia="宋体" w:hint="default"/>
          <w:spacing w:val="-2"/>
        </w:rPr>
        <w:t>2011</w:t>
      </w:r>
      <w:r>
        <w:rPr>
          <w:spacing w:val="-2"/>
        </w:rPr>
        <w:t>年颁布新课标并要求现有教材重新送审，将会给公司带来签</w:t>
      </w:r>
      <w:r>
        <w:rPr>
          <w:w w:val="100"/>
        </w:rPr>
        <w:t> </w:t>
      </w:r>
      <w:r>
        <w:rPr>
          <w:spacing w:val="-2"/>
        </w:rPr>
        <w:t>署著作权合作的风险和新版教材产品开发成本增加的风险。公司将强化与著作权人的合作关系，并根据教</w:t>
      </w:r>
      <w:r>
        <w:rPr>
          <w:spacing w:val="-43"/>
        </w:rPr>
        <w:t> </w:t>
      </w:r>
      <w:r>
        <w:rPr>
          <w:spacing w:val="-43"/>
        </w:rPr>
      </w:r>
      <w:r>
        <w:rPr>
          <w:spacing w:val="-2"/>
        </w:rPr>
        <w:t>材变化和教学改革要求完善配套软件内容，升级产品和建设更为快捷高效的开发平台。同时，公司将进一</w:t>
      </w:r>
      <w:r>
        <w:rPr>
          <w:spacing w:val="-44"/>
        </w:rPr>
        <w:t> </w:t>
      </w:r>
      <w:r>
        <w:rPr>
          <w:spacing w:val="-44"/>
        </w:rPr>
      </w:r>
      <w:r>
        <w:rPr/>
        <w:t>步积极研发创新产品，提升公司的创新能力和完善自主产品。</w:t>
      </w:r>
    </w:p>
    <w:p>
      <w:pPr>
        <w:spacing w:line="417" w:lineRule="auto" w:before="77"/>
        <w:ind w:left="573" w:right="0"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、客户相对集中的风险</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目前公司的销售区域仍主要以珠三角，长三角及京津地区等大中城市为主，市场区域相对集中并存在</w:t>
      </w:r>
    </w:p>
    <w:p>
      <w:pPr>
        <w:pStyle w:val="BodyText"/>
        <w:spacing w:line="496" w:lineRule="auto" w:before="37"/>
        <w:ind w:left="573" w:right="0" w:hanging="420"/>
        <w:jc w:val="left"/>
      </w:pPr>
      <w:r>
        <w:rPr/>
        <w:t>一定风险，可能对本公司未来盈利能力造成影响。</w:t>
      </w:r>
      <w:r>
        <w:rPr>
          <w:w w:val="100"/>
        </w:rPr>
        <w:t> </w:t>
      </w:r>
      <w:r>
        <w:rPr/>
        <w:t>公司将通过技术研发和产品拓展计划，营销渠道拓展计划解决上述产品及销售区域较为集中的风险。</w:t>
      </w:r>
    </w:p>
    <w:p>
      <w:pPr>
        <w:pStyle w:val="BodyText"/>
        <w:spacing w:line="243" w:lineRule="exact" w:before="0"/>
        <w:ind w:right="0"/>
        <w:jc w:val="left"/>
      </w:pPr>
      <w:r>
        <w:rPr/>
        <w:t>一方面通过开发语文、数学等其他学科的研发，将各学科发展均衡。另一方面，公司将把开创新的销售区</w:t>
      </w:r>
    </w:p>
    <w:p>
      <w:pPr>
        <w:spacing w:line="240" w:lineRule="auto" w:before="10"/>
        <w:rPr>
          <w:rFonts w:ascii="宋体" w:hAnsi="宋体" w:cs="宋体" w:eastAsia="宋体" w:hint="default"/>
          <w:sz w:val="14"/>
          <w:szCs w:val="14"/>
        </w:rPr>
      </w:pPr>
    </w:p>
    <w:p>
      <w:pPr>
        <w:pStyle w:val="BodyText"/>
        <w:spacing w:line="408" w:lineRule="auto" w:before="0"/>
        <w:ind w:right="206"/>
        <w:jc w:val="both"/>
      </w:pPr>
      <w:r>
        <w:rPr>
          <w:spacing w:val="-2"/>
        </w:rPr>
        <w:t>域作为战略重点，通过与现有的主流出版社、教研系统所建立的良好的合作关系，充分把握各地中小学教</w:t>
      </w:r>
      <w:r>
        <w:rPr>
          <w:spacing w:val="-44"/>
        </w:rPr>
        <w:t> </w:t>
      </w:r>
      <w:r>
        <w:rPr>
          <w:spacing w:val="-44"/>
        </w:rPr>
      </w:r>
      <w:r>
        <w:rPr>
          <w:spacing w:val="-2"/>
        </w:rPr>
        <w:t>材的新特点、新趋势，对潜在用户的市场需求进行调研分析，积极开发地方版本系列以满足二、三线城市</w:t>
      </w:r>
      <w:r>
        <w:rPr>
          <w:spacing w:val="-47"/>
        </w:rPr>
        <w:t> </w:t>
      </w:r>
      <w:r>
        <w:rPr>
          <w:spacing w:val="-47"/>
        </w:rPr>
      </w:r>
      <w:r>
        <w:rPr/>
        <w:t>的拓展需求。</w:t>
      </w:r>
    </w:p>
    <w:p>
      <w:pPr>
        <w:spacing w:line="417" w:lineRule="auto" w:before="77"/>
        <w:ind w:left="573" w:right="0"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、新产品开发和技术更新换代的风险</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市场需求不断变化，教育技术不断发展，如果公司对行业关键技术的发展动态不能及时掌控，对教育</w:t>
      </w:r>
    </w:p>
    <w:p>
      <w:pPr>
        <w:pStyle w:val="BodyText"/>
        <w:spacing w:line="496" w:lineRule="auto" w:before="38"/>
        <w:ind w:left="573" w:right="0" w:hanging="420"/>
        <w:jc w:val="left"/>
      </w:pPr>
      <w:r>
        <w:rPr/>
        <w:t>教学当中的新理念以及广大教师和学生的教学需求不能正确把握，研发的产品将不具备竞争力。</w:t>
      </w:r>
      <w:r>
        <w:rPr>
          <w:w w:val="100"/>
        </w:rPr>
        <w:t> </w:t>
      </w:r>
      <w:r>
        <w:rPr>
          <w:spacing w:val="-2"/>
        </w:rPr>
        <w:t>公司积极投入同步教学软件及在线教育网络服务开发平台的开发，使公司开发的同步教育服务类产品</w:t>
      </w:r>
    </w:p>
    <w:p>
      <w:pPr>
        <w:pStyle w:val="BodyText"/>
        <w:spacing w:line="243" w:lineRule="exact" w:before="0"/>
        <w:ind w:right="0"/>
        <w:jc w:val="left"/>
      </w:pPr>
      <w:r>
        <w:rPr/>
        <w:t>具有更强的针对性和实用性；同时加强基础教育项目研究，在开发实施过程中进行有效管理、把握开发周</w:t>
      </w:r>
    </w:p>
    <w:p>
      <w:pPr>
        <w:spacing w:line="240" w:lineRule="auto" w:before="10"/>
        <w:rPr>
          <w:rFonts w:ascii="宋体" w:hAnsi="宋体" w:cs="宋体" w:eastAsia="宋体" w:hint="default"/>
          <w:sz w:val="14"/>
          <w:szCs w:val="14"/>
        </w:rPr>
      </w:pPr>
    </w:p>
    <w:p>
      <w:pPr>
        <w:spacing w:line="436" w:lineRule="auto" w:before="0"/>
        <w:ind w:left="575" w:right="6354" w:hanging="423"/>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期、降低开发成本。</w:t>
      </w:r>
      <w:r>
        <w:rPr>
          <w:rFonts w:ascii="宋体" w:hAnsi="宋体" w:cs="宋体" w:eastAsia="宋体" w:hint="default"/>
          <w:w w:val="100"/>
          <w:sz w:val="21"/>
          <w:szCs w:val="21"/>
        </w:rPr>
        <w:t> </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、公司规模扩大带来的管理风险</w:t>
      </w:r>
      <w:r>
        <w:rPr>
          <w:rFonts w:ascii="Microsoft JhengHei" w:hAnsi="Microsoft JhengHei" w:cs="Microsoft JhengHei" w:eastAsia="Microsoft JhengHei" w:hint="default"/>
          <w:sz w:val="21"/>
          <w:szCs w:val="21"/>
        </w:rPr>
      </w:r>
    </w:p>
    <w:p>
      <w:pPr>
        <w:pStyle w:val="BodyText"/>
        <w:spacing w:line="240" w:lineRule="auto" w:before="41"/>
        <w:ind w:left="573" w:right="0"/>
        <w:jc w:val="left"/>
      </w:pPr>
      <w:r>
        <w:rPr/>
        <w:t>同步教育产品行业需要大量具有一定教育背景和技术背景的专业人员。尽管公司凭借多年教育服务行</w:t>
      </w:r>
    </w:p>
    <w:p>
      <w:pPr>
        <w:spacing w:after="0" w:line="240" w:lineRule="auto"/>
        <w:jc w:val="left"/>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right="206"/>
        <w:jc w:val="both"/>
      </w:pPr>
      <w:r>
        <w:rPr>
          <w:spacing w:val="-2"/>
        </w:rPr>
        <w:t>业的优势及网络技术开发经验已经培养出一批符合公司现有业务架构需要的复合型人才，但随着行业竞争</w:t>
      </w:r>
      <w:r>
        <w:rPr>
          <w:spacing w:val="-43"/>
        </w:rPr>
        <w:t> </w:t>
      </w:r>
      <w:r>
        <w:rPr>
          <w:spacing w:val="-43"/>
        </w:rPr>
      </w:r>
      <w:r>
        <w:rPr/>
        <w:t>的日趋激烈，公司的不断发展和投资规模的扩大，仍可能面临管理、营销和技术人才匮乏的风险。</w:t>
      </w:r>
    </w:p>
    <w:p>
      <w:pPr>
        <w:pStyle w:val="BodyText"/>
        <w:spacing w:line="408" w:lineRule="auto" w:before="147"/>
        <w:ind w:right="100" w:firstLine="420"/>
        <w:jc w:val="both"/>
      </w:pPr>
      <w:r>
        <w:rPr/>
        <w:t>公司为此制定了详细的管理、营销和技术等专业人才的引进和培养计划，促使公司人才架构更为科学</w:t>
      </w:r>
      <w:r>
        <w:rPr>
          <w:w w:val="100"/>
        </w:rPr>
        <w:t> </w:t>
      </w:r>
      <w:r>
        <w:rPr/>
        <w:t>化。通过企业文化建设，不断加强公司的凝聚力。同时，建立了基础培训、技能培训、经验库培训以及上</w:t>
      </w:r>
      <w:r>
        <w:rPr>
          <w:w w:val="100"/>
        </w:rPr>
        <w:t> </w:t>
      </w:r>
      <w:r>
        <w:rPr>
          <w:spacing w:val="-5"/>
        </w:rPr>
        <w:t>岗专人指导培训等人才培养制度，有效带动了后续人才的补充和发展，保证公司在高速发展中的人才需要。</w:t>
      </w:r>
    </w:p>
    <w:p>
      <w:pPr>
        <w:spacing w:line="417" w:lineRule="auto" w:before="77"/>
        <w:ind w:left="573" w:right="0" w:firstLine="2"/>
        <w:jc w:val="left"/>
        <w:rPr>
          <w:rFonts w:ascii="宋体" w:hAnsi="宋体" w:cs="宋体" w:eastAsia="宋体"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、募集资金投资项目风险</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公司非公开发行的募集资金将投入“教学研云平台”、“同步资源学习系统”项目。募集资金投资项</w:t>
      </w:r>
    </w:p>
    <w:p>
      <w:pPr>
        <w:pStyle w:val="BodyText"/>
        <w:spacing w:line="408" w:lineRule="auto" w:before="38"/>
        <w:ind w:right="206"/>
        <w:jc w:val="both"/>
      </w:pPr>
      <w:r>
        <w:rPr>
          <w:spacing w:val="-2"/>
        </w:rPr>
        <w:t>目的顺利实施，将进一步增强公司的研发实力，扩大公司在既有市场的占有率并开拓新市场，提升公司的</w:t>
      </w:r>
      <w:r>
        <w:rPr>
          <w:spacing w:val="-45"/>
        </w:rPr>
        <w:t> </w:t>
      </w:r>
      <w:r>
        <w:rPr>
          <w:spacing w:val="-45"/>
        </w:rPr>
      </w:r>
      <w:r>
        <w:rPr>
          <w:spacing w:val="-2"/>
        </w:rPr>
        <w:t>综合竞争力。尽管公司对前述建设项目已有一定的技术、人才及客户资源储备，并在项目实施前进行了充</w:t>
      </w:r>
      <w:r>
        <w:rPr>
          <w:spacing w:val="-43"/>
        </w:rPr>
        <w:t> </w:t>
      </w:r>
      <w:r>
        <w:rPr>
          <w:spacing w:val="-43"/>
        </w:rPr>
      </w:r>
      <w:r>
        <w:rPr>
          <w:spacing w:val="-2"/>
        </w:rPr>
        <w:t>分的可行性论证，但该论证系基于目前的技术发展水平、国家产业政策、国内外市场环境、客户需求情况</w:t>
      </w:r>
      <w:r>
        <w:rPr>
          <w:spacing w:val="-47"/>
        </w:rPr>
        <w:t> </w:t>
      </w:r>
      <w:r>
        <w:rPr>
          <w:spacing w:val="-47"/>
        </w:rPr>
      </w:r>
      <w:r>
        <w:rPr>
          <w:spacing w:val="-3"/>
        </w:rPr>
        <w:t>等条件所作出的投资决策，在实际运营过程中， </w:t>
      </w:r>
      <w:r>
        <w:rPr>
          <w:spacing w:val="-5"/>
        </w:rPr>
        <w:t>随着时间的推移，上述因素存在发生变化的可能。由于市</w:t>
      </w:r>
      <w:r>
        <w:rPr>
          <w:spacing w:val="-53"/>
        </w:rPr>
        <w:t> </w:t>
      </w:r>
      <w:r>
        <w:rPr>
          <w:spacing w:val="-53"/>
        </w:rPr>
      </w:r>
      <w:r>
        <w:rPr/>
        <w:t>场本身具有的不确定性因素，仍有可能使该项目实施后面临一定的市场风险。</w:t>
      </w:r>
    </w:p>
    <w:p>
      <w:pPr>
        <w:pStyle w:val="Heading5"/>
        <w:spacing w:line="240" w:lineRule="auto" w:before="80"/>
        <w:ind w:left="575" w:right="0"/>
        <w:jc w:val="left"/>
        <w:rPr>
          <w:b w:val="0"/>
          <w:bCs w:val="0"/>
        </w:rPr>
      </w:pPr>
      <w:r>
        <w:rPr>
          <w:rFonts w:ascii="Arial" w:hAnsi="Arial" w:cs="Arial" w:eastAsia="Arial" w:hint="default"/>
        </w:rPr>
        <w:t>6</w:t>
      </w:r>
      <w:r>
        <w:rPr/>
        <w:t>、千锋互联投资退股回款的风险</w:t>
      </w:r>
      <w:r>
        <w:rPr>
          <w:b w:val="0"/>
          <w:bCs w:val="0"/>
        </w:rPr>
      </w:r>
    </w:p>
    <w:p>
      <w:pPr>
        <w:spacing w:line="240" w:lineRule="auto" w:before="7"/>
        <w:rPr>
          <w:rFonts w:ascii="Microsoft JhengHei" w:hAnsi="Microsoft JhengHei" w:cs="Microsoft JhengHei" w:eastAsia="Microsoft JhengHei" w:hint="default"/>
          <w:b/>
          <w:bCs/>
          <w:sz w:val="15"/>
          <w:szCs w:val="15"/>
        </w:rPr>
      </w:pPr>
    </w:p>
    <w:p>
      <w:pPr>
        <w:pStyle w:val="BodyText"/>
        <w:spacing w:line="408" w:lineRule="auto" w:before="0"/>
        <w:ind w:right="206" w:firstLine="420"/>
        <w:jc w:val="both"/>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28</w:t>
      </w:r>
      <w:r>
        <w:rPr/>
        <w:t>日，公司召开第三届董事会第二十九次会议审议通过了《关于签署</w:t>
      </w:r>
      <w:r>
        <w:rPr>
          <w:rFonts w:ascii="宋体" w:hAnsi="宋体" w:cs="宋体" w:eastAsia="宋体" w:hint="default"/>
        </w:rPr>
        <w:t>&lt;</w:t>
      </w:r>
      <w:r>
        <w:rPr/>
        <w:t>关于北京千锋互联</w:t>
      </w:r>
      <w:r>
        <w:rPr>
          <w:w w:val="100"/>
        </w:rPr>
        <w:t> </w:t>
      </w:r>
      <w:r>
        <w:rPr>
          <w:spacing w:val="-5"/>
        </w:rPr>
        <w:t>科技有限公司之退股返还投资款协议</w:t>
      </w:r>
      <w:r>
        <w:rPr>
          <w:rFonts w:ascii="宋体" w:hAnsi="宋体" w:cs="宋体" w:eastAsia="宋体" w:hint="default"/>
          <w:spacing w:val="-5"/>
        </w:rPr>
        <w:t>&gt;</w:t>
      </w:r>
      <w:r>
        <w:rPr>
          <w:spacing w:val="-5"/>
        </w:rPr>
        <w:t>的议案》，公司与千锋互联及其原股东签署了《关于北京千锋互联科</w:t>
      </w:r>
      <w:r>
        <w:rPr>
          <w:spacing w:val="-4"/>
        </w:rPr>
        <w:t> </w:t>
      </w:r>
      <w:r>
        <w:rPr>
          <w:spacing w:val="-4"/>
        </w:rPr>
      </w:r>
      <w:r>
        <w:rPr/>
        <w:t>技有限公司之退股返还投资款协议》，千锋互联及其原股东同意方直科技退出所占千锋互联</w:t>
      </w:r>
      <w:r>
        <w:rPr>
          <w:rFonts w:ascii="宋体" w:hAnsi="宋体" w:cs="宋体" w:eastAsia="宋体" w:hint="default"/>
        </w:rPr>
        <w:t>12%</w:t>
      </w:r>
      <w:r>
        <w:rPr/>
        <w:t>股份并返</w:t>
      </w:r>
      <w:r>
        <w:rPr>
          <w:spacing w:val="-23"/>
        </w:rPr>
        <w:t> </w:t>
      </w:r>
      <w:r>
        <w:rPr>
          <w:spacing w:val="-23"/>
        </w:rPr>
      </w:r>
      <w:r>
        <w:rPr>
          <w:spacing w:val="-2"/>
        </w:rPr>
        <w:t>还全部投资款人民币</w:t>
      </w:r>
      <w:r>
        <w:rPr>
          <w:rFonts w:ascii="宋体" w:hAnsi="宋体" w:cs="宋体" w:eastAsia="宋体" w:hint="default"/>
          <w:spacing w:val="-2"/>
        </w:rPr>
        <w:t>8100</w:t>
      </w:r>
      <w:r>
        <w:rPr>
          <w:spacing w:val="-2"/>
        </w:rPr>
        <w:t>万元及利息。退出对千锋互联的投资不会影响公司既定的经营及投资战略，对公</w:t>
      </w:r>
      <w:r>
        <w:rPr>
          <w:spacing w:val="-38"/>
        </w:rPr>
        <w:t> </w:t>
      </w:r>
      <w:r>
        <w:rPr>
          <w:spacing w:val="-38"/>
        </w:rPr>
      </w:r>
      <w:r>
        <w:rPr/>
        <w:t>司的经营成果等无重大影响。</w:t>
      </w:r>
    </w:p>
    <w:p>
      <w:pPr>
        <w:pStyle w:val="BodyText"/>
        <w:spacing w:line="408" w:lineRule="auto" w:before="147"/>
        <w:ind w:right="206" w:firstLine="420"/>
        <w:jc w:val="both"/>
      </w:pPr>
      <w:r>
        <w:rPr/>
        <w:t>由于市场的不确定性</w:t>
      </w:r>
      <w:r>
        <w:rPr>
          <w:rFonts w:ascii="宋体" w:hAnsi="宋体" w:cs="宋体" w:eastAsia="宋体" w:hint="default"/>
        </w:rPr>
        <w:t>,</w:t>
      </w:r>
      <w:r>
        <w:rPr>
          <w:rFonts w:ascii="宋体" w:hAnsi="宋体" w:cs="宋体" w:eastAsia="宋体" w:hint="default"/>
          <w:spacing w:val="60"/>
        </w:rPr>
        <w:t> </w:t>
      </w:r>
      <w:r>
        <w:rPr>
          <w:spacing w:val="-3"/>
        </w:rPr>
        <w:t>公司能否及时收回投资款，主要受到对方所处的大环境及企业决策和经营管理</w:t>
      </w:r>
      <w:r>
        <w:rPr>
          <w:w w:val="100"/>
        </w:rPr>
        <w:t> </w:t>
      </w:r>
      <w:r>
        <w:rPr/>
        <w:t>水平高低的影响。为避免风险，公司会定期跟进千锋互联的企业财务状况</w:t>
      </w:r>
      <w:r>
        <w:rPr>
          <w:rFonts w:ascii="宋体" w:hAnsi="宋体" w:cs="宋体" w:eastAsia="宋体" w:hint="default"/>
        </w:rPr>
        <w:t>,</w:t>
      </w:r>
      <w:r>
        <w:rPr/>
        <w:t>测算评估对方的现金流量与偿</w:t>
      </w:r>
      <w:r>
        <w:rPr>
          <w:spacing w:val="-21"/>
        </w:rPr>
        <w:t> </w:t>
      </w:r>
      <w:r>
        <w:rPr>
          <w:spacing w:val="-21"/>
        </w:rPr>
      </w:r>
      <w:r>
        <w:rPr/>
        <w:t>债能力，以有效降低回款风险。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3"/>
        <w:spacing w:line="240" w:lineRule="auto"/>
        <w:ind w:right="0"/>
        <w:jc w:val="both"/>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177"/>
        <w:gridCol w:w="1901"/>
        <w:gridCol w:w="1985"/>
        <w:gridCol w:w="3507"/>
      </w:tblGrid>
      <w:tr>
        <w:trPr>
          <w:trHeight w:val="402"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9"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7"/>
              <w:jc w:val="center"/>
              <w:rPr>
                <w:rFonts w:ascii="宋体" w:hAnsi="宋体" w:cs="宋体" w:eastAsia="宋体" w:hint="default"/>
                <w:sz w:val="18"/>
                <w:szCs w:val="18"/>
              </w:rPr>
            </w:pPr>
            <w:r>
              <w:rPr>
                <w:rFonts w:ascii="宋体" w:hAnsi="宋体" w:cs="宋体" w:eastAsia="宋体" w:hint="default"/>
                <w:sz w:val="18"/>
                <w:szCs w:val="18"/>
              </w:rPr>
              <w:t>公司经营状况、未来并购计划、重大资产重</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2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2177"/>
        <w:gridCol w:w="1901"/>
        <w:gridCol w:w="1985"/>
        <w:gridCol w:w="3507"/>
      </w:tblGrid>
      <w:tr>
        <w:trPr>
          <w:trHeight w:val="363" w:hRule="exact"/>
        </w:trPr>
        <w:tc>
          <w:tcPr>
            <w:tcW w:w="2177"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组情况、投资基金设立情况等</w:t>
            </w:r>
          </w:p>
        </w:tc>
      </w:tr>
      <w:tr>
        <w:trPr>
          <w:trHeight w:val="71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公司经营状况、未来并购计划、重大资产重 组情况、投资基金设立情况等</w:t>
            </w:r>
          </w:p>
        </w:tc>
      </w:tr>
      <w:tr>
        <w:trPr>
          <w:trHeight w:val="71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公司产品情况、未来并购方向、产业投资基 金后续计划等</w:t>
            </w:r>
          </w:p>
        </w:tc>
      </w:tr>
    </w:tbl>
    <w:p>
      <w:pPr>
        <w:spacing w:after="0" w:line="316"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Heading1"/>
        <w:spacing w:line="456" w:lineRule="exact"/>
        <w:ind w:right="2608"/>
        <w:jc w:val="center"/>
        <w:rPr>
          <w:b w:val="0"/>
          <w:bCs w:val="0"/>
        </w:rPr>
      </w:pPr>
      <w:bookmarkStart w:name="_bookmark3" w:id="4"/>
      <w:bookmarkEnd w:id="4"/>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3"/>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146" w:firstLine="420"/>
        <w:jc w:val="both"/>
      </w:pP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24</w:t>
      </w:r>
      <w:r>
        <w:rPr>
          <w:spacing w:val="-2"/>
        </w:rPr>
        <w:t>日召开了第三届董事会第二十三次会议，审议通过《关于公司</w:t>
      </w:r>
      <w:r>
        <w:rPr>
          <w:rFonts w:ascii="宋体" w:hAnsi="宋体" w:cs="宋体" w:eastAsia="宋体" w:hint="default"/>
          <w:spacing w:val="-2"/>
        </w:rPr>
        <w:t>2016</w:t>
      </w:r>
      <w:r>
        <w:rPr>
          <w:spacing w:val="-2"/>
        </w:rPr>
        <w:t>年度利润分配</w:t>
      </w:r>
      <w:r>
        <w:rPr>
          <w:w w:val="100"/>
        </w:rPr>
        <w:t> </w:t>
      </w:r>
      <w:r>
        <w:rPr>
          <w:spacing w:val="-6"/>
        </w:rPr>
        <w:t>预案的议案》，以截至</w:t>
      </w:r>
      <w:r>
        <w:rPr>
          <w:rFonts w:ascii="宋体" w:hAnsi="宋体" w:cs="宋体" w:eastAsia="宋体" w:hint="default"/>
          <w:spacing w:val="-6"/>
        </w:rPr>
        <w:t>2016</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日公司总股本</w:t>
      </w:r>
      <w:r>
        <w:rPr>
          <w:rFonts w:ascii="宋体" w:hAnsi="宋体" w:cs="宋体" w:eastAsia="宋体" w:hint="default"/>
          <w:spacing w:val="-6"/>
        </w:rPr>
        <w:t>15,840</w:t>
      </w:r>
      <w:r>
        <w:rPr>
          <w:spacing w:val="-6"/>
        </w:rPr>
        <w:t>万股为基数，向全体股东每</w:t>
      </w:r>
      <w:r>
        <w:rPr>
          <w:rFonts w:ascii="宋体" w:hAnsi="宋体" w:cs="宋体" w:eastAsia="宋体" w:hint="default"/>
          <w:spacing w:val="-6"/>
        </w:rPr>
        <w:t>10</w:t>
      </w:r>
      <w:r>
        <w:rPr>
          <w:spacing w:val="-6"/>
        </w:rPr>
        <w:t>股分配现金红利</w:t>
      </w:r>
      <w:r>
        <w:rPr>
          <w:rFonts w:ascii="宋体" w:hAnsi="宋体" w:cs="宋体" w:eastAsia="宋体" w:hint="default"/>
          <w:spacing w:val="-6"/>
        </w:rPr>
        <w:t>0.15</w:t>
      </w:r>
      <w:r>
        <w:rPr>
          <w:rFonts w:ascii="宋体" w:hAnsi="宋体" w:cs="宋体" w:eastAsia="宋体" w:hint="default"/>
          <w:spacing w:val="-10"/>
        </w:rPr>
        <w:t> </w:t>
      </w:r>
      <w:r>
        <w:rPr>
          <w:rFonts w:ascii="宋体" w:hAnsi="宋体" w:cs="宋体" w:eastAsia="宋体" w:hint="default"/>
          <w:spacing w:val="-10"/>
        </w:rPr>
      </w:r>
      <w:r>
        <w:rPr>
          <w:spacing w:val="-2"/>
        </w:rPr>
        <w:t>元（含税），本次不进行资本公积金转增股本。</w:t>
      </w:r>
      <w:r>
        <w:rPr>
          <w:rFonts w:ascii="宋体" w:hAnsi="宋体" w:cs="宋体" w:eastAsia="宋体" w:hint="default"/>
          <w:spacing w:val="-2"/>
        </w:rPr>
        <w:t>2017</w:t>
      </w:r>
      <w:r>
        <w:rPr>
          <w:spacing w:val="-2"/>
        </w:rPr>
        <w:t>年</w:t>
      </w:r>
      <w:r>
        <w:rPr>
          <w:rFonts w:ascii="宋体" w:hAnsi="宋体" w:cs="宋体" w:eastAsia="宋体" w:hint="default"/>
          <w:spacing w:val="-2"/>
        </w:rPr>
        <w:t>04</w:t>
      </w:r>
      <w:r>
        <w:rPr>
          <w:spacing w:val="-2"/>
        </w:rPr>
        <w:t>月</w:t>
      </w:r>
      <w:r>
        <w:rPr>
          <w:rFonts w:ascii="宋体" w:hAnsi="宋体" w:cs="宋体" w:eastAsia="宋体" w:hint="default"/>
          <w:spacing w:val="-2"/>
        </w:rPr>
        <w:t>18</w:t>
      </w:r>
      <w:r>
        <w:rPr>
          <w:spacing w:val="-2"/>
        </w:rPr>
        <w:t>日，公司召开</w:t>
      </w:r>
      <w:r>
        <w:rPr>
          <w:rFonts w:ascii="宋体" w:hAnsi="宋体" w:cs="宋体" w:eastAsia="宋体" w:hint="default"/>
          <w:spacing w:val="-2"/>
        </w:rPr>
        <w:t>2016</w:t>
      </w:r>
      <w:r>
        <w:rPr>
          <w:spacing w:val="-2"/>
        </w:rPr>
        <w:t>年度股东大会，审议通过</w:t>
      </w:r>
      <w:r>
        <w:rPr>
          <w:spacing w:val="-34"/>
        </w:rPr>
        <w:t> </w:t>
      </w:r>
      <w:r>
        <w:rPr>
          <w:spacing w:val="-34"/>
        </w:rPr>
      </w:r>
      <w:r>
        <w:rPr/>
        <w:t>了《关于公司</w:t>
      </w:r>
      <w:r>
        <w:rPr>
          <w:rFonts w:ascii="宋体" w:hAnsi="宋体" w:cs="宋体" w:eastAsia="宋体" w:hint="default"/>
        </w:rPr>
        <w:t>2016</w:t>
      </w:r>
      <w:r>
        <w:rPr/>
        <w:t>年度利润分配预案的议案》。</w:t>
      </w:r>
    </w:p>
    <w:p>
      <w:pPr>
        <w:pStyle w:val="BodyText"/>
        <w:spacing w:line="408" w:lineRule="auto"/>
        <w:ind w:right="146" w:firstLine="420"/>
        <w:jc w:val="both"/>
      </w:pPr>
      <w:r>
        <w:rPr/>
        <w:t>因公司非公开发行股票新增股份于</w:t>
      </w:r>
      <w:r>
        <w:rPr>
          <w:rFonts w:ascii="宋体" w:hAnsi="宋体" w:cs="宋体" w:eastAsia="宋体" w:hint="default"/>
        </w:rPr>
        <w:t>2017</w:t>
      </w:r>
      <w:r>
        <w:rPr/>
        <w:t>年</w:t>
      </w:r>
      <w:r>
        <w:rPr>
          <w:rFonts w:ascii="宋体" w:hAnsi="宋体" w:cs="宋体" w:eastAsia="宋体" w:hint="default"/>
        </w:rPr>
        <w:t>03</w:t>
      </w:r>
      <w:r>
        <w:rPr/>
        <w:t>月</w:t>
      </w:r>
      <w:r>
        <w:rPr>
          <w:rFonts w:ascii="宋体" w:hAnsi="宋体" w:cs="宋体" w:eastAsia="宋体" w:hint="default"/>
        </w:rPr>
        <w:t>27</w:t>
      </w:r>
      <w:r>
        <w:rPr/>
        <w:t>日在深圳证券交易所上市，本次新增股份</w:t>
      </w:r>
      <w:r>
        <w:rPr>
          <w:rFonts w:ascii="宋体" w:hAnsi="宋体" w:cs="宋体" w:eastAsia="宋体" w:hint="default"/>
        </w:rPr>
        <w:t>9,431,090</w:t>
      </w:r>
      <w:r>
        <w:rPr>
          <w:rFonts w:ascii="宋体" w:hAnsi="宋体" w:cs="宋体" w:eastAsia="宋体" w:hint="default"/>
          <w:w w:val="100"/>
        </w:rPr>
        <w:t> </w:t>
      </w:r>
      <w:r>
        <w:rPr>
          <w:spacing w:val="-4"/>
        </w:rPr>
        <w:t>股，上市后公司总股本变更为</w:t>
      </w:r>
      <w:r>
        <w:rPr>
          <w:rFonts w:ascii="宋体" w:hAnsi="宋体" w:cs="宋体" w:eastAsia="宋体" w:hint="default"/>
          <w:spacing w:val="-4"/>
        </w:rPr>
        <w:t>167,831,090</w:t>
      </w:r>
      <w:r>
        <w:rPr>
          <w:spacing w:val="-4"/>
        </w:rPr>
        <w:t>股，根据《深圳证券交易所创业板上市公司规范运作指引》相关</w:t>
      </w:r>
      <w:r>
        <w:rPr>
          <w:spacing w:val="-39"/>
        </w:rPr>
        <w:t> </w:t>
      </w:r>
      <w:r>
        <w:rPr>
          <w:spacing w:val="-39"/>
        </w:rPr>
      </w:r>
      <w:r>
        <w:rPr>
          <w:spacing w:val="-7"/>
        </w:rPr>
        <w:t>规定，分配方案公布后至实施前，公司总股本由于增发新股等原因发生变动的，应当按照“现金分红总额、</w:t>
      </w:r>
      <w:r>
        <w:rPr>
          <w:spacing w:val="-17"/>
        </w:rPr>
        <w:t> </w:t>
      </w:r>
      <w:r>
        <w:rPr>
          <w:spacing w:val="-17"/>
        </w:rPr>
      </w:r>
      <w:r>
        <w:rPr>
          <w:spacing w:val="-2"/>
        </w:rPr>
        <w:t>送红股总额、转增股本总额固定不变”的原则，按公司最新总股本计算分派比例。本公司</w:t>
      </w:r>
      <w:r>
        <w:rPr>
          <w:rFonts w:ascii="宋体" w:hAnsi="宋体" w:cs="宋体" w:eastAsia="宋体" w:hint="default"/>
          <w:spacing w:val="-2"/>
        </w:rPr>
        <w:t>2016</w:t>
      </w:r>
      <w:r>
        <w:rPr>
          <w:spacing w:val="-2"/>
        </w:rPr>
        <w:t>年年度权益</w:t>
      </w:r>
      <w:r>
        <w:rPr>
          <w:spacing w:val="-41"/>
        </w:rPr>
        <w:t> </w:t>
      </w:r>
      <w:r>
        <w:rPr>
          <w:spacing w:val="-41"/>
        </w:rPr>
      </w:r>
      <w:r>
        <w:rPr/>
        <w:t>分派方案为：以公司现有总股本</w:t>
      </w:r>
      <w:r>
        <w:rPr>
          <w:rFonts w:ascii="宋体" w:hAnsi="宋体" w:cs="宋体" w:eastAsia="宋体" w:hint="default"/>
        </w:rPr>
        <w:t>167,831,090</w:t>
      </w:r>
      <w:r>
        <w:rPr/>
        <w:t>股为基数，向全体股东每</w:t>
      </w:r>
      <w:r>
        <w:rPr>
          <w:rFonts w:ascii="宋体" w:hAnsi="宋体" w:cs="宋体" w:eastAsia="宋体" w:hint="default"/>
        </w:rPr>
        <w:t>10</w:t>
      </w:r>
      <w:r>
        <w:rPr/>
        <w:t>股派</w:t>
      </w:r>
      <w:r>
        <w:rPr>
          <w:rFonts w:ascii="宋体" w:hAnsi="宋体" w:cs="宋体" w:eastAsia="宋体" w:hint="default"/>
        </w:rPr>
        <w:t>0.141570</w:t>
      </w:r>
      <w:r>
        <w:rPr/>
        <w:t>元人民币现金（含</w:t>
      </w:r>
      <w:r>
        <w:rPr>
          <w:spacing w:val="-25"/>
        </w:rPr>
        <w:t> </w:t>
      </w:r>
      <w:r>
        <w:rPr>
          <w:spacing w:val="-25"/>
        </w:rPr>
      </w:r>
      <w:r>
        <w:rPr/>
        <w:t>税）。</w:t>
      </w:r>
    </w:p>
    <w:p>
      <w:pPr>
        <w:pStyle w:val="BodyText"/>
        <w:spacing w:line="408" w:lineRule="auto"/>
        <w:ind w:right="148"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05</w:t>
      </w:r>
      <w:r>
        <w:rPr>
          <w:spacing w:val="-2"/>
        </w:rPr>
        <w:t>月</w:t>
      </w:r>
      <w:r>
        <w:rPr>
          <w:rFonts w:ascii="宋体" w:hAnsi="宋体" w:cs="宋体" w:eastAsia="宋体" w:hint="default"/>
          <w:spacing w:val="-2"/>
        </w:rPr>
        <w:t>08</w:t>
      </w:r>
      <w:r>
        <w:rPr>
          <w:spacing w:val="-2"/>
        </w:rPr>
        <w:t>日，公司发布</w:t>
      </w:r>
      <w:r>
        <w:rPr>
          <w:rFonts w:ascii="宋体" w:hAnsi="宋体" w:cs="宋体" w:eastAsia="宋体" w:hint="default"/>
          <w:spacing w:val="-2"/>
        </w:rPr>
        <w:t>2016</w:t>
      </w:r>
      <w:r>
        <w:rPr>
          <w:spacing w:val="-2"/>
        </w:rPr>
        <w:t>年年度权益分派实施公告，拟定股权登记日为：</w:t>
      </w:r>
      <w:r>
        <w:rPr>
          <w:rFonts w:ascii="宋体" w:hAnsi="宋体" w:cs="宋体" w:eastAsia="宋体" w:hint="default"/>
          <w:spacing w:val="-2"/>
        </w:rPr>
        <w:t>2017</w:t>
      </w:r>
      <w:r>
        <w:rPr>
          <w:spacing w:val="-2"/>
        </w:rPr>
        <w:t>年</w:t>
      </w:r>
      <w:r>
        <w:rPr>
          <w:rFonts w:ascii="宋体" w:hAnsi="宋体" w:cs="宋体" w:eastAsia="宋体" w:hint="default"/>
          <w:spacing w:val="-2"/>
        </w:rPr>
        <w:t>05</w:t>
      </w:r>
      <w:r>
        <w:rPr>
          <w:spacing w:val="-2"/>
        </w:rPr>
        <w:t>月</w:t>
      </w:r>
      <w:r>
        <w:rPr>
          <w:rFonts w:ascii="宋体" w:hAnsi="宋体" w:cs="宋体" w:eastAsia="宋体" w:hint="default"/>
          <w:spacing w:val="-2"/>
        </w:rPr>
        <w:t>15</w:t>
      </w:r>
      <w:r>
        <w:rPr>
          <w:spacing w:val="-2"/>
        </w:rPr>
        <w:t>日，除</w:t>
      </w:r>
      <w:r>
        <w:rPr>
          <w:w w:val="100"/>
        </w:rPr>
        <w:t> </w:t>
      </w:r>
      <w:r>
        <w:rPr>
          <w:spacing w:val="-2"/>
        </w:rPr>
        <w:t>权除息日为：</w:t>
      </w:r>
      <w:r>
        <w:rPr>
          <w:rFonts w:ascii="宋体" w:hAnsi="宋体" w:cs="宋体" w:eastAsia="宋体" w:hint="default"/>
          <w:spacing w:val="-2"/>
        </w:rPr>
        <w:t>2017</w:t>
      </w:r>
      <w:r>
        <w:rPr>
          <w:spacing w:val="-2"/>
        </w:rPr>
        <w:t>年</w:t>
      </w:r>
      <w:r>
        <w:rPr>
          <w:rFonts w:ascii="宋体" w:hAnsi="宋体" w:cs="宋体" w:eastAsia="宋体" w:hint="default"/>
          <w:spacing w:val="-2"/>
        </w:rPr>
        <w:t>05</w:t>
      </w:r>
      <w:r>
        <w:rPr>
          <w:spacing w:val="-2"/>
        </w:rPr>
        <w:t>月</w:t>
      </w:r>
      <w:r>
        <w:rPr>
          <w:rFonts w:ascii="宋体" w:hAnsi="宋体" w:cs="宋体" w:eastAsia="宋体" w:hint="default"/>
          <w:spacing w:val="-2"/>
        </w:rPr>
        <w:t>16</w:t>
      </w:r>
      <w:r>
        <w:rPr>
          <w:spacing w:val="-2"/>
        </w:rPr>
        <w:t>日。截至</w:t>
      </w:r>
      <w:r>
        <w:rPr>
          <w:rFonts w:ascii="宋体" w:hAnsi="宋体" w:cs="宋体" w:eastAsia="宋体" w:hint="default"/>
          <w:spacing w:val="-2"/>
        </w:rPr>
        <w:t>2017</w:t>
      </w:r>
      <w:r>
        <w:rPr>
          <w:spacing w:val="-2"/>
        </w:rPr>
        <w:t>年</w:t>
      </w:r>
      <w:r>
        <w:rPr>
          <w:rFonts w:ascii="宋体" w:hAnsi="宋体" w:cs="宋体" w:eastAsia="宋体" w:hint="default"/>
          <w:spacing w:val="-2"/>
        </w:rPr>
        <w:t>05</w:t>
      </w:r>
      <w:r>
        <w:rPr>
          <w:spacing w:val="-2"/>
        </w:rPr>
        <w:t>月</w:t>
      </w:r>
      <w:r>
        <w:rPr>
          <w:rFonts w:ascii="宋体" w:hAnsi="宋体" w:cs="宋体" w:eastAsia="宋体" w:hint="default"/>
          <w:spacing w:val="-2"/>
        </w:rPr>
        <w:t>16</w:t>
      </w:r>
      <w:r>
        <w:rPr>
          <w:spacing w:val="-2"/>
        </w:rPr>
        <w:t>日，公司关于</w:t>
      </w:r>
      <w:r>
        <w:rPr>
          <w:rFonts w:ascii="宋体" w:hAnsi="宋体" w:cs="宋体" w:eastAsia="宋体" w:hint="default"/>
          <w:spacing w:val="-2"/>
        </w:rPr>
        <w:t>2016</w:t>
      </w:r>
      <w:r>
        <w:rPr>
          <w:spacing w:val="-2"/>
        </w:rPr>
        <w:t>年年度利润分配及资本公积金转增股</w:t>
      </w:r>
      <w:r>
        <w:rPr>
          <w:spacing w:val="-29"/>
        </w:rPr>
        <w:t> </w:t>
      </w:r>
      <w:r>
        <w:rPr>
          <w:spacing w:val="-29"/>
        </w:rPr>
      </w:r>
      <w:r>
        <w:rPr/>
        <w:t>本的方案实施完毕。</w:t>
      </w: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397"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2"/>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3"/>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7"/>
        <w:ind w:left="153" w:right="3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after="0" w:line="35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167,831,090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113,704,610.89</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6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3" w:firstLine="360"/>
              <w:jc w:val="left"/>
              <w:rPr>
                <w:rFonts w:ascii="宋体" w:hAnsi="宋体" w:cs="宋体" w:eastAsia="宋体" w:hint="default"/>
                <w:sz w:val="18"/>
                <w:szCs w:val="18"/>
              </w:rPr>
            </w:pPr>
            <w:r>
              <w:rPr>
                <w:rFonts w:ascii="宋体" w:hAnsi="宋体" w:cs="宋体" w:eastAsia="宋体" w:hint="default"/>
                <w:sz w:val="18"/>
                <w:szCs w:val="18"/>
              </w:rPr>
              <w:t>考虑到公司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年的经营情况和公司未来经营发展需要，董事会拟定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年度利润分配预案为：</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年度不进行 利润分配，也不进行资本公积金转增股本，年末结存的未分配利润结转下一年度。</w:t>
            </w:r>
          </w:p>
          <w:p>
            <w:pPr>
              <w:pStyle w:val="TableParagraph"/>
              <w:spacing w:line="240" w:lineRule="auto" w:before="70"/>
              <w:ind w:left="384" w:right="0"/>
              <w:jc w:val="left"/>
              <w:rPr>
                <w:rFonts w:ascii="宋体" w:hAnsi="宋体" w:cs="宋体" w:eastAsia="宋体" w:hint="default"/>
                <w:sz w:val="18"/>
                <w:szCs w:val="18"/>
              </w:rPr>
            </w:pPr>
            <w:r>
              <w:rPr>
                <w:rFonts w:ascii="宋体" w:hAnsi="宋体" w:cs="宋体" w:eastAsia="宋体" w:hint="default"/>
                <w:sz w:val="18"/>
                <w:szCs w:val="18"/>
              </w:rPr>
              <w:t>本利润分配预案尚需提交公司 </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40" w:lineRule="auto" w:before="5"/>
        <w:rPr>
          <w:rFonts w:ascii="宋体" w:hAnsi="宋体" w:cs="宋体" w:eastAsia="宋体" w:hint="default"/>
          <w:sz w:val="12"/>
          <w:szCs w:val="12"/>
        </w:rPr>
      </w:pPr>
    </w:p>
    <w:p>
      <w:pPr>
        <w:pStyle w:val="BodyText"/>
        <w:spacing w:line="408" w:lineRule="auto" w:before="0"/>
        <w:ind w:right="146" w:firstLine="420"/>
        <w:jc w:val="both"/>
      </w:pPr>
      <w:r>
        <w:rPr>
          <w:rFonts w:ascii="宋体" w:hAnsi="宋体" w:cs="宋体" w:eastAsia="宋体" w:hint="default"/>
          <w:spacing w:val="-4"/>
        </w:rPr>
        <w:t>1</w:t>
      </w:r>
      <w:r>
        <w:rPr>
          <w:spacing w:val="-4"/>
        </w:rPr>
        <w:t>、</w:t>
      </w:r>
      <w:r>
        <w:rPr>
          <w:rFonts w:ascii="宋体" w:hAnsi="宋体" w:cs="宋体" w:eastAsia="宋体" w:hint="default"/>
          <w:spacing w:val="-4"/>
        </w:rPr>
        <w:t>2015</w:t>
      </w:r>
      <w:r>
        <w:rPr>
          <w:spacing w:val="-4"/>
        </w:rPr>
        <w:t>年利润分配方案：本次利润分配方案考虑到在满足公司未来业务发展需要的同时，又可使全体</w:t>
      </w:r>
      <w:r>
        <w:rPr>
          <w:w w:val="100"/>
        </w:rPr>
        <w:t> </w:t>
      </w:r>
      <w:r>
        <w:rPr>
          <w:spacing w:val="-2"/>
        </w:rPr>
        <w:t>股东分享公司成长的经营成果，公司决定以</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15,840</w:t>
      </w:r>
      <w:r>
        <w:rPr>
          <w:spacing w:val="-2"/>
        </w:rPr>
        <w:t>万股为基数向全体股东每</w:t>
      </w:r>
      <w:r>
        <w:rPr>
          <w:rFonts w:ascii="宋体" w:hAnsi="宋体" w:cs="宋体" w:eastAsia="宋体" w:hint="default"/>
          <w:spacing w:val="-2"/>
        </w:rPr>
        <w:t>10</w:t>
      </w:r>
      <w:r>
        <w:rPr>
          <w:rFonts w:ascii="宋体" w:hAnsi="宋体" w:cs="宋体" w:eastAsia="宋体" w:hint="default"/>
          <w:spacing w:val="-37"/>
        </w:rPr>
        <w:t> </w:t>
      </w:r>
      <w:r>
        <w:rPr>
          <w:spacing w:val="-5"/>
        </w:rPr>
        <w:t>股派发现金股利</w:t>
      </w:r>
      <w:r>
        <w:rPr>
          <w:rFonts w:ascii="宋体" w:hAnsi="宋体" w:cs="宋体" w:eastAsia="宋体" w:hint="default"/>
          <w:spacing w:val="-5"/>
        </w:rPr>
        <w:t>0.6</w:t>
      </w:r>
      <w:r>
        <w:rPr>
          <w:spacing w:val="-5"/>
        </w:rPr>
        <w:t>元人民币（含税）。本次不进行资本公积金转增股本。该次利润分配的预案经公司</w:t>
      </w:r>
      <w:r>
        <w:rPr>
          <w:rFonts w:ascii="宋体" w:hAnsi="宋体" w:cs="宋体" w:eastAsia="宋体" w:hint="default"/>
          <w:spacing w:val="-5"/>
        </w:rPr>
        <w:t>2015</w:t>
      </w:r>
      <w:r>
        <w:rPr>
          <w:rFonts w:ascii="宋体" w:hAnsi="宋体" w:cs="宋体" w:eastAsia="宋体" w:hint="default"/>
          <w:spacing w:val="-1"/>
        </w:rPr>
        <w:t> </w:t>
      </w:r>
      <w:r>
        <w:rPr>
          <w:rFonts w:ascii="宋体" w:hAnsi="宋体" w:cs="宋体" w:eastAsia="宋体" w:hint="default"/>
          <w:spacing w:val="-1"/>
        </w:rPr>
      </w:r>
      <w:r>
        <w:rPr/>
        <w:t>年度股东大会审议批准后实施完毕。</w:t>
      </w:r>
    </w:p>
    <w:p>
      <w:pPr>
        <w:pStyle w:val="BodyText"/>
        <w:spacing w:line="408" w:lineRule="auto"/>
        <w:ind w:right="146" w:firstLine="420"/>
        <w:jc w:val="both"/>
      </w:pPr>
      <w:r>
        <w:rPr>
          <w:rFonts w:ascii="宋体" w:hAnsi="宋体" w:cs="宋体" w:eastAsia="宋体" w:hint="default"/>
          <w:spacing w:val="-4"/>
        </w:rPr>
        <w:t>2</w:t>
      </w:r>
      <w:r>
        <w:rPr>
          <w:spacing w:val="-4"/>
        </w:rPr>
        <w:t>、</w:t>
      </w:r>
      <w:r>
        <w:rPr>
          <w:rFonts w:ascii="宋体" w:hAnsi="宋体" w:cs="宋体" w:eastAsia="宋体" w:hint="default"/>
          <w:spacing w:val="-4"/>
        </w:rPr>
        <w:t>2016</w:t>
      </w:r>
      <w:r>
        <w:rPr>
          <w:spacing w:val="-4"/>
        </w:rPr>
        <w:t>年度利润分配方案：本次利润分配方案考虑到在满足公司未来业务发展需要的同时，又可使全</w:t>
      </w:r>
      <w:r>
        <w:rPr>
          <w:w w:val="100"/>
        </w:rPr>
        <w:t> </w:t>
      </w:r>
      <w:r>
        <w:rPr>
          <w:spacing w:val="-2"/>
        </w:rPr>
        <w:t>体股东分享公司成长的经营成果，公司决定以</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15,840</w:t>
      </w:r>
      <w:r>
        <w:rPr>
          <w:spacing w:val="-2"/>
        </w:rPr>
        <w:t>万股为基数向全体股东每</w:t>
      </w:r>
      <w:r>
        <w:rPr>
          <w:spacing w:val="-36"/>
        </w:rPr>
        <w:t> </w:t>
      </w:r>
      <w:r>
        <w:rPr>
          <w:spacing w:val="-36"/>
        </w:rPr>
      </w:r>
      <w:r>
        <w:rPr>
          <w:rFonts w:ascii="宋体" w:hAnsi="宋体" w:cs="宋体" w:eastAsia="宋体" w:hint="default"/>
          <w:spacing w:val="-2"/>
        </w:rPr>
        <w:t>10</w:t>
      </w:r>
      <w:r>
        <w:rPr>
          <w:spacing w:val="-2"/>
        </w:rPr>
        <w:t>股派发现金股利</w:t>
      </w:r>
      <w:r>
        <w:rPr>
          <w:rFonts w:ascii="宋体" w:hAnsi="宋体" w:cs="宋体" w:eastAsia="宋体" w:hint="default"/>
          <w:spacing w:val="-2"/>
        </w:rPr>
        <w:t>0.15</w:t>
      </w:r>
      <w:r>
        <w:rPr>
          <w:spacing w:val="-2"/>
        </w:rPr>
        <w:t>元人民币（含税）。本次不进行资本公积金转增股本。该次利润分配的预案经公司</w:t>
      </w:r>
    </w:p>
    <w:p>
      <w:pPr>
        <w:pStyle w:val="BodyText"/>
        <w:spacing w:line="240" w:lineRule="auto"/>
        <w:ind w:right="0"/>
        <w:jc w:val="left"/>
      </w:pPr>
      <w:r>
        <w:rPr>
          <w:rFonts w:ascii="宋体" w:hAnsi="宋体" w:cs="宋体" w:eastAsia="宋体" w:hint="default"/>
        </w:rPr>
        <w:t>2016</w:t>
      </w:r>
      <w:r>
        <w:rPr/>
        <w:t>年度股东大会审议批准后实施完毕。</w:t>
      </w:r>
    </w:p>
    <w:p>
      <w:pPr>
        <w:spacing w:line="240" w:lineRule="auto" w:before="10"/>
        <w:rPr>
          <w:rFonts w:ascii="宋体" w:hAnsi="宋体" w:cs="宋体" w:eastAsia="宋体" w:hint="default"/>
          <w:sz w:val="14"/>
          <w:szCs w:val="14"/>
        </w:rPr>
      </w:pPr>
    </w:p>
    <w:p>
      <w:pPr>
        <w:pStyle w:val="BodyText"/>
        <w:spacing w:line="408" w:lineRule="auto" w:before="0"/>
        <w:ind w:right="151" w:firstLine="420"/>
        <w:jc w:val="both"/>
      </w:pPr>
      <w:r>
        <w:rPr>
          <w:rFonts w:ascii="宋体" w:hAnsi="宋体" w:cs="宋体" w:eastAsia="宋体" w:hint="default"/>
          <w:spacing w:val="-5"/>
        </w:rPr>
        <w:t>3</w:t>
      </w:r>
      <w:r>
        <w:rPr>
          <w:spacing w:val="-5"/>
        </w:rPr>
        <w:t>、</w:t>
      </w:r>
      <w:r>
        <w:rPr>
          <w:rFonts w:ascii="宋体" w:hAnsi="宋体" w:cs="宋体" w:eastAsia="宋体" w:hint="default"/>
          <w:spacing w:val="-5"/>
        </w:rPr>
        <w:t>2017</w:t>
      </w:r>
      <w:r>
        <w:rPr>
          <w:spacing w:val="-5"/>
        </w:rPr>
        <w:t>年度利润分配预案：</w:t>
      </w:r>
      <w:r>
        <w:rPr>
          <w:rFonts w:ascii="宋体" w:hAnsi="宋体" w:cs="宋体" w:eastAsia="宋体" w:hint="default"/>
          <w:spacing w:val="-5"/>
        </w:rPr>
        <w:t>2017</w:t>
      </w:r>
      <w:r>
        <w:rPr>
          <w:spacing w:val="-5"/>
        </w:rPr>
        <w:t>年度不进行利润分配，也不进行资本公积金转增股本，年末结存的未</w:t>
      </w:r>
      <w:r>
        <w:rPr>
          <w:w w:val="100"/>
        </w:rPr>
        <w:t> </w:t>
      </w:r>
      <w:r>
        <w:rPr/>
        <w:t>分配利润结转下一年度。</w:t>
      </w:r>
      <w:r>
        <w:rPr>
          <w:rFonts w:ascii="宋体" w:hAnsi="宋体" w:cs="宋体" w:eastAsia="宋体" w:hint="default"/>
        </w:rPr>
        <w:t>2017</w:t>
      </w:r>
      <w:r>
        <w:rPr/>
        <w:t>年年度利润分配预案尚需提交公司</w:t>
      </w:r>
      <w:r>
        <w:rPr>
          <w:rFonts w:ascii="宋体" w:hAnsi="宋体" w:cs="宋体" w:eastAsia="宋体" w:hint="default"/>
        </w:rPr>
        <w:t>2017</w:t>
      </w:r>
      <w:r>
        <w:rPr/>
        <w:t>年年度股东大会审议通过。</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6"/>
        <w:gridCol w:w="1491"/>
        <w:gridCol w:w="2124"/>
        <w:gridCol w:w="1844"/>
        <w:gridCol w:w="1277"/>
        <w:gridCol w:w="1236"/>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（含税）</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3"/>
              <w:jc w:val="center"/>
              <w:rPr>
                <w:rFonts w:ascii="宋体" w:hAnsi="宋体" w:cs="宋体" w:eastAsia="宋体" w:hint="default"/>
                <w:sz w:val="18"/>
                <w:szCs w:val="18"/>
              </w:rPr>
            </w:pPr>
            <w:r>
              <w:rPr>
                <w:rFonts w:ascii="宋体" w:hAnsi="宋体" w:cs="宋体" w:eastAsia="宋体" w:hint="default"/>
                <w:sz w:val="18"/>
                <w:szCs w:val="18"/>
              </w:rPr>
              <w:t>分红年度合并报表中归属 于上市公司普通股股东的 净利润</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1"/>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72" w:right="72"/>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8,822,524.60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2,375,919.48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17,682,428.82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13.44%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9,504,000.00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21,348,837.18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44.52%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tbl>
      <w:tblPr>
        <w:tblW w:w="0" w:type="auto"/>
        <w:jc w:val="left"/>
        <w:tblInd w:w="182" w:type="dxa"/>
        <w:tblLayout w:type="fixed"/>
        <w:tblCellMar>
          <w:top w:w="0" w:type="dxa"/>
          <w:left w:w="0" w:type="dxa"/>
          <w:bottom w:w="0" w:type="dxa"/>
          <w:right w:w="0" w:type="dxa"/>
        </w:tblCellMar>
        <w:tblLook w:val="01E0"/>
      </w:tblPr>
      <w:tblGrid>
        <w:gridCol w:w="5922"/>
        <w:gridCol w:w="3647"/>
      </w:tblGrid>
      <w:tr>
        <w:trPr>
          <w:trHeight w:val="713" w:hRule="exact"/>
        </w:trPr>
        <w:tc>
          <w:tcPr>
            <w:tcW w:w="5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46" w:right="73" w:hanging="207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报告期内盈利且母公司可供普通股股东分配利润为正但未提出普通股现金 红利分配预案的原因</w:t>
            </w:r>
          </w:p>
        </w:tc>
        <w:tc>
          <w:tcPr>
            <w:tcW w:w="3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672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、根据《公司章程》和《深圳市方直科技股份有限公司未来三年</w:t>
            </w:r>
          </w:p>
          <w:p>
            <w:pPr>
              <w:pStyle w:val="TableParagraph"/>
              <w:spacing w:line="307" w:lineRule="auto" w:before="60"/>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年）股东回报规划》所制定的利润分配政策，公司的利润 分配方案需考虑公司的长远发展，并重视对投资者的长期合理投资回报。 以可持续发展和维护股东权益为宗旨，应保持利润分配政策的连续性和稳 定性，并符合法律、法规的相关规定。根据公司章程第一百五十五条规定 的利润分配政策及分配方式：</w:t>
            </w:r>
            <w:r>
              <w:rPr>
                <w:rFonts w:ascii="Times New Roman" w:hAnsi="Times New Roman" w:cs="Times New Roman" w:eastAsia="Times New Roman" w:hint="default"/>
                <w:sz w:val="18"/>
                <w:szCs w:val="18"/>
              </w:rPr>
              <w:t>“</w:t>
            </w:r>
            <w:r>
              <w:rPr>
                <w:rFonts w:ascii="宋体" w:hAnsi="宋体" w:cs="宋体" w:eastAsia="宋体" w:hint="default"/>
                <w:sz w:val="18"/>
                <w:szCs w:val="18"/>
              </w:rPr>
              <w:t>公司每年以现金方式分配的利润不少于当年 实现可供分配利润的百分之十，并且连续任何三个会计年度内以现金方式 累计分配的利润应不少于该三年实现的年均可分配利润的百分之三十。</w:t>
            </w:r>
            <w:r>
              <w:rPr>
                <w:rFonts w:ascii="Times New Roman" w:hAnsi="Times New Roman" w:cs="Times New Roman" w:eastAsia="Times New Roman" w:hint="default"/>
                <w:sz w:val="18"/>
                <w:szCs w:val="18"/>
              </w:rPr>
              <w:t>”</w:t>
            </w:r>
            <w:r>
              <w:rPr>
                <w:rFonts w:ascii="宋体" w:hAnsi="宋体" w:cs="宋体" w:eastAsia="宋体" w:hint="default"/>
                <w:sz w:val="18"/>
                <w:szCs w:val="18"/>
              </w:rPr>
              <w:t>同 时，公司章程规定：</w:t>
            </w:r>
            <w:r>
              <w:rPr>
                <w:rFonts w:ascii="Times New Roman" w:hAnsi="Times New Roman" w:cs="Times New Roman" w:eastAsia="Times New Roman" w:hint="default"/>
                <w:sz w:val="18"/>
                <w:szCs w:val="18"/>
              </w:rPr>
              <w:t>“</w:t>
            </w:r>
            <w:r>
              <w:rPr>
                <w:rFonts w:ascii="宋体" w:hAnsi="宋体" w:cs="宋体" w:eastAsia="宋体" w:hint="default"/>
                <w:sz w:val="18"/>
                <w:szCs w:val="18"/>
              </w:rPr>
              <w:t>公司拟实施现金分红时应同时满足以下条件：</w:t>
            </w:r>
            <w:r>
              <w:rPr>
                <w:rFonts w:ascii="Times New Roman" w:hAnsi="Times New Roman" w:cs="Times New Roman" w:eastAsia="Times New Roman" w:hint="default"/>
                <w:sz w:val="18"/>
                <w:szCs w:val="18"/>
              </w:rPr>
              <w:t>a</w:t>
            </w:r>
            <w:r>
              <w:rPr>
                <w:rFonts w:ascii="宋体" w:hAnsi="宋体" w:cs="宋体" w:eastAsia="宋体" w:hint="default"/>
                <w:sz w:val="18"/>
                <w:szCs w:val="18"/>
              </w:rPr>
              <w:t>、当 年每股收益不低于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元；</w:t>
            </w:r>
            <w:r>
              <w:rPr>
                <w:rFonts w:ascii="Times New Roman" w:hAnsi="Times New Roman" w:cs="Times New Roman" w:eastAsia="Times New Roman" w:hint="default"/>
                <w:sz w:val="18"/>
                <w:szCs w:val="18"/>
              </w:rPr>
              <w:t>b</w:t>
            </w:r>
            <w:r>
              <w:rPr>
                <w:rFonts w:ascii="宋体" w:hAnsi="宋体" w:cs="宋体" w:eastAsia="宋体" w:hint="default"/>
                <w:sz w:val="18"/>
                <w:szCs w:val="18"/>
              </w:rPr>
              <w:t>、审计机构对公司的该年度财务报告出具标准 无保留意见的审计报告； </w:t>
            </w:r>
            <w:r>
              <w:rPr>
                <w:rFonts w:ascii="Times New Roman" w:hAnsi="Times New Roman" w:cs="Times New Roman" w:eastAsia="Times New Roman" w:hint="default"/>
                <w:sz w:val="18"/>
                <w:szCs w:val="18"/>
              </w:rPr>
              <w:t>c</w:t>
            </w:r>
            <w:r>
              <w:rPr>
                <w:rFonts w:ascii="宋体" w:hAnsi="宋体" w:cs="宋体" w:eastAsia="宋体" w:hint="default"/>
                <w:sz w:val="18"/>
                <w:szCs w:val="18"/>
              </w:rPr>
              <w:t>、公司未来十二个月内拟对外投资、购买或出 售资产累计支出不超过公司最近一期经审计总资产的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宋体" w:hAnsi="宋体" w:cs="宋体" w:eastAsia="宋体" w:hint="default"/>
                <w:sz w:val="18"/>
                <w:szCs w:val="18"/>
              </w:rPr>
              <w:t>、公司未来十 二个月内拟对外投资、购买或出售资产累计支出不超过公司最近一期经审 计净资产的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300" w:lineRule="auto" w:before="48"/>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、公司最近 </w:t>
            </w:r>
            <w:r>
              <w:rPr>
                <w:rFonts w:ascii="Times New Roman" w:hAnsi="Times New Roman" w:cs="Times New Roman" w:eastAsia="Times New Roman" w:hint="default"/>
                <w:sz w:val="18"/>
                <w:szCs w:val="18"/>
              </w:rPr>
              <w:t>3 </w:t>
            </w:r>
            <w:r>
              <w:rPr>
                <w:rFonts w:ascii="宋体" w:hAnsi="宋体" w:cs="宋体" w:eastAsia="宋体" w:hint="default"/>
                <w:sz w:val="18"/>
                <w:szCs w:val="18"/>
              </w:rPr>
              <w:t>年的累计现金分红总额为 </w:t>
            </w:r>
            <w:r>
              <w:rPr>
                <w:rFonts w:ascii="Times New Roman" w:hAnsi="Times New Roman" w:cs="Times New Roman" w:eastAsia="Times New Roman" w:hint="default"/>
                <w:sz w:val="18"/>
                <w:szCs w:val="18"/>
              </w:rPr>
              <w:t>27,719,919.48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元，该三年实 现的年均可分配利润为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20,248,722.48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元，占比为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136.90%</w:t>
            </w:r>
            <w:r>
              <w:rPr>
                <w:rFonts w:ascii="宋体" w:hAnsi="宋体" w:cs="宋体" w:eastAsia="宋体" w:hint="default"/>
                <w:sz w:val="18"/>
                <w:szCs w:val="18"/>
              </w:rPr>
              <w:t>，不少于最近三 年实现的年均可分配利润的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年度公司每股收益为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元，不满 足章程规定的现金分红条件。</w:t>
            </w:r>
          </w:p>
          <w:p>
            <w:pPr>
              <w:pStyle w:val="TableParagraph"/>
              <w:spacing w:line="240" w:lineRule="auto" w:before="7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、考虑公司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年度经营业务发展计划，对资金的需求较大，为保</w:t>
            </w:r>
          </w:p>
          <w:p>
            <w:pPr>
              <w:pStyle w:val="TableParagraph"/>
              <w:spacing w:line="300" w:lineRule="auto" w:before="63"/>
              <w:ind w:left="24" w:right="122"/>
              <w:jc w:val="left"/>
              <w:rPr>
                <w:rFonts w:ascii="宋体" w:hAnsi="宋体" w:cs="宋体" w:eastAsia="宋体" w:hint="default"/>
                <w:sz w:val="18"/>
                <w:szCs w:val="18"/>
              </w:rPr>
            </w:pPr>
            <w:r>
              <w:rPr>
                <w:rFonts w:ascii="宋体" w:hAnsi="宋体" w:cs="宋体" w:eastAsia="宋体" w:hint="default"/>
                <w:sz w:val="18"/>
                <w:szCs w:val="18"/>
              </w:rPr>
              <w:t>障公司稳健可持续发展，公司应做好相应的资金储备。公司拟定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度不派发现金红利、不送红股、不以公积金转增股本。</w:t>
            </w:r>
          </w:p>
        </w:tc>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4" w:right="191" w:firstLine="360"/>
              <w:jc w:val="left"/>
              <w:rPr>
                <w:rFonts w:ascii="宋体" w:hAnsi="宋体" w:cs="宋体" w:eastAsia="宋体" w:hint="default"/>
                <w:sz w:val="18"/>
                <w:szCs w:val="18"/>
              </w:rPr>
            </w:pPr>
            <w:r>
              <w:rPr>
                <w:rFonts w:ascii="宋体" w:hAnsi="宋体" w:cs="宋体" w:eastAsia="宋体" w:hint="default"/>
                <w:sz w:val="18"/>
                <w:szCs w:val="18"/>
              </w:rPr>
              <w:t>公司留存未分配利润主要用于市场开拓 及投入、技术研发、相关产业资源的整合、 对外投资、收购资产、购买设备等重大投资 及现金支出，逐步扩大生产经营规模，优化 财务结构，促进公司的快速发展，加速公司 互联网转型，有计划有步骤地实现公司未来 的发展规划目标，最终实现股东利益最大 化。今后，公司将一如既往地重视以现金分 红形式对投资者进行回报，严格按照相关法 律法规和《公司章程》等规定，综合考虑与 利润分配相关的各种因素，积极履行公司的 利润分配制度，与投资者共享公司发展的成 果。</w:t>
            </w:r>
          </w:p>
        </w:tc>
      </w:tr>
    </w:tbl>
    <w:p>
      <w:pPr>
        <w:spacing w:after="0" w:line="316" w:lineRule="auto"/>
        <w:jc w:val="left"/>
        <w:rPr>
          <w:rFonts w:ascii="宋体" w:hAnsi="宋体" w:cs="宋体" w:eastAsia="宋体" w:hint="default"/>
          <w:sz w:val="18"/>
          <w:szCs w:val="18"/>
        </w:rPr>
        <w:sectPr>
          <w:footerReference w:type="default" r:id="rId26"/>
          <w:pgSz w:w="11910" w:h="16840"/>
          <w:pgMar w:footer="979" w:header="880" w:top="1100" w:bottom="1160" w:left="980" w:right="980"/>
        </w:sectPr>
      </w:pPr>
    </w:p>
    <w:p>
      <w:pPr>
        <w:pStyle w:val="Heading3"/>
        <w:spacing w:line="369" w:lineRule="exact"/>
        <w:ind w:left="140" w:right="0"/>
        <w:jc w:val="left"/>
        <w:rPr>
          <w:b w:val="0"/>
          <w:bCs w:val="0"/>
        </w:rPr>
      </w:pPr>
      <w:r>
        <w:rPr/>
        <w:pict>
          <v:group style="position:absolute;margin-left:70.559998pt;margin-top:2.102063pt;width:700.9pt;height:.1pt;mso-position-horizontal-relative:page;mso-position-vertical-relative:paragraph;z-index:-722584" coordorigin="1411,42" coordsize="14018,2">
            <v:shape style="position:absolute;left:1411;top:42;width:14018;height:2" coordorigin="1411,42" coordsize="14018,0" path="m1411,42l15429,42e" filled="false" stroked="true" strokeweight=".72pt" strokecolor="#000000">
              <v:path arrowok="t"/>
            </v:shape>
            <w10:wrap type="none"/>
          </v:group>
        </w:pict>
      </w:r>
      <w:r>
        <w:rPr/>
        <w:t>二、承诺事项履行情况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left="1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2093"/>
        <w:gridCol w:w="1560"/>
        <w:gridCol w:w="1277"/>
        <w:gridCol w:w="4961"/>
        <w:gridCol w:w="1558"/>
        <w:gridCol w:w="994"/>
        <w:gridCol w:w="1416"/>
      </w:tblGrid>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深圳市方直科技股 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 w:right="164"/>
              <w:jc w:val="left"/>
              <w:rPr>
                <w:rFonts w:ascii="宋体" w:hAnsi="宋体" w:cs="宋体" w:eastAsia="宋体" w:hint="default"/>
                <w:sz w:val="18"/>
                <w:szCs w:val="18"/>
              </w:rPr>
            </w:pPr>
            <w:r>
              <w:rPr>
                <w:rFonts w:ascii="宋体" w:hAnsi="宋体" w:cs="宋体" w:eastAsia="宋体" w:hint="default"/>
                <w:sz w:val="18"/>
                <w:szCs w:val="18"/>
              </w:rPr>
              <w:t>不进行重大资 产重组承诺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 w:right="69"/>
              <w:jc w:val="left"/>
              <w:rPr>
                <w:rFonts w:ascii="宋体" w:hAnsi="宋体" w:cs="宋体" w:eastAsia="宋体" w:hint="default"/>
                <w:sz w:val="18"/>
                <w:szCs w:val="18"/>
              </w:rPr>
            </w:pPr>
            <w:r>
              <w:rPr>
                <w:rFonts w:ascii="宋体" w:hAnsi="宋体" w:cs="宋体" w:eastAsia="宋体" w:hint="default"/>
                <w:sz w:val="18"/>
                <w:szCs w:val="18"/>
              </w:rPr>
              <w:t>公司承诺，自《关于终止重大资产重组暨股票复牌的公告》披 露之日起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个月内不再筹划重大资产重组事项。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2017-06-26</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122"/>
              <w:jc w:val="both"/>
              <w:rPr>
                <w:rFonts w:ascii="宋体" w:hAnsi="宋体" w:cs="宋体" w:eastAsia="宋体" w:hint="default"/>
                <w:sz w:val="18"/>
                <w:szCs w:val="18"/>
              </w:rPr>
            </w:pPr>
            <w:r>
              <w:rPr>
                <w:rFonts w:ascii="宋体" w:hAnsi="宋体" w:cs="宋体" w:eastAsia="宋体" w:hint="default"/>
                <w:sz w:val="18"/>
                <w:szCs w:val="18"/>
              </w:rPr>
              <w:t>履行完毕，承诺 期间未有违反上 述承诺的情况。</w:t>
            </w:r>
          </w:p>
        </w:tc>
      </w:tr>
      <w:tr>
        <w:trPr>
          <w:trHeight w:val="1339" w:hRule="exact"/>
        </w:trPr>
        <w:tc>
          <w:tcPr>
            <w:tcW w:w="20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21" w:right="81"/>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北京嘉豪伟业投资 中心（有限合 </w:t>
            </w:r>
            <w:r>
              <w:rPr>
                <w:rFonts w:ascii="宋体" w:hAnsi="宋体" w:cs="宋体" w:eastAsia="宋体" w:hint="default"/>
                <w:spacing w:val="-12"/>
                <w:sz w:val="18"/>
                <w:szCs w:val="18"/>
              </w:rPr>
              <w:t>伙）、前海开源基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69"/>
              <w:jc w:val="both"/>
              <w:rPr>
                <w:rFonts w:ascii="宋体" w:hAnsi="宋体" w:cs="宋体" w:eastAsia="宋体" w:hint="default"/>
                <w:sz w:val="18"/>
                <w:szCs w:val="18"/>
              </w:rPr>
            </w:pPr>
            <w:r>
              <w:rPr>
                <w:rFonts w:ascii="宋体" w:hAnsi="宋体" w:cs="宋体" w:eastAsia="宋体" w:hint="default"/>
                <w:sz w:val="18"/>
                <w:szCs w:val="18"/>
              </w:rPr>
              <w:t>北京嘉豪伟业投资中心（有限合伙）和前海开源基金管理有限 公司自愿承诺：自方直科技非公开发行股票上市之日起，本公 司在本次非公开发行过程中认购的股份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2018-03-28</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122"/>
              <w:jc w:val="both"/>
              <w:rPr>
                <w:rFonts w:ascii="宋体" w:hAnsi="宋体" w:cs="宋体" w:eastAsia="宋体" w:hint="default"/>
                <w:sz w:val="18"/>
                <w:szCs w:val="18"/>
              </w:rPr>
            </w:pPr>
            <w:r>
              <w:rPr>
                <w:rFonts w:ascii="宋体" w:hAnsi="宋体" w:cs="宋体" w:eastAsia="宋体" w:hint="default"/>
                <w:sz w:val="18"/>
                <w:szCs w:val="18"/>
              </w:rPr>
              <w:t>履行完毕，承诺 期间未有违反上 述承诺的情况。</w:t>
            </w:r>
          </w:p>
        </w:tc>
      </w:tr>
      <w:tr>
        <w:trPr>
          <w:trHeight w:val="4972" w:hRule="exact"/>
        </w:trPr>
        <w:tc>
          <w:tcPr>
            <w:tcW w:w="2093"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3"/>
              <w:ind w:left="24" w:right="84"/>
              <w:jc w:val="left"/>
              <w:rPr>
                <w:rFonts w:ascii="宋体" w:hAnsi="宋体" w:cs="宋体" w:eastAsia="宋体" w:hint="default"/>
                <w:sz w:val="18"/>
                <w:szCs w:val="18"/>
              </w:rPr>
            </w:pPr>
            <w:r>
              <w:rPr>
                <w:rFonts w:ascii="宋体" w:hAnsi="宋体" w:cs="宋体" w:eastAsia="宋体" w:hint="default"/>
                <w:sz w:val="18"/>
                <w:szCs w:val="18"/>
              </w:rPr>
              <w:t>陈克让、陈伟强、 黄晓峰、黄元忠、 李枫、刘勇、卢庆 华、乔东斌、孙晓 玲、许鲁光、杨 颖、杨正华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69"/>
              <w:jc w:val="both"/>
              <w:rPr>
                <w:rFonts w:ascii="宋体" w:hAnsi="宋体" w:cs="宋体" w:eastAsia="宋体" w:hint="default"/>
                <w:sz w:val="18"/>
                <w:szCs w:val="18"/>
              </w:rPr>
            </w:pPr>
            <w:r>
              <w:rPr>
                <w:rFonts w:ascii="宋体" w:hAnsi="宋体" w:cs="宋体" w:eastAsia="宋体" w:hint="default"/>
                <w:sz w:val="18"/>
                <w:szCs w:val="18"/>
              </w:rPr>
              <w:t>公司董事、高级管理人员承诺忠实、勤勉地履行职责，维护公 司和全体股东的合法权益，并根据中国证监会相关规定对公司 填补即期回报措施能够得到切实履行作出如下承诺：</w:t>
            </w:r>
          </w:p>
          <w:p>
            <w:pPr>
              <w:pStyle w:val="TableParagraph"/>
              <w:spacing w:line="300" w:lineRule="auto" w:before="57"/>
              <w:ind w:left="21"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、本人承诺不无偿或以不公平条件向其他单位或者个人输送 利益，也不采用其他方式损害公司利益；</w:t>
            </w:r>
          </w:p>
          <w:p>
            <w:pPr>
              <w:pStyle w:val="TableParagraph"/>
              <w:spacing w:line="240" w:lineRule="auto" w:before="72"/>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、本人承诺对职务消费行为进行约束；</w:t>
            </w:r>
          </w:p>
          <w:p>
            <w:pPr>
              <w:pStyle w:val="TableParagraph"/>
              <w:spacing w:line="300" w:lineRule="auto" w:before="104"/>
              <w:ind w:left="21"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、本人承诺不动用公司资产从事与其履行职责无关的投资、 消费活动；</w:t>
            </w:r>
          </w:p>
          <w:p>
            <w:pPr>
              <w:pStyle w:val="TableParagraph"/>
              <w:spacing w:line="300" w:lineRule="auto" w:before="70"/>
              <w:ind w:left="21"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、本人承诺由董事会或薪酬与考核委员会制定的薪酬制度与 公司填补回报措施的执行情况相挂钩；</w:t>
            </w:r>
          </w:p>
          <w:p>
            <w:pPr>
              <w:pStyle w:val="TableParagraph"/>
              <w:spacing w:line="300" w:lineRule="auto" w:before="72"/>
              <w:ind w:left="21"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、未来公司如实施股权激励，本人承诺股权激励的行权条件 与公司填补回报措施的执行情况相挂钩；</w:t>
            </w:r>
          </w:p>
          <w:p>
            <w:pPr>
              <w:pStyle w:val="TableParagraph"/>
              <w:spacing w:line="309" w:lineRule="auto" w:before="72"/>
              <w:ind w:left="21"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、自本承诺出具日至公司本次非公开发行股票实施完毕前， 若中国证监会作出关于填补回报措施及其承诺的其他新的监管 规定的，且上述承诺不能满足中国证监会该等规定时，本人承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9999-12-31</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21" w:right="122"/>
              <w:jc w:val="both"/>
              <w:rPr>
                <w:rFonts w:ascii="宋体" w:hAnsi="宋体" w:cs="宋体" w:eastAsia="宋体" w:hint="default"/>
                <w:sz w:val="18"/>
                <w:szCs w:val="18"/>
              </w:rPr>
            </w:pPr>
            <w:r>
              <w:rPr>
                <w:rFonts w:ascii="宋体" w:hAnsi="宋体" w:cs="宋体" w:eastAsia="宋体" w:hint="default"/>
                <w:sz w:val="18"/>
                <w:szCs w:val="18"/>
              </w:rPr>
              <w:t>截止目前，承诺 方均遵守以上承 诺，未有违反上 述承诺的情况。</w:t>
            </w:r>
          </w:p>
        </w:tc>
      </w:tr>
    </w:tbl>
    <w:p>
      <w:pPr>
        <w:spacing w:after="0" w:line="316" w:lineRule="auto"/>
        <w:jc w:val="both"/>
        <w:rPr>
          <w:rFonts w:ascii="宋体" w:hAnsi="宋体" w:cs="宋体" w:eastAsia="宋体" w:hint="default"/>
          <w:sz w:val="18"/>
          <w:szCs w:val="18"/>
        </w:rPr>
        <w:sectPr>
          <w:headerReference w:type="default" r:id="rId27"/>
          <w:footerReference w:type="default" r:id="rId28"/>
          <w:pgSz w:w="16840" w:h="11910" w:orient="landscape"/>
          <w:pgMar w:header="870" w:footer="979" w:top="1060" w:bottom="1160" w:left="1300" w:right="1300"/>
          <w:pgNumType w:start="1"/>
        </w:sectPr>
      </w:pPr>
    </w:p>
    <w:p>
      <w:pPr>
        <w:spacing w:line="240" w:lineRule="auto" w:before="0"/>
        <w:rPr>
          <w:rFonts w:ascii="Times New Roman" w:hAnsi="Times New Roman" w:cs="Times New Roman" w:eastAsia="Times New Roman" w:hint="default"/>
          <w:sz w:val="3"/>
          <w:szCs w:val="3"/>
        </w:rPr>
      </w:pPr>
      <w:r>
        <w:rPr/>
        <w:pict>
          <v:group style="position:absolute;margin-left:73.919998pt;margin-top:531.600037pt;width:104.2pt;height:63.75pt;mso-position-horizontal-relative:page;mso-position-vertical-relative:page;z-index:-722560" coordorigin="1478,10632" coordsize="2084,1275">
            <v:shape style="position:absolute;left:1478;top:10632;width:2084;height:1275" coordorigin="1478,10632" coordsize="2084,1275" path="m1478,11906l3562,11906,3562,10632,1478,10632,1478,11906xe" filled="true" fillcolor="#d2d2d2" stroked="false">
              <v:path arrowok="t"/>
              <v:fill type="solid"/>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2093"/>
        <w:gridCol w:w="1560"/>
        <w:gridCol w:w="1277"/>
        <w:gridCol w:w="4961"/>
        <w:gridCol w:w="1558"/>
        <w:gridCol w:w="994"/>
        <w:gridCol w:w="1416"/>
      </w:tblGrid>
      <w:tr>
        <w:trPr>
          <w:trHeight w:val="1042" w:hRule="exact"/>
        </w:trPr>
        <w:tc>
          <w:tcPr>
            <w:tcW w:w="2093" w:type="dxa"/>
            <w:vMerge w:val="restart"/>
            <w:tcBorders>
              <w:top w:val="single" w:sz="15" w:space="0" w:color="000000"/>
              <w:left w:val="single" w:sz="4" w:space="0" w:color="000000"/>
              <w:right w:val="single" w:sz="4" w:space="0" w:color="000000"/>
            </w:tcBorders>
            <w:shd w:val="clear" w:color="auto" w:fill="D2D2D2"/>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9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诺届时将按照中国证监会的最新规定出具补充承诺；</w:t>
            </w:r>
          </w:p>
          <w:p>
            <w:pPr>
              <w:pStyle w:val="TableParagraph"/>
              <w:spacing w:line="300" w:lineRule="auto" w:before="115"/>
              <w:ind w:left="2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、本人承诺切实履行公司制定的有关填补回报措施以及对此 作出的任何有关填补回报措施的承诺，若违反该等承诺。</w:t>
            </w:r>
          </w:p>
        </w:tc>
        <w:tc>
          <w:tcPr>
            <w:tcW w:w="1558"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r>
      <w:tr>
        <w:trPr>
          <w:trHeight w:val="1337" w:hRule="exact"/>
        </w:trPr>
        <w:tc>
          <w:tcPr>
            <w:tcW w:w="2093"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84"/>
              <w:jc w:val="left"/>
              <w:rPr>
                <w:rFonts w:ascii="宋体" w:hAnsi="宋体" w:cs="宋体" w:eastAsia="宋体" w:hint="default"/>
                <w:sz w:val="18"/>
                <w:szCs w:val="18"/>
              </w:rPr>
            </w:pPr>
            <w:r>
              <w:rPr>
                <w:rFonts w:ascii="宋体" w:hAnsi="宋体" w:cs="宋体" w:eastAsia="宋体" w:hint="default"/>
                <w:sz w:val="18"/>
                <w:szCs w:val="18"/>
              </w:rPr>
              <w:t>陈克让、黄晓峰、 黄元忠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69"/>
              <w:jc w:val="both"/>
              <w:rPr>
                <w:rFonts w:ascii="宋体" w:hAnsi="宋体" w:cs="宋体" w:eastAsia="宋体" w:hint="default"/>
                <w:sz w:val="18"/>
                <w:szCs w:val="18"/>
              </w:rPr>
            </w:pPr>
            <w:r>
              <w:rPr>
                <w:rFonts w:ascii="宋体" w:hAnsi="宋体" w:cs="宋体" w:eastAsia="宋体" w:hint="default"/>
                <w:sz w:val="18"/>
                <w:szCs w:val="18"/>
              </w:rPr>
              <w:t>公司控股股东、实际控制人黄元忠及其一致行动人陈克让、黄 晓峰根据中国证监会相关规定，对公司填补回报措施能够得到 切实履行作出如下承诺：不越权干预公司经营管理活动，不侵 占公司利益。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9999-12-31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122"/>
              <w:jc w:val="both"/>
              <w:rPr>
                <w:rFonts w:ascii="宋体" w:hAnsi="宋体" w:cs="宋体" w:eastAsia="宋体" w:hint="default"/>
                <w:sz w:val="18"/>
                <w:szCs w:val="18"/>
              </w:rPr>
            </w:pPr>
            <w:r>
              <w:rPr>
                <w:rFonts w:ascii="宋体" w:hAnsi="宋体" w:cs="宋体" w:eastAsia="宋体" w:hint="default"/>
                <w:sz w:val="18"/>
                <w:szCs w:val="18"/>
              </w:rPr>
              <w:t>截止目前，承诺 方均遵守以上承 诺，未有违反上 述承诺的情况。</w:t>
            </w:r>
          </w:p>
        </w:tc>
      </w:tr>
      <w:tr>
        <w:trPr>
          <w:trHeight w:val="1963" w:hRule="exact"/>
        </w:trPr>
        <w:tc>
          <w:tcPr>
            <w:tcW w:w="2093"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陈克让、黄晓峰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1" w:right="164"/>
              <w:jc w:val="left"/>
              <w:rPr>
                <w:rFonts w:ascii="宋体" w:hAnsi="宋体" w:cs="宋体" w:eastAsia="宋体" w:hint="default"/>
                <w:sz w:val="18"/>
                <w:szCs w:val="18"/>
              </w:rPr>
            </w:pPr>
            <w:r>
              <w:rPr>
                <w:rFonts w:ascii="宋体" w:hAnsi="宋体" w:cs="宋体" w:eastAsia="宋体" w:hint="default"/>
                <w:sz w:val="18"/>
                <w:szCs w:val="18"/>
              </w:rPr>
              <w:t>股东一致行动 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1"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黄晓峰、陈克让承诺：二人为各自独立的自然人股东，相互之 间不存在关联关系，在作为发行人股东期间，不相互转让股 份，不通过受让其他股东持有的方直科技股份、增资等途径取 得方直科技的控股地位，不通过与其他任何第三方签订一致行 动协议或类似安排的方式取得方直科技的实际控股地位，不得 做出有损发行人实际控制权及经营稳定、整体利益的行为</w:t>
            </w:r>
            <w:r>
              <w:rPr>
                <w:rFonts w:ascii="Times New Roman" w:hAnsi="Times New Roman" w:cs="Times New Roman" w:eastAsia="Times New Roman"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9999-12-31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1" w:right="122"/>
              <w:jc w:val="both"/>
              <w:rPr>
                <w:rFonts w:ascii="宋体" w:hAnsi="宋体" w:cs="宋体" w:eastAsia="宋体" w:hint="default"/>
                <w:sz w:val="18"/>
                <w:szCs w:val="18"/>
              </w:rPr>
            </w:pPr>
            <w:r>
              <w:rPr>
                <w:rFonts w:ascii="宋体" w:hAnsi="宋体" w:cs="宋体" w:eastAsia="宋体" w:hint="default"/>
                <w:sz w:val="18"/>
                <w:szCs w:val="18"/>
              </w:rPr>
              <w:t>截止目前，承诺 方均遵守以上承 诺，未有违反上 述承诺的情况。</w:t>
            </w:r>
          </w:p>
        </w:tc>
      </w:tr>
      <w:tr>
        <w:trPr>
          <w:trHeight w:val="2939" w:hRule="exact"/>
        </w:trPr>
        <w:tc>
          <w:tcPr>
            <w:tcW w:w="2093"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24" w:right="84"/>
              <w:jc w:val="both"/>
              <w:rPr>
                <w:rFonts w:ascii="宋体" w:hAnsi="宋体" w:cs="宋体" w:eastAsia="宋体" w:hint="default"/>
                <w:sz w:val="18"/>
                <w:szCs w:val="18"/>
              </w:rPr>
            </w:pPr>
            <w:r>
              <w:rPr>
                <w:rFonts w:ascii="宋体" w:hAnsi="宋体" w:cs="宋体" w:eastAsia="宋体" w:hint="default"/>
                <w:sz w:val="18"/>
                <w:szCs w:val="18"/>
              </w:rPr>
              <w:t>陈克让、黄晓峰、 黄元忠、孙晓玲、 杨颖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6" w:lineRule="auto"/>
              <w:ind w:left="21" w:right="164"/>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69"/>
              <w:jc w:val="left"/>
              <w:rPr>
                <w:rFonts w:ascii="宋体" w:hAnsi="宋体" w:cs="宋体" w:eastAsia="宋体" w:hint="default"/>
                <w:sz w:val="18"/>
                <w:szCs w:val="18"/>
              </w:rPr>
            </w:pPr>
            <w:r>
              <w:rPr>
                <w:rFonts w:ascii="宋体" w:hAnsi="宋体" w:cs="宋体" w:eastAsia="宋体" w:hint="default"/>
                <w:sz w:val="18"/>
                <w:szCs w:val="18"/>
              </w:rPr>
              <w:t>（一）避免同业竞争的承诺</w:t>
            </w:r>
            <w:r>
              <w:rPr>
                <w:rFonts w:ascii="宋体" w:hAnsi="宋体" w:cs="宋体" w:eastAsia="宋体" w:hint="default"/>
                <w:spacing w:val="1"/>
                <w:sz w:val="18"/>
                <w:szCs w:val="18"/>
              </w:rPr>
              <w:t> </w:t>
            </w:r>
            <w:r>
              <w:rPr>
                <w:rFonts w:ascii="宋体" w:hAnsi="宋体" w:cs="宋体" w:eastAsia="宋体" w:hint="default"/>
                <w:sz w:val="18"/>
                <w:szCs w:val="18"/>
              </w:rPr>
              <w:t>为避免同业竞争损害公司及其他</w:t>
            </w:r>
            <w:r>
              <w:rPr>
                <w:rFonts w:ascii="宋体" w:hAnsi="宋体" w:cs="宋体" w:eastAsia="宋体" w:hint="default"/>
                <w:sz w:val="18"/>
                <w:szCs w:val="18"/>
              </w:rPr>
              <w:t> 股东的利益，公司控股股东、实际控制人黄元忠先生及其一致 行动人、主要股东黄晓峰先生、陈克让先生、戈尔登公司分别 做出避免同业竞争的承诺。</w:t>
            </w:r>
          </w:p>
          <w:p>
            <w:pPr>
              <w:pStyle w:val="TableParagraph"/>
              <w:spacing w:line="319" w:lineRule="auto" w:before="57"/>
              <w:ind w:left="21" w:right="69"/>
              <w:jc w:val="left"/>
              <w:rPr>
                <w:rFonts w:ascii="宋体" w:hAnsi="宋体" w:cs="宋体" w:eastAsia="宋体" w:hint="default"/>
                <w:sz w:val="18"/>
                <w:szCs w:val="18"/>
              </w:rPr>
            </w:pPr>
            <w:r>
              <w:rPr>
                <w:rFonts w:ascii="宋体" w:hAnsi="宋体" w:cs="宋体" w:eastAsia="宋体" w:hint="default"/>
                <w:sz w:val="18"/>
                <w:szCs w:val="18"/>
              </w:rPr>
              <w:t>（二）不占用公司资金承诺</w:t>
            </w:r>
            <w:r>
              <w:rPr>
                <w:rFonts w:ascii="宋体" w:hAnsi="宋体" w:cs="宋体" w:eastAsia="宋体" w:hint="default"/>
                <w:spacing w:val="1"/>
                <w:sz w:val="18"/>
                <w:szCs w:val="18"/>
              </w:rPr>
              <w:t> </w:t>
            </w:r>
            <w:r>
              <w:rPr>
                <w:rFonts w:ascii="宋体" w:hAnsi="宋体" w:cs="宋体" w:eastAsia="宋体" w:hint="default"/>
                <w:sz w:val="18"/>
                <w:szCs w:val="18"/>
              </w:rPr>
              <w:t>公司控股股东、实际控制人黄元</w:t>
            </w:r>
            <w:r>
              <w:rPr>
                <w:rFonts w:ascii="宋体" w:hAnsi="宋体" w:cs="宋体" w:eastAsia="宋体" w:hint="default"/>
                <w:sz w:val="18"/>
                <w:szCs w:val="18"/>
              </w:rPr>
              <w:t> 忠及其他主要股东陈克让、黄晓峰、孙晓玲、杨颖分别承诺： 截止本承诺函出具日，本人不存在占用方直科技资金的情形； 自本承诺函出具日起，本人将严格遵守相关法律、法规及公司 相关规定，不占用公司资金。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4" w:right="0"/>
              <w:jc w:val="left"/>
              <w:rPr>
                <w:rFonts w:ascii="Times New Roman" w:hAnsi="Times New Roman" w:cs="Times New Roman" w:eastAsia="Times New Roman" w:hint="default"/>
                <w:sz w:val="18"/>
                <w:szCs w:val="18"/>
              </w:rPr>
            </w:pPr>
            <w:r>
              <w:rPr>
                <w:rFonts w:ascii="Times New Roman"/>
                <w:sz w:val="18"/>
              </w:rPr>
              <w:t>9999-12-31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6" w:lineRule="auto"/>
              <w:ind w:left="21" w:right="122"/>
              <w:jc w:val="both"/>
              <w:rPr>
                <w:rFonts w:ascii="宋体" w:hAnsi="宋体" w:cs="宋体" w:eastAsia="宋体" w:hint="default"/>
                <w:sz w:val="18"/>
                <w:szCs w:val="18"/>
              </w:rPr>
            </w:pPr>
            <w:r>
              <w:rPr>
                <w:rFonts w:ascii="宋体" w:hAnsi="宋体" w:cs="宋体" w:eastAsia="宋体" w:hint="default"/>
                <w:sz w:val="18"/>
                <w:szCs w:val="18"/>
              </w:rPr>
              <w:t>上述股东均遵守 以上承诺，未有 违反上述承诺的 情况。</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9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81"/>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9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49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37"/>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 因及下一步的工作计划</w:t>
            </w:r>
          </w:p>
        </w:tc>
        <w:tc>
          <w:tcPr>
            <w:tcW w:w="8929"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70" w:footer="979" w:top="1060" w:bottom="1160" w:left="1360" w:right="1320"/>
        </w:sectPr>
      </w:pPr>
    </w:p>
    <w:p>
      <w:pPr>
        <w:spacing w:line="240" w:lineRule="auto" w:before="11"/>
        <w:rPr>
          <w:rFonts w:ascii="Times New Roman" w:hAnsi="Times New Roman" w:cs="Times New Roman" w:eastAsia="Times New Roman" w:hint="default"/>
          <w:sz w:val="23"/>
          <w:szCs w:val="23"/>
        </w:rPr>
      </w:pPr>
    </w:p>
    <w:p>
      <w:pPr>
        <w:pStyle w:val="Heading5"/>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40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right="0"/>
        <w:jc w:val="left"/>
      </w:pPr>
      <w:r>
        <w:rPr>
          <w:rFonts w:ascii="宋体" w:hAnsi="宋体" w:cs="宋体" w:eastAsia="宋体" w:hint="default"/>
        </w:rPr>
        <w:t>1</w:t>
      </w:r>
      <w:r>
        <w:rPr/>
        <w:t>、会计政策变更说明：</w:t>
      </w:r>
    </w:p>
    <w:p>
      <w:pPr>
        <w:spacing w:line="240" w:lineRule="auto" w:before="10"/>
        <w:rPr>
          <w:rFonts w:ascii="宋体" w:hAnsi="宋体" w:cs="宋体" w:eastAsia="宋体" w:hint="default"/>
          <w:sz w:val="14"/>
          <w:szCs w:val="14"/>
        </w:rPr>
      </w:pPr>
    </w:p>
    <w:p>
      <w:pPr>
        <w:pStyle w:val="BodyText"/>
        <w:spacing w:line="408" w:lineRule="auto" w:before="0"/>
        <w:ind w:right="146" w:firstLine="420"/>
        <w:jc w:val="both"/>
      </w:pPr>
      <w:r>
        <w:rPr>
          <w:spacing w:val="-6"/>
        </w:rPr>
        <w:t>（</w:t>
      </w:r>
      <w:r>
        <w:rPr>
          <w:rFonts w:ascii="宋体" w:hAnsi="宋体" w:cs="宋体" w:eastAsia="宋体" w:hint="default"/>
          <w:spacing w:val="-6"/>
        </w:rPr>
        <w:t>1</w:t>
      </w:r>
      <w:r>
        <w:rPr>
          <w:spacing w:val="-6"/>
        </w:rPr>
        <w:t>）根据《企业会计准则第 </w:t>
      </w:r>
      <w:r>
        <w:rPr>
          <w:rFonts w:ascii="宋体" w:hAnsi="宋体" w:cs="宋体" w:eastAsia="宋体" w:hint="default"/>
        </w:rPr>
        <w:t>42</w:t>
      </w:r>
      <w:r>
        <w:rPr>
          <w:rFonts w:ascii="宋体" w:hAnsi="宋体" w:cs="宋体" w:eastAsia="宋体" w:hint="default"/>
          <w:spacing w:val="72"/>
        </w:rPr>
        <w:t> </w:t>
      </w:r>
      <w:r>
        <w:rPr>
          <w:spacing w:val="-4"/>
        </w:rPr>
        <w:t>号—持有待售的非流动资产、处置组和终止经营》，对于</w:t>
      </w:r>
      <w:r>
        <w:rPr>
          <w:rFonts w:ascii="宋体" w:hAnsi="宋体" w:cs="宋体" w:eastAsia="宋体" w:hint="default"/>
          <w:spacing w:val="-4"/>
        </w:rPr>
        <w:t>2017</w:t>
      </w:r>
      <w:r>
        <w:rPr>
          <w:spacing w:val="-4"/>
        </w:rPr>
        <w:t>年</w:t>
      </w:r>
      <w:r>
        <w:rPr>
          <w:rFonts w:ascii="宋体" w:hAnsi="宋体" w:cs="宋体" w:eastAsia="宋体" w:hint="default"/>
          <w:spacing w:val="-4"/>
        </w:rPr>
        <w:t>05</w:t>
      </w:r>
      <w:r>
        <w:rPr>
          <w:spacing w:val="-4"/>
        </w:rPr>
        <w:t>月</w:t>
      </w:r>
      <w:r>
        <w:rPr>
          <w:w w:val="100"/>
        </w:rPr>
        <w:t> </w:t>
      </w:r>
      <w:r>
        <w:rPr>
          <w:rFonts w:ascii="宋体" w:hAnsi="宋体" w:cs="宋体" w:eastAsia="宋体" w:hint="default"/>
          <w:spacing w:val="-2"/>
        </w:rPr>
        <w:t>28</w:t>
      </w:r>
      <w:r>
        <w:rPr>
          <w:spacing w:val="-2"/>
        </w:rPr>
        <w:t>日之后持有待售的非流动资产或处置组的分类、计量和列报，以及终止经营的列报等进行了规定，并采</w:t>
      </w:r>
      <w:r>
        <w:rPr>
          <w:spacing w:val="-40"/>
        </w:rPr>
        <w:t> </w:t>
      </w:r>
      <w:r>
        <w:rPr>
          <w:spacing w:val="-40"/>
        </w:rPr>
      </w:r>
      <w:r>
        <w:rPr>
          <w:spacing w:val="-2"/>
        </w:rPr>
        <w:t>用未来适用法进行处理。公司于</w:t>
      </w:r>
      <w:r>
        <w:rPr>
          <w:rFonts w:ascii="宋体" w:hAnsi="宋体" w:cs="宋体" w:eastAsia="宋体" w:hint="default"/>
          <w:spacing w:val="-2"/>
        </w:rPr>
        <w:t>2018</w:t>
      </w:r>
      <w:r>
        <w:rPr>
          <w:spacing w:val="-2"/>
        </w:rPr>
        <w:t>年</w:t>
      </w:r>
      <w:r>
        <w:rPr>
          <w:rFonts w:ascii="宋体" w:hAnsi="宋体" w:cs="宋体" w:eastAsia="宋体" w:hint="default"/>
          <w:spacing w:val="-2"/>
        </w:rPr>
        <w:t>04</w:t>
      </w:r>
      <w:r>
        <w:rPr>
          <w:spacing w:val="-2"/>
        </w:rPr>
        <w:t>月</w:t>
      </w:r>
      <w:r>
        <w:rPr>
          <w:rFonts w:ascii="宋体" w:hAnsi="宋体" w:cs="宋体" w:eastAsia="宋体" w:hint="default"/>
          <w:spacing w:val="-2"/>
        </w:rPr>
        <w:t>16</w:t>
      </w:r>
      <w:r>
        <w:rPr>
          <w:spacing w:val="-2"/>
        </w:rPr>
        <w:t>日召开了第三届董事会第三十次会议审议通过了《关于变更</w:t>
      </w:r>
      <w:r>
        <w:rPr>
          <w:spacing w:val="-35"/>
        </w:rPr>
        <w:t> </w:t>
      </w:r>
      <w:r>
        <w:rPr>
          <w:spacing w:val="-35"/>
        </w:rPr>
      </w:r>
      <w:r>
        <w:rPr/>
        <w:t>公司会计政策的议案》。此变更对我司本报告期无影响。</w:t>
      </w:r>
    </w:p>
    <w:p>
      <w:pPr>
        <w:pStyle w:val="BodyText"/>
        <w:spacing w:line="408" w:lineRule="auto"/>
        <w:ind w:right="146" w:firstLine="420"/>
        <w:jc w:val="both"/>
      </w:pPr>
      <w:r>
        <w:rPr>
          <w:spacing w:val="-5"/>
        </w:rPr>
        <w:t>（</w:t>
      </w:r>
      <w:r>
        <w:rPr>
          <w:rFonts w:ascii="宋体" w:hAnsi="宋体" w:cs="宋体" w:eastAsia="宋体" w:hint="default"/>
          <w:spacing w:val="-5"/>
        </w:rPr>
        <w:t>2</w:t>
      </w:r>
      <w:r>
        <w:rPr>
          <w:spacing w:val="-5"/>
        </w:rPr>
        <w:t>）根据财政部修订的《企业会计准则第 </w:t>
      </w:r>
      <w:r>
        <w:rPr>
          <w:rFonts w:ascii="宋体" w:hAnsi="宋体" w:cs="宋体" w:eastAsia="宋体" w:hint="default"/>
        </w:rPr>
        <w:t>16</w:t>
      </w:r>
      <w:r>
        <w:rPr>
          <w:rFonts w:ascii="宋体" w:hAnsi="宋体" w:cs="宋体" w:eastAsia="宋体" w:hint="default"/>
          <w:spacing w:val="60"/>
        </w:rPr>
        <w:t> </w:t>
      </w:r>
      <w:r>
        <w:rPr>
          <w:spacing w:val="-4"/>
        </w:rPr>
        <w:t>号</w:t>
      </w:r>
      <w:r>
        <w:rPr>
          <w:rFonts w:ascii="宋体" w:hAnsi="宋体" w:cs="宋体" w:eastAsia="宋体" w:hint="default"/>
          <w:spacing w:val="-4"/>
        </w:rPr>
        <w:t>--</w:t>
      </w:r>
      <w:r>
        <w:rPr>
          <w:spacing w:val="-4"/>
        </w:rPr>
        <w:t>政府补助》要求，公司对政府补助的会计政策进行</w:t>
      </w:r>
      <w:r>
        <w:rPr>
          <w:w w:val="100"/>
        </w:rPr>
        <w:t> </w:t>
      </w:r>
      <w:r>
        <w:rPr>
          <w:spacing w:val="-2"/>
        </w:rPr>
        <w:t>调整。原在利润表的营业外收入项目列报的政府补助，变更为：与企业日常活动相关的政府补助，应当按</w:t>
      </w:r>
      <w:r>
        <w:rPr>
          <w:spacing w:val="-47"/>
        </w:rPr>
        <w:t> </w:t>
      </w:r>
      <w:r>
        <w:rPr>
          <w:spacing w:val="-47"/>
        </w:rPr>
      </w:r>
      <w:r>
        <w:rPr>
          <w:spacing w:val="-2"/>
        </w:rPr>
        <w:t>照经济业务实质，计入其他收益；与企业日常活动无关的政府补助，应当计入营业外收入。本期营业外收</w:t>
      </w:r>
      <w:r>
        <w:rPr>
          <w:spacing w:val="-50"/>
        </w:rPr>
        <w:t> </w:t>
      </w:r>
      <w:r>
        <w:rPr>
          <w:spacing w:val="-50"/>
        </w:rPr>
      </w:r>
      <w:r>
        <w:rPr>
          <w:spacing w:val="-2"/>
        </w:rPr>
        <w:t>入减少</w:t>
      </w:r>
      <w:r>
        <w:rPr>
          <w:rFonts w:ascii="宋体" w:hAnsi="宋体" w:cs="宋体" w:eastAsia="宋体" w:hint="default"/>
          <w:spacing w:val="-2"/>
        </w:rPr>
        <w:t>3,130,686.09</w:t>
      </w:r>
      <w:r>
        <w:rPr>
          <w:spacing w:val="-2"/>
        </w:rPr>
        <w:t>元，其他收益增加</w:t>
      </w:r>
      <w:r>
        <w:rPr>
          <w:rFonts w:ascii="宋体" w:hAnsi="宋体" w:cs="宋体" w:eastAsia="宋体" w:hint="default"/>
          <w:spacing w:val="-2"/>
        </w:rPr>
        <w:t>3,130,686.09</w:t>
      </w:r>
      <w:r>
        <w:rPr>
          <w:spacing w:val="-2"/>
        </w:rPr>
        <w:t>元。公司于</w:t>
      </w:r>
      <w:r>
        <w:rPr>
          <w:rFonts w:ascii="宋体" w:hAnsi="宋体" w:cs="宋体" w:eastAsia="宋体" w:hint="default"/>
          <w:spacing w:val="-2"/>
        </w:rPr>
        <w:t>2017</w:t>
      </w:r>
      <w:r>
        <w:rPr>
          <w:spacing w:val="-2"/>
        </w:rPr>
        <w:t>年</w:t>
      </w:r>
      <w:r>
        <w:rPr>
          <w:rFonts w:ascii="宋体" w:hAnsi="宋体" w:cs="宋体" w:eastAsia="宋体" w:hint="default"/>
          <w:spacing w:val="-2"/>
        </w:rPr>
        <w:t>08</w:t>
      </w:r>
      <w:r>
        <w:rPr>
          <w:spacing w:val="-2"/>
        </w:rPr>
        <w:t>月</w:t>
      </w:r>
      <w:r>
        <w:rPr>
          <w:rFonts w:ascii="宋体" w:hAnsi="宋体" w:cs="宋体" w:eastAsia="宋体" w:hint="default"/>
          <w:spacing w:val="-2"/>
        </w:rPr>
        <w:t>23</w:t>
      </w:r>
      <w:r>
        <w:rPr>
          <w:spacing w:val="-2"/>
        </w:rPr>
        <w:t>日召开了第三届董事会第二</w:t>
      </w:r>
      <w:r>
        <w:rPr>
          <w:spacing w:val="-13"/>
        </w:rPr>
        <w:t> </w:t>
      </w:r>
      <w:r>
        <w:rPr>
          <w:spacing w:val="-13"/>
        </w:rPr>
      </w:r>
      <w:r>
        <w:rPr/>
        <w:t>十七次会议审议通过了《关于变更公司会计政策的议案》。</w:t>
      </w:r>
    </w:p>
    <w:p>
      <w:pPr>
        <w:pStyle w:val="BodyText"/>
        <w:spacing w:line="408" w:lineRule="auto"/>
        <w:ind w:right="148" w:firstLine="420"/>
        <w:jc w:val="both"/>
      </w:pPr>
      <w:r>
        <w:rPr>
          <w:spacing w:val="-2"/>
        </w:rPr>
        <w:t>董事会意见：本次会计政策变更是根据财政部颁布的财会【</w:t>
      </w:r>
      <w:r>
        <w:rPr>
          <w:rFonts w:ascii="宋体" w:hAnsi="宋体" w:cs="宋体" w:eastAsia="宋体" w:hint="default"/>
          <w:spacing w:val="-2"/>
        </w:rPr>
        <w:t>2017</w:t>
      </w:r>
      <w:r>
        <w:rPr>
          <w:spacing w:val="-2"/>
        </w:rPr>
        <w:t>】</w:t>
      </w:r>
      <w:r>
        <w:rPr>
          <w:rFonts w:ascii="宋体" w:hAnsi="宋体" w:cs="宋体" w:eastAsia="宋体" w:hint="default"/>
          <w:spacing w:val="-2"/>
        </w:rPr>
        <w:t>15</w:t>
      </w:r>
      <w:r>
        <w:rPr>
          <w:rFonts w:ascii="宋体" w:hAnsi="宋体" w:cs="宋体" w:eastAsia="宋体" w:hint="default"/>
          <w:spacing w:val="51"/>
        </w:rPr>
        <w:t> </w:t>
      </w:r>
      <w:r>
        <w:rPr>
          <w:spacing w:val="-2"/>
        </w:rPr>
        <w:t>号《关于印发修订</w:t>
      </w:r>
      <w:r>
        <w:rPr>
          <w:rFonts w:ascii="宋体" w:hAnsi="宋体" w:cs="宋体" w:eastAsia="宋体" w:hint="default"/>
          <w:spacing w:val="-2"/>
        </w:rPr>
        <w:t>&lt;</w:t>
      </w:r>
      <w:r>
        <w:rPr>
          <w:spacing w:val="-2"/>
        </w:rPr>
        <w:t>企业会计准</w:t>
      </w:r>
      <w:r>
        <w:rPr>
          <w:w w:val="100"/>
        </w:rPr>
        <w:t> </w:t>
      </w:r>
      <w:r>
        <w:rPr/>
        <w:t>则第</w:t>
      </w:r>
      <w:r>
        <w:rPr>
          <w:spacing w:val="31"/>
        </w:rPr>
        <w:t> </w:t>
      </w:r>
      <w:r>
        <w:rPr>
          <w:rFonts w:ascii="宋体" w:hAnsi="宋体" w:cs="宋体" w:eastAsia="宋体" w:hint="default"/>
        </w:rPr>
        <w:t>16</w:t>
      </w:r>
      <w:r>
        <w:rPr>
          <w:rFonts w:ascii="宋体" w:hAnsi="宋体" w:cs="宋体" w:eastAsia="宋体" w:hint="default"/>
          <w:spacing w:val="31"/>
        </w:rPr>
        <w:t> </w:t>
      </w:r>
      <w:r>
        <w:rPr>
          <w:spacing w:val="-5"/>
        </w:rPr>
        <w:t>号—政府补助</w:t>
      </w:r>
      <w:r>
        <w:rPr>
          <w:rFonts w:ascii="宋体" w:hAnsi="宋体" w:cs="宋体" w:eastAsia="宋体" w:hint="default"/>
          <w:spacing w:val="-5"/>
        </w:rPr>
        <w:t>&gt;</w:t>
      </w:r>
      <w:r>
        <w:rPr>
          <w:spacing w:val="-5"/>
        </w:rPr>
        <w:t>的通知》进行的调整，符合相关规定，执行会计政策变更能客观、公允地反映公司</w:t>
      </w:r>
      <w:r>
        <w:rPr>
          <w:spacing w:val="-97"/>
        </w:rPr>
        <w:t> </w:t>
      </w:r>
      <w:r>
        <w:rPr>
          <w:spacing w:val="-97"/>
        </w:rPr>
      </w:r>
      <w:r>
        <w:rPr>
          <w:spacing w:val="-7"/>
          <w:w w:val="100"/>
        </w:rPr>
        <w:t>的财务状况和经营成果，不会对本公司财务报表产生重大影响；决策程序符合有关法律法规、《公司章程》</w:t>
      </w:r>
      <w:r>
        <w:rPr>
          <w:spacing w:val="-75"/>
          <w:w w:val="100"/>
        </w:rPr>
        <w:t> </w:t>
      </w:r>
      <w:r>
        <w:rPr>
          <w:spacing w:val="-75"/>
          <w:w w:val="100"/>
        </w:rPr>
      </w:r>
      <w:r>
        <w:rPr/>
        <w:t>等的规定。不存在损害公司及股东利益的情形。董事会同意本次对会计政策的变更。</w:t>
      </w:r>
    </w:p>
    <w:p>
      <w:pPr>
        <w:pStyle w:val="BodyText"/>
        <w:spacing w:line="408" w:lineRule="auto"/>
        <w:ind w:right="146" w:firstLine="420"/>
        <w:jc w:val="both"/>
      </w:pPr>
      <w:r>
        <w:rPr>
          <w:spacing w:val="-2"/>
        </w:rPr>
        <w:t>本次会计政策变更对公司财务状况、经营成果无重大影响。关于本次变更会计政策具体情况详见公司</w:t>
      </w:r>
      <w:r>
        <w:rPr>
          <w:w w:val="100"/>
        </w:rPr>
        <w:t> </w:t>
      </w:r>
      <w:r>
        <w:rPr/>
        <w:t>于</w:t>
      </w:r>
      <w:r>
        <w:rPr>
          <w:rFonts w:ascii="宋体" w:hAnsi="宋体" w:cs="宋体" w:eastAsia="宋体" w:hint="default"/>
        </w:rPr>
        <w:t>2017</w:t>
      </w:r>
      <w:r>
        <w:rPr/>
        <w:t>年</w:t>
      </w:r>
      <w:r>
        <w:rPr>
          <w:rFonts w:ascii="宋体" w:hAnsi="宋体" w:cs="宋体" w:eastAsia="宋体" w:hint="default"/>
        </w:rPr>
        <w:t>08</w:t>
      </w:r>
      <w:r>
        <w:rPr/>
        <w:t>月</w:t>
      </w:r>
      <w:r>
        <w:rPr>
          <w:rFonts w:ascii="宋体" w:hAnsi="宋体" w:cs="宋体" w:eastAsia="宋体" w:hint="default"/>
        </w:rPr>
        <w:t>25</w:t>
      </w:r>
      <w:r>
        <w:rPr/>
        <w:t>日在巨潮资讯网披露的公告（公告编码：</w:t>
      </w:r>
      <w:r>
        <w:rPr>
          <w:rFonts w:ascii="宋体" w:hAnsi="宋体" w:cs="宋体" w:eastAsia="宋体" w:hint="default"/>
        </w:rPr>
        <w:t>2017-072</w:t>
      </w:r>
      <w:r>
        <w:rPr/>
        <w:t>）。</w:t>
      </w:r>
    </w:p>
    <w:p>
      <w:pPr>
        <w:spacing w:after="0" w:line="408" w:lineRule="auto"/>
        <w:jc w:val="both"/>
        <w:sectPr>
          <w:headerReference w:type="default" r:id="rId29"/>
          <w:footerReference w:type="default" r:id="rId30"/>
          <w:pgSz w:w="11910" w:h="16840"/>
          <w:pgMar w:header="880" w:footer="979" w:top="1100" w:bottom="1160" w:left="980" w:right="980"/>
          <w:pgNumType w:start="3"/>
        </w:sectPr>
      </w:pPr>
    </w:p>
    <w:p>
      <w:pPr>
        <w:spacing w:line="240" w:lineRule="auto" w:before="12"/>
        <w:rPr>
          <w:rFonts w:ascii="宋体" w:hAnsi="宋体" w:cs="宋体" w:eastAsia="宋体" w:hint="default"/>
          <w:sz w:val="26"/>
          <w:szCs w:val="26"/>
        </w:rPr>
      </w:pPr>
    </w:p>
    <w:p>
      <w:pPr>
        <w:pStyle w:val="BodyText"/>
        <w:spacing w:line="240" w:lineRule="auto" w:before="36"/>
        <w:ind w:right="5"/>
        <w:jc w:val="left"/>
      </w:pPr>
      <w:r>
        <w:rPr>
          <w:rFonts w:ascii="宋体" w:hAnsi="宋体" w:cs="宋体" w:eastAsia="宋体" w:hint="default"/>
        </w:rPr>
        <w:t>2</w:t>
      </w:r>
      <w:r>
        <w:rPr/>
        <w:t>、前期会计差错更正及追溯调整事项</w:t>
      </w:r>
    </w:p>
    <w:p>
      <w:pPr>
        <w:spacing w:line="240" w:lineRule="auto" w:before="10"/>
        <w:rPr>
          <w:rFonts w:ascii="宋体" w:hAnsi="宋体" w:cs="宋体" w:eastAsia="宋体" w:hint="default"/>
          <w:sz w:val="14"/>
          <w:szCs w:val="14"/>
        </w:rPr>
      </w:pPr>
    </w:p>
    <w:p>
      <w:pPr>
        <w:pStyle w:val="BodyText"/>
        <w:spacing w:line="408" w:lineRule="auto" w:before="0"/>
        <w:ind w:right="326" w:firstLine="420"/>
        <w:jc w:val="both"/>
      </w:pPr>
      <w:r>
        <w:rPr/>
        <w:t>本公司于</w:t>
      </w:r>
      <w:r>
        <w:rPr>
          <w:rFonts w:ascii="宋体" w:hAnsi="宋体" w:cs="宋体" w:eastAsia="宋体" w:hint="default"/>
        </w:rPr>
        <w:t>2008</w:t>
      </w:r>
      <w:r>
        <w:rPr/>
        <w:t>年</w:t>
      </w:r>
      <w:r>
        <w:rPr>
          <w:rFonts w:ascii="宋体" w:hAnsi="宋体" w:cs="宋体" w:eastAsia="宋体" w:hint="default"/>
        </w:rPr>
        <w:t>-2013</w:t>
      </w:r>
      <w:r>
        <w:rPr/>
        <w:t>年期间与某单位签订了六份教材配套软件开发合同，合同中就本公司支付版权</w:t>
      </w:r>
      <w:r>
        <w:rPr>
          <w:w w:val="100"/>
        </w:rPr>
        <w:t> </w:t>
      </w:r>
      <w:r>
        <w:rPr>
          <w:spacing w:val="-2"/>
        </w:rPr>
        <w:t>使用费的结算依据、结算标准和结算时间作出了约定。在双方未变更合同的情况下，某单位将其中一份合</w:t>
      </w:r>
      <w:r>
        <w:rPr>
          <w:spacing w:val="-42"/>
        </w:rPr>
        <w:t> </w:t>
      </w:r>
      <w:r>
        <w:rPr>
          <w:spacing w:val="-42"/>
        </w:rPr>
      </w:r>
      <w:r>
        <w:rPr>
          <w:spacing w:val="-2"/>
        </w:rPr>
        <w:t>同中的教材配套软件授权给第三方公司研发制作，本公司认为某单位违反了该份合同中关于“独家制作权</w:t>
      </w:r>
      <w:r>
        <w:rPr>
          <w:spacing w:val="-43"/>
        </w:rPr>
        <w:t> </w:t>
      </w:r>
      <w:r>
        <w:rPr>
          <w:spacing w:val="-43"/>
        </w:rPr>
      </w:r>
      <w:r>
        <w:rPr/>
        <w:t>和独家发行权”的约定，自</w:t>
      </w:r>
      <w:r>
        <w:rPr>
          <w:rFonts w:ascii="宋体" w:hAnsi="宋体" w:cs="宋体" w:eastAsia="宋体" w:hint="default"/>
        </w:rPr>
        <w:t>2011</w:t>
      </w:r>
      <w:r>
        <w:rPr/>
        <w:t>年起暂停支付上述六份合同中约定的版权使用费。</w:t>
      </w:r>
    </w:p>
    <w:p>
      <w:pPr>
        <w:pStyle w:val="BodyText"/>
        <w:spacing w:line="408" w:lineRule="auto"/>
        <w:ind w:right="325" w:firstLine="420"/>
        <w:jc w:val="right"/>
      </w:pP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月，某单位依据双方签订的六份合同要求本公司支付</w:t>
      </w:r>
      <w:r>
        <w:rPr>
          <w:rFonts w:ascii="宋体" w:hAnsi="宋体" w:cs="宋体" w:eastAsia="宋体" w:hint="default"/>
          <w:spacing w:val="-2"/>
        </w:rPr>
        <w:t>2011</w:t>
      </w:r>
      <w:r>
        <w:rPr>
          <w:spacing w:val="-2"/>
        </w:rPr>
        <w:t>年</w:t>
      </w:r>
      <w:r>
        <w:rPr>
          <w:rFonts w:ascii="宋体" w:hAnsi="宋体" w:cs="宋体" w:eastAsia="宋体" w:hint="default"/>
          <w:spacing w:val="-2"/>
        </w:rPr>
        <w:t>-2016</w:t>
      </w:r>
      <w:r>
        <w:rPr>
          <w:spacing w:val="-2"/>
        </w:rPr>
        <w:t>年期间的版权使用费，本公</w:t>
      </w:r>
      <w:r>
        <w:rPr>
          <w:w w:val="100"/>
        </w:rPr>
        <w:t> </w:t>
      </w:r>
      <w:r>
        <w:rPr>
          <w:spacing w:val="-2"/>
        </w:rPr>
        <w:t>司于</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月支付了</w:t>
      </w:r>
      <w:r>
        <w:rPr>
          <w:rFonts w:ascii="宋体" w:hAnsi="宋体" w:cs="宋体" w:eastAsia="宋体" w:hint="default"/>
          <w:spacing w:val="-2"/>
        </w:rPr>
        <w:t>2011</w:t>
      </w:r>
      <w:r>
        <w:rPr>
          <w:spacing w:val="-2"/>
        </w:rPr>
        <w:t>年</w:t>
      </w:r>
      <w:r>
        <w:rPr>
          <w:rFonts w:ascii="宋体" w:hAnsi="宋体" w:cs="宋体" w:eastAsia="宋体" w:hint="default"/>
          <w:spacing w:val="-2"/>
        </w:rPr>
        <w:t>-2016</w:t>
      </w:r>
      <w:r>
        <w:rPr>
          <w:spacing w:val="-2"/>
        </w:rPr>
        <w:t>年版权使用费</w:t>
      </w:r>
      <w:r>
        <w:rPr>
          <w:rFonts w:ascii="宋体" w:hAnsi="宋体" w:cs="宋体" w:eastAsia="宋体" w:hint="default"/>
          <w:spacing w:val="-2"/>
        </w:rPr>
        <w:t>5,088,133.44</w:t>
      </w:r>
      <w:r>
        <w:rPr>
          <w:spacing w:val="-2"/>
        </w:rPr>
        <w:t>元（不含税价），因之前已计提版权使用费</w:t>
      </w:r>
      <w:r>
        <w:rPr>
          <w:spacing w:val="-57"/>
        </w:rPr>
        <w:t> </w:t>
      </w:r>
      <w:r>
        <w:rPr>
          <w:spacing w:val="-57"/>
        </w:rPr>
      </w:r>
      <w:r>
        <w:rPr>
          <w:rFonts w:ascii="宋体" w:hAnsi="宋体" w:cs="宋体" w:eastAsia="宋体" w:hint="default"/>
          <w:spacing w:val="-2"/>
        </w:rPr>
        <w:t>179,133.24</w:t>
      </w:r>
      <w:r>
        <w:rPr>
          <w:spacing w:val="-2"/>
        </w:rPr>
        <w:t>元，本次前期差错更正金额为</w:t>
      </w:r>
      <w:r>
        <w:rPr>
          <w:rFonts w:ascii="宋体" w:hAnsi="宋体" w:cs="宋体" w:eastAsia="宋体" w:hint="default"/>
          <w:spacing w:val="-2"/>
        </w:rPr>
        <w:t>4,909,000.20</w:t>
      </w:r>
      <w:r>
        <w:rPr>
          <w:spacing w:val="-2"/>
        </w:rPr>
        <w:t>元。公司于</w:t>
      </w:r>
      <w:r>
        <w:rPr>
          <w:rFonts w:ascii="宋体" w:hAnsi="宋体" w:cs="宋体" w:eastAsia="宋体" w:hint="default"/>
          <w:spacing w:val="-2"/>
        </w:rPr>
        <w:t>2018</w:t>
      </w:r>
      <w:r>
        <w:rPr>
          <w:spacing w:val="-2"/>
        </w:rPr>
        <w:t>年</w:t>
      </w:r>
      <w:r>
        <w:rPr>
          <w:rFonts w:ascii="宋体" w:hAnsi="宋体" w:cs="宋体" w:eastAsia="宋体" w:hint="default"/>
          <w:spacing w:val="-2"/>
        </w:rPr>
        <w:t>04</w:t>
      </w:r>
      <w:r>
        <w:rPr>
          <w:spacing w:val="-2"/>
        </w:rPr>
        <w:t>月</w:t>
      </w:r>
      <w:r>
        <w:rPr>
          <w:rFonts w:ascii="宋体" w:hAnsi="宋体" w:cs="宋体" w:eastAsia="宋体" w:hint="default"/>
          <w:spacing w:val="-2"/>
        </w:rPr>
        <w:t>16</w:t>
      </w:r>
      <w:r>
        <w:rPr>
          <w:spacing w:val="-2"/>
        </w:rPr>
        <w:t>日召开的第三届董事会第</w:t>
      </w:r>
      <w:r>
        <w:rPr>
          <w:spacing w:val="-41"/>
        </w:rPr>
        <w:t> </w:t>
      </w:r>
      <w:r>
        <w:rPr>
          <w:spacing w:val="-41"/>
        </w:rPr>
      </w:r>
      <w:r>
        <w:rPr>
          <w:spacing w:val="-7"/>
        </w:rPr>
        <w:t>三十次会议审议通过了《关于会计差错更正及追溯调整的议案》，采用追溯重述法更正上述重要前期差错。</w:t>
      </w:r>
      <w:r>
        <w:rPr>
          <w:spacing w:val="-43"/>
        </w:rPr>
        <w:t> </w:t>
      </w:r>
      <w:r>
        <w:rPr>
          <w:spacing w:val="-43"/>
        </w:rPr>
      </w:r>
      <w:r>
        <w:rPr>
          <w:spacing w:val="-2"/>
        </w:rPr>
        <w:t>董事会意见：本次会计差错更正及追溯调整符合《企业会计准则第</w:t>
      </w:r>
      <w:r>
        <w:rPr>
          <w:rFonts w:ascii="宋体" w:hAnsi="宋体" w:cs="宋体" w:eastAsia="宋体" w:hint="default"/>
          <w:spacing w:val="-2"/>
        </w:rPr>
        <w:t>28</w:t>
      </w:r>
      <w:r>
        <w:rPr>
          <w:spacing w:val="-2"/>
        </w:rPr>
        <w:t>号</w:t>
      </w:r>
      <w:r>
        <w:rPr>
          <w:rFonts w:ascii="宋体" w:hAnsi="宋体" w:cs="宋体" w:eastAsia="宋体" w:hint="default"/>
          <w:spacing w:val="-2"/>
        </w:rPr>
        <w:t>--</w:t>
      </w:r>
      <w:r>
        <w:rPr>
          <w:spacing w:val="-2"/>
        </w:rPr>
        <w:t>会计政策、会计估计变更和</w:t>
      </w:r>
      <w:r>
        <w:rPr>
          <w:w w:val="100"/>
        </w:rPr>
        <w:t> </w:t>
      </w:r>
      <w:r>
        <w:rPr>
          <w:spacing w:val="-5"/>
        </w:rPr>
        <w:t>差错更正》及和中国证监会《公开发行证券的公司信息披露编报规则第</w:t>
      </w:r>
      <w:r>
        <w:rPr>
          <w:rFonts w:ascii="宋体" w:hAnsi="宋体" w:cs="宋体" w:eastAsia="宋体" w:hint="default"/>
          <w:spacing w:val="-5"/>
        </w:rPr>
        <w:t>19</w:t>
      </w:r>
      <w:r>
        <w:rPr>
          <w:spacing w:val="-5"/>
        </w:rPr>
        <w:t>号</w:t>
      </w:r>
      <w:r>
        <w:rPr>
          <w:rFonts w:ascii="宋体" w:hAnsi="宋体" w:cs="宋体" w:eastAsia="宋体" w:hint="default"/>
          <w:spacing w:val="-5"/>
        </w:rPr>
        <w:t>-</w:t>
      </w:r>
      <w:r>
        <w:rPr>
          <w:spacing w:val="-5"/>
        </w:rPr>
        <w:t>财务信息的更正及相关披露》</w:t>
      </w:r>
      <w:r>
        <w:rPr>
          <w:spacing w:val="-30"/>
        </w:rPr>
        <w:t> </w:t>
      </w:r>
      <w:r>
        <w:rPr>
          <w:spacing w:val="-30"/>
        </w:rPr>
      </w:r>
      <w:r>
        <w:rPr>
          <w:spacing w:val="-2"/>
        </w:rPr>
        <w:t>的规定，是对以往存在问题的更正，没有损害公司和全体股东的合法权益。同意本次对以前年度会计差错</w:t>
      </w:r>
    </w:p>
    <w:p>
      <w:pPr>
        <w:pStyle w:val="BodyText"/>
        <w:spacing w:line="408" w:lineRule="auto"/>
        <w:ind w:left="573" w:right="5" w:hanging="420"/>
        <w:jc w:val="left"/>
      </w:pPr>
      <w:r>
        <w:rPr/>
        <w:t>进行更正及追溯调整。</w:t>
      </w:r>
      <w:r>
        <w:rPr>
          <w:w w:val="100"/>
        </w:rPr>
        <w:t> </w:t>
      </w:r>
      <w:r>
        <w:rPr>
          <w:spacing w:val="-2"/>
        </w:rPr>
        <w:t>关于会计差错更正及追溯调整事项具体情况详见公司于</w:t>
      </w:r>
      <w:r>
        <w:rPr>
          <w:rFonts w:ascii="宋体" w:hAnsi="宋体" w:cs="宋体" w:eastAsia="宋体" w:hint="default"/>
          <w:spacing w:val="-2"/>
        </w:rPr>
        <w:t>2018</w:t>
      </w:r>
      <w:r>
        <w:rPr>
          <w:spacing w:val="-2"/>
        </w:rPr>
        <w:t>年</w:t>
      </w:r>
      <w:r>
        <w:rPr>
          <w:rFonts w:ascii="宋体" w:hAnsi="宋体" w:cs="宋体" w:eastAsia="宋体" w:hint="default"/>
          <w:spacing w:val="-2"/>
        </w:rPr>
        <w:t>04</w:t>
      </w:r>
      <w:r>
        <w:rPr>
          <w:spacing w:val="-2"/>
        </w:rPr>
        <w:t>月</w:t>
      </w:r>
      <w:r>
        <w:rPr>
          <w:rFonts w:ascii="宋体" w:hAnsi="宋体" w:cs="宋体" w:eastAsia="宋体" w:hint="default"/>
          <w:spacing w:val="-2"/>
        </w:rPr>
        <w:t>18</w:t>
      </w:r>
      <w:r>
        <w:rPr>
          <w:spacing w:val="-2"/>
        </w:rPr>
        <w:t>日在巨潮资讯网披露的公告（公</w:t>
      </w:r>
    </w:p>
    <w:p>
      <w:pPr>
        <w:pStyle w:val="BodyText"/>
        <w:spacing w:line="408" w:lineRule="auto"/>
        <w:ind w:right="6216"/>
        <w:jc w:val="left"/>
      </w:pPr>
      <w:r>
        <w:rPr/>
        <w:t>告编码：</w:t>
      </w:r>
      <w:r>
        <w:rPr>
          <w:rFonts w:ascii="宋体" w:hAnsi="宋体" w:cs="宋体" w:eastAsia="宋体" w:hint="default"/>
        </w:rPr>
        <w:t>2018-024</w:t>
      </w:r>
      <w:r>
        <w:rPr/>
        <w:t>）。</w:t>
      </w:r>
      <w:r>
        <w:rPr>
          <w:spacing w:val="-3"/>
          <w:w w:val="100"/>
        </w:rPr>
        <w:t> </w:t>
      </w:r>
      <w:r>
        <w:rPr>
          <w:rFonts w:ascii="宋体" w:hAnsi="宋体" w:cs="宋体" w:eastAsia="宋体" w:hint="default"/>
          <w:spacing w:val="-2"/>
        </w:rPr>
        <w:t>3</w:t>
      </w:r>
      <w:r>
        <w:rPr>
          <w:spacing w:val="-2"/>
        </w:rPr>
        <w:t>、报告期内变更会计师事务所事项</w:t>
      </w:r>
    </w:p>
    <w:p>
      <w:pPr>
        <w:pStyle w:val="BodyText"/>
        <w:spacing w:line="408" w:lineRule="auto"/>
        <w:ind w:right="331" w:firstLine="420"/>
        <w:jc w:val="both"/>
      </w:pP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20</w:t>
      </w:r>
      <w:r>
        <w:rPr>
          <w:spacing w:val="2"/>
        </w:rPr>
        <w:t>日召开第三届董事会第二十八次会议审议通过了《关于变更会计师事务所的议</w:t>
      </w:r>
      <w:r>
        <w:rPr>
          <w:w w:val="100"/>
        </w:rPr>
        <w:t> </w:t>
      </w:r>
      <w:r>
        <w:rPr/>
        <w:t>案》，并通过公司</w:t>
      </w:r>
      <w:r>
        <w:rPr>
          <w:rFonts w:ascii="宋体" w:hAnsi="宋体" w:cs="宋体" w:eastAsia="宋体" w:hint="default"/>
        </w:rPr>
        <w:t>2017</w:t>
      </w:r>
      <w:r>
        <w:rPr/>
        <w:t>年第四次临时股东大会审议通过，变更会计师事务所情况如下：</w:t>
      </w:r>
    </w:p>
    <w:p>
      <w:pPr>
        <w:pStyle w:val="BodyText"/>
        <w:spacing w:line="408" w:lineRule="auto"/>
        <w:ind w:right="326" w:firstLine="420"/>
        <w:jc w:val="both"/>
      </w:pPr>
      <w:r>
        <w:rPr>
          <w:spacing w:val="-2"/>
        </w:rPr>
        <w:t>基于公司自身业务发展的需要，同时考虑到公司原审计机构大华会计师事务所（特殊普通合伙）的审</w:t>
      </w:r>
      <w:r>
        <w:rPr>
          <w:w w:val="100"/>
        </w:rPr>
        <w:t> </w:t>
      </w:r>
      <w:r>
        <w:rPr>
          <w:spacing w:val="-2"/>
        </w:rPr>
        <w:t>计工作团队相关人员已连续多年为公司提供审计服务，为确保公司审计工作的独立性和客观性，公司决定</w:t>
      </w:r>
      <w:r>
        <w:rPr>
          <w:spacing w:val="-43"/>
        </w:rPr>
        <w:t> </w:t>
      </w:r>
      <w:r>
        <w:rPr>
          <w:spacing w:val="-43"/>
        </w:rPr>
      </w:r>
      <w:r>
        <w:rPr>
          <w:spacing w:val="-2"/>
        </w:rPr>
        <w:t>更换年度审计服务的会计师事务所，为了保证公司年度财务报告与内部控制评价审计工作的正常进行，经</w:t>
      </w:r>
      <w:r>
        <w:rPr>
          <w:spacing w:val="-43"/>
        </w:rPr>
        <w:t> </w:t>
      </w:r>
      <w:r>
        <w:rPr>
          <w:spacing w:val="-43"/>
        </w:rPr>
      </w:r>
      <w:r>
        <w:rPr>
          <w:spacing w:val="-7"/>
          <w:w w:val="100"/>
        </w:rPr>
        <w:t>公司董事会审计委员会提议，公司董事会决定聘任信永中和会计师事务所（特殊普通合伙）（以下简称“信</w:t>
      </w:r>
      <w:r>
        <w:rPr>
          <w:spacing w:val="-76"/>
          <w:w w:val="100"/>
        </w:rPr>
        <w:t> </w:t>
      </w:r>
      <w:r>
        <w:rPr>
          <w:spacing w:val="-76"/>
          <w:w w:val="100"/>
        </w:rPr>
      </w:r>
      <w:r>
        <w:rPr>
          <w:spacing w:val="-2"/>
        </w:rPr>
        <w:t>永中和”）为公司</w:t>
      </w:r>
      <w:r>
        <w:rPr>
          <w:rFonts w:ascii="宋体" w:hAnsi="宋体" w:cs="宋体" w:eastAsia="宋体" w:hint="default"/>
          <w:spacing w:val="-2"/>
        </w:rPr>
        <w:t>2017</w:t>
      </w:r>
      <w:r>
        <w:rPr>
          <w:spacing w:val="-2"/>
        </w:rPr>
        <w:t>年年度审计机构。公司独立董事和董事会审计委员会提前与原审计机构大华就更换</w:t>
      </w:r>
      <w:r>
        <w:rPr>
          <w:spacing w:val="-39"/>
        </w:rPr>
        <w:t> </w:t>
      </w:r>
      <w:r>
        <w:rPr>
          <w:spacing w:val="-39"/>
        </w:rPr>
      </w:r>
      <w:r>
        <w:rPr/>
        <w:t>会计师事务所事项进行了友好沟通，大华已确认无异议。</w:t>
      </w:r>
    </w:p>
    <w:p>
      <w:pPr>
        <w:pStyle w:val="BodyText"/>
        <w:spacing w:line="408" w:lineRule="auto"/>
        <w:ind w:right="5" w:firstLine="420"/>
        <w:jc w:val="left"/>
      </w:pPr>
      <w:r>
        <w:rPr>
          <w:spacing w:val="-5"/>
        </w:rPr>
        <w:t>董事会认为信永中和具备证券、期货业务执业资格，拥有多年为上市公司提供审计服务的经验和能力，</w:t>
      </w:r>
      <w:r>
        <w:rPr>
          <w:w w:val="100"/>
        </w:rPr>
        <w:t> </w:t>
      </w:r>
      <w:r>
        <w:rPr>
          <w:spacing w:val="-2"/>
        </w:rPr>
        <w:t>本次给公司提供专业服务的团队具有相关行业丰富经验，能满足公司未来业务的发展需求，能够满足公司</w:t>
      </w:r>
      <w:r>
        <w:rPr>
          <w:spacing w:val="-45"/>
        </w:rPr>
        <w:t> </w:t>
      </w:r>
      <w:r>
        <w:rPr>
          <w:spacing w:val="-45"/>
        </w:rPr>
      </w:r>
      <w:r>
        <w:rPr>
          <w:rFonts w:ascii="宋体" w:hAnsi="宋体" w:cs="宋体" w:eastAsia="宋体" w:hint="default"/>
        </w:rPr>
        <w:t>2017</w:t>
      </w:r>
      <w:r>
        <w:rPr>
          <w:rFonts w:ascii="宋体" w:hAnsi="宋体" w:cs="宋体" w:eastAsia="宋体" w:hint="default"/>
          <w:spacing w:val="67"/>
        </w:rPr>
        <w:t> </w:t>
      </w:r>
      <w:r>
        <w:rPr/>
        <w:t>年年度审计工作的要求。公司变更会计师事务所事项利于增强公司审计工作的独立性与客观性，该</w:t>
      </w:r>
      <w:r>
        <w:rPr>
          <w:spacing w:val="-92"/>
        </w:rPr>
        <w:t> </w:t>
      </w:r>
      <w:r>
        <w:rPr>
          <w:spacing w:val="-92"/>
        </w:rPr>
      </w:r>
      <w:r>
        <w:rPr>
          <w:spacing w:val="-2"/>
        </w:rPr>
        <w:t>事项的审议程序符合有关法律、法规和《公司章程》的规定，不存在损害公司及广大股东利益的情况。同</w:t>
      </w:r>
      <w:r>
        <w:rPr>
          <w:spacing w:val="-43"/>
        </w:rPr>
        <w:t> </w:t>
      </w:r>
      <w:r>
        <w:rPr>
          <w:spacing w:val="-43"/>
        </w:rPr>
      </w:r>
      <w:r>
        <w:rPr/>
        <w:t>意公司聘请信永中和会计师事务所（特殊普通合伙）为公司 </w:t>
      </w:r>
      <w:r>
        <w:rPr>
          <w:rFonts w:ascii="宋体" w:hAnsi="宋体" w:cs="宋体" w:eastAsia="宋体" w:hint="default"/>
        </w:rPr>
        <w:t>2017</w:t>
      </w:r>
      <w:r>
        <w:rPr>
          <w:rFonts w:ascii="宋体" w:hAnsi="宋体" w:cs="宋体" w:eastAsia="宋体" w:hint="default"/>
          <w:spacing w:val="-5"/>
        </w:rPr>
        <w:t> </w:t>
      </w:r>
      <w:r>
        <w:rPr/>
        <w:t>年年度审计机构。</w:t>
      </w:r>
    </w:p>
    <w:p>
      <w:pPr>
        <w:pStyle w:val="BodyText"/>
        <w:spacing w:line="240" w:lineRule="auto"/>
        <w:ind w:left="573" w:right="5"/>
        <w:jc w:val="left"/>
      </w:pPr>
      <w:r>
        <w:rPr/>
        <w:t>关于变更会计师事务所事项具体情况详见公司于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24</w:t>
      </w:r>
      <w:r>
        <w:rPr/>
        <w:t>日在巨潮资讯网披露的公告（公告编码：</w:t>
      </w:r>
    </w:p>
    <w:p>
      <w:pPr>
        <w:spacing w:after="0" w:line="240" w:lineRule="auto"/>
        <w:jc w:val="left"/>
        <w:sectPr>
          <w:pgSz w:w="11910" w:h="16840"/>
          <w:pgMar w:header="880" w:footer="979" w:top="1100" w:bottom="1160" w:left="980" w:right="80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rFonts w:ascii="宋体" w:hAnsi="宋体" w:cs="宋体" w:eastAsia="宋体" w:hint="default"/>
        </w:rPr>
        <w:t>2017-084</w:t>
      </w:r>
      <w:r>
        <w:rPr/>
        <w:t>）。</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6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791"/>
        <w:gridCol w:w="4777"/>
      </w:tblGrid>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1</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王建新、郑立有</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1</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7"/>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是否在审计期间改聘会计师事务所</w:t>
      </w:r>
    </w:p>
    <w:p>
      <w:pPr>
        <w:spacing w:line="340" w:lineRule="auto" w:before="39"/>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更换会计师事务所是否履行审批程序</w:t>
      </w:r>
    </w:p>
    <w:p>
      <w:pPr>
        <w:spacing w:line="338" w:lineRule="auto" w:before="41"/>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聘任、解聘会计师事务所情况说明</w:t>
      </w:r>
    </w:p>
    <w:p>
      <w:pPr>
        <w:pStyle w:val="BodyText"/>
        <w:spacing w:line="408" w:lineRule="auto" w:before="99"/>
        <w:ind w:right="154" w:firstLine="420"/>
        <w:jc w:val="both"/>
      </w:pP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20</w:t>
      </w:r>
      <w:r>
        <w:rPr>
          <w:spacing w:val="2"/>
        </w:rPr>
        <w:t>日召开第三届董事会第二十八次会议审议通过了《关于变更会计师事务所的议</w:t>
      </w:r>
      <w:r>
        <w:rPr>
          <w:w w:val="100"/>
        </w:rPr>
        <w:t> </w:t>
      </w:r>
      <w:r>
        <w:rPr/>
        <w:t>案》，该议案通过公司</w:t>
      </w:r>
      <w:r>
        <w:rPr>
          <w:rFonts w:ascii="宋体" w:hAnsi="宋体" w:cs="宋体" w:eastAsia="宋体" w:hint="default"/>
        </w:rPr>
        <w:t>2017</w:t>
      </w:r>
      <w:r>
        <w:rPr/>
        <w:t>年第四次临时股东大会审议通过，变更会计师事务所情况如下：</w:t>
      </w:r>
    </w:p>
    <w:p>
      <w:pPr>
        <w:pStyle w:val="BodyText"/>
        <w:spacing w:line="408" w:lineRule="auto"/>
        <w:ind w:right="146" w:firstLine="420"/>
        <w:jc w:val="both"/>
      </w:pPr>
      <w:r>
        <w:rPr>
          <w:spacing w:val="-2"/>
        </w:rPr>
        <w:t>基于公司自身业务发展的需要，同时考虑到公司原审计机构大华会计师事务所（特殊普通合伙）的审</w:t>
      </w:r>
      <w:r>
        <w:rPr>
          <w:w w:val="100"/>
        </w:rPr>
        <w:t> </w:t>
      </w:r>
      <w:r>
        <w:rPr>
          <w:spacing w:val="-2"/>
        </w:rPr>
        <w:t>计工作团队相关人员已连续多年为公司提供审计服务，为确保公司审计工作的独立性和客观性，公司决定</w:t>
      </w:r>
      <w:r>
        <w:rPr>
          <w:spacing w:val="-43"/>
        </w:rPr>
        <w:t> </w:t>
      </w:r>
      <w:r>
        <w:rPr>
          <w:spacing w:val="-43"/>
        </w:rPr>
      </w:r>
      <w:r>
        <w:rPr>
          <w:spacing w:val="-2"/>
        </w:rPr>
        <w:t>更换年度审计服务的会计师事务所，为了保证公司年度财务报告与内部控制评价审计工作的正常进行，经</w:t>
      </w:r>
      <w:r>
        <w:rPr>
          <w:spacing w:val="-43"/>
        </w:rPr>
        <w:t> </w:t>
      </w:r>
      <w:r>
        <w:rPr>
          <w:spacing w:val="-43"/>
        </w:rPr>
      </w:r>
      <w:r>
        <w:rPr>
          <w:spacing w:val="-7"/>
          <w:w w:val="100"/>
        </w:rPr>
        <w:t>公司董事会审计委员会提议，公司董事会决定聘任信永中和会计师事务所（特殊普通合伙）（以下简称“信</w:t>
      </w:r>
      <w:r>
        <w:rPr>
          <w:spacing w:val="-77"/>
          <w:w w:val="100"/>
        </w:rPr>
        <w:t> </w:t>
      </w:r>
      <w:r>
        <w:rPr>
          <w:spacing w:val="-77"/>
          <w:w w:val="100"/>
        </w:rPr>
      </w:r>
      <w:r>
        <w:rPr>
          <w:spacing w:val="-2"/>
        </w:rPr>
        <w:t>永中和”）为公司</w:t>
      </w:r>
      <w:r>
        <w:rPr>
          <w:rFonts w:ascii="宋体" w:hAnsi="宋体" w:cs="宋体" w:eastAsia="宋体" w:hint="default"/>
          <w:spacing w:val="-2"/>
        </w:rPr>
        <w:t>2017</w:t>
      </w:r>
      <w:r>
        <w:rPr>
          <w:spacing w:val="-2"/>
        </w:rPr>
        <w:t>年年度审计机构。公司独立董事和董事会审计委员会提前与原审计机构大华就更换</w:t>
      </w:r>
      <w:r>
        <w:rPr>
          <w:spacing w:val="-40"/>
        </w:rPr>
        <w:t> </w:t>
      </w:r>
      <w:r>
        <w:rPr>
          <w:spacing w:val="-40"/>
        </w:rPr>
      </w:r>
      <w:r>
        <w:rPr/>
        <w:t>会计师事务所事项进行了友好沟通，大华已确认无异议。</w:t>
      </w:r>
    </w:p>
    <w:p>
      <w:pPr>
        <w:spacing w:after="0" w:line="408" w:lineRule="auto"/>
        <w:jc w:val="both"/>
        <w:sectPr>
          <w:pgSz w:w="11910" w:h="16840"/>
          <w:pgMar w:header="880" w:footer="979" w:top="1100" w:bottom="1160" w:left="980" w:right="980"/>
        </w:sectPr>
      </w:pPr>
    </w:p>
    <w:p>
      <w:pPr>
        <w:spacing w:line="240" w:lineRule="auto" w:before="12"/>
        <w:rPr>
          <w:rFonts w:ascii="宋体" w:hAnsi="宋体" w:cs="宋体" w:eastAsia="宋体" w:hint="default"/>
          <w:sz w:val="26"/>
          <w:szCs w:val="26"/>
        </w:rPr>
      </w:pPr>
    </w:p>
    <w:p>
      <w:pPr>
        <w:pStyle w:val="BodyText"/>
        <w:spacing w:line="408" w:lineRule="auto" w:before="36"/>
        <w:ind w:right="0" w:firstLine="420"/>
        <w:jc w:val="left"/>
      </w:pPr>
      <w:r>
        <w:rPr>
          <w:spacing w:val="-5"/>
        </w:rPr>
        <w:t>董事会认为信永中和具备证券、期货业务执业资格，拥有多年为上市公司提供审计服务的经验和能力，</w:t>
      </w:r>
      <w:r>
        <w:rPr>
          <w:w w:val="100"/>
        </w:rPr>
        <w:t> </w:t>
      </w:r>
      <w:r>
        <w:rPr>
          <w:spacing w:val="-2"/>
        </w:rPr>
        <w:t>本次给公司提供专业服务的团队具有相关行业丰富经验，能满足公司未来业务的发展需求，能够满足公司</w:t>
      </w:r>
      <w:r>
        <w:rPr>
          <w:spacing w:val="-45"/>
        </w:rPr>
        <w:t> </w:t>
      </w:r>
      <w:r>
        <w:rPr>
          <w:spacing w:val="-45"/>
        </w:rPr>
      </w:r>
      <w:r>
        <w:rPr>
          <w:rFonts w:ascii="宋体" w:hAnsi="宋体" w:cs="宋体" w:eastAsia="宋体" w:hint="default"/>
        </w:rPr>
        <w:t>2017</w:t>
      </w:r>
      <w:r>
        <w:rPr>
          <w:rFonts w:ascii="宋体" w:hAnsi="宋体" w:cs="宋体" w:eastAsia="宋体" w:hint="default"/>
          <w:spacing w:val="67"/>
        </w:rPr>
        <w:t> </w:t>
      </w:r>
      <w:r>
        <w:rPr/>
        <w:t>年年度审计工作的要求。公司变更会计师事务所事项利于增强公司审计工作的独立性与客观性，该</w:t>
      </w:r>
      <w:r>
        <w:rPr>
          <w:spacing w:val="-92"/>
        </w:rPr>
        <w:t> </w:t>
      </w:r>
      <w:r>
        <w:rPr>
          <w:spacing w:val="-92"/>
        </w:rPr>
      </w:r>
      <w:r>
        <w:rPr>
          <w:spacing w:val="-2"/>
        </w:rPr>
        <w:t>事项的审议程序符合有关法律、法规和《公司章程》的规定，不存在损害公司及广大股东利益的情况。同</w:t>
      </w:r>
      <w:r>
        <w:rPr>
          <w:spacing w:val="-43"/>
        </w:rPr>
        <w:t> </w:t>
      </w:r>
      <w:r>
        <w:rPr>
          <w:spacing w:val="-43"/>
        </w:rPr>
      </w:r>
      <w:r>
        <w:rPr/>
        <w:t>意公司聘请信永中会计师事务所（特殊普通合伙）和为公司</w:t>
      </w:r>
      <w:r>
        <w:rPr>
          <w:rFonts w:ascii="宋体" w:hAnsi="宋体" w:cs="宋体" w:eastAsia="宋体" w:hint="default"/>
        </w:rPr>
        <w:t>2017</w:t>
      </w:r>
      <w:r>
        <w:rPr/>
        <w:t>年年度审计机构。</w:t>
      </w:r>
    </w:p>
    <w:p>
      <w:pPr>
        <w:spacing w:line="240" w:lineRule="auto" w:before="0"/>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7"/>
        <w:ind w:left="153" w:right="6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6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6954"/>
        <w:jc w:val="left"/>
        <w:rPr>
          <w:b w:val="0"/>
          <w:bCs w:val="0"/>
        </w:rPr>
      </w:pPr>
      <w:r>
        <w:rPr/>
        <w:t>十、破产重整相关事项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line="340" w:lineRule="auto" w:before="0"/>
        <w:ind w:left="153" w:right="6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6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10"/>
        <w:rPr>
          <w:rFonts w:ascii="宋体" w:hAnsi="宋体" w:cs="宋体" w:eastAsia="宋体" w:hint="default"/>
          <w:sz w:val="13"/>
          <w:szCs w:val="13"/>
        </w:rPr>
      </w:pPr>
    </w:p>
    <w:p>
      <w:pPr>
        <w:pStyle w:val="Heading3"/>
        <w:spacing w:line="240" w:lineRule="auto"/>
        <w:ind w:right="6954"/>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6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6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6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0" w:firstLine="420"/>
        <w:jc w:val="left"/>
        <w:rPr>
          <w:rFonts w:ascii="宋体" w:hAnsi="宋体" w:cs="宋体" w:eastAsia="宋体" w:hint="default"/>
        </w:rPr>
      </w:pPr>
      <w:r>
        <w:rPr>
          <w:spacing w:val="-2"/>
        </w:rPr>
        <w:t>为了进一步完善公司治理结构，倡导公司与个人共同持续发展的理念，有效调动管理者和公司员工的</w:t>
      </w:r>
      <w:r>
        <w:rPr>
          <w:w w:val="100"/>
        </w:rPr>
        <w:t> </w:t>
      </w:r>
      <w:r>
        <w:rPr/>
        <w:t>积极性。吸引和保留优秀管理人才和业务骨干，兼顾公司长期利益和近期利益，更灵活地吸引各种人才，</w:t>
      </w:r>
      <w:r>
        <w:rPr>
          <w:spacing w:val="-24"/>
        </w:rPr>
        <w:t> </w:t>
      </w:r>
      <w:r>
        <w:rPr>
          <w:spacing w:val="-24"/>
        </w:rPr>
      </w:r>
      <w:r>
        <w:rPr>
          <w:spacing w:val="-2"/>
        </w:rPr>
        <w:t>从而更好地促进公司长期、持续、健康发展。</w:t>
      </w:r>
      <w:r>
        <w:rPr>
          <w:rFonts w:ascii="宋体" w:hAnsi="宋体" w:cs="宋体" w:eastAsia="宋体" w:hint="default"/>
          <w:spacing w:val="-2"/>
        </w:rPr>
        <w:t>2015</w:t>
      </w:r>
      <w:r>
        <w:rPr>
          <w:spacing w:val="-2"/>
        </w:rPr>
        <w:t>年</w:t>
      </w:r>
      <w:r>
        <w:rPr>
          <w:rFonts w:ascii="宋体" w:hAnsi="宋体" w:cs="宋体" w:eastAsia="宋体" w:hint="default"/>
          <w:spacing w:val="-2"/>
        </w:rPr>
        <w:t>07</w:t>
      </w:r>
      <w:r>
        <w:rPr>
          <w:spacing w:val="-2"/>
        </w:rPr>
        <w:t>月</w:t>
      </w:r>
      <w:r>
        <w:rPr>
          <w:rFonts w:ascii="宋体" w:hAnsi="宋体" w:cs="宋体" w:eastAsia="宋体" w:hint="default"/>
          <w:spacing w:val="-2"/>
        </w:rPr>
        <w:t>19</w:t>
      </w:r>
      <w:r>
        <w:rPr>
          <w:spacing w:val="-2"/>
        </w:rPr>
        <w:t>日，公司召开第二届董事会第十九次会议，审</w:t>
      </w:r>
      <w:r>
        <w:rPr>
          <w:spacing w:val="-35"/>
        </w:rPr>
        <w:t> </w:t>
      </w:r>
      <w:r>
        <w:rPr>
          <w:spacing w:val="-35"/>
        </w:rPr>
      </w:r>
      <w:r>
        <w:rPr>
          <w:spacing w:val="-2"/>
        </w:rPr>
        <w:t>议通过了《关于</w:t>
      </w:r>
      <w:r>
        <w:rPr>
          <w:rFonts w:ascii="宋体" w:hAnsi="宋体" w:cs="宋体" w:eastAsia="宋体" w:hint="default"/>
          <w:spacing w:val="-2"/>
        </w:rPr>
        <w:t>&lt;</w:t>
      </w:r>
      <w:r>
        <w:rPr>
          <w:spacing w:val="-2"/>
        </w:rPr>
        <w:t>公司首期员工持股计划（草案）</w:t>
      </w:r>
      <w:r>
        <w:rPr>
          <w:rFonts w:ascii="宋体" w:hAnsi="宋体" w:cs="宋体" w:eastAsia="宋体" w:hint="default"/>
          <w:spacing w:val="-2"/>
        </w:rPr>
        <w:t>&gt;</w:t>
      </w:r>
      <w:r>
        <w:rPr>
          <w:spacing w:val="-2"/>
        </w:rPr>
        <w:t>及其摘要的议案》等相关议案，并提交至</w:t>
      </w:r>
      <w:r>
        <w:rPr>
          <w:rFonts w:ascii="宋体" w:hAnsi="宋体" w:cs="宋体" w:eastAsia="宋体" w:hint="default"/>
          <w:spacing w:val="-2"/>
        </w:rPr>
        <w:t>2015</w:t>
      </w:r>
      <w:r>
        <w:rPr>
          <w:spacing w:val="-2"/>
        </w:rPr>
        <w:t>年</w:t>
      </w:r>
      <w:r>
        <w:rPr>
          <w:rFonts w:ascii="宋体" w:hAnsi="宋体" w:cs="宋体" w:eastAsia="宋体" w:hint="default"/>
          <w:spacing w:val="-2"/>
        </w:rPr>
        <w:t>08</w:t>
      </w:r>
      <w:r>
        <w:rPr>
          <w:spacing w:val="-2"/>
        </w:rPr>
        <w:t>月</w:t>
      </w:r>
      <w:r>
        <w:rPr>
          <w:rFonts w:ascii="宋体" w:hAnsi="宋体" w:cs="宋体" w:eastAsia="宋体" w:hint="default"/>
          <w:spacing w:val="-2"/>
        </w:rPr>
        <w:t>14</w:t>
      </w:r>
      <w:r>
        <w:rPr>
          <w:rFonts w:ascii="宋体" w:hAnsi="宋体" w:cs="宋体" w:eastAsia="宋体" w:hint="default"/>
        </w:rPr>
      </w:r>
    </w:p>
    <w:p>
      <w:pPr>
        <w:spacing w:after="0" w:line="408" w:lineRule="auto"/>
        <w:jc w:val="left"/>
        <w:rPr>
          <w:rFonts w:ascii="宋体" w:hAnsi="宋体" w:cs="宋体" w:eastAsia="宋体" w:hint="default"/>
        </w:rPr>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right="146"/>
        <w:jc w:val="both"/>
      </w:pPr>
      <w:r>
        <w:rPr>
          <w:spacing w:val="-2"/>
        </w:rPr>
        <w:t>日召开的公司</w:t>
      </w:r>
      <w:r>
        <w:rPr>
          <w:rFonts w:ascii="宋体" w:hAnsi="宋体" w:cs="宋体" w:eastAsia="宋体" w:hint="default"/>
          <w:spacing w:val="-2"/>
        </w:rPr>
        <w:t>2015</w:t>
      </w:r>
      <w:r>
        <w:rPr>
          <w:spacing w:val="-2"/>
        </w:rPr>
        <w:t>年第三次临时股东大会表决，相关议案获得通过。同意公司实施员工持股计划，通过二</w:t>
      </w:r>
      <w:r>
        <w:rPr>
          <w:spacing w:val="-43"/>
        </w:rPr>
        <w:t> </w:t>
      </w:r>
      <w:r>
        <w:rPr>
          <w:spacing w:val="-43"/>
        </w:rPr>
      </w:r>
      <w:r>
        <w:rPr/>
        <w:t>级市场购买的方式取得并持有公司股票，总金额不超过</w:t>
      </w:r>
      <w:r>
        <w:rPr>
          <w:rFonts w:ascii="宋体" w:hAnsi="宋体" w:cs="宋体" w:eastAsia="宋体" w:hint="default"/>
        </w:rPr>
        <w:t>3,450</w:t>
      </w:r>
      <w:r>
        <w:rPr/>
        <w:t>万元，本期员工持股计划的参加对象为公司</w:t>
      </w:r>
      <w:r>
        <w:rPr>
          <w:spacing w:val="-28"/>
        </w:rPr>
        <w:t> </w:t>
      </w:r>
      <w:r>
        <w:rPr>
          <w:spacing w:val="-28"/>
        </w:rPr>
      </w:r>
      <w:r>
        <w:rPr/>
        <w:t>董事、监事、高级管理人员及骨干员工。</w:t>
      </w:r>
    </w:p>
    <w:p>
      <w:pPr>
        <w:pStyle w:val="BodyText"/>
        <w:spacing w:line="408" w:lineRule="auto"/>
        <w:ind w:right="145" w:firstLine="420"/>
        <w:jc w:val="both"/>
      </w:pPr>
      <w:r>
        <w:rPr>
          <w:spacing w:val="-2"/>
        </w:rPr>
        <w:t>截至</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11</w:t>
      </w:r>
      <w:r>
        <w:rPr>
          <w:spacing w:val="-2"/>
        </w:rPr>
        <w:t>日，方直科技首期员工持股计划已完成股票购买，本次员工持股计划由“平安证券</w:t>
      </w:r>
      <w:r>
        <w:rPr>
          <w:w w:val="100"/>
        </w:rPr>
        <w:t> </w:t>
      </w:r>
      <w:r>
        <w:rPr/>
        <w:t>方直</w:t>
      </w:r>
      <w:r>
        <w:rPr>
          <w:rFonts w:ascii="宋体" w:hAnsi="宋体" w:cs="宋体" w:eastAsia="宋体" w:hint="default"/>
        </w:rPr>
        <w:t>1</w:t>
      </w:r>
      <w:r>
        <w:rPr/>
        <w:t>号集合资产管理计划”</w:t>
      </w:r>
      <w:r>
        <w:rPr>
          <w:spacing w:val="77"/>
        </w:rPr>
        <w:t> </w:t>
      </w:r>
      <w:r>
        <w:rPr/>
        <w:t>通过二级市场购买的方式共计买入方直科技股票</w:t>
      </w:r>
      <w:r>
        <w:rPr>
          <w:rFonts w:ascii="宋体" w:hAnsi="宋体" w:cs="宋体" w:eastAsia="宋体" w:hint="default"/>
        </w:rPr>
        <w:t>1,046,600</w:t>
      </w:r>
      <w:r>
        <w:rPr/>
        <w:t>股，购买均价为</w:t>
      </w:r>
      <w:r>
        <w:rPr>
          <w:spacing w:val="-103"/>
        </w:rPr>
        <w:t> </w:t>
      </w:r>
      <w:r>
        <w:rPr>
          <w:spacing w:val="-103"/>
        </w:rPr>
      </w:r>
      <w:r>
        <w:rPr>
          <w:rFonts w:ascii="宋体" w:hAnsi="宋体" w:cs="宋体" w:eastAsia="宋体" w:hint="default"/>
        </w:rPr>
        <w:t>31.98</w:t>
      </w:r>
      <w:r>
        <w:rPr/>
        <w:t>元，公司首期员工持股计划所购买的股票锁定期为公司发布完成股票购买公告日起</w:t>
      </w:r>
      <w:r>
        <w:rPr>
          <w:rFonts w:ascii="宋体" w:hAnsi="宋体" w:cs="宋体" w:eastAsia="宋体" w:hint="default"/>
        </w:rPr>
        <w:t>12</w:t>
      </w:r>
      <w:r>
        <w:rPr/>
        <w:t>个月，首期员</w:t>
      </w:r>
      <w:r>
        <w:rPr>
          <w:spacing w:val="-25"/>
        </w:rPr>
        <w:t> </w:t>
      </w:r>
      <w:r>
        <w:rPr>
          <w:spacing w:val="-25"/>
        </w:rPr>
      </w:r>
      <w:r>
        <w:rPr>
          <w:spacing w:val="-2"/>
        </w:rPr>
        <w:t>工持股计划所购买的股票锁定期为</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12</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12</w:t>
      </w:r>
      <w:r>
        <w:rPr>
          <w:spacing w:val="-2"/>
        </w:rPr>
        <w:t>日，该计划存续期为</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12</w:t>
      </w:r>
      <w:r>
        <w:rPr>
          <w:spacing w:val="-2"/>
        </w:rPr>
        <w:t>日至</w:t>
      </w:r>
      <w:r>
        <w:rPr>
          <w:spacing w:val="-19"/>
        </w:rPr>
        <w:t> </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12</w:t>
      </w:r>
      <w:r>
        <w:rPr/>
        <w:t>日。</w:t>
      </w:r>
    </w:p>
    <w:p>
      <w:pPr>
        <w:pStyle w:val="BodyText"/>
        <w:spacing w:line="408" w:lineRule="auto"/>
        <w:ind w:right="150" w:firstLine="420"/>
        <w:jc w:val="both"/>
      </w:pPr>
      <w:r>
        <w:rPr/>
        <w:t>截至</w:t>
      </w:r>
      <w:r>
        <w:rPr>
          <w:rFonts w:ascii="宋体" w:hAnsi="宋体" w:cs="宋体" w:eastAsia="宋体" w:hint="default"/>
        </w:rPr>
        <w:t>2017</w:t>
      </w:r>
      <w:r>
        <w:rPr/>
        <w:t>年</w:t>
      </w:r>
      <w:r>
        <w:rPr>
          <w:rFonts w:ascii="宋体" w:hAnsi="宋体" w:cs="宋体" w:eastAsia="宋体" w:hint="default"/>
        </w:rPr>
        <w:t>09</w:t>
      </w:r>
      <w:r>
        <w:rPr/>
        <w:t>月</w:t>
      </w:r>
      <w:r>
        <w:rPr>
          <w:rFonts w:ascii="宋体" w:hAnsi="宋体" w:cs="宋体" w:eastAsia="宋体" w:hint="default"/>
        </w:rPr>
        <w:t>08</w:t>
      </w:r>
      <w:r>
        <w:rPr/>
        <w:t>日，“平安证券方直</w:t>
      </w:r>
      <w:r>
        <w:rPr>
          <w:rFonts w:ascii="宋体" w:hAnsi="宋体" w:cs="宋体" w:eastAsia="宋体" w:hint="default"/>
        </w:rPr>
        <w:t>1</w:t>
      </w:r>
      <w:r>
        <w:rPr/>
        <w:t>号集合资产管理计划”通过深圳证券交易所大宗交易出售其</w:t>
      </w:r>
      <w:r>
        <w:rPr>
          <w:w w:val="100"/>
        </w:rPr>
        <w:t> </w:t>
      </w:r>
      <w:r>
        <w:rPr>
          <w:spacing w:val="-2"/>
        </w:rPr>
        <w:t>所持有的全部方直科技股票共计</w:t>
      </w:r>
      <w:r>
        <w:rPr>
          <w:rFonts w:ascii="宋体" w:hAnsi="宋体" w:cs="宋体" w:eastAsia="宋体" w:hint="default"/>
          <w:spacing w:val="-2"/>
        </w:rPr>
        <w:t>1,046,600</w:t>
      </w:r>
      <w:r>
        <w:rPr>
          <w:spacing w:val="-2"/>
        </w:rPr>
        <w:t>股，占公司现有总股本</w:t>
      </w:r>
      <w:r>
        <w:rPr>
          <w:rFonts w:ascii="宋体" w:hAnsi="宋体" w:cs="宋体" w:eastAsia="宋体" w:hint="default"/>
          <w:spacing w:val="-2"/>
        </w:rPr>
        <w:t>0.62%</w:t>
      </w:r>
      <w:r>
        <w:rPr>
          <w:spacing w:val="-2"/>
        </w:rPr>
        <w:t>，公司首期员工持股计划即“平安</w:t>
      </w:r>
      <w:r>
        <w:rPr>
          <w:spacing w:val="-36"/>
        </w:rPr>
        <w:t> </w:t>
      </w:r>
      <w:r>
        <w:rPr>
          <w:spacing w:val="-36"/>
        </w:rPr>
      </w:r>
      <w:r>
        <w:rPr/>
        <w:t>证券方直 </w:t>
      </w:r>
      <w:r>
        <w:rPr>
          <w:rFonts w:ascii="宋体" w:hAnsi="宋体" w:cs="宋体" w:eastAsia="宋体" w:hint="default"/>
        </w:rPr>
        <w:t>1 </w:t>
      </w:r>
      <w:r>
        <w:rPr/>
        <w:t>号集合资产管理计划”</w:t>
      </w:r>
      <w:r>
        <w:rPr>
          <w:spacing w:val="-7"/>
        </w:rPr>
        <w:t> </w:t>
      </w:r>
      <w:r>
        <w:rPr/>
        <w:t>所持有的公司股票已全部出售完毕。</w:t>
      </w:r>
    </w:p>
    <w:p>
      <w:pPr>
        <w:pStyle w:val="BodyText"/>
        <w:spacing w:line="408" w:lineRule="auto"/>
        <w:ind w:right="146" w:firstLine="420"/>
        <w:jc w:val="both"/>
      </w:pPr>
      <w:r>
        <w:rPr>
          <w:spacing w:val="-2"/>
        </w:rPr>
        <w:t>根据《深圳市方直科技股份有限公司首期员工持股计划（草案）》的相关规定，本员工持股计划的锁</w:t>
      </w:r>
      <w:r>
        <w:rPr>
          <w:w w:val="100"/>
        </w:rPr>
        <w:t> </w:t>
      </w:r>
      <w:r>
        <w:rPr>
          <w:spacing w:val="-2"/>
        </w:rPr>
        <w:t>定期满后，当员工持股计划所持资产均为货币性资金时，本员工持股计划可提前终止，鉴于此，公司首期</w:t>
      </w:r>
      <w:r>
        <w:rPr>
          <w:spacing w:val="-47"/>
        </w:rPr>
        <w:t> </w:t>
      </w:r>
      <w:r>
        <w:rPr>
          <w:spacing w:val="-47"/>
        </w:rPr>
      </w:r>
      <w:r>
        <w:rPr/>
        <w:t>员工持股计划已实施完毕并终止。</w:t>
      </w:r>
    </w:p>
    <w:p>
      <w:pPr>
        <w:pStyle w:val="BodyText"/>
        <w:spacing w:line="240" w:lineRule="auto"/>
        <w:ind w:left="573" w:right="0"/>
        <w:jc w:val="left"/>
      </w:pPr>
      <w:r>
        <w:rPr/>
        <w:t>本次员工持股事项相关信息披露如下：</w:t>
      </w:r>
    </w:p>
    <w:p>
      <w:pPr>
        <w:spacing w:line="240" w:lineRule="auto" w:before="9"/>
        <w:rPr>
          <w:rFonts w:ascii="宋体" w:hAnsi="宋体" w:cs="宋体" w:eastAsia="宋体" w:hint="default"/>
          <w:sz w:val="9"/>
          <w:szCs w:val="9"/>
        </w:rPr>
      </w:pPr>
    </w:p>
    <w:tbl>
      <w:tblPr>
        <w:tblW w:w="0" w:type="auto"/>
        <w:jc w:val="left"/>
        <w:tblInd w:w="232" w:type="dxa"/>
        <w:tblLayout w:type="fixed"/>
        <w:tblCellMar>
          <w:top w:w="0" w:type="dxa"/>
          <w:left w:w="0" w:type="dxa"/>
          <w:bottom w:w="0" w:type="dxa"/>
          <w:right w:w="0" w:type="dxa"/>
        </w:tblCellMar>
        <w:tblLook w:val="01E0"/>
      </w:tblPr>
      <w:tblGrid>
        <w:gridCol w:w="5943"/>
        <w:gridCol w:w="1681"/>
        <w:gridCol w:w="1846"/>
      </w:tblGrid>
      <w:tr>
        <w:trPr>
          <w:trHeight w:val="348" w:hRule="exact"/>
        </w:trPr>
        <w:tc>
          <w:tcPr>
            <w:tcW w:w="5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91"/>
              <w:jc w:val="right"/>
              <w:rPr>
                <w:rFonts w:ascii="宋体" w:hAnsi="宋体" w:cs="宋体" w:eastAsia="宋体" w:hint="default"/>
                <w:sz w:val="18"/>
                <w:szCs w:val="18"/>
              </w:rPr>
            </w:pPr>
            <w:r>
              <w:rPr>
                <w:rFonts w:ascii="宋体" w:hAnsi="宋体" w:cs="宋体" w:eastAsia="宋体" w:hint="default"/>
                <w:sz w:val="18"/>
                <w:szCs w:val="18"/>
              </w:rPr>
              <w:t>公告披露日期</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公告披露索引</w:t>
            </w:r>
          </w:p>
        </w:tc>
      </w:tr>
      <w:tr>
        <w:trPr>
          <w:trHeight w:val="2530" w:hRule="exact"/>
        </w:trPr>
        <w:tc>
          <w:tcPr>
            <w:tcW w:w="5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p>
            <w:pPr>
              <w:pStyle w:val="TableParagraph"/>
              <w:spacing w:line="240" w:lineRule="auto" w:before="76"/>
              <w:ind w:left="-1" w:right="1"/>
              <w:jc w:val="center"/>
              <w:rPr>
                <w:rFonts w:ascii="宋体" w:hAnsi="宋体" w:cs="宋体" w:eastAsia="宋体" w:hint="default"/>
                <w:sz w:val="18"/>
                <w:szCs w:val="18"/>
              </w:rPr>
            </w:pPr>
            <w:r>
              <w:rPr>
                <w:rFonts w:ascii="宋体" w:hAnsi="宋体" w:cs="宋体" w:eastAsia="宋体" w:hint="default"/>
                <w:sz w:val="18"/>
                <w:szCs w:val="18"/>
              </w:rPr>
              <w:t>《第二届监事会第十八次会议决议公告》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《监事会关于公司首期员工持股计划相关事项的审核意见》</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《独立董事关于公司第二届董事会第十九次会议相关事项的独立意见》</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《深圳市方直科技股份有限公司首期员工持股计划（草案）》</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《深圳市方直科技股份有限公司首期员工持股计划（草案）摘要》</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《深圳市方直科技股份有限公司首期员工持股计划管理办法》</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年第三次临时股东大会的通知》</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348" w:hRule="exact"/>
        </w:trPr>
        <w:tc>
          <w:tcPr>
            <w:tcW w:w="5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《广东五维律师事务所关于公司首期员工持股计划的法律意见书》</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346" w:hRule="exact"/>
        </w:trPr>
        <w:tc>
          <w:tcPr>
            <w:tcW w:w="5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《平安证券方直</w:t>
            </w:r>
            <w:r>
              <w:rPr>
                <w:rFonts w:ascii="Times New Roman" w:hAnsi="Times New Roman" w:cs="Times New Roman" w:eastAsia="Times New Roman" w:hint="default"/>
                <w:sz w:val="18"/>
                <w:szCs w:val="18"/>
              </w:rPr>
              <w:t>1</w:t>
            </w:r>
            <w:r>
              <w:rPr>
                <w:rFonts w:ascii="宋体" w:hAnsi="宋体" w:cs="宋体" w:eastAsia="宋体" w:hint="default"/>
                <w:sz w:val="18"/>
                <w:szCs w:val="18"/>
              </w:rPr>
              <w:t>号集合资产管理计划资产管理合同》</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661" w:hRule="exact"/>
        </w:trPr>
        <w:tc>
          <w:tcPr>
            <w:tcW w:w="5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年第三次临时股东大会决议》</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年第三次临时股东大会法律意见书》</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24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3"/>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346" w:hRule="exact"/>
        </w:trPr>
        <w:tc>
          <w:tcPr>
            <w:tcW w:w="5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《关于员工持股计划实施进展的公告》</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2015</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10</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348" w:hRule="exact"/>
        </w:trPr>
        <w:tc>
          <w:tcPr>
            <w:tcW w:w="5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《关于首期员工持股计划完成购买的公告》</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9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2015</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348" w:hRule="exact"/>
        </w:trPr>
        <w:tc>
          <w:tcPr>
            <w:tcW w:w="5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《关于公司首期员工持股计划届满的提示性公告》</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05</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15</w:t>
            </w:r>
            <w:r>
              <w:rPr>
                <w:rFonts w:ascii="宋体" w:hAnsi="宋体" w:cs="宋体" w:eastAsia="宋体" w:hint="default"/>
                <w:w w:val="95"/>
                <w:sz w:val="18"/>
                <w:szCs w:val="18"/>
              </w:rPr>
              <w:t>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346" w:hRule="exact"/>
        </w:trPr>
        <w:tc>
          <w:tcPr>
            <w:tcW w:w="5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《关于公司第一期员工持股计划出售完毕暨计划终止的公告》</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09</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十五、重大关联交易</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54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5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6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4"/>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4"/>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4"/>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公司报告期不存在租赁情况。</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80" w:footer="979" w:top="1100" w:bottom="1160" w:left="980" w:right="980"/>
        </w:sectPr>
      </w:pPr>
    </w:p>
    <w:p>
      <w:pPr>
        <w:spacing w:line="34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54" w:space="6786"/>
            <w:col w:w="1210"/>
          </w:cols>
        </w:sectPr>
      </w:pP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867"/>
        <w:gridCol w:w="1964"/>
        <w:gridCol w:w="1980"/>
        <w:gridCol w:w="1909"/>
        <w:gridCol w:w="1848"/>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自有资金和专项资金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71,800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71,800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7"/>
        <w:ind w:left="153" w:right="47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十七、社会责任情况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496" w:lineRule="auto" w:before="0"/>
        <w:ind w:left="573" w:right="0" w:hanging="42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、履行社会责任情况</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报告期内，公司通过广东省教育研究院向韶关地区捐赠《少先队活动资源多媒体包》软件，希望通过</w:t>
      </w:r>
    </w:p>
    <w:p>
      <w:pPr>
        <w:pStyle w:val="BodyText"/>
        <w:spacing w:line="243" w:lineRule="exact" w:before="0"/>
        <w:ind w:right="0"/>
        <w:jc w:val="left"/>
      </w:pPr>
      <w:r>
        <w:rPr/>
        <w:t>我们的方式帮助到扶贫地区的孩子们，为孩子们提供更多丰富的教育资源，推动广东地区扶贫工作，提升</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2"/>
        </w:rPr>
        <w:t>扶贫地区教育教学水平，以实际行动践行“人人分享优质教育资源”的理念，让每个孩子都能获得优质的</w:t>
      </w:r>
      <w:r>
        <w:rPr>
          <w:spacing w:val="-43"/>
        </w:rPr>
        <w:t> </w:t>
      </w:r>
      <w:r>
        <w:rPr>
          <w:spacing w:val="-43"/>
        </w:rPr>
      </w:r>
      <w:r>
        <w:rPr/>
        <w:t>教育资源，拥有同等的成长机会。</w:t>
      </w:r>
    </w:p>
    <w:p>
      <w:pPr>
        <w:spacing w:after="0" w:line="408" w:lineRule="auto"/>
        <w:jc w:val="left"/>
        <w:sectPr>
          <w:type w:val="continuous"/>
          <w:pgSz w:w="11910" w:h="16840"/>
          <w:pgMar w:top="1060" w:bottom="1160" w:left="980" w:right="980"/>
        </w:sectPr>
      </w:pPr>
    </w:p>
    <w:p>
      <w:pPr>
        <w:spacing w:line="240" w:lineRule="auto" w:before="12"/>
        <w:rPr>
          <w:rFonts w:ascii="宋体" w:hAnsi="宋体" w:cs="宋体" w:eastAsia="宋体" w:hint="default"/>
          <w:sz w:val="26"/>
          <w:szCs w:val="26"/>
        </w:rPr>
      </w:pPr>
    </w:p>
    <w:p>
      <w:pPr>
        <w:pStyle w:val="BodyText"/>
        <w:spacing w:line="240" w:lineRule="auto" w:before="36"/>
        <w:ind w:left="575" w:right="0"/>
        <w:jc w:val="left"/>
      </w:pPr>
      <w:r>
        <w:rPr/>
        <w:t>暂无后续精准扶贫计划。</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3625"/>
        <w:gridCol w:w="1553"/>
        <w:gridCol w:w="4391"/>
      </w:tblGrid>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0"/>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473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 公司及其子公司不属于环境保护部门公布的重点排污单位。</w:t>
      </w:r>
    </w:p>
    <w:p>
      <w:pPr>
        <w:spacing w:line="240" w:lineRule="auto" w:before="9"/>
        <w:rPr>
          <w:rFonts w:ascii="宋体" w:hAnsi="宋体" w:cs="宋体" w:eastAsia="宋体" w:hint="default"/>
          <w:sz w:val="12"/>
          <w:szCs w:val="12"/>
        </w:rPr>
      </w:pPr>
    </w:p>
    <w:p>
      <w:pPr>
        <w:pStyle w:val="Heading3"/>
        <w:spacing w:line="240" w:lineRule="auto"/>
        <w:ind w:right="0"/>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left="573" w:right="0"/>
        <w:jc w:val="left"/>
      </w:pPr>
      <w:r>
        <w:rPr>
          <w:rFonts w:ascii="宋体" w:hAnsi="宋体" w:cs="宋体" w:eastAsia="宋体" w:hint="default"/>
        </w:rPr>
        <w:t>1</w:t>
      </w:r>
      <w:r>
        <w:rPr/>
        <w:t>、非公开发行股票事项</w:t>
      </w:r>
      <w:r>
        <w:rPr>
          <w:w w:val="100"/>
        </w:rPr>
        <w:t> </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16</w:t>
      </w:r>
      <w:r>
        <w:rPr>
          <w:spacing w:val="-2"/>
        </w:rPr>
        <w:t>日取得中国证券监督管理委员会证监许可</w:t>
      </w:r>
      <w:r>
        <w:rPr>
          <w:rFonts w:ascii="宋体" w:hAnsi="宋体" w:cs="宋体" w:eastAsia="宋体" w:hint="default"/>
          <w:spacing w:val="-2"/>
        </w:rPr>
        <w:t>[2017]56</w:t>
      </w:r>
      <w:r>
        <w:rPr>
          <w:spacing w:val="-2"/>
        </w:rPr>
        <w:t>号文《关于核准深圳市方直科</w:t>
      </w:r>
    </w:p>
    <w:p>
      <w:pPr>
        <w:pStyle w:val="BodyText"/>
        <w:spacing w:line="240" w:lineRule="auto"/>
        <w:ind w:right="0"/>
        <w:jc w:val="left"/>
      </w:pPr>
      <w:r>
        <w:rPr>
          <w:spacing w:val="-4"/>
        </w:rPr>
        <w:t>技股份有限公司非公开发行股票的批复》，核准公司非公开发行不超过</w:t>
      </w:r>
      <w:r>
        <w:rPr>
          <w:rFonts w:ascii="宋体" w:hAnsi="宋体" w:cs="宋体" w:eastAsia="宋体" w:hint="default"/>
          <w:spacing w:val="-4"/>
        </w:rPr>
        <w:t>1,500</w:t>
      </w:r>
      <w:r>
        <w:rPr>
          <w:spacing w:val="-4"/>
        </w:rPr>
        <w:t>万股新股。公司向特定投资者</w:t>
      </w:r>
    </w:p>
    <w:p>
      <w:pPr>
        <w:spacing w:after="0" w:line="240" w:lineRule="auto"/>
        <w:jc w:val="left"/>
        <w:sectPr>
          <w:footerReference w:type="default" r:id="rId31"/>
          <w:pgSz w:w="11910" w:h="16840"/>
          <w:pgMar w:footer="979" w:header="880" w:top="1100" w:bottom="1160" w:left="980" w:right="980"/>
        </w:sectPr>
      </w:pPr>
    </w:p>
    <w:p>
      <w:pPr>
        <w:spacing w:line="240" w:lineRule="auto" w:before="12"/>
        <w:rPr>
          <w:rFonts w:ascii="宋体" w:hAnsi="宋体" w:cs="宋体" w:eastAsia="宋体" w:hint="default"/>
          <w:sz w:val="26"/>
          <w:szCs w:val="26"/>
        </w:rPr>
      </w:pPr>
    </w:p>
    <w:p>
      <w:pPr>
        <w:pStyle w:val="BodyText"/>
        <w:spacing w:line="408" w:lineRule="auto" w:before="36"/>
        <w:ind w:right="208"/>
        <w:jc w:val="both"/>
      </w:pPr>
      <w:r>
        <w:rPr/>
        <w:t>北京嘉豪伟业投资中心（有限合伙）和前海开源基金管理有限公司共发行人民币普通股</w:t>
      </w:r>
      <w:r>
        <w:rPr>
          <w:rFonts w:ascii="宋体" w:hAnsi="宋体" w:cs="宋体" w:eastAsia="宋体" w:hint="default"/>
        </w:rPr>
        <w:t>(A</w:t>
      </w:r>
      <w:r>
        <w:rPr/>
        <w:t>股</w:t>
      </w:r>
      <w:r>
        <w:rPr>
          <w:rFonts w:ascii="宋体" w:hAnsi="宋体" w:cs="宋体" w:eastAsia="宋体" w:hint="default"/>
        </w:rPr>
        <w:t>)</w:t>
      </w:r>
      <w:r>
        <w:rPr>
          <w:rFonts w:ascii="宋体" w:hAnsi="宋体" w:cs="宋体" w:eastAsia="宋体" w:hint="default"/>
          <w:spacing w:val="78"/>
        </w:rPr>
        <w:t> </w:t>
      </w:r>
      <w:r>
        <w:rPr>
          <w:rFonts w:ascii="宋体" w:hAnsi="宋体" w:cs="宋体" w:eastAsia="宋体" w:hint="default"/>
        </w:rPr>
        <w:t>9,431,090</w:t>
      </w:r>
      <w:r>
        <w:rPr>
          <w:rFonts w:ascii="宋体" w:hAnsi="宋体" w:cs="宋体" w:eastAsia="宋体" w:hint="default"/>
          <w:spacing w:val="-103"/>
        </w:rPr>
        <w:t> </w:t>
      </w:r>
      <w:r>
        <w:rPr>
          <w:rFonts w:ascii="宋体" w:hAnsi="宋体" w:cs="宋体" w:eastAsia="宋体" w:hint="default"/>
          <w:spacing w:val="-103"/>
        </w:rPr>
      </w:r>
      <w:r>
        <w:rPr>
          <w:spacing w:val="-4"/>
        </w:rPr>
        <w:t>股，每股面值人民币</w:t>
      </w:r>
      <w:r>
        <w:rPr>
          <w:rFonts w:ascii="宋体" w:hAnsi="宋体" w:cs="宋体" w:eastAsia="宋体" w:hint="default"/>
          <w:spacing w:val="-4"/>
        </w:rPr>
        <w:t>1.00</w:t>
      </w:r>
      <w:r>
        <w:rPr>
          <w:spacing w:val="-4"/>
        </w:rPr>
        <w:t>元，每股发行认购价格为人民币</w:t>
      </w:r>
      <w:r>
        <w:rPr>
          <w:rFonts w:ascii="宋体" w:hAnsi="宋体" w:cs="宋体" w:eastAsia="宋体" w:hint="default"/>
          <w:spacing w:val="-4"/>
        </w:rPr>
        <w:t>25.30</w:t>
      </w:r>
      <w:r>
        <w:rPr>
          <w:spacing w:val="-4"/>
        </w:rPr>
        <w:t>元，共计募集人民币</w:t>
      </w:r>
      <w:r>
        <w:rPr>
          <w:rFonts w:ascii="宋体" w:hAnsi="宋体" w:cs="宋体" w:eastAsia="宋体" w:hint="default"/>
          <w:spacing w:val="-4"/>
        </w:rPr>
        <w:t>238,606,577.00</w:t>
      </w:r>
      <w:r>
        <w:rPr>
          <w:spacing w:val="-4"/>
        </w:rPr>
        <w:t>元，扣</w:t>
      </w:r>
      <w:r>
        <w:rPr>
          <w:spacing w:val="-13"/>
        </w:rPr>
        <w:t> </w:t>
      </w:r>
      <w:r>
        <w:rPr>
          <w:spacing w:val="-13"/>
        </w:rPr>
      </w:r>
      <w:r>
        <w:rPr/>
        <w:t>除与发行有关的费用人民币</w:t>
      </w:r>
      <w:r>
        <w:rPr>
          <w:rFonts w:ascii="宋体" w:hAnsi="宋体" w:cs="宋体" w:eastAsia="宋体" w:hint="default"/>
        </w:rPr>
        <w:t>10,609,431.09</w:t>
      </w:r>
      <w:r>
        <w:rPr/>
        <w:t>元，公司实际募集资金净额为人民币</w:t>
      </w:r>
      <w:r>
        <w:rPr>
          <w:rFonts w:ascii="宋体" w:hAnsi="宋体" w:cs="宋体" w:eastAsia="宋体" w:hint="default"/>
        </w:rPr>
        <w:t>227,997,145.91</w:t>
      </w:r>
      <w:r>
        <w:rPr/>
        <w:t>元。</w:t>
      </w:r>
    </w:p>
    <w:p>
      <w:pPr>
        <w:pStyle w:val="BodyText"/>
        <w:spacing w:line="408" w:lineRule="auto"/>
        <w:ind w:right="0" w:firstLine="420"/>
        <w:jc w:val="left"/>
      </w:pPr>
      <w:r>
        <w:rPr/>
        <w:t>截至</w:t>
      </w:r>
      <w:r>
        <w:rPr>
          <w:rFonts w:ascii="宋体" w:hAnsi="宋体" w:cs="宋体" w:eastAsia="宋体" w:hint="default"/>
        </w:rPr>
        <w:t>2017</w:t>
      </w:r>
      <w:r>
        <w:rPr/>
        <w:t>年</w:t>
      </w:r>
      <w:r>
        <w:rPr>
          <w:rFonts w:ascii="宋体" w:hAnsi="宋体" w:cs="宋体" w:eastAsia="宋体" w:hint="default"/>
        </w:rPr>
        <w:t>03</w:t>
      </w:r>
      <w:r>
        <w:rPr/>
        <w:t>月</w:t>
      </w:r>
      <w:r>
        <w:rPr>
          <w:rFonts w:ascii="宋体" w:hAnsi="宋体" w:cs="宋体" w:eastAsia="宋体" w:hint="default"/>
        </w:rPr>
        <w:t>09</w:t>
      </w:r>
      <w:r>
        <w:rPr/>
        <w:t>日止，公司上述发行募集的资金已全部到位，大华会计师事务所（特殊普通合伙）</w:t>
      </w:r>
      <w:r>
        <w:rPr>
          <w:w w:val="100"/>
        </w:rPr>
        <w:t> </w:t>
      </w:r>
      <w:r>
        <w:rPr/>
        <w:t>出具了大华验字 </w:t>
      </w:r>
      <w:r>
        <w:rPr>
          <w:rFonts w:ascii="宋体" w:hAnsi="宋体" w:cs="宋体" w:eastAsia="宋体" w:hint="default"/>
          <w:spacing w:val="-6"/>
        </w:rPr>
        <w:t>[2017]000150</w:t>
      </w:r>
      <w:r>
        <w:rPr>
          <w:spacing w:val="-6"/>
        </w:rPr>
        <w:t>号《验资报告》验证确认。本次非公开发行新增股份</w:t>
      </w:r>
      <w:r>
        <w:rPr>
          <w:rFonts w:ascii="宋体" w:hAnsi="宋体" w:cs="宋体" w:eastAsia="宋体" w:hint="default"/>
          <w:spacing w:val="-6"/>
        </w:rPr>
        <w:t>9,431,090</w:t>
      </w:r>
      <w:r>
        <w:rPr>
          <w:spacing w:val="-6"/>
        </w:rPr>
        <w:t>股，已于</w:t>
      </w:r>
      <w:r>
        <w:rPr>
          <w:rFonts w:ascii="宋体" w:hAnsi="宋体" w:cs="宋体" w:eastAsia="宋体" w:hint="default"/>
          <w:spacing w:val="-6"/>
        </w:rPr>
        <w:t>2017</w:t>
      </w:r>
      <w:r>
        <w:rPr>
          <w:rFonts w:ascii="宋体" w:hAnsi="宋体" w:cs="宋体" w:eastAsia="宋体" w:hint="default"/>
          <w:spacing w:val="-37"/>
        </w:rPr>
        <w:t> </w:t>
      </w:r>
      <w:r>
        <w:rPr>
          <w:rFonts w:ascii="宋体" w:hAnsi="宋体" w:cs="宋体" w:eastAsia="宋体" w:hint="default"/>
          <w:spacing w:val="-37"/>
        </w:rPr>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24</w:t>
      </w:r>
      <w:r>
        <w:rPr>
          <w:spacing w:val="-2"/>
        </w:rPr>
        <w:t>日在中国证券登记结算有限责任公司深圳分公司办理完毕股份登记手续，并于</w:t>
      </w:r>
      <w:r>
        <w:rPr>
          <w:rFonts w:ascii="宋体" w:hAnsi="宋体" w:cs="宋体" w:eastAsia="宋体" w:hint="default"/>
          <w:spacing w:val="-2"/>
        </w:rPr>
        <w:t>2017</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27</w:t>
      </w:r>
      <w:r>
        <w:rPr>
          <w:spacing w:val="-2"/>
        </w:rPr>
        <w:t>日在</w:t>
      </w:r>
      <w:r>
        <w:rPr>
          <w:spacing w:val="-32"/>
        </w:rPr>
        <w:t> </w:t>
      </w:r>
      <w:r>
        <w:rPr/>
        <w:t>深圳证券交易所上市。</w:t>
      </w:r>
    </w:p>
    <w:p>
      <w:pPr>
        <w:pStyle w:val="BodyText"/>
        <w:spacing w:line="410" w:lineRule="auto"/>
        <w:ind w:right="213" w:firstLine="420"/>
        <w:jc w:val="both"/>
      </w:pPr>
      <w:r>
        <w:rPr>
          <w:spacing w:val="12"/>
        </w:rPr>
        <w:t>在上述非公开发行股票前公司总股本为 </w:t>
      </w:r>
      <w:r>
        <w:rPr>
          <w:rFonts w:ascii="宋体" w:hAnsi="宋体" w:cs="宋体" w:eastAsia="宋体" w:hint="default"/>
        </w:rPr>
        <w:t>158,400,000</w:t>
      </w:r>
      <w:r>
        <w:rPr>
          <w:rFonts w:ascii="宋体" w:hAnsi="宋体" w:cs="宋体" w:eastAsia="宋体" w:hint="default"/>
          <w:spacing w:val="51"/>
        </w:rPr>
        <w:t> </w:t>
      </w:r>
      <w:r>
        <w:rPr>
          <w:spacing w:val="12"/>
        </w:rPr>
        <w:t>股，非公开发行股票后公司总股本变更为</w:t>
      </w:r>
      <w:r>
        <w:rPr>
          <w:w w:val="100"/>
        </w:rPr>
        <w:t> </w:t>
      </w:r>
      <w:r>
        <w:rPr>
          <w:rFonts w:ascii="宋体" w:hAnsi="宋体" w:cs="宋体" w:eastAsia="宋体" w:hint="default"/>
        </w:rPr>
        <w:t>167,831,090</w:t>
      </w:r>
      <w:r>
        <w:rPr/>
        <w:t>股。</w:t>
      </w:r>
    </w:p>
    <w:p>
      <w:pPr>
        <w:pStyle w:val="BodyText"/>
        <w:spacing w:line="408" w:lineRule="auto" w:before="44"/>
        <w:ind w:right="208" w:firstLine="420"/>
        <w:jc w:val="both"/>
      </w:pPr>
      <w:r>
        <w:rPr>
          <w:spacing w:val="-2"/>
        </w:rPr>
        <w:t>非公开发行股份事项的具体情况详见公司分别于</w:t>
      </w:r>
      <w:r>
        <w:rPr>
          <w:rFonts w:ascii="宋体" w:hAnsi="宋体" w:cs="宋体" w:eastAsia="宋体" w:hint="default"/>
          <w:spacing w:val="-2"/>
        </w:rPr>
        <w:t>2017</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16</w:t>
      </w:r>
      <w:r>
        <w:rPr>
          <w:spacing w:val="-2"/>
        </w:rPr>
        <w:t>日、</w:t>
      </w:r>
      <w:r>
        <w:rPr>
          <w:rFonts w:ascii="宋体" w:hAnsi="宋体" w:cs="宋体" w:eastAsia="宋体" w:hint="default"/>
          <w:spacing w:val="-2"/>
        </w:rPr>
        <w:t>2017</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23</w:t>
      </w:r>
      <w:r>
        <w:rPr>
          <w:spacing w:val="-2"/>
        </w:rPr>
        <w:t>日在巨潮资讯网披露</w:t>
      </w:r>
      <w:r>
        <w:rPr>
          <w:w w:val="100"/>
        </w:rPr>
        <w:t> </w:t>
      </w:r>
      <w:r>
        <w:rPr/>
        <w:t>的相关公告（公告编码：</w:t>
      </w:r>
      <w:r>
        <w:rPr>
          <w:rFonts w:ascii="宋体" w:hAnsi="宋体" w:cs="宋体" w:eastAsia="宋体" w:hint="default"/>
        </w:rPr>
        <w:t>2017-001</w:t>
      </w:r>
      <w:r>
        <w:rPr/>
        <w:t>、</w:t>
      </w:r>
      <w:r>
        <w:rPr>
          <w:rFonts w:ascii="宋体" w:hAnsi="宋体" w:cs="宋体" w:eastAsia="宋体" w:hint="default"/>
        </w:rPr>
        <w:t>2017-013</w:t>
      </w:r>
      <w:r>
        <w:rPr/>
        <w:t>、</w:t>
      </w:r>
      <w:r>
        <w:rPr>
          <w:rFonts w:ascii="宋体" w:hAnsi="宋体" w:cs="宋体" w:eastAsia="宋体" w:hint="default"/>
        </w:rPr>
        <w:t>2017-014</w:t>
      </w:r>
      <w:r>
        <w:rPr/>
        <w:t>）。</w:t>
      </w:r>
    </w:p>
    <w:p>
      <w:pPr>
        <w:pStyle w:val="BodyText"/>
        <w:spacing w:line="408" w:lineRule="auto"/>
        <w:ind w:left="573" w:right="0"/>
        <w:jc w:val="left"/>
      </w:pPr>
      <w:r>
        <w:rPr>
          <w:rFonts w:ascii="宋体" w:hAnsi="宋体" w:cs="宋体" w:eastAsia="宋体" w:hint="default"/>
        </w:rPr>
        <w:t>2</w:t>
      </w:r>
      <w:r>
        <w:rPr/>
        <w:t>、投资北京千锋互联科技有限公司事项</w:t>
      </w:r>
      <w:r>
        <w:rPr>
          <w:w w:val="100"/>
        </w:rPr>
        <w:t> </w:t>
      </w:r>
      <w:r>
        <w:rPr>
          <w:spacing w:val="2"/>
        </w:rPr>
        <w:t>公司召开第三届董事会第二十二次会议审议通过了《关于公司投资北京千锋互联科技有限公司的议</w:t>
      </w:r>
    </w:p>
    <w:p>
      <w:pPr>
        <w:pStyle w:val="BodyText"/>
        <w:spacing w:line="408" w:lineRule="auto"/>
        <w:ind w:right="208"/>
        <w:jc w:val="both"/>
      </w:pPr>
      <w:r>
        <w:rPr>
          <w:spacing w:val="-2"/>
        </w:rPr>
        <w:t>案》，</w:t>
      </w:r>
      <w:r>
        <w:rPr>
          <w:rFonts w:ascii="宋体" w:hAnsi="宋体" w:cs="宋体" w:eastAsia="宋体" w:hint="default"/>
          <w:spacing w:val="-2"/>
        </w:rPr>
        <w:t>2017</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18</w:t>
      </w:r>
      <w:r>
        <w:rPr>
          <w:spacing w:val="-2"/>
        </w:rPr>
        <w:t>日与千锋互联及其原股东签署了《关于北京千锋互联科技有限公司之投资协议》以自</w:t>
      </w:r>
      <w:r>
        <w:rPr>
          <w:spacing w:val="-39"/>
        </w:rPr>
        <w:t> </w:t>
      </w:r>
      <w:r>
        <w:rPr>
          <w:spacing w:val="-39"/>
        </w:rPr>
      </w:r>
      <w:r>
        <w:rPr/>
        <w:t>有资金</w:t>
      </w:r>
      <w:r>
        <w:rPr>
          <w:rFonts w:ascii="宋体" w:hAnsi="宋体" w:cs="宋体" w:eastAsia="宋体" w:hint="default"/>
        </w:rPr>
        <w:t>10,146.789</w:t>
      </w:r>
      <w:r>
        <w:rPr/>
        <w:t>万元通过向千锋互联增资和受让标的公司原股东部分老股相结合的方式取得千锋互联</w:t>
      </w:r>
      <w:r>
        <w:rPr>
          <w:spacing w:val="59"/>
        </w:rPr>
        <w:t> </w:t>
      </w:r>
      <w:r>
        <w:rPr>
          <w:spacing w:val="59"/>
        </w:rPr>
      </w:r>
      <w:r>
        <w:rPr>
          <w:rFonts w:ascii="宋体" w:hAnsi="宋体" w:cs="宋体" w:eastAsia="宋体" w:hint="default"/>
        </w:rPr>
        <w:t>12%</w:t>
      </w:r>
      <w:r>
        <w:rPr/>
        <w:t>的出资比例。</w:t>
      </w:r>
    </w:p>
    <w:p>
      <w:pPr>
        <w:pStyle w:val="BodyText"/>
        <w:spacing w:line="408" w:lineRule="auto"/>
        <w:ind w:right="208" w:firstLine="420"/>
        <w:jc w:val="both"/>
      </w:pPr>
      <w:r>
        <w:rPr/>
        <w:t>公司召开第三届董事会第二十五次会议审议通过了《签署</w:t>
      </w:r>
      <w:r>
        <w:rPr>
          <w:rFonts w:ascii="宋体" w:hAnsi="宋体" w:cs="宋体" w:eastAsia="宋体" w:hint="default"/>
        </w:rPr>
        <w:t>&lt;</w:t>
      </w:r>
      <w:r>
        <w:rPr/>
        <w:t>关于北京千锋互联科技有限公司之补充协</w:t>
      </w:r>
      <w:r>
        <w:rPr>
          <w:w w:val="100"/>
        </w:rPr>
        <w:t> </w:t>
      </w:r>
      <w:r>
        <w:rPr>
          <w:spacing w:val="-8"/>
        </w:rPr>
        <w:t>议（一）</w:t>
      </w:r>
      <w:r>
        <w:rPr>
          <w:rFonts w:ascii="宋体" w:hAnsi="宋体" w:cs="宋体" w:eastAsia="宋体" w:hint="default"/>
          <w:spacing w:val="-8"/>
        </w:rPr>
        <w:t>&gt;</w:t>
      </w:r>
      <w:r>
        <w:rPr>
          <w:spacing w:val="-8"/>
        </w:rPr>
        <w:t>的议案》，</w:t>
      </w:r>
      <w:r>
        <w:rPr>
          <w:rFonts w:ascii="宋体" w:hAnsi="宋体" w:cs="宋体" w:eastAsia="宋体" w:hint="default"/>
          <w:spacing w:val="-8"/>
        </w:rPr>
        <w:t>2017</w:t>
      </w:r>
      <w:r>
        <w:rPr>
          <w:spacing w:val="-8"/>
        </w:rPr>
        <w:t>年</w:t>
      </w:r>
      <w:r>
        <w:rPr>
          <w:rFonts w:ascii="宋体" w:hAnsi="宋体" w:cs="宋体" w:eastAsia="宋体" w:hint="default"/>
          <w:spacing w:val="-8"/>
        </w:rPr>
        <w:t>05</w:t>
      </w:r>
      <w:r>
        <w:rPr>
          <w:spacing w:val="-8"/>
        </w:rPr>
        <w:t>月</w:t>
      </w:r>
      <w:r>
        <w:rPr>
          <w:rFonts w:ascii="宋体" w:hAnsi="宋体" w:cs="宋体" w:eastAsia="宋体" w:hint="default"/>
          <w:spacing w:val="-8"/>
        </w:rPr>
        <w:t>25</w:t>
      </w:r>
      <w:r>
        <w:rPr>
          <w:spacing w:val="-8"/>
        </w:rPr>
        <w:t>日，公司与千锋互联及其原股东签署了《投资协议之补充协议（一）》，</w:t>
      </w:r>
      <w:r>
        <w:rPr>
          <w:spacing w:val="-37"/>
        </w:rPr>
        <w:t> </w:t>
      </w:r>
      <w:r>
        <w:rPr>
          <w:spacing w:val="-37"/>
        </w:rPr>
      </w:r>
      <w:r>
        <w:rPr/>
        <w:t>就公司取得的千锋互联</w:t>
      </w:r>
      <w:r>
        <w:rPr>
          <w:rFonts w:ascii="宋体" w:hAnsi="宋体" w:cs="宋体" w:eastAsia="宋体" w:hint="default"/>
        </w:rPr>
        <w:t>12%</w:t>
      </w:r>
      <w:r>
        <w:rPr/>
        <w:t>股权，基于公司增资和受让老股所获股权的比例约定：千锋互联及其原股东合</w:t>
      </w:r>
      <w:r>
        <w:rPr>
          <w:spacing w:val="-27"/>
        </w:rPr>
        <w:t> </w:t>
      </w:r>
      <w:r>
        <w:rPr>
          <w:spacing w:val="-27"/>
        </w:rPr>
      </w:r>
      <w:r>
        <w:rPr/>
        <w:t>计向公司支付人民币</w:t>
      </w:r>
      <w:r>
        <w:rPr>
          <w:rFonts w:ascii="宋体" w:hAnsi="宋体" w:cs="宋体" w:eastAsia="宋体" w:hint="default"/>
        </w:rPr>
        <w:t>2,046.7890</w:t>
      </w:r>
      <w:r>
        <w:rPr/>
        <w:t>万元退款。</w:t>
      </w:r>
    </w:p>
    <w:p>
      <w:pPr>
        <w:pStyle w:val="BodyText"/>
        <w:spacing w:line="408" w:lineRule="auto"/>
        <w:ind w:right="206" w:firstLine="420"/>
        <w:jc w:val="both"/>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28</w:t>
      </w:r>
      <w:r>
        <w:rPr/>
        <w:t>日，公司召开第三届董事会第二十九次会议审议通过了《关于签署</w:t>
      </w:r>
      <w:r>
        <w:rPr>
          <w:rFonts w:ascii="宋体" w:hAnsi="宋体" w:cs="宋体" w:eastAsia="宋体" w:hint="default"/>
        </w:rPr>
        <w:t>&lt;</w:t>
      </w:r>
      <w:r>
        <w:rPr/>
        <w:t>关于北京千锋互联</w:t>
      </w:r>
      <w:r>
        <w:rPr>
          <w:w w:val="100"/>
        </w:rPr>
        <w:t> </w:t>
      </w:r>
      <w:r>
        <w:rPr>
          <w:spacing w:val="-5"/>
        </w:rPr>
        <w:t>科技有限公司之退股返还投资款协议</w:t>
      </w:r>
      <w:r>
        <w:rPr>
          <w:rFonts w:ascii="宋体" w:hAnsi="宋体" w:cs="宋体" w:eastAsia="宋体" w:hint="default"/>
          <w:spacing w:val="-5"/>
        </w:rPr>
        <w:t>&gt;</w:t>
      </w:r>
      <w:r>
        <w:rPr>
          <w:spacing w:val="-5"/>
        </w:rPr>
        <w:t>的议案》，公司与千锋互联及其原股东签署了《关于北京千锋互联科</w:t>
      </w:r>
      <w:r>
        <w:rPr>
          <w:spacing w:val="-4"/>
        </w:rPr>
        <w:t> </w:t>
      </w:r>
      <w:r>
        <w:rPr>
          <w:spacing w:val="-4"/>
        </w:rPr>
      </w:r>
      <w:r>
        <w:rPr/>
        <w:t>技有限公司之退股返还投资款协议》，千锋互联及其原股东同意方直科技退出所占千锋互联</w:t>
      </w:r>
      <w:r>
        <w:rPr>
          <w:rFonts w:ascii="宋体" w:hAnsi="宋体" w:cs="宋体" w:eastAsia="宋体" w:hint="default"/>
        </w:rPr>
        <w:t>12%</w:t>
      </w:r>
      <w:r>
        <w:rPr/>
        <w:t>股份并返</w:t>
      </w:r>
      <w:r>
        <w:rPr>
          <w:spacing w:val="-23"/>
        </w:rPr>
        <w:t> </w:t>
      </w:r>
      <w:r>
        <w:rPr>
          <w:spacing w:val="-23"/>
        </w:rPr>
      </w:r>
      <w:r>
        <w:rPr/>
        <w:t>还全部投资款人民币</w:t>
      </w:r>
      <w:r>
        <w:rPr>
          <w:rFonts w:ascii="宋体" w:hAnsi="宋体" w:cs="宋体" w:eastAsia="宋体" w:hint="default"/>
        </w:rPr>
        <w:t>8100</w:t>
      </w:r>
      <w:r>
        <w:rPr/>
        <w:t>万元及利息。基于谨慎性原则，未确认</w:t>
      </w:r>
      <w:r>
        <w:rPr>
          <w:rFonts w:ascii="宋体" w:hAnsi="宋体" w:cs="宋体" w:eastAsia="宋体" w:hint="default"/>
        </w:rPr>
        <w:t>2017</w:t>
      </w:r>
      <w:r>
        <w:rPr/>
        <w:t>年度形成的利息收益。</w:t>
      </w:r>
    </w:p>
    <w:p>
      <w:pPr>
        <w:pStyle w:val="BodyText"/>
        <w:spacing w:line="408" w:lineRule="auto"/>
        <w:ind w:right="0" w:firstLine="420"/>
        <w:jc w:val="left"/>
      </w:pPr>
      <w:r>
        <w:rPr/>
        <w:t>退出对千锋互联的股权投资不会影响公司既定的经营及投资战略，对公司的经营成果等无重大影响，</w:t>
      </w:r>
      <w:r>
        <w:rPr>
          <w:w w:val="100"/>
        </w:rPr>
        <w:t> </w:t>
      </w:r>
      <w:r>
        <w:rPr/>
        <w:t>有利于维护公司及全体股东的利益，有利于补充公司运营现金流，增强公司资产流动性和持续经营能力。</w:t>
      </w:r>
    </w:p>
    <w:p>
      <w:pPr>
        <w:pStyle w:val="BodyText"/>
        <w:spacing w:line="240" w:lineRule="auto"/>
        <w:ind w:left="573" w:right="0"/>
        <w:jc w:val="left"/>
      </w:pPr>
      <w:r>
        <w:rPr>
          <w:spacing w:val="5"/>
        </w:rPr>
        <w:t>上述对外投资事项详见公司于</w:t>
      </w:r>
      <w:r>
        <w:rPr>
          <w:rFonts w:ascii="宋体" w:hAnsi="宋体" w:cs="宋体" w:eastAsia="宋体" w:hint="default"/>
          <w:spacing w:val="5"/>
        </w:rPr>
        <w:t>2017</w:t>
      </w:r>
      <w:r>
        <w:rPr>
          <w:spacing w:val="5"/>
        </w:rPr>
        <w:t>年</w:t>
      </w:r>
      <w:r>
        <w:rPr>
          <w:rFonts w:ascii="宋体" w:hAnsi="宋体" w:cs="宋体" w:eastAsia="宋体" w:hint="default"/>
          <w:spacing w:val="5"/>
        </w:rPr>
        <w:t>01</w:t>
      </w:r>
      <w:r>
        <w:rPr>
          <w:spacing w:val="5"/>
        </w:rPr>
        <w:t>月</w:t>
      </w:r>
      <w:r>
        <w:rPr>
          <w:rFonts w:ascii="宋体" w:hAnsi="宋体" w:cs="宋体" w:eastAsia="宋体" w:hint="default"/>
          <w:spacing w:val="5"/>
        </w:rPr>
        <w:t>18</w:t>
      </w:r>
      <w:r>
        <w:rPr>
          <w:spacing w:val="5"/>
        </w:rPr>
        <w:t>日、</w:t>
      </w:r>
      <w:r>
        <w:rPr>
          <w:rFonts w:ascii="宋体" w:hAnsi="宋体" w:cs="宋体" w:eastAsia="宋体" w:hint="default"/>
          <w:spacing w:val="5"/>
        </w:rPr>
        <w:t>2017</w:t>
      </w:r>
      <w:r>
        <w:rPr>
          <w:spacing w:val="5"/>
        </w:rPr>
        <w:t>年</w:t>
      </w:r>
      <w:r>
        <w:rPr>
          <w:rFonts w:ascii="宋体" w:hAnsi="宋体" w:cs="宋体" w:eastAsia="宋体" w:hint="default"/>
          <w:spacing w:val="5"/>
        </w:rPr>
        <w:t>05</w:t>
      </w:r>
      <w:r>
        <w:rPr>
          <w:spacing w:val="5"/>
        </w:rPr>
        <w:t>月</w:t>
      </w:r>
      <w:r>
        <w:rPr>
          <w:rFonts w:ascii="宋体" w:hAnsi="宋体" w:cs="宋体" w:eastAsia="宋体" w:hint="default"/>
          <w:spacing w:val="5"/>
        </w:rPr>
        <w:t>25</w:t>
      </w:r>
      <w:r>
        <w:rPr>
          <w:spacing w:val="5"/>
        </w:rPr>
        <w:t>日、</w:t>
      </w: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29</w:t>
      </w:r>
      <w:r>
        <w:rPr>
          <w:spacing w:val="5"/>
        </w:rPr>
        <w:t>日在巨潮资讯网</w:t>
      </w:r>
    </w:p>
    <w:p>
      <w:pPr>
        <w:spacing w:line="240" w:lineRule="auto" w:before="10"/>
        <w:rPr>
          <w:rFonts w:ascii="宋体" w:hAnsi="宋体" w:cs="宋体" w:eastAsia="宋体" w:hint="default"/>
          <w:sz w:val="14"/>
          <w:szCs w:val="14"/>
        </w:rPr>
      </w:pPr>
    </w:p>
    <w:p>
      <w:pPr>
        <w:pStyle w:val="BodyText"/>
        <w:spacing w:line="408" w:lineRule="auto" w:before="0"/>
        <w:ind w:left="573" w:right="0" w:hanging="420"/>
        <w:jc w:val="left"/>
      </w:pPr>
      <w:r>
        <w:rPr/>
        <w:t>（</w:t>
      </w:r>
      <w:hyperlink r:id="rId13">
        <w:r>
          <w:rPr>
            <w:rFonts w:ascii="宋体" w:hAnsi="宋体" w:cs="宋体" w:eastAsia="宋体" w:hint="default"/>
          </w:rPr>
          <w:t>www.cninfo.com.cn</w:t>
        </w:r>
      </w:hyperlink>
      <w:r>
        <w:rPr/>
        <w:t>）披露的公告（公告编码：</w:t>
      </w:r>
      <w:r>
        <w:rPr>
          <w:rFonts w:ascii="宋体" w:hAnsi="宋体" w:cs="宋体" w:eastAsia="宋体" w:hint="default"/>
        </w:rPr>
        <w:t>2017-004</w:t>
      </w:r>
      <w:r>
        <w:rPr/>
        <w:t>、</w:t>
      </w:r>
      <w:r>
        <w:rPr>
          <w:rFonts w:ascii="宋体" w:hAnsi="宋体" w:cs="宋体" w:eastAsia="宋体" w:hint="default"/>
        </w:rPr>
        <w:t>2017-053</w:t>
      </w:r>
      <w:r>
        <w:rPr/>
        <w:t>、</w:t>
      </w:r>
      <w:r>
        <w:rPr>
          <w:rFonts w:ascii="宋体" w:hAnsi="宋体" w:cs="宋体" w:eastAsia="宋体" w:hint="default"/>
        </w:rPr>
        <w:t>2017-097</w:t>
      </w:r>
      <w:r>
        <w:rPr/>
        <w:t>）。</w:t>
      </w:r>
      <w:r>
        <w:rPr>
          <w:w w:val="100"/>
        </w:rPr>
        <w:t> </w:t>
      </w:r>
      <w:r>
        <w:rPr>
          <w:rFonts w:ascii="宋体" w:hAnsi="宋体" w:cs="宋体" w:eastAsia="宋体" w:hint="default"/>
        </w:rPr>
        <w:t>3</w:t>
      </w:r>
      <w:r>
        <w:rPr/>
        <w:t>、设立教育产业投资基金事项</w:t>
      </w:r>
      <w:r>
        <w:rPr>
          <w:w w:val="100"/>
        </w:rPr>
        <w:t> </w:t>
      </w:r>
      <w:r>
        <w:rPr/>
        <w:t>报告期内，公司以有限合伙人身份用自有资金人民币</w:t>
      </w:r>
      <w:r>
        <w:rPr>
          <w:rFonts w:ascii="宋体" w:hAnsi="宋体" w:cs="宋体" w:eastAsia="宋体" w:hint="default"/>
        </w:rPr>
        <w:t>12,000</w:t>
      </w:r>
      <w:r>
        <w:rPr/>
        <w:t>万元，与深圳嘉道谷投资管理有限公司、</w:t>
      </w:r>
    </w:p>
    <w:p>
      <w:pPr>
        <w:spacing w:after="0" w:line="408" w:lineRule="auto"/>
        <w:jc w:val="left"/>
        <w:sectPr>
          <w:footerReference w:type="default" r:id="rId32"/>
          <w:pgSz w:w="11910" w:h="16840"/>
          <w:pgMar w:footer="979" w:header="880" w:top="1100" w:bottom="1160" w:left="980" w:right="920"/>
          <w:pgNumType w:start="1"/>
        </w:sectPr>
      </w:pPr>
    </w:p>
    <w:p>
      <w:pPr>
        <w:spacing w:line="240" w:lineRule="auto" w:before="12"/>
        <w:rPr>
          <w:rFonts w:ascii="宋体" w:hAnsi="宋体" w:cs="宋体" w:eastAsia="宋体" w:hint="default"/>
          <w:sz w:val="26"/>
          <w:szCs w:val="26"/>
        </w:rPr>
      </w:pPr>
    </w:p>
    <w:p>
      <w:pPr>
        <w:pStyle w:val="BodyText"/>
        <w:spacing w:line="408" w:lineRule="auto" w:before="36"/>
        <w:ind w:right="146"/>
        <w:jc w:val="both"/>
      </w:pPr>
      <w:r>
        <w:rPr>
          <w:spacing w:val="-2"/>
        </w:rPr>
        <w:t>深圳嘉道功程股权投资基金（有限合伙）共同发起设立深圳嘉道方直教育产业投资企业（有限合伙），该</w:t>
      </w:r>
      <w:r>
        <w:rPr>
          <w:spacing w:val="-43"/>
        </w:rPr>
        <w:t> </w:t>
      </w:r>
      <w:r>
        <w:rPr>
          <w:spacing w:val="-43"/>
        </w:rPr>
      </w:r>
      <w:r>
        <w:rPr>
          <w:spacing w:val="-2"/>
        </w:rPr>
        <w:t>基金认缴出资总规模为人民币</w:t>
      </w:r>
      <w:r>
        <w:rPr>
          <w:rFonts w:ascii="宋体" w:hAnsi="宋体" w:cs="宋体" w:eastAsia="宋体" w:hint="default"/>
          <w:spacing w:val="-2"/>
        </w:rPr>
        <w:t>30,100</w:t>
      </w:r>
      <w:r>
        <w:rPr>
          <w:spacing w:val="-2"/>
        </w:rPr>
        <w:t>万元。公司持有合伙企业</w:t>
      </w:r>
      <w:r>
        <w:rPr>
          <w:rFonts w:ascii="宋体" w:hAnsi="宋体" w:cs="宋体" w:eastAsia="宋体" w:hint="default"/>
          <w:spacing w:val="-2"/>
        </w:rPr>
        <w:t>39.87%</w:t>
      </w:r>
      <w:r>
        <w:rPr>
          <w:spacing w:val="-2"/>
        </w:rPr>
        <w:t>的股份。按合伙协议约定，从合伙企</w:t>
      </w:r>
      <w:r>
        <w:rPr>
          <w:spacing w:val="-34"/>
        </w:rPr>
        <w:t> </w:t>
      </w:r>
      <w:r>
        <w:rPr>
          <w:spacing w:val="-34"/>
        </w:rPr>
      </w:r>
      <w:r>
        <w:rPr>
          <w:spacing w:val="-2"/>
        </w:rPr>
        <w:t>业成立之日起，分四年缴足，目前已投资</w:t>
      </w:r>
      <w:r>
        <w:rPr>
          <w:rFonts w:ascii="宋体" w:hAnsi="宋体" w:cs="宋体" w:eastAsia="宋体" w:hint="default"/>
          <w:spacing w:val="-2"/>
        </w:rPr>
        <w:t>3000</w:t>
      </w:r>
      <w:r>
        <w:rPr>
          <w:spacing w:val="-2"/>
        </w:rPr>
        <w:t>万元。按照合伙协议，公司对合伙企业具有重大影响，按权</w:t>
      </w:r>
      <w:r>
        <w:rPr>
          <w:spacing w:val="-39"/>
        </w:rPr>
        <w:t> </w:t>
      </w:r>
      <w:r>
        <w:rPr>
          <w:spacing w:val="-39"/>
        </w:rPr>
      </w:r>
      <w:r>
        <w:rPr/>
        <w:t>益法核算。</w:t>
      </w:r>
    </w:p>
    <w:p>
      <w:pPr>
        <w:pStyle w:val="BodyText"/>
        <w:spacing w:line="408" w:lineRule="auto"/>
        <w:ind w:right="148" w:firstLine="420"/>
        <w:jc w:val="both"/>
      </w:pPr>
      <w:r>
        <w:rPr>
          <w:spacing w:val="-4"/>
        </w:rPr>
        <w:t>上述对外投资事项详见公司于</w:t>
      </w:r>
      <w:r>
        <w:rPr>
          <w:rFonts w:ascii="宋体" w:hAnsi="宋体" w:cs="宋体" w:eastAsia="宋体" w:hint="default"/>
          <w:spacing w:val="-4"/>
        </w:rPr>
        <w:t>2017</w:t>
      </w:r>
      <w:r>
        <w:rPr>
          <w:spacing w:val="-4"/>
        </w:rPr>
        <w:t>年</w:t>
      </w:r>
      <w:r>
        <w:rPr>
          <w:rFonts w:ascii="宋体" w:hAnsi="宋体" w:cs="宋体" w:eastAsia="宋体" w:hint="default"/>
          <w:spacing w:val="-4"/>
        </w:rPr>
        <w:t>05</w:t>
      </w:r>
      <w:r>
        <w:rPr>
          <w:spacing w:val="-4"/>
        </w:rPr>
        <w:t>月</w:t>
      </w:r>
      <w:r>
        <w:rPr>
          <w:rFonts w:ascii="宋体" w:hAnsi="宋体" w:cs="宋体" w:eastAsia="宋体" w:hint="default"/>
          <w:spacing w:val="-4"/>
        </w:rPr>
        <w:t>25</w:t>
      </w:r>
      <w:r>
        <w:rPr>
          <w:spacing w:val="-4"/>
        </w:rPr>
        <w:t>日、</w:t>
      </w:r>
      <w:r>
        <w:rPr>
          <w:rFonts w:ascii="宋体" w:hAnsi="宋体" w:cs="宋体" w:eastAsia="宋体" w:hint="default"/>
          <w:spacing w:val="-4"/>
        </w:rPr>
        <w:t>2017</w:t>
      </w:r>
      <w:r>
        <w:rPr>
          <w:spacing w:val="-4"/>
        </w:rPr>
        <w:t>年</w:t>
      </w:r>
      <w:r>
        <w:rPr>
          <w:rFonts w:ascii="宋体" w:hAnsi="宋体" w:cs="宋体" w:eastAsia="宋体" w:hint="default"/>
          <w:spacing w:val="-4"/>
        </w:rPr>
        <w:t>07</w:t>
      </w:r>
      <w:r>
        <w:rPr>
          <w:spacing w:val="-4"/>
        </w:rPr>
        <w:t>月</w:t>
      </w:r>
      <w:r>
        <w:rPr>
          <w:rFonts w:ascii="宋体" w:hAnsi="宋体" w:cs="宋体" w:eastAsia="宋体" w:hint="default"/>
          <w:spacing w:val="-4"/>
        </w:rPr>
        <w:t>06</w:t>
      </w:r>
      <w:r>
        <w:rPr>
          <w:spacing w:val="-4"/>
        </w:rPr>
        <w:t>日在巨潮资讯网（</w:t>
      </w:r>
      <w:hyperlink r:id="rId13">
        <w:r>
          <w:rPr>
            <w:rFonts w:ascii="宋体" w:hAnsi="宋体" w:cs="宋体" w:eastAsia="宋体" w:hint="default"/>
            <w:spacing w:val="-4"/>
          </w:rPr>
          <w:t>www.cninfo.com.cn</w:t>
        </w:r>
      </w:hyperlink>
      <w:r>
        <w:rPr>
          <w:spacing w:val="-4"/>
        </w:rPr>
        <w:t>）</w:t>
      </w:r>
      <w:r>
        <w:rPr>
          <w:w w:val="100"/>
        </w:rPr>
        <w:t> </w:t>
      </w:r>
      <w:r>
        <w:rPr/>
        <w:t>披露的公告（公告编码：</w:t>
      </w:r>
      <w:r>
        <w:rPr>
          <w:rFonts w:ascii="宋体" w:hAnsi="宋体" w:cs="宋体" w:eastAsia="宋体" w:hint="default"/>
        </w:rPr>
        <w:t>2017-052</w:t>
      </w:r>
      <w:r>
        <w:rPr/>
        <w:t>、</w:t>
      </w:r>
      <w:r>
        <w:rPr>
          <w:rFonts w:ascii="宋体" w:hAnsi="宋体" w:cs="宋体" w:eastAsia="宋体" w:hint="default"/>
        </w:rPr>
        <w:t>2017-063</w:t>
      </w:r>
      <w:r>
        <w:rPr/>
        <w:t>）。</w:t>
      </w:r>
    </w:p>
    <w:p>
      <w:pPr>
        <w:pStyle w:val="BodyText"/>
        <w:spacing w:line="408" w:lineRule="auto"/>
        <w:ind w:left="573" w:right="0"/>
        <w:jc w:val="left"/>
      </w:pPr>
      <w:r>
        <w:rPr>
          <w:rFonts w:ascii="宋体" w:hAnsi="宋体" w:cs="宋体" w:eastAsia="宋体" w:hint="default"/>
        </w:rPr>
        <w:t>3</w:t>
      </w:r>
      <w:r>
        <w:rPr/>
        <w:t>、对前期会计差错更正及追溯调整事项</w:t>
      </w:r>
      <w:r>
        <w:rPr>
          <w:w w:val="100"/>
        </w:rPr>
        <w:t> </w:t>
      </w:r>
      <w:r>
        <w:rPr>
          <w:spacing w:val="-2"/>
        </w:rPr>
        <w:t>公司于</w:t>
      </w:r>
      <w:r>
        <w:rPr>
          <w:rFonts w:ascii="宋体" w:hAnsi="宋体" w:cs="宋体" w:eastAsia="宋体" w:hint="default"/>
          <w:spacing w:val="-2"/>
        </w:rPr>
        <w:t>2008</w:t>
      </w:r>
      <w:r>
        <w:rPr>
          <w:spacing w:val="-2"/>
        </w:rPr>
        <w:t>年至</w:t>
      </w:r>
      <w:r>
        <w:rPr>
          <w:rFonts w:ascii="宋体" w:hAnsi="宋体" w:cs="宋体" w:eastAsia="宋体" w:hint="default"/>
          <w:spacing w:val="-2"/>
        </w:rPr>
        <w:t>2013</w:t>
      </w:r>
      <w:r>
        <w:rPr>
          <w:spacing w:val="-2"/>
        </w:rPr>
        <w:t>年期间与某单位签订了六份教材配套软件开发合同，合同中约定“与本公司独家</w:t>
      </w:r>
    </w:p>
    <w:p>
      <w:pPr>
        <w:pStyle w:val="BodyText"/>
        <w:spacing w:line="408" w:lineRule="auto"/>
        <w:ind w:right="146"/>
        <w:jc w:val="both"/>
      </w:pPr>
      <w:r>
        <w:rPr/>
        <w:t>合作开发制作和出版发行”,公司向该单位支付相应版权使用费。然而在双方未解除合同的情况下，某单</w:t>
      </w:r>
      <w:r>
        <w:rPr>
          <w:spacing w:val="-26"/>
        </w:rPr>
        <w:t> </w:t>
      </w:r>
      <w:r>
        <w:rPr>
          <w:spacing w:val="-26"/>
        </w:rPr>
      </w:r>
      <w:r>
        <w:rPr>
          <w:spacing w:val="-2"/>
        </w:rPr>
        <w:t>位将其中一份合同中的教材配套软件授权给第三方公司研发制作，公司认为该单位违反了该份合同中“独</w:t>
      </w:r>
      <w:r>
        <w:rPr>
          <w:spacing w:val="-43"/>
        </w:rPr>
        <w:t> </w:t>
      </w:r>
      <w:r>
        <w:rPr>
          <w:spacing w:val="-43"/>
        </w:rPr>
      </w:r>
      <w:r>
        <w:rPr/>
        <w:t>家制作权和独家发行权”的约定，自</w:t>
      </w:r>
      <w:r>
        <w:rPr>
          <w:rFonts w:ascii="宋体" w:hAnsi="宋体" w:cs="宋体" w:eastAsia="宋体" w:hint="default"/>
        </w:rPr>
        <w:t>2011</w:t>
      </w:r>
      <w:r>
        <w:rPr/>
        <w:t>年起暂停支付上述六份合同中约定的版权使用费。</w:t>
      </w:r>
    </w:p>
    <w:p>
      <w:pPr>
        <w:pStyle w:val="BodyText"/>
        <w:spacing w:line="408" w:lineRule="auto"/>
        <w:ind w:right="146"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06</w:t>
      </w:r>
      <w:r>
        <w:rPr>
          <w:spacing w:val="-2"/>
        </w:rPr>
        <w:t>月，某单位依据双方签订的六份合同要求公司支付</w:t>
      </w:r>
      <w:r>
        <w:rPr>
          <w:rFonts w:ascii="宋体" w:hAnsi="宋体" w:cs="宋体" w:eastAsia="宋体" w:hint="default"/>
          <w:spacing w:val="-2"/>
        </w:rPr>
        <w:t>2011</w:t>
      </w:r>
      <w:r>
        <w:rPr>
          <w:spacing w:val="-2"/>
        </w:rPr>
        <w:t>年—</w:t>
      </w:r>
      <w:r>
        <w:rPr>
          <w:rFonts w:ascii="宋体" w:hAnsi="宋体" w:cs="宋体" w:eastAsia="宋体" w:hint="default"/>
          <w:spacing w:val="-2"/>
        </w:rPr>
        <w:t>2016</w:t>
      </w:r>
      <w:r>
        <w:rPr>
          <w:spacing w:val="-2"/>
        </w:rPr>
        <w:t>年期间的版权使用费，本公</w:t>
      </w:r>
      <w:r>
        <w:rPr>
          <w:w w:val="100"/>
        </w:rPr>
        <w:t> </w:t>
      </w:r>
      <w:r>
        <w:rPr>
          <w:spacing w:val="-2"/>
        </w:rPr>
        <w:t>司于</w:t>
      </w:r>
      <w:r>
        <w:rPr>
          <w:rFonts w:ascii="宋体" w:hAnsi="宋体" w:cs="宋体" w:eastAsia="宋体" w:hint="default"/>
          <w:spacing w:val="-2"/>
        </w:rPr>
        <w:t>2017</w:t>
      </w:r>
      <w:r>
        <w:rPr>
          <w:spacing w:val="-2"/>
        </w:rPr>
        <w:t>年</w:t>
      </w:r>
      <w:r>
        <w:rPr>
          <w:rFonts w:ascii="宋体" w:hAnsi="宋体" w:cs="宋体" w:eastAsia="宋体" w:hint="default"/>
          <w:spacing w:val="-2"/>
        </w:rPr>
        <w:t>09</w:t>
      </w:r>
      <w:r>
        <w:rPr>
          <w:spacing w:val="-2"/>
        </w:rPr>
        <w:t>月支付</w:t>
      </w:r>
      <w:r>
        <w:rPr>
          <w:rFonts w:ascii="宋体" w:hAnsi="宋体" w:cs="宋体" w:eastAsia="宋体" w:hint="default"/>
          <w:spacing w:val="-2"/>
        </w:rPr>
        <w:t>2011</w:t>
      </w:r>
      <w:r>
        <w:rPr>
          <w:spacing w:val="-2"/>
        </w:rPr>
        <w:t>年—</w:t>
      </w:r>
      <w:r>
        <w:rPr>
          <w:rFonts w:ascii="宋体" w:hAnsi="宋体" w:cs="宋体" w:eastAsia="宋体" w:hint="default"/>
          <w:spacing w:val="-2"/>
        </w:rPr>
        <w:t>2016</w:t>
      </w:r>
      <w:r>
        <w:rPr>
          <w:spacing w:val="-2"/>
        </w:rPr>
        <w:t>年版权使用费</w:t>
      </w:r>
      <w:r>
        <w:rPr>
          <w:rFonts w:ascii="宋体" w:hAnsi="宋体" w:cs="宋体" w:eastAsia="宋体" w:hint="default"/>
          <w:spacing w:val="-2"/>
        </w:rPr>
        <w:t>5,088,133.44</w:t>
      </w:r>
      <w:r>
        <w:rPr>
          <w:spacing w:val="-2"/>
        </w:rPr>
        <w:t>元（不含税价），因之前已计提版权使用费</w:t>
      </w:r>
      <w:r>
        <w:rPr>
          <w:spacing w:val="-22"/>
        </w:rPr>
        <w:t> </w:t>
      </w:r>
      <w:r>
        <w:rPr>
          <w:spacing w:val="-22"/>
        </w:rPr>
      </w:r>
      <w:r>
        <w:rPr>
          <w:rFonts w:ascii="宋体" w:hAnsi="宋体" w:cs="宋体" w:eastAsia="宋体" w:hint="default"/>
        </w:rPr>
        <w:t>179,133.24</w:t>
      </w:r>
      <w:r>
        <w:rPr/>
        <w:t>元，本次前期差错更正金额为</w:t>
      </w:r>
      <w:r>
        <w:rPr>
          <w:rFonts w:ascii="宋体" w:hAnsi="宋体" w:cs="宋体" w:eastAsia="宋体" w:hint="default"/>
        </w:rPr>
        <w:t>4,909,000.20</w:t>
      </w:r>
      <w:r>
        <w:rPr/>
        <w:t>元。</w:t>
      </w:r>
    </w:p>
    <w:p>
      <w:pPr>
        <w:pStyle w:val="BodyText"/>
        <w:spacing w:line="408" w:lineRule="auto"/>
        <w:ind w:right="146" w:firstLine="420"/>
        <w:jc w:val="both"/>
      </w:pPr>
      <w:r>
        <w:rPr>
          <w:spacing w:val="-4"/>
        </w:rPr>
        <w:t>根据《企业会计准则第</w:t>
      </w:r>
      <w:r>
        <w:rPr>
          <w:rFonts w:ascii="宋体" w:hAnsi="宋体" w:cs="宋体" w:eastAsia="宋体" w:hint="default"/>
          <w:spacing w:val="-4"/>
        </w:rPr>
        <w:t>28</w:t>
      </w:r>
      <w:r>
        <w:rPr>
          <w:spacing w:val="-4"/>
        </w:rPr>
        <w:t>号</w:t>
      </w:r>
      <w:r>
        <w:rPr>
          <w:rFonts w:ascii="宋体" w:hAnsi="宋体" w:cs="宋体" w:eastAsia="宋体" w:hint="default"/>
          <w:spacing w:val="-4"/>
        </w:rPr>
        <w:t>--</w:t>
      </w:r>
      <w:r>
        <w:rPr>
          <w:spacing w:val="-4"/>
        </w:rPr>
        <w:t>会计政策、会计估计变更和差错更正》</w:t>
      </w:r>
      <w:r>
        <w:rPr>
          <w:rFonts w:ascii="宋体" w:hAnsi="宋体" w:cs="宋体" w:eastAsia="宋体" w:hint="default"/>
          <w:spacing w:val="-4"/>
        </w:rPr>
        <w:t>,</w:t>
      </w:r>
      <w:r>
        <w:rPr>
          <w:spacing w:val="-4"/>
        </w:rPr>
        <w:t>经公司</w:t>
      </w:r>
      <w:r>
        <w:rPr>
          <w:rFonts w:ascii="宋体" w:hAnsi="宋体" w:cs="宋体" w:eastAsia="宋体" w:hint="default"/>
          <w:spacing w:val="-4"/>
        </w:rPr>
        <w:t>2018</w:t>
      </w:r>
      <w:r>
        <w:rPr>
          <w:spacing w:val="-4"/>
        </w:rPr>
        <w:t>年</w:t>
      </w:r>
      <w:r>
        <w:rPr>
          <w:rFonts w:ascii="宋体" w:hAnsi="宋体" w:cs="宋体" w:eastAsia="宋体" w:hint="default"/>
          <w:spacing w:val="-4"/>
        </w:rPr>
        <w:t>04</w:t>
      </w:r>
      <w:r>
        <w:rPr>
          <w:spacing w:val="-4"/>
        </w:rPr>
        <w:t>月</w:t>
      </w:r>
      <w:r>
        <w:rPr>
          <w:rFonts w:ascii="宋体" w:hAnsi="宋体" w:cs="宋体" w:eastAsia="宋体" w:hint="default"/>
          <w:spacing w:val="-4"/>
        </w:rPr>
        <w:t>16</w:t>
      </w:r>
      <w:r>
        <w:rPr>
          <w:spacing w:val="-4"/>
        </w:rPr>
        <w:t>日第三届董</w:t>
      </w:r>
      <w:r>
        <w:rPr>
          <w:w w:val="100"/>
        </w:rPr>
        <w:t> </w:t>
      </w:r>
      <w:r>
        <w:rPr/>
        <w:t>事会第三十次会议审议通过，公司在编制</w:t>
      </w:r>
      <w:r>
        <w:rPr>
          <w:rFonts w:ascii="宋体" w:hAnsi="宋体" w:cs="宋体" w:eastAsia="宋体" w:hint="default"/>
        </w:rPr>
        <w:t>2017</w:t>
      </w:r>
      <w:r>
        <w:rPr/>
        <w:t>年度财务报告时对上述前期差错进行追溯更正。</w:t>
      </w:r>
    </w:p>
    <w:p>
      <w:pPr>
        <w:pStyle w:val="BodyText"/>
        <w:spacing w:line="408" w:lineRule="auto"/>
        <w:ind w:right="210" w:firstLine="420"/>
        <w:jc w:val="both"/>
      </w:pPr>
      <w:r>
        <w:rPr>
          <w:spacing w:val="-5"/>
        </w:rPr>
        <w:t>上述会计差错更正及追溯调整事项详见公司于</w:t>
      </w:r>
      <w:r>
        <w:rPr>
          <w:rFonts w:ascii="宋体" w:hAnsi="宋体" w:cs="宋体" w:eastAsia="宋体" w:hint="default"/>
          <w:spacing w:val="-5"/>
        </w:rPr>
        <w:t>2018</w:t>
      </w:r>
      <w:r>
        <w:rPr>
          <w:spacing w:val="-5"/>
        </w:rPr>
        <w:t>年</w:t>
      </w:r>
      <w:r>
        <w:rPr>
          <w:rFonts w:ascii="宋体" w:hAnsi="宋体" w:cs="宋体" w:eastAsia="宋体" w:hint="default"/>
          <w:spacing w:val="-5"/>
        </w:rPr>
        <w:t>04</w:t>
      </w:r>
      <w:r>
        <w:rPr>
          <w:spacing w:val="-5"/>
        </w:rPr>
        <w:t>月</w:t>
      </w:r>
      <w:r>
        <w:rPr>
          <w:rFonts w:ascii="宋体" w:hAnsi="宋体" w:cs="宋体" w:eastAsia="宋体" w:hint="default"/>
          <w:spacing w:val="-5"/>
        </w:rPr>
        <w:t>18</w:t>
      </w:r>
      <w:r>
        <w:rPr>
          <w:spacing w:val="-5"/>
        </w:rPr>
        <w:t>日在巨潮资讯网（</w:t>
      </w:r>
      <w:hyperlink r:id="rId13">
        <w:r>
          <w:rPr>
            <w:rFonts w:ascii="宋体" w:hAnsi="宋体" w:cs="宋体" w:eastAsia="宋体" w:hint="default"/>
            <w:spacing w:val="-5"/>
          </w:rPr>
          <w:t>www.cninfo.com.cn</w:t>
        </w:r>
      </w:hyperlink>
      <w:r>
        <w:rPr>
          <w:spacing w:val="-5"/>
        </w:rPr>
        <w:t>）披</w:t>
      </w:r>
      <w:r>
        <w:rPr>
          <w:spacing w:val="-65"/>
          <w:w w:val="100"/>
        </w:rPr>
        <w:t> </w:t>
      </w:r>
      <w:r>
        <w:rPr/>
        <w:t>露的公告（公告编码：</w:t>
      </w:r>
      <w:r>
        <w:rPr>
          <w:rFonts w:ascii="宋体" w:hAnsi="宋体" w:cs="宋体" w:eastAsia="宋体" w:hint="default"/>
        </w:rPr>
        <w:t>2018-024</w:t>
      </w:r>
      <w:r>
        <w:rPr/>
        <w:t>）。</w:t>
      </w:r>
    </w:p>
    <w:p>
      <w:pPr>
        <w:pStyle w:val="Heading3"/>
        <w:spacing w:line="240" w:lineRule="auto" w:before="167"/>
        <w:ind w:right="0"/>
        <w:jc w:val="both"/>
        <w:rPr>
          <w:b w:val="0"/>
          <w:bCs w:val="0"/>
        </w:rPr>
      </w:pPr>
      <w:r>
        <w:rPr/>
        <w:t>十九、公司子公司重大事项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left="2964" w:right="0"/>
        <w:jc w:val="left"/>
        <w:rPr>
          <w:b w:val="0"/>
          <w:bCs w:val="0"/>
        </w:rPr>
      </w:pPr>
      <w:bookmarkStart w:name="_bookmark4" w:id="5"/>
      <w:bookmarkEnd w:id="5"/>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51"/>
        <w:gridCol w:w="992"/>
        <w:gridCol w:w="852"/>
        <w:gridCol w:w="850"/>
        <w:gridCol w:w="566"/>
        <w:gridCol w:w="710"/>
        <w:gridCol w:w="992"/>
        <w:gridCol w:w="852"/>
        <w:gridCol w:w="1013"/>
        <w:gridCol w:w="794"/>
      </w:tblGrid>
      <w:tr>
        <w:trPr>
          <w:trHeight w:val="403" w:hRule="exact"/>
        </w:trPr>
        <w:tc>
          <w:tcPr>
            <w:tcW w:w="1951"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19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2"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63,456,295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40.06%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9,431,090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8,284,619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71,740,914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42.75%</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63,456,295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40.06%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9,431,090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8,284,619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71,740,914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42.75%</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9,431,090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9,431,090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9,431,090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63,456,295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40.06%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-1,146,471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62,309,824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37.13%</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94,943,705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59.93%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1,146,471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1,146,471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96,090,176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57.25%</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94,943,705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59.93%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1,146,471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1,146,471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96,090,176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57.25%</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9,431,090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9,431,090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167,831,090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3" w:right="0"/>
        <w:jc w:val="left"/>
      </w:pPr>
      <w:r>
        <w:rPr/>
        <w:t>（</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01</w:t>
      </w:r>
      <w:r>
        <w:rPr/>
        <w:t>月</w:t>
      </w:r>
      <w:r>
        <w:rPr>
          <w:rFonts w:ascii="宋体" w:hAnsi="宋体" w:cs="宋体" w:eastAsia="宋体" w:hint="default"/>
        </w:rPr>
        <w:t>01</w:t>
      </w:r>
      <w:r>
        <w:rPr/>
        <w:t>日，根据各董事、监事、高管的承诺，其持有的公司股份每年度解除限售</w:t>
      </w:r>
      <w:r>
        <w:rPr>
          <w:rFonts w:ascii="宋体" w:hAnsi="宋体" w:cs="宋体" w:eastAsia="宋体" w:hint="default"/>
        </w:rPr>
        <w:t>25%</w:t>
      </w:r>
      <w:r>
        <w:rPr/>
        <w:t>。</w:t>
      </w:r>
    </w:p>
    <w:p>
      <w:pPr>
        <w:spacing w:line="240" w:lineRule="auto" w:before="10"/>
        <w:rPr>
          <w:rFonts w:ascii="宋体" w:hAnsi="宋体" w:cs="宋体" w:eastAsia="宋体" w:hint="default"/>
          <w:sz w:val="14"/>
          <w:szCs w:val="14"/>
        </w:rPr>
      </w:pPr>
    </w:p>
    <w:p>
      <w:pPr>
        <w:pStyle w:val="BodyText"/>
        <w:spacing w:line="408" w:lineRule="auto" w:before="0"/>
        <w:ind w:right="146" w:firstLine="420"/>
        <w:jc w:val="both"/>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2017</w:t>
      </w:r>
      <w:r>
        <w:rPr>
          <w:spacing w:val="-4"/>
        </w:rPr>
        <w:t>年</w:t>
      </w:r>
      <w:r>
        <w:rPr>
          <w:rFonts w:ascii="宋体" w:hAnsi="宋体" w:cs="宋体" w:eastAsia="宋体" w:hint="default"/>
          <w:spacing w:val="-4"/>
        </w:rPr>
        <w:t>03</w:t>
      </w:r>
      <w:r>
        <w:rPr>
          <w:spacing w:val="-4"/>
        </w:rPr>
        <w:t>月</w:t>
      </w:r>
      <w:r>
        <w:rPr>
          <w:rFonts w:ascii="宋体" w:hAnsi="宋体" w:cs="宋体" w:eastAsia="宋体" w:hint="default"/>
          <w:spacing w:val="-4"/>
        </w:rPr>
        <w:t>23</w:t>
      </w:r>
      <w:r>
        <w:rPr>
          <w:spacing w:val="-4"/>
        </w:rPr>
        <w:t>日，公司披露了《关于非公开发行新增股份变动报告及上市公告书》，公司向特定</w:t>
      </w:r>
      <w:r>
        <w:rPr>
          <w:w w:val="100"/>
        </w:rPr>
        <w:t> </w:t>
      </w:r>
      <w:r>
        <w:rPr>
          <w:spacing w:val="16"/>
        </w:rPr>
        <w:t>投资者北京嘉豪伟业投资中心（有限合伙）和前海开源基金管理有限公司共发行人民币普通股 </w:t>
      </w:r>
      <w:r>
        <w:rPr>
          <w:rFonts w:ascii="宋体" w:hAnsi="宋体" w:cs="宋体" w:eastAsia="宋体" w:hint="default"/>
        </w:rPr>
        <w:t>(A</w:t>
      </w:r>
      <w:r>
        <w:rPr>
          <w:rFonts w:ascii="宋体" w:hAnsi="宋体" w:cs="宋体" w:eastAsia="宋体" w:hint="default"/>
          <w:spacing w:val="-77"/>
        </w:rPr>
        <w:t> </w:t>
      </w:r>
      <w:r>
        <w:rPr>
          <w:spacing w:val="-2"/>
        </w:rPr>
        <w:t>股</w:t>
      </w:r>
      <w:r>
        <w:rPr>
          <w:rFonts w:ascii="宋体" w:hAnsi="宋体" w:cs="宋体" w:eastAsia="宋体" w:hint="default"/>
          <w:spacing w:val="-2"/>
        </w:rPr>
        <w:t>)9,431,090</w:t>
      </w:r>
      <w:r>
        <w:rPr>
          <w:spacing w:val="-2"/>
        </w:rPr>
        <w:t>股，本次非公开发行股票新增股份已于</w:t>
      </w:r>
      <w:r>
        <w:rPr>
          <w:rFonts w:ascii="宋体" w:hAnsi="宋体" w:cs="宋体" w:eastAsia="宋体" w:hint="default"/>
          <w:spacing w:val="-2"/>
        </w:rPr>
        <w:t>2017</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27</w:t>
      </w:r>
      <w:r>
        <w:rPr>
          <w:spacing w:val="-2"/>
        </w:rPr>
        <w:t>日在深圳证券交易所上市，北京嘉豪伟</w:t>
      </w:r>
      <w:r>
        <w:rPr>
          <w:spacing w:val="-27"/>
        </w:rPr>
        <w:t> </w:t>
      </w:r>
      <w:r>
        <w:rPr>
          <w:spacing w:val="-27"/>
        </w:rPr>
      </w:r>
      <w:r>
        <w:rPr>
          <w:spacing w:val="-2"/>
        </w:rPr>
        <w:t>业投资中心（有限合伙）和前海开源基金管理有限公司认购本次发行的股份自愿承诺自上市之日起</w:t>
      </w:r>
      <w:r>
        <w:rPr>
          <w:rFonts w:ascii="宋体" w:hAnsi="宋体" w:cs="宋体" w:eastAsia="宋体" w:hint="default"/>
          <w:spacing w:val="-2"/>
        </w:rPr>
        <w:t>12</w:t>
      </w:r>
      <w:r>
        <w:rPr>
          <w:spacing w:val="-2"/>
        </w:rPr>
        <w:t>个月</w:t>
      </w:r>
      <w:r>
        <w:rPr>
          <w:spacing w:val="-40"/>
        </w:rPr>
        <w:t> </w:t>
      </w:r>
      <w:r>
        <w:rPr/>
        <w:t>内不转让，即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日起，本次非公开发行股票可上市流通。</w:t>
      </w:r>
    </w:p>
    <w:p>
      <w:pPr>
        <w:pStyle w:val="BodyText"/>
        <w:spacing w:line="410" w:lineRule="auto"/>
        <w:ind w:right="153" w:firstLine="420"/>
        <w:jc w:val="both"/>
      </w:pPr>
      <w:r>
        <w:rPr>
          <w:spacing w:val="12"/>
        </w:rPr>
        <w:t>在上述非公开发行股票前公司总股本为 </w:t>
      </w:r>
      <w:r>
        <w:rPr>
          <w:rFonts w:ascii="宋体" w:hAnsi="宋体" w:cs="宋体" w:eastAsia="宋体" w:hint="default"/>
        </w:rPr>
        <w:t>158,400,000</w:t>
      </w:r>
      <w:r>
        <w:rPr>
          <w:rFonts w:ascii="宋体" w:hAnsi="宋体" w:cs="宋体" w:eastAsia="宋体" w:hint="default"/>
          <w:spacing w:val="51"/>
        </w:rPr>
        <w:t> </w:t>
      </w:r>
      <w:r>
        <w:rPr>
          <w:spacing w:val="12"/>
        </w:rPr>
        <w:t>股，非公开发行股票后公司总股本变更为</w:t>
      </w:r>
      <w:r>
        <w:rPr>
          <w:w w:val="100"/>
        </w:rPr>
        <w:t> </w:t>
      </w:r>
      <w:r>
        <w:rPr>
          <w:rFonts w:ascii="宋体" w:hAnsi="宋体" w:cs="宋体" w:eastAsia="宋体" w:hint="default"/>
        </w:rPr>
        <w:t>167,831,090</w:t>
      </w:r>
      <w:r>
        <w:rPr/>
        <w:t>股。</w:t>
      </w:r>
    </w:p>
    <w:p>
      <w:pPr>
        <w:pStyle w:val="BodyText"/>
        <w:spacing w:line="408" w:lineRule="auto" w:before="44"/>
        <w:ind w:right="146" w:firstLine="420"/>
        <w:jc w:val="both"/>
      </w:pPr>
      <w:r>
        <w:rPr/>
        <w:t>（</w:t>
      </w: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06</w:t>
      </w:r>
      <w:r>
        <w:rPr/>
        <w:t>月</w:t>
      </w:r>
      <w:r>
        <w:rPr>
          <w:rFonts w:ascii="宋体" w:hAnsi="宋体" w:cs="宋体" w:eastAsia="宋体" w:hint="default"/>
        </w:rPr>
        <w:t>02</w:t>
      </w:r>
      <w:r>
        <w:rPr/>
        <w:t>日至</w:t>
      </w:r>
      <w:r>
        <w:rPr>
          <w:rFonts w:ascii="宋体" w:hAnsi="宋体" w:cs="宋体" w:eastAsia="宋体" w:hint="default"/>
        </w:rPr>
        <w:t>06</w:t>
      </w:r>
      <w:r>
        <w:rPr/>
        <w:t>月</w:t>
      </w:r>
      <w:r>
        <w:rPr>
          <w:rFonts w:ascii="宋体" w:hAnsi="宋体" w:cs="宋体" w:eastAsia="宋体" w:hint="default"/>
        </w:rPr>
        <w:t>05</w:t>
      </w:r>
      <w:r>
        <w:rPr/>
        <w:t>日，公司实际控制人黄元忠先生通过深圳证券交易所交易系统集中竞</w:t>
      </w:r>
      <w:r>
        <w:rPr>
          <w:w w:val="100"/>
        </w:rPr>
        <w:t> </w:t>
      </w:r>
      <w:r>
        <w:rPr>
          <w:spacing w:val="-4"/>
        </w:rPr>
        <w:t>价方式共增持公司股票</w:t>
      </w:r>
      <w:r>
        <w:rPr>
          <w:rFonts w:ascii="宋体" w:hAnsi="宋体" w:cs="宋体" w:eastAsia="宋体" w:hint="default"/>
          <w:spacing w:val="-4"/>
        </w:rPr>
        <w:t>428,000</w:t>
      </w:r>
      <w:r>
        <w:rPr>
          <w:spacing w:val="-4"/>
        </w:rPr>
        <w:t>股，占公司股本总数的</w:t>
      </w:r>
      <w:r>
        <w:rPr>
          <w:rFonts w:ascii="宋体" w:hAnsi="宋体" w:cs="宋体" w:eastAsia="宋体" w:hint="default"/>
          <w:spacing w:val="-4"/>
        </w:rPr>
        <w:t>0.255%</w:t>
      </w:r>
      <w:r>
        <w:rPr>
          <w:spacing w:val="-4"/>
        </w:rPr>
        <w:t>，黄元忠先生承诺在增持完成后的六个月内不</w:t>
      </w:r>
      <w:r>
        <w:rPr>
          <w:spacing w:val="-33"/>
        </w:rPr>
        <w:t> </w:t>
      </w:r>
      <w:r>
        <w:rPr>
          <w:spacing w:val="-33"/>
        </w:rPr>
      </w:r>
      <w:r>
        <w:rPr>
          <w:spacing w:val="-4"/>
        </w:rPr>
        <w:t>转让所持有的公司股份，并严格执行《上市公司股东、董监高减持股份的若干规定》（证监会公告</w:t>
      </w:r>
      <w:r>
        <w:rPr>
          <w:rFonts w:ascii="宋体" w:hAnsi="宋体" w:cs="宋体" w:eastAsia="宋体" w:hint="default"/>
          <w:spacing w:val="-4"/>
        </w:rPr>
        <w:t>[2017]9</w:t>
      </w:r>
      <w:r>
        <w:rPr>
          <w:rFonts w:ascii="宋体" w:hAnsi="宋体" w:cs="宋体" w:eastAsia="宋体" w:hint="default"/>
          <w:spacing w:val="-41"/>
        </w:rPr>
        <w:t> </w:t>
      </w:r>
      <w:r>
        <w:rPr>
          <w:rFonts w:ascii="宋体" w:hAnsi="宋体" w:cs="宋体" w:eastAsia="宋体" w:hint="default"/>
          <w:spacing w:val="-41"/>
        </w:rPr>
      </w:r>
      <w:r>
        <w:rPr>
          <w:spacing w:val="-2"/>
        </w:rPr>
        <w:t>号）及《深圳证券交易所上市公司股东及董事、监事、高级管理人员减持股份实施细则》等相关规定实施</w:t>
      </w:r>
      <w:r>
        <w:rPr>
          <w:spacing w:val="-43"/>
        </w:rPr>
        <w:t> </w:t>
      </w:r>
      <w:r>
        <w:rPr>
          <w:spacing w:val="-43"/>
        </w:rPr>
      </w:r>
      <w:r>
        <w:rPr/>
        <w:t>减持，并依法依规履行信息披露义务。</w:t>
      </w:r>
    </w:p>
    <w:p>
      <w:pPr>
        <w:spacing w:after="0" w:line="408" w:lineRule="auto"/>
        <w:jc w:val="both"/>
        <w:sectPr>
          <w:pgSz w:w="11910" w:h="16840"/>
          <w:pgMar w:header="880" w:footer="979" w:top="1100" w:bottom="1160" w:left="980" w:right="980"/>
        </w:sectPr>
      </w:pPr>
    </w:p>
    <w:p>
      <w:pPr>
        <w:spacing w:line="240" w:lineRule="auto" w:before="12"/>
        <w:rPr>
          <w:rFonts w:ascii="宋体" w:hAnsi="宋体" w:cs="宋体" w:eastAsia="宋体" w:hint="default"/>
          <w:sz w:val="26"/>
          <w:szCs w:val="26"/>
        </w:rPr>
      </w:pPr>
    </w:p>
    <w:p>
      <w:pPr>
        <w:pStyle w:val="BodyText"/>
        <w:spacing w:line="408" w:lineRule="auto" w:before="36"/>
        <w:ind w:right="206" w:firstLine="420"/>
        <w:jc w:val="both"/>
      </w:pPr>
      <w:r>
        <w:rPr>
          <w:spacing w:val="-4"/>
        </w:rPr>
        <w:t>（</w:t>
      </w:r>
      <w:r>
        <w:rPr>
          <w:rFonts w:ascii="宋体" w:hAnsi="宋体" w:cs="宋体" w:eastAsia="宋体" w:hint="default"/>
          <w:spacing w:val="-4"/>
        </w:rPr>
        <w:t>4</w:t>
      </w:r>
      <w:r>
        <w:rPr>
          <w:spacing w:val="-4"/>
        </w:rPr>
        <w:t>）</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08</w:t>
      </w:r>
      <w:r>
        <w:rPr>
          <w:spacing w:val="-4"/>
        </w:rPr>
        <w:t>日，公司副总经理兼财务总监孙晓玲女士休假期间遭遇意外不幸去世。其持有公司</w:t>
      </w:r>
      <w:r>
        <w:rPr>
          <w:w w:val="100"/>
        </w:rPr>
        <w:t> </w:t>
      </w:r>
      <w:r>
        <w:rPr>
          <w:spacing w:val="-2"/>
        </w:rPr>
        <w:t>股票</w:t>
      </w:r>
      <w:r>
        <w:rPr>
          <w:rFonts w:ascii="宋体" w:hAnsi="宋体" w:cs="宋体" w:eastAsia="宋体" w:hint="default"/>
          <w:spacing w:val="-2"/>
        </w:rPr>
        <w:t>1,637,164</w:t>
      </w:r>
      <w:r>
        <w:rPr>
          <w:spacing w:val="-2"/>
        </w:rPr>
        <w:t>股，占公司股本总数的</w:t>
      </w:r>
      <w:r>
        <w:rPr>
          <w:rFonts w:ascii="宋体" w:hAnsi="宋体" w:cs="宋体" w:eastAsia="宋体" w:hint="default"/>
          <w:spacing w:val="-2"/>
        </w:rPr>
        <w:t>0.9754%</w:t>
      </w:r>
      <w:r>
        <w:rPr>
          <w:spacing w:val="-2"/>
        </w:rPr>
        <w:t>，原定任期为</w:t>
      </w:r>
      <w:r>
        <w:rPr>
          <w:rFonts w:ascii="宋体" w:hAnsi="宋体" w:cs="宋体" w:eastAsia="宋体" w:hint="default"/>
          <w:spacing w:val="-2"/>
        </w:rPr>
        <w:t>2015</w:t>
      </w:r>
      <w:r>
        <w:rPr>
          <w:spacing w:val="-2"/>
        </w:rPr>
        <w:t>年</w:t>
      </w:r>
      <w:r>
        <w:rPr>
          <w:rFonts w:ascii="宋体" w:hAnsi="宋体" w:cs="宋体" w:eastAsia="宋体" w:hint="default"/>
          <w:spacing w:val="-2"/>
        </w:rPr>
        <w:t>08</w:t>
      </w:r>
      <w:r>
        <w:rPr>
          <w:spacing w:val="-2"/>
        </w:rPr>
        <w:t>月</w:t>
      </w:r>
      <w:r>
        <w:rPr>
          <w:rFonts w:ascii="宋体" w:hAnsi="宋体" w:cs="宋体" w:eastAsia="宋体" w:hint="default"/>
          <w:spacing w:val="-2"/>
        </w:rPr>
        <w:t>07</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08</w:t>
      </w:r>
      <w:r>
        <w:rPr>
          <w:spacing w:val="-2"/>
        </w:rPr>
        <w:t>月</w:t>
      </w:r>
      <w:r>
        <w:rPr>
          <w:rFonts w:ascii="宋体" w:hAnsi="宋体" w:cs="宋体" w:eastAsia="宋体" w:hint="default"/>
          <w:spacing w:val="-2"/>
        </w:rPr>
        <w:t>07</w:t>
      </w:r>
      <w:r>
        <w:rPr>
          <w:spacing w:val="-2"/>
        </w:rPr>
        <w:t>日，其所持公</w:t>
      </w:r>
      <w:r>
        <w:rPr>
          <w:spacing w:val="-18"/>
        </w:rPr>
        <w:t> </w:t>
      </w:r>
      <w:r>
        <w:rPr>
          <w:spacing w:val="-18"/>
        </w:rPr>
      </w:r>
      <w:r>
        <w:rPr>
          <w:spacing w:val="-7"/>
          <w:w w:val="100"/>
        </w:rPr>
        <w:t>司股份将按照《深圳证券交易所创业板上市公司规范运作指引》、《深圳证券交易所上市公司股东及董事、</w:t>
      </w:r>
      <w:r>
        <w:rPr>
          <w:spacing w:val="-73"/>
          <w:w w:val="100"/>
        </w:rPr>
        <w:t> </w:t>
      </w:r>
      <w:r>
        <w:rPr>
          <w:spacing w:val="-73"/>
          <w:w w:val="100"/>
        </w:rPr>
      </w:r>
      <w:r>
        <w:rPr>
          <w:spacing w:val="-5"/>
        </w:rPr>
        <w:t>监事、高级管理人员减持股份实施细则》等相关法律、法规及相关承诺进行管理。公司在离任申报后</w:t>
      </w:r>
      <w:r>
        <w:rPr>
          <w:rFonts w:ascii="宋体" w:hAnsi="宋体" w:cs="宋体" w:eastAsia="宋体" w:hint="default"/>
          <w:spacing w:val="-5"/>
        </w:rPr>
        <w:t>2</w:t>
      </w:r>
      <w:r>
        <w:rPr>
          <w:spacing w:val="-5"/>
        </w:rPr>
        <w:t>个交</w:t>
      </w:r>
      <w:r>
        <w:rPr>
          <w:spacing w:val="-13"/>
        </w:rPr>
        <w:t> </w:t>
      </w:r>
      <w:r>
        <w:rPr/>
        <w:t>易日内已在中国证券登记结算有限责任公司深圳分公司办理股份锁定相关事宜。</w:t>
      </w:r>
    </w:p>
    <w:p>
      <w:pPr>
        <w:spacing w:before="28"/>
        <w:ind w:left="153" w:right="6954"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6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3" w:right="0"/>
        <w:jc w:val="left"/>
      </w:pPr>
      <w:r>
        <w:rPr>
          <w:rFonts w:ascii="宋体" w:hAnsi="宋体" w:cs="宋体" w:eastAsia="宋体" w:hint="default"/>
        </w:rPr>
        <w:t>1</w:t>
      </w:r>
      <w:r>
        <w:rPr/>
        <w:t>、公司本次非公开发行</w:t>
      </w:r>
      <w:r>
        <w:rPr>
          <w:rFonts w:ascii="宋体" w:hAnsi="宋体" w:cs="宋体" w:eastAsia="宋体" w:hint="default"/>
        </w:rPr>
        <w:t>A</w:t>
      </w:r>
      <w:r>
        <w:rPr/>
        <w:t>股股票履行了以下程序：</w:t>
      </w:r>
    </w:p>
    <w:p>
      <w:pPr>
        <w:spacing w:line="240" w:lineRule="auto" w:before="11"/>
        <w:rPr>
          <w:rFonts w:ascii="宋体" w:hAnsi="宋体" w:cs="宋体" w:eastAsia="宋体" w:hint="default"/>
          <w:sz w:val="14"/>
          <w:szCs w:val="14"/>
        </w:rPr>
      </w:pPr>
    </w:p>
    <w:p>
      <w:pPr>
        <w:pStyle w:val="BodyText"/>
        <w:spacing w:line="408" w:lineRule="auto" w:before="0"/>
        <w:ind w:right="208" w:firstLine="420"/>
        <w:jc w:val="both"/>
      </w:pP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19</w:t>
      </w:r>
      <w:r>
        <w:rPr/>
        <w:t>日，公司召开第二届董事会第十九次会议，审议并通过了公司本次非公开发行股票的相</w:t>
      </w:r>
      <w:r>
        <w:rPr>
          <w:w w:val="100"/>
        </w:rPr>
        <w:t> </w:t>
      </w:r>
      <w:r>
        <w:rPr>
          <w:spacing w:val="-4"/>
        </w:rPr>
        <w:t>关议案。</w:t>
      </w:r>
      <w:r>
        <w:rPr>
          <w:rFonts w:ascii="宋体" w:hAnsi="宋体" w:cs="宋体" w:eastAsia="宋体" w:hint="default"/>
          <w:spacing w:val="-4"/>
        </w:rPr>
        <w:t>2015</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29</w:t>
      </w:r>
      <w:r>
        <w:rPr>
          <w:spacing w:val="-4"/>
        </w:rPr>
        <w:t>日，公司召开第二届董事会第二十次会议，审议通过了《非公开发行股票预案（修订</w:t>
      </w:r>
      <w:r>
        <w:rPr>
          <w:spacing w:val="-43"/>
        </w:rPr>
        <w:t> </w:t>
      </w:r>
      <w:r>
        <w:rPr>
          <w:spacing w:val="-43"/>
        </w:rPr>
      </w:r>
      <w:r>
        <w:rPr/>
        <w:t>稿）》的议案、《非公开发行股票募集资金使用的可行性报告（修订稿）》的议案。</w:t>
      </w:r>
    </w:p>
    <w:p>
      <w:pPr>
        <w:pStyle w:val="BodyText"/>
        <w:spacing w:line="408" w:lineRule="auto"/>
        <w:ind w:right="206" w:firstLine="420"/>
        <w:jc w:val="both"/>
      </w:pPr>
      <w:r>
        <w:rPr>
          <w:rFonts w:ascii="宋体" w:hAnsi="宋体" w:cs="宋体" w:eastAsia="宋体" w:hint="default"/>
          <w:spacing w:val="-4"/>
        </w:rPr>
        <w:t>2015</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14</w:t>
      </w:r>
      <w:r>
        <w:rPr>
          <w:spacing w:val="-4"/>
        </w:rPr>
        <w:t>日，公司召开</w:t>
      </w:r>
      <w:r>
        <w:rPr>
          <w:rFonts w:ascii="宋体" w:hAnsi="宋体" w:cs="宋体" w:eastAsia="宋体" w:hint="default"/>
          <w:spacing w:val="-4"/>
        </w:rPr>
        <w:t>2015</w:t>
      </w:r>
      <w:r>
        <w:rPr>
          <w:spacing w:val="-4"/>
        </w:rPr>
        <w:t>年第三次临时股东大会，审议并通过了公司本次非公开发行股票的相关</w:t>
      </w:r>
      <w:r>
        <w:rPr>
          <w:w w:val="100"/>
        </w:rPr>
        <w:t> </w:t>
      </w:r>
      <w:r>
        <w:rPr>
          <w:spacing w:val="-4"/>
        </w:rPr>
        <w:t>议案。</w:t>
      </w:r>
      <w:r>
        <w:rPr>
          <w:rFonts w:ascii="宋体" w:hAnsi="宋体" w:cs="宋体" w:eastAsia="宋体" w:hint="default"/>
          <w:spacing w:val="-4"/>
        </w:rPr>
        <w:t>2016</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27</w:t>
      </w:r>
      <w:r>
        <w:rPr>
          <w:spacing w:val="-4"/>
        </w:rPr>
        <w:t>日，公司召开第三届董事会第十次会议，审议通过了《非公开发行股票预案（二次修订</w:t>
      </w:r>
      <w:r>
        <w:rPr>
          <w:spacing w:val="-43"/>
        </w:rPr>
        <w:t> </w:t>
      </w:r>
      <w:r>
        <w:rPr>
          <w:spacing w:val="-43"/>
        </w:rPr>
      </w:r>
      <w:r>
        <w:rPr/>
        <w:t>稿）》的议案、《非公开发行股票募集资金使用的可行性报告（二次修订稿）》的议案。</w:t>
      </w:r>
    </w:p>
    <w:p>
      <w:pPr>
        <w:pStyle w:val="BodyText"/>
        <w:spacing w:line="408" w:lineRule="auto"/>
        <w:ind w:right="206" w:firstLine="420"/>
        <w:jc w:val="both"/>
      </w:pPr>
      <w:r>
        <w:rPr>
          <w:rFonts w:ascii="宋体" w:hAnsi="宋体" w:cs="宋体" w:eastAsia="宋体" w:hint="default"/>
          <w:spacing w:val="-4"/>
        </w:rPr>
        <w:t>2016</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13</w:t>
      </w:r>
      <w:r>
        <w:rPr>
          <w:spacing w:val="-4"/>
        </w:rPr>
        <w:t>日，公司召开</w:t>
      </w:r>
      <w:r>
        <w:rPr>
          <w:rFonts w:ascii="宋体" w:hAnsi="宋体" w:cs="宋体" w:eastAsia="宋体" w:hint="default"/>
          <w:spacing w:val="-4"/>
        </w:rPr>
        <w:t>2016</w:t>
      </w:r>
      <w:r>
        <w:rPr>
          <w:spacing w:val="-4"/>
        </w:rPr>
        <w:t>年第三次临时股东大会，审议并通过了公司本次非公开发行股票的相关</w:t>
      </w:r>
      <w:r>
        <w:rPr>
          <w:w w:val="100"/>
        </w:rPr>
        <w:t> </w:t>
      </w:r>
      <w:r>
        <w:rPr>
          <w:spacing w:val="-2"/>
        </w:rPr>
        <w:t>议案。</w:t>
      </w:r>
      <w:r>
        <w:rPr>
          <w:rFonts w:ascii="宋体" w:hAnsi="宋体" w:cs="宋体" w:eastAsia="宋体" w:hint="default"/>
          <w:spacing w:val="-2"/>
        </w:rPr>
        <w:t>2016</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5</w:t>
      </w:r>
      <w:r>
        <w:rPr>
          <w:spacing w:val="-2"/>
        </w:rPr>
        <w:t>日，公司召开第三届董事会第十二次会议，审议通过了《非公开发行股票预案（三次修</w:t>
      </w:r>
      <w:r>
        <w:rPr>
          <w:spacing w:val="-37"/>
        </w:rPr>
        <w:t> </w:t>
      </w:r>
      <w:r>
        <w:rPr>
          <w:spacing w:val="-37"/>
        </w:rPr>
      </w:r>
      <w:r>
        <w:rPr/>
        <w:t>订稿）》的议案、《非公开发行股票募集资金使用的可行性报告（三次修订稿）》的议案。</w:t>
      </w:r>
    </w:p>
    <w:p>
      <w:pPr>
        <w:pStyle w:val="BodyText"/>
        <w:spacing w:line="408" w:lineRule="auto"/>
        <w:ind w:right="206" w:firstLine="420"/>
        <w:jc w:val="both"/>
      </w:pPr>
      <w:r>
        <w:rPr>
          <w:rFonts w:ascii="宋体" w:hAnsi="宋体" w:cs="宋体" w:eastAsia="宋体" w:hint="default"/>
          <w:spacing w:val="-4"/>
        </w:rPr>
        <w:t>2016</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12</w:t>
      </w:r>
      <w:r>
        <w:rPr>
          <w:spacing w:val="-4"/>
        </w:rPr>
        <w:t>日，公司召开第三届董事会第十三次会议，审议通过了《关于调整非公开发行股票方案》</w:t>
      </w:r>
      <w:r>
        <w:rPr>
          <w:w w:val="100"/>
        </w:rPr>
        <w:t> </w:t>
      </w:r>
      <w:r>
        <w:rPr>
          <w:spacing w:val="-2"/>
        </w:rPr>
        <w:t>的议案、《非公开发行股票预案（四次修订稿）》的议案、《非公开发行股票募集资金使用的可行性报告</w:t>
      </w:r>
    </w:p>
    <w:p>
      <w:pPr>
        <w:pStyle w:val="BodyText"/>
        <w:spacing w:line="408" w:lineRule="auto"/>
        <w:ind w:right="0"/>
        <w:jc w:val="left"/>
      </w:pPr>
      <w:r>
        <w:rPr>
          <w:spacing w:val="-7"/>
        </w:rPr>
        <w:t>（四次修订稿）》的议案、《关于非公开发行股票发行方案的论证分析报告（三次修订稿）》的议案、《非</w:t>
      </w:r>
      <w:r>
        <w:rPr>
          <w:spacing w:val="-20"/>
        </w:rPr>
        <w:t> </w:t>
      </w:r>
      <w:r>
        <w:rPr>
          <w:spacing w:val="-20"/>
        </w:rPr>
      </w:r>
      <w:r>
        <w:rPr/>
        <w:t>公开发行摊薄即期回报及填补措施的公告（修订稿）》的议案。</w:t>
      </w:r>
    </w:p>
    <w:p>
      <w:pPr>
        <w:pStyle w:val="BodyText"/>
        <w:spacing w:line="408" w:lineRule="auto"/>
        <w:ind w:right="0" w:firstLine="420"/>
        <w:jc w:val="left"/>
      </w:pPr>
      <w:r>
        <w:rPr>
          <w:rFonts w:ascii="宋体" w:hAnsi="宋体" w:cs="宋体" w:eastAsia="宋体" w:hint="default"/>
          <w:spacing w:val="-4"/>
        </w:rPr>
        <w:t>2016</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27</w:t>
      </w:r>
      <w:r>
        <w:rPr>
          <w:spacing w:val="-4"/>
        </w:rPr>
        <w:t>日，公司召开第三届董事会第十四次会议，审议通过了《关于公司非公开发行股票方案有</w:t>
      </w:r>
      <w:r>
        <w:rPr>
          <w:w w:val="100"/>
        </w:rPr>
        <w:t> </w:t>
      </w:r>
      <w:r>
        <w:rPr/>
        <w:t>效期延期》的议案、《关于提请股东大会延长授权董事会全权办理本次非公开发行股票相关事宜有效期》</w:t>
      </w:r>
      <w:r>
        <w:rPr>
          <w:spacing w:val="-24"/>
        </w:rPr>
        <w:t> </w:t>
      </w:r>
      <w:r>
        <w:rPr>
          <w:spacing w:val="-24"/>
        </w:rPr>
      </w:r>
      <w:r>
        <w:rPr/>
        <w:t>的议案。</w:t>
      </w:r>
    </w:p>
    <w:p>
      <w:pPr>
        <w:pStyle w:val="BodyText"/>
        <w:spacing w:line="408" w:lineRule="auto"/>
        <w:ind w:right="206" w:firstLine="420"/>
        <w:jc w:val="both"/>
      </w:pPr>
      <w:r>
        <w:rPr>
          <w:rFonts w:ascii="宋体" w:hAnsi="宋体" w:cs="宋体" w:eastAsia="宋体" w:hint="default"/>
          <w:spacing w:val="-4"/>
        </w:rPr>
        <w:t>2016</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11</w:t>
      </w:r>
      <w:r>
        <w:rPr>
          <w:spacing w:val="-4"/>
        </w:rPr>
        <w:t>日，公司召开第三届董事会第十五次会议，审议通过了《关于调整非公开发行股票方案》</w:t>
      </w:r>
      <w:r>
        <w:rPr>
          <w:w w:val="100"/>
        </w:rPr>
        <w:t> </w:t>
      </w:r>
      <w:r>
        <w:rPr>
          <w:spacing w:val="-2"/>
        </w:rPr>
        <w:t>的议案、《非公开发行股票预案（五次修订稿）》的议案、《非公开发行股票募集资金使用的可行性报告</w:t>
      </w:r>
    </w:p>
    <w:p>
      <w:pPr>
        <w:pStyle w:val="BodyText"/>
        <w:spacing w:line="408" w:lineRule="auto"/>
        <w:ind w:right="0"/>
        <w:jc w:val="left"/>
      </w:pPr>
      <w:r>
        <w:rPr>
          <w:spacing w:val="-7"/>
        </w:rPr>
        <w:t>（五次修订稿）》的议案、《关于非公开发行股票发行方案的论证分析报告（四次修订稿）》的议案、《非</w:t>
      </w:r>
      <w:r>
        <w:rPr>
          <w:spacing w:val="-20"/>
        </w:rPr>
        <w:t> </w:t>
      </w:r>
      <w:r>
        <w:rPr>
          <w:spacing w:val="-20"/>
        </w:rPr>
      </w:r>
      <w:r>
        <w:rPr/>
        <w:t>公开发行摊薄即期回报及填补措施的公告（二次修订稿）》的议案。</w:t>
      </w:r>
    </w:p>
    <w:p>
      <w:pPr>
        <w:pStyle w:val="BodyText"/>
        <w:spacing w:line="408" w:lineRule="auto"/>
        <w:ind w:right="206" w:firstLine="420"/>
        <w:jc w:val="both"/>
      </w:pPr>
      <w:r>
        <w:rPr>
          <w:rFonts w:ascii="宋体" w:hAnsi="宋体" w:cs="宋体" w:eastAsia="宋体" w:hint="default"/>
          <w:spacing w:val="-4"/>
        </w:rPr>
        <w:t>2016</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12</w:t>
      </w:r>
      <w:r>
        <w:rPr>
          <w:spacing w:val="-4"/>
        </w:rPr>
        <w:t>日，公司召开</w:t>
      </w:r>
      <w:r>
        <w:rPr>
          <w:rFonts w:ascii="宋体" w:hAnsi="宋体" w:cs="宋体" w:eastAsia="宋体" w:hint="default"/>
          <w:spacing w:val="-4"/>
        </w:rPr>
        <w:t>2016</w:t>
      </w:r>
      <w:r>
        <w:rPr>
          <w:spacing w:val="-4"/>
        </w:rPr>
        <w:t>年第五次临时股东大会，审议并通过了《关于公司非公开发行股票方案</w:t>
      </w:r>
      <w:r>
        <w:rPr>
          <w:w w:val="100"/>
        </w:rPr>
        <w:t> </w:t>
      </w:r>
      <w:r>
        <w:rPr>
          <w:spacing w:val="-2"/>
        </w:rPr>
        <w:t>有效期延期》、《关于提请股东大会延长授权董事会全权办理本次非公开发行股票相关事宜有效期》的议</w:t>
      </w:r>
    </w:p>
    <w:p>
      <w:pPr>
        <w:spacing w:after="0" w:line="408" w:lineRule="auto"/>
        <w:jc w:val="both"/>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t>案。</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2</w:t>
      </w:r>
      <w:r>
        <w:rPr/>
        <w:t>、本次发行监管部门核准程序</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w:t>
      </w:r>
      <w:r>
        <w:rPr>
          <w:rFonts w:ascii="宋体" w:hAnsi="宋体" w:cs="宋体" w:eastAsia="宋体" w:hint="default"/>
        </w:rPr>
        <w:t>1</w:t>
      </w:r>
      <w:r>
        <w:rPr/>
        <w:t>）公司非公开发行</w:t>
      </w:r>
      <w:r>
        <w:rPr>
          <w:rFonts w:ascii="宋体" w:hAnsi="宋体" w:cs="宋体" w:eastAsia="宋体" w:hint="default"/>
        </w:rPr>
        <w:t>A</w:t>
      </w:r>
      <w:r>
        <w:rPr/>
        <w:t>股股票的申请于</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14</w:t>
      </w:r>
      <w:r>
        <w:rPr/>
        <w:t>日经中国证券监督管理委员会发行审核委员会审</w:t>
      </w:r>
      <w:r>
        <w:rPr>
          <w:w w:val="100"/>
        </w:rPr>
        <w:t> </w:t>
      </w:r>
      <w:r>
        <w:rPr/>
        <w:t>核通过。</w:t>
      </w:r>
    </w:p>
    <w:p>
      <w:pPr>
        <w:pStyle w:val="BodyText"/>
        <w:spacing w:line="408" w:lineRule="auto"/>
        <w:ind w:right="0" w:firstLine="42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16</w:t>
      </w:r>
      <w:r>
        <w:rPr>
          <w:spacing w:val="-2"/>
        </w:rPr>
        <w:t>日，公司取得中国证券监督管理委员会证监许可</w:t>
      </w:r>
      <w:r>
        <w:rPr>
          <w:rFonts w:ascii="宋体" w:hAnsi="宋体" w:cs="宋体" w:eastAsia="宋体" w:hint="default"/>
          <w:spacing w:val="-2"/>
        </w:rPr>
        <w:t>[2017]56</w:t>
      </w:r>
      <w:r>
        <w:rPr>
          <w:spacing w:val="-2"/>
        </w:rPr>
        <w:t>号批复，核准本次非公开</w:t>
      </w:r>
      <w:r>
        <w:rPr>
          <w:w w:val="100"/>
        </w:rPr>
        <w:t> </w:t>
      </w:r>
      <w:r>
        <w:rPr/>
        <w:t>发行事宜。</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40" w:lineRule="auto" w:before="117"/>
        <w:ind w:left="153" w:right="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646" w:firstLine="420"/>
        <w:jc w:val="left"/>
      </w:pPr>
      <w:r>
        <w:rPr/>
        <w:t>公司非公开发行股票后，按新股本 </w:t>
      </w:r>
      <w:r>
        <w:rPr>
          <w:rFonts w:ascii="宋体" w:hAnsi="宋体" w:cs="宋体" w:eastAsia="宋体" w:hint="default"/>
        </w:rPr>
        <w:t>167,831,090.00 </w:t>
      </w:r>
      <w:r>
        <w:rPr/>
        <w:t>股摊薄计算，</w:t>
      </w:r>
      <w:r>
        <w:rPr>
          <w:rFonts w:ascii="宋体" w:hAnsi="宋体" w:cs="宋体" w:eastAsia="宋体" w:hint="default"/>
        </w:rPr>
        <w:t>2016</w:t>
      </w:r>
      <w:r>
        <w:rPr>
          <w:rFonts w:ascii="宋体" w:hAnsi="宋体" w:cs="宋体" w:eastAsia="宋体" w:hint="default"/>
          <w:spacing w:val="-8"/>
        </w:rPr>
        <w:t> </w:t>
      </w:r>
      <w:r>
        <w:rPr/>
        <w:t>年年度，每股净收益为</w:t>
      </w:r>
      <w:r>
        <w:rPr>
          <w:w w:val="100"/>
        </w:rPr>
        <w:t> </w:t>
      </w:r>
      <w:r>
        <w:rPr>
          <w:rFonts w:ascii="宋体" w:hAnsi="宋体" w:cs="宋体" w:eastAsia="宋体" w:hint="default"/>
        </w:rPr>
        <w:t>0.11</w:t>
      </w:r>
      <w:r>
        <w:rPr>
          <w:rFonts w:ascii="宋体" w:hAnsi="宋体" w:cs="宋体" w:eastAsia="宋体" w:hint="default"/>
          <w:spacing w:val="-6"/>
        </w:rPr>
        <w:t> </w:t>
      </w:r>
      <w:r>
        <w:rPr/>
        <w:t>元，归属于公司普通股股东的每股净资产为</w:t>
      </w:r>
      <w:r>
        <w:rPr>
          <w:rFonts w:ascii="宋体" w:hAnsi="宋体" w:cs="宋体" w:eastAsia="宋体" w:hint="default"/>
        </w:rPr>
        <w:t>2.07</w:t>
      </w:r>
      <w:r>
        <w:rPr/>
        <w:t>元。</w:t>
      </w:r>
    </w:p>
    <w:p>
      <w:pPr>
        <w:spacing w:line="240" w:lineRule="auto" w:before="0"/>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093"/>
        <w:gridCol w:w="1277"/>
        <w:gridCol w:w="850"/>
        <w:gridCol w:w="1277"/>
        <w:gridCol w:w="1275"/>
        <w:gridCol w:w="1135"/>
        <w:gridCol w:w="1664"/>
      </w:tblGrid>
      <w:tr>
        <w:trPr>
          <w:trHeight w:val="71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54" w:right="93" w:hanging="361"/>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北京嘉豪伟业投资中心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7,905,138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7,905,138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9"/>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102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前海开源基金－浦发银行</w:t>
            </w:r>
          </w:p>
          <w:p>
            <w:pPr>
              <w:pStyle w:val="TableParagraph"/>
              <w:spacing w:line="316" w:lineRule="auto" w:before="74"/>
              <w:ind w:left="24" w:right="77"/>
              <w:jc w:val="left"/>
              <w:rPr>
                <w:rFonts w:ascii="宋体" w:hAnsi="宋体" w:cs="宋体" w:eastAsia="宋体" w:hint="default"/>
                <w:sz w:val="18"/>
                <w:szCs w:val="18"/>
              </w:rPr>
            </w:pPr>
            <w:r>
              <w:rPr>
                <w:rFonts w:ascii="宋体" w:hAnsi="宋体" w:cs="宋体" w:eastAsia="宋体" w:hint="default"/>
                <w:sz w:val="18"/>
                <w:szCs w:val="18"/>
              </w:rPr>
              <w:t>－中融国际信托－中融－ 融珲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1,525,952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1,525,952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9"/>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26,906,391</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27,227,391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年首个交易日</w:t>
            </w:r>
          </w:p>
        </w:tc>
      </w:tr>
      <w:tr>
        <w:trPr>
          <w:trHeight w:val="40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16,378,858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16,378,858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年首个交易日</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17,503,858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16,003,858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年首个交易日</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1,229,878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-168,825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1,061,053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年首个交易日</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1,437,310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1,637,164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年首个交易日</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年首个交易日</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年首个交易日</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63,456,295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8,284,619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71,740,914</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二、证券发行与上市情况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51"/>
        <w:gridCol w:w="1702"/>
        <w:gridCol w:w="992"/>
        <w:gridCol w:w="994"/>
        <w:gridCol w:w="953"/>
        <w:gridCol w:w="1598"/>
        <w:gridCol w:w="1380"/>
      </w:tblGrid>
      <w:tr>
        <w:trPr>
          <w:trHeight w:val="713"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25.30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9,431,090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9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9,431,090 </w:t>
            </w:r>
            <w:r>
              <w:rPr>
                <w:rFonts w:ascii="宋体" w:hAnsi="宋体" w:cs="宋体" w:eastAsia="宋体" w:hint="default"/>
                <w:sz w:val="18"/>
                <w:szCs w:val="18"/>
              </w:rPr>
              <w:t>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6"/>
        <w:rPr>
          <w:rFonts w:ascii="宋体" w:hAnsi="宋体" w:cs="宋体" w:eastAsia="宋体" w:hint="default"/>
          <w:sz w:val="13"/>
          <w:szCs w:val="13"/>
        </w:rPr>
      </w:pPr>
    </w:p>
    <w:p>
      <w:pPr>
        <w:pStyle w:val="BodyText"/>
        <w:spacing w:line="408" w:lineRule="auto" w:before="0"/>
        <w:ind w:left="573" w:right="3293"/>
        <w:jc w:val="left"/>
      </w:pPr>
      <w:r>
        <w:rPr/>
        <w:t>（</w:t>
      </w:r>
      <w:r>
        <w:rPr>
          <w:rFonts w:ascii="宋体" w:hAnsi="宋体" w:cs="宋体" w:eastAsia="宋体" w:hint="default"/>
        </w:rPr>
        <w:t>1</w:t>
      </w:r>
      <w:r>
        <w:rPr/>
        <w:t>）本次发行的内部决策程序</w:t>
      </w:r>
      <w:r>
        <w:rPr>
          <w:w w:val="100"/>
        </w:rPr>
        <w:t> </w:t>
      </w:r>
      <w:r>
        <w:rPr>
          <w:spacing w:val="-2"/>
        </w:rPr>
        <w:t>公司本次非公开发行</w:t>
      </w:r>
      <w:r>
        <w:rPr>
          <w:rFonts w:ascii="宋体" w:hAnsi="宋体" w:cs="宋体" w:eastAsia="宋体" w:hint="default"/>
          <w:spacing w:val="-2"/>
        </w:rPr>
        <w:t>A</w:t>
      </w:r>
      <w:r>
        <w:rPr>
          <w:spacing w:val="-2"/>
        </w:rPr>
        <w:t>股股票履行了以下程序：</w:t>
      </w:r>
    </w:p>
    <w:p>
      <w:pPr>
        <w:pStyle w:val="BodyText"/>
        <w:spacing w:line="408" w:lineRule="auto"/>
        <w:ind w:right="0" w:firstLine="420"/>
        <w:jc w:val="left"/>
      </w:pP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19</w:t>
      </w:r>
      <w:r>
        <w:rPr>
          <w:spacing w:val="-2"/>
        </w:rPr>
        <w:t>日，公司召开第二届董事会第十九次会议，审议并通过了公司本次非公开发行股票的相</w:t>
      </w:r>
      <w:r>
        <w:rPr>
          <w:w w:val="100"/>
        </w:rPr>
        <w:t> </w:t>
      </w:r>
      <w:r>
        <w:rPr/>
        <w:t>关议案。</w:t>
      </w:r>
    </w:p>
    <w:p>
      <w:pPr>
        <w:pStyle w:val="BodyText"/>
        <w:spacing w:line="408" w:lineRule="auto"/>
        <w:ind w:right="0" w:firstLine="420"/>
        <w:jc w:val="left"/>
      </w:pP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29</w:t>
      </w:r>
      <w:r>
        <w:rPr>
          <w:spacing w:val="-2"/>
        </w:rPr>
        <w:t>日，公司召开第二届董事会第二十次会议，审议通过了《非公开发行股票预案（修订</w:t>
      </w:r>
      <w:r>
        <w:rPr>
          <w:w w:val="100"/>
        </w:rPr>
        <w:t> </w:t>
      </w:r>
      <w:r>
        <w:rPr/>
        <w:t>稿）》的议案、《非公开发行股票募集资金使用的可行性报告（修订稿）》的议案。</w:t>
      </w:r>
    </w:p>
    <w:p>
      <w:pPr>
        <w:pStyle w:val="BodyText"/>
        <w:spacing w:line="408" w:lineRule="auto"/>
        <w:ind w:right="0" w:firstLine="420"/>
        <w:jc w:val="left"/>
      </w:pP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14</w:t>
      </w:r>
      <w:r>
        <w:rPr>
          <w:spacing w:val="-2"/>
        </w:rPr>
        <w:t>日，公司召开</w:t>
      </w:r>
      <w:r>
        <w:rPr>
          <w:rFonts w:ascii="宋体" w:hAnsi="宋体" w:cs="宋体" w:eastAsia="宋体" w:hint="default"/>
          <w:spacing w:val="-2"/>
        </w:rPr>
        <w:t>2015</w:t>
      </w:r>
      <w:r>
        <w:rPr>
          <w:spacing w:val="-2"/>
        </w:rPr>
        <w:t>年第三次临时股东大会，审议并通过了公司本次非公开发行股票的相</w:t>
      </w:r>
      <w:r>
        <w:rPr>
          <w:w w:val="100"/>
        </w:rPr>
        <w:t> </w:t>
      </w:r>
      <w:r>
        <w:rPr/>
        <w:t>关议案。</w:t>
      </w:r>
    </w:p>
    <w:p>
      <w:pPr>
        <w:pStyle w:val="BodyText"/>
        <w:spacing w:line="408" w:lineRule="auto"/>
        <w:ind w:right="0" w:firstLine="420"/>
        <w:jc w:val="left"/>
      </w:pP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27</w:t>
      </w:r>
      <w:r>
        <w:rPr>
          <w:spacing w:val="-2"/>
        </w:rPr>
        <w:t>日，公司召开第三届董事会第十次会议，审议通过了《非公开发行股票预案（二次修订</w:t>
      </w:r>
      <w:r>
        <w:rPr>
          <w:w w:val="100"/>
        </w:rPr>
        <w:t> </w:t>
      </w:r>
      <w:r>
        <w:rPr/>
        <w:t>稿）》的议案、《非公开发行股票募集资金使用的可行性报告（二次修订稿）》的议案。</w:t>
      </w:r>
    </w:p>
    <w:p>
      <w:pPr>
        <w:pStyle w:val="BodyText"/>
        <w:spacing w:line="408" w:lineRule="auto"/>
        <w:ind w:right="0" w:firstLine="420"/>
        <w:jc w:val="left"/>
      </w:pP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13</w:t>
      </w:r>
      <w:r>
        <w:rPr>
          <w:spacing w:val="-2"/>
        </w:rPr>
        <w:t>日，公司召开</w:t>
      </w:r>
      <w:r>
        <w:rPr>
          <w:rFonts w:ascii="宋体" w:hAnsi="宋体" w:cs="宋体" w:eastAsia="宋体" w:hint="default"/>
          <w:spacing w:val="-2"/>
        </w:rPr>
        <w:t>2016</w:t>
      </w:r>
      <w:r>
        <w:rPr>
          <w:spacing w:val="-2"/>
        </w:rPr>
        <w:t>年第三次临时股东大会，审议并通过了公司本次非公开发行股票的相</w:t>
      </w:r>
      <w:r>
        <w:rPr>
          <w:w w:val="100"/>
        </w:rPr>
        <w:t> </w:t>
      </w:r>
      <w:r>
        <w:rPr/>
        <w:t>关议案。</w:t>
      </w:r>
    </w:p>
    <w:p>
      <w:pPr>
        <w:pStyle w:val="BodyText"/>
        <w:spacing w:line="410" w:lineRule="auto"/>
        <w:ind w:right="0" w:firstLine="420"/>
        <w:jc w:val="left"/>
      </w:pPr>
      <w:r>
        <w:rPr>
          <w:rFonts w:ascii="宋体" w:hAnsi="宋体" w:cs="宋体" w:eastAsia="宋体" w:hint="default"/>
          <w:spacing w:val="-2"/>
        </w:rPr>
        <w:t>2016</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5</w:t>
      </w:r>
      <w:r>
        <w:rPr>
          <w:spacing w:val="-2"/>
        </w:rPr>
        <w:t>日，公司召开第三届董事会第十二次会议，审议通过了《非公开发行股票预案（三次修</w:t>
      </w:r>
      <w:r>
        <w:rPr>
          <w:w w:val="100"/>
        </w:rPr>
        <w:t> </w:t>
      </w:r>
      <w:r>
        <w:rPr/>
        <w:t>订稿）》的议案、《非公开发行股票募集资金使用的可行性报告（三次修订稿）》的议案。</w:t>
      </w:r>
    </w:p>
    <w:p>
      <w:pPr>
        <w:pStyle w:val="BodyText"/>
        <w:spacing w:line="408" w:lineRule="auto" w:before="44"/>
        <w:ind w:right="0" w:firstLine="420"/>
        <w:jc w:val="left"/>
      </w:pP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12</w:t>
      </w:r>
      <w:r>
        <w:rPr/>
        <w:t>日，公司召开第三届董事会第十三次会议，审议通过了《关于调整非公开发行股票方</w:t>
      </w:r>
      <w:r>
        <w:rPr>
          <w:w w:val="100"/>
        </w:rPr>
        <w:t> </w:t>
      </w:r>
      <w:r>
        <w:rPr>
          <w:spacing w:val="-2"/>
        </w:rPr>
        <w:t>案》的议案、《非公开发行股票预案（四次修订稿）》的议案、《非公开发行股票募集资金使用的可行</w:t>
      </w:r>
      <w:r>
        <w:rPr>
          <w:spacing w:val="-21"/>
        </w:rPr>
        <w:t> </w:t>
      </w:r>
      <w:r>
        <w:rPr>
          <w:spacing w:val="-21"/>
        </w:rPr>
      </w:r>
      <w:r>
        <w:rPr>
          <w:spacing w:val="-2"/>
        </w:rPr>
        <w:t>性报告（四次修订稿）》的议案、《关于非公开发行股票发行方案的论证分析报告（三次修订稿）》的</w:t>
      </w:r>
      <w:r>
        <w:rPr>
          <w:spacing w:val="-21"/>
        </w:rPr>
        <w:t> </w:t>
      </w:r>
      <w:r>
        <w:rPr>
          <w:spacing w:val="-21"/>
        </w:rPr>
      </w:r>
      <w:r>
        <w:rPr/>
        <w:t>议案、《非公开发行摊薄即期回报及填补措施的公告（修订稿）》的议案。</w:t>
      </w:r>
    </w:p>
    <w:p>
      <w:pPr>
        <w:pStyle w:val="BodyText"/>
        <w:spacing w:line="408" w:lineRule="auto"/>
        <w:ind w:right="0" w:firstLine="420"/>
        <w:jc w:val="left"/>
      </w:pPr>
      <w:r>
        <w:rPr>
          <w:rFonts w:ascii="宋体" w:hAnsi="宋体" w:cs="宋体" w:eastAsia="宋体" w:hint="default"/>
          <w:spacing w:val="-2"/>
        </w:rPr>
        <w:t>2016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27</w:t>
      </w:r>
      <w:r>
        <w:rPr>
          <w:spacing w:val="-2"/>
        </w:rPr>
        <w:t>日，公司召开第三届董事会第十四次会议，审议通过了《关于公司非公开发行股票方案</w:t>
      </w:r>
      <w:r>
        <w:rPr>
          <w:w w:val="100"/>
        </w:rPr>
        <w:t> </w:t>
      </w:r>
      <w:r>
        <w:rPr/>
        <w:t>有效期延期》的议案、《关于提请股东大会延长授权董事会全权办理本次非公开发行股票相关事宜有效</w:t>
      </w:r>
    </w:p>
    <w:p>
      <w:pPr>
        <w:spacing w:after="0" w:line="408" w:lineRule="auto"/>
        <w:jc w:val="left"/>
        <w:sectPr>
          <w:pgSz w:w="11910" w:h="16840"/>
          <w:pgMar w:header="880" w:footer="979" w:top="1100" w:bottom="1160" w:left="980" w:right="98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t>期》的议案。</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11</w:t>
      </w:r>
      <w:r>
        <w:rPr/>
        <w:t>日，公司召开第三届董事会第十五次会议，审议通过了《关于调整非公开发行股票方</w:t>
      </w:r>
      <w:r>
        <w:rPr>
          <w:w w:val="100"/>
        </w:rPr>
        <w:t> </w:t>
      </w:r>
      <w:r>
        <w:rPr>
          <w:spacing w:val="-2"/>
        </w:rPr>
        <w:t>案》的议案、《非公开发行股票预案（五次修订稿）》的议案、《非公开发行股票募集资金使用的可行</w:t>
      </w:r>
      <w:r>
        <w:rPr>
          <w:spacing w:val="-21"/>
        </w:rPr>
        <w:t> </w:t>
      </w:r>
      <w:r>
        <w:rPr>
          <w:spacing w:val="-21"/>
        </w:rPr>
      </w:r>
      <w:r>
        <w:rPr>
          <w:spacing w:val="-2"/>
        </w:rPr>
        <w:t>性报告（五次修订稿）》的议案、《关于非公开发行股票发行方案的论证分析报告（四次修订稿）》的</w:t>
      </w:r>
      <w:r>
        <w:rPr>
          <w:spacing w:val="-21"/>
        </w:rPr>
        <w:t> </w:t>
      </w:r>
      <w:r>
        <w:rPr>
          <w:spacing w:val="-21"/>
        </w:rPr>
      </w:r>
      <w:r>
        <w:rPr/>
        <w:t>议案、《非公开发行摊薄即期回报及填补措施的公告（二次修订稿）》的议案。</w:t>
      </w:r>
    </w:p>
    <w:p>
      <w:pPr>
        <w:pStyle w:val="BodyText"/>
        <w:spacing w:line="408" w:lineRule="auto"/>
        <w:ind w:right="0" w:firstLine="420"/>
        <w:jc w:val="left"/>
      </w:pPr>
      <w:r>
        <w:rPr>
          <w:rFonts w:ascii="宋体" w:hAnsi="宋体" w:cs="宋体" w:eastAsia="宋体" w:hint="default"/>
          <w:spacing w:val="-2"/>
        </w:rPr>
        <w:t>2016</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12</w:t>
      </w:r>
      <w:r>
        <w:rPr>
          <w:spacing w:val="-2"/>
        </w:rPr>
        <w:t>日，公司召开</w:t>
      </w:r>
      <w:r>
        <w:rPr>
          <w:rFonts w:ascii="宋体" w:hAnsi="宋体" w:cs="宋体" w:eastAsia="宋体" w:hint="default"/>
          <w:spacing w:val="-2"/>
        </w:rPr>
        <w:t>2016</w:t>
      </w:r>
      <w:r>
        <w:rPr>
          <w:spacing w:val="-2"/>
        </w:rPr>
        <w:t>年第五次临时股东大会，审议并通过了《关于公司非公开发行股票方</w:t>
      </w:r>
      <w:r>
        <w:rPr>
          <w:w w:val="100"/>
        </w:rPr>
        <w:t> </w:t>
      </w:r>
      <w:r>
        <w:rPr/>
        <w:t>案有效期延期》、《关于提请股东大会延长授权董事会全权办理本次非公开发行股票相关事宜有效期》</w:t>
      </w:r>
      <w:r>
        <w:rPr>
          <w:w w:val="100"/>
        </w:rPr>
        <w:t> </w:t>
      </w:r>
      <w:r>
        <w:rPr/>
        <w:t>的议案。</w:t>
      </w:r>
    </w:p>
    <w:p>
      <w:pPr>
        <w:pStyle w:val="BodyText"/>
        <w:spacing w:line="240" w:lineRule="auto"/>
        <w:ind w:left="573" w:right="0"/>
        <w:jc w:val="left"/>
      </w:pPr>
      <w:r>
        <w:rPr/>
        <w:t>（</w:t>
      </w:r>
      <w:r>
        <w:rPr>
          <w:rFonts w:ascii="宋体" w:hAnsi="宋体" w:cs="宋体" w:eastAsia="宋体" w:hint="default"/>
        </w:rPr>
        <w:t>2</w:t>
      </w:r>
      <w:r>
        <w:rPr/>
        <w:t>）本次发行监管部门核准程序</w:t>
      </w:r>
    </w:p>
    <w:p>
      <w:pPr>
        <w:spacing w:line="240" w:lineRule="auto" w:before="10"/>
        <w:rPr>
          <w:rFonts w:ascii="宋体" w:hAnsi="宋体" w:cs="宋体" w:eastAsia="宋体" w:hint="default"/>
          <w:sz w:val="14"/>
          <w:szCs w:val="14"/>
        </w:rPr>
      </w:pPr>
    </w:p>
    <w:p>
      <w:pPr>
        <w:pStyle w:val="BodyText"/>
        <w:spacing w:line="408" w:lineRule="auto" w:before="0"/>
        <w:ind w:right="225" w:firstLine="420"/>
        <w:jc w:val="left"/>
      </w:pPr>
      <w:r>
        <w:rPr/>
        <w:t>①</w:t>
      </w:r>
      <w:r>
        <w:rPr>
          <w:spacing w:val="-7"/>
        </w:rPr>
        <w:t> </w:t>
      </w:r>
      <w:r>
        <w:rPr/>
        <w:t>公司非公开发行</w:t>
      </w:r>
      <w:r>
        <w:rPr>
          <w:rFonts w:ascii="宋体" w:hAnsi="宋体" w:cs="宋体" w:eastAsia="宋体" w:hint="default"/>
        </w:rPr>
        <w:t>A</w:t>
      </w:r>
      <w:r>
        <w:rPr/>
        <w:t>股股票的申请于</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14</w:t>
      </w:r>
      <w:r>
        <w:rPr/>
        <w:t>日经中国证券监督管理委员会发行审核委员会审核</w:t>
      </w:r>
      <w:r>
        <w:rPr>
          <w:w w:val="100"/>
        </w:rPr>
        <w:t> </w:t>
      </w:r>
      <w:r>
        <w:rPr/>
        <w:t>通过。</w:t>
      </w:r>
    </w:p>
    <w:p>
      <w:pPr>
        <w:pStyle w:val="BodyText"/>
        <w:spacing w:line="408" w:lineRule="auto"/>
        <w:ind w:right="329" w:firstLine="420"/>
        <w:jc w:val="left"/>
      </w:pPr>
      <w:r>
        <w:rPr/>
        <w:t>②</w:t>
      </w:r>
      <w:r>
        <w:rPr>
          <w:spacing w:val="-6"/>
        </w:rPr>
        <w:t> </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16</w:t>
      </w:r>
      <w:r>
        <w:rPr/>
        <w:t>日，公司取得中国证券监督管理委员会证监许可</w:t>
      </w:r>
      <w:r>
        <w:rPr>
          <w:rFonts w:ascii="宋体" w:hAnsi="宋体" w:cs="宋体" w:eastAsia="宋体" w:hint="default"/>
        </w:rPr>
        <w:t>[2017]56</w:t>
      </w:r>
      <w:r>
        <w:rPr/>
        <w:t>号批复，核准本次非公开</w:t>
      </w:r>
      <w:r>
        <w:rPr>
          <w:w w:val="100"/>
        </w:rPr>
        <w:t> </w:t>
      </w:r>
      <w:r>
        <w:rPr/>
        <w:t>发行事宜。</w:t>
      </w:r>
    </w:p>
    <w:p>
      <w:pPr>
        <w:pStyle w:val="BodyText"/>
        <w:spacing w:line="408" w:lineRule="auto"/>
        <w:ind w:left="573" w:right="0"/>
        <w:jc w:val="left"/>
      </w:pPr>
      <w:r>
        <w:rPr/>
        <w:t>（</w:t>
      </w:r>
      <w:r>
        <w:rPr>
          <w:rFonts w:ascii="宋体" w:hAnsi="宋体" w:cs="宋体" w:eastAsia="宋体" w:hint="default"/>
        </w:rPr>
        <w:t>3</w:t>
      </w:r>
      <w:r>
        <w:rPr/>
        <w:t>）发行数量</w:t>
      </w:r>
      <w:r>
        <w:rPr>
          <w:w w:val="100"/>
        </w:rPr>
        <w:t> </w:t>
      </w:r>
      <w:r>
        <w:rPr>
          <w:spacing w:val="-2"/>
        </w:rPr>
        <w:t>根据投资者认购情况，公司本次发行人民币普通股（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9,431,090</w:t>
      </w:r>
      <w:r>
        <w:rPr>
          <w:spacing w:val="-2"/>
        </w:rPr>
        <w:t>股，全部采取向特定投资者非</w:t>
      </w:r>
    </w:p>
    <w:p>
      <w:pPr>
        <w:pStyle w:val="BodyText"/>
        <w:spacing w:line="240" w:lineRule="auto"/>
        <w:ind w:right="0"/>
        <w:jc w:val="left"/>
      </w:pPr>
      <w:r>
        <w:rPr/>
        <w:t>公开发行股票的方式发行。</w:t>
      </w:r>
    </w:p>
    <w:p>
      <w:pPr>
        <w:spacing w:line="240" w:lineRule="auto" w:before="10"/>
        <w:rPr>
          <w:rFonts w:ascii="宋体" w:hAnsi="宋体" w:cs="宋体" w:eastAsia="宋体" w:hint="default"/>
          <w:sz w:val="14"/>
          <w:szCs w:val="14"/>
        </w:rPr>
      </w:pPr>
    </w:p>
    <w:p>
      <w:pPr>
        <w:pStyle w:val="BodyText"/>
        <w:spacing w:line="408" w:lineRule="auto" w:before="0"/>
        <w:ind w:left="573" w:right="3293"/>
        <w:jc w:val="left"/>
      </w:pPr>
      <w:r>
        <w:rPr/>
        <w:t>（</w:t>
      </w:r>
      <w:r>
        <w:rPr>
          <w:rFonts w:ascii="宋体" w:hAnsi="宋体" w:cs="宋体" w:eastAsia="宋体" w:hint="default"/>
        </w:rPr>
        <w:t>4</w:t>
      </w:r>
      <w:r>
        <w:rPr/>
        <w:t>）发行价格</w:t>
      </w:r>
      <w:r>
        <w:rPr>
          <w:w w:val="100"/>
        </w:rPr>
        <w:t> </w:t>
      </w:r>
      <w:r>
        <w:rPr>
          <w:spacing w:val="-2"/>
        </w:rPr>
        <w:t>本次非公开发行的定价基准日为发行期首日，即</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28</w:t>
      </w:r>
      <w:r>
        <w:rPr>
          <w:spacing w:val="-2"/>
        </w:rPr>
        <w:t>日。</w:t>
      </w:r>
      <w:r>
        <w:rPr/>
      </w:r>
    </w:p>
    <w:p>
      <w:pPr>
        <w:pStyle w:val="BodyText"/>
        <w:spacing w:line="408" w:lineRule="auto"/>
        <w:ind w:right="146" w:firstLine="420"/>
        <w:jc w:val="both"/>
      </w:pPr>
      <w:r>
        <w:rPr>
          <w:spacing w:val="-5"/>
        </w:rPr>
        <w:t>本次发行股票的发行价格不低于发行期首日前</w:t>
      </w:r>
      <w:r>
        <w:rPr>
          <w:rFonts w:ascii="宋体" w:hAnsi="宋体" w:cs="宋体" w:eastAsia="宋体" w:hint="default"/>
          <w:spacing w:val="-5"/>
        </w:rPr>
        <w:t>20</w:t>
      </w:r>
      <w:r>
        <w:rPr>
          <w:spacing w:val="-5"/>
        </w:rPr>
        <w:t>个交易日公司股票交易均价（</w:t>
      </w:r>
      <w:r>
        <w:rPr>
          <w:rFonts w:ascii="宋体" w:hAnsi="宋体" w:cs="宋体" w:eastAsia="宋体" w:hint="default"/>
          <w:spacing w:val="-5"/>
        </w:rPr>
        <w:t>22.32</w:t>
      </w:r>
      <w:r>
        <w:rPr>
          <w:spacing w:val="-5"/>
        </w:rPr>
        <w:t>元</w:t>
      </w:r>
      <w:r>
        <w:rPr>
          <w:rFonts w:ascii="宋体" w:hAnsi="宋体" w:cs="宋体" w:eastAsia="宋体" w:hint="default"/>
          <w:spacing w:val="-5"/>
        </w:rPr>
        <w:t>/</w:t>
      </w:r>
      <w:r>
        <w:rPr>
          <w:spacing w:val="-5"/>
        </w:rPr>
        <w:t>股）的</w:t>
      </w:r>
      <w:r>
        <w:rPr>
          <w:rFonts w:ascii="宋体" w:hAnsi="宋体" w:cs="宋体" w:eastAsia="宋体" w:hint="default"/>
          <w:spacing w:val="-5"/>
        </w:rPr>
        <w:t>90%</w:t>
      </w:r>
      <w:r>
        <w:rPr>
          <w:spacing w:val="-5"/>
        </w:rPr>
        <w:t>，即</w:t>
      </w:r>
      <w:r>
        <w:rPr>
          <w:spacing w:val="-46"/>
          <w:w w:val="100"/>
        </w:rPr>
        <w:t> </w:t>
      </w:r>
      <w:r>
        <w:rPr>
          <w:spacing w:val="-2"/>
        </w:rPr>
        <w:t>不低于</w:t>
      </w:r>
      <w:r>
        <w:rPr>
          <w:rFonts w:ascii="宋体" w:hAnsi="宋体" w:cs="宋体" w:eastAsia="宋体" w:hint="default"/>
          <w:spacing w:val="-2"/>
        </w:rPr>
        <w:t>20.09</w:t>
      </w:r>
      <w:r>
        <w:rPr>
          <w:spacing w:val="-2"/>
        </w:rPr>
        <w:t>元</w:t>
      </w:r>
      <w:r>
        <w:rPr>
          <w:rFonts w:ascii="宋体" w:hAnsi="宋体" w:cs="宋体" w:eastAsia="宋体" w:hint="default"/>
          <w:spacing w:val="-2"/>
        </w:rPr>
        <w:t>/</w:t>
      </w:r>
      <w:r>
        <w:rPr>
          <w:spacing w:val="-2"/>
        </w:rPr>
        <w:t>股。在前述发行底价基础上，最终发行价格根据询价结果由公司董事会根据股东大会的授</w:t>
      </w:r>
      <w:r>
        <w:rPr>
          <w:spacing w:val="-37"/>
        </w:rPr>
        <w:t> </w:t>
      </w:r>
      <w:r>
        <w:rPr>
          <w:spacing w:val="-37"/>
        </w:rPr>
      </w:r>
      <w:r>
        <w:rPr/>
        <w:t>权与保荐机构（主承销商）协商确定。</w:t>
      </w:r>
    </w:p>
    <w:p>
      <w:pPr>
        <w:pStyle w:val="BodyText"/>
        <w:spacing w:line="408" w:lineRule="auto"/>
        <w:ind w:right="0" w:firstLine="420"/>
        <w:jc w:val="left"/>
      </w:pPr>
      <w:r>
        <w:rPr>
          <w:spacing w:val="-4"/>
        </w:rPr>
        <w:t>本次发行的最终价格为</w:t>
      </w:r>
      <w:r>
        <w:rPr>
          <w:rFonts w:ascii="宋体" w:hAnsi="宋体" w:cs="宋体" w:eastAsia="宋体" w:hint="default"/>
          <w:spacing w:val="-4"/>
        </w:rPr>
        <w:t>25.30</w:t>
      </w:r>
      <w:r>
        <w:rPr>
          <w:spacing w:val="-4"/>
        </w:rPr>
        <w:t>元</w:t>
      </w:r>
      <w:r>
        <w:rPr>
          <w:rFonts w:ascii="宋体" w:hAnsi="宋体" w:cs="宋体" w:eastAsia="宋体" w:hint="default"/>
          <w:spacing w:val="-4"/>
        </w:rPr>
        <w:t>/</w:t>
      </w:r>
      <w:r>
        <w:rPr>
          <w:spacing w:val="-4"/>
        </w:rPr>
        <w:t>股，该发行价格相当于发行底价</w:t>
      </w:r>
      <w:r>
        <w:rPr>
          <w:rFonts w:ascii="宋体" w:hAnsi="宋体" w:cs="宋体" w:eastAsia="宋体" w:hint="default"/>
          <w:spacing w:val="-4"/>
        </w:rPr>
        <w:t>20.09</w:t>
      </w:r>
      <w:r>
        <w:rPr>
          <w:spacing w:val="-4"/>
        </w:rPr>
        <w:t>元</w:t>
      </w:r>
      <w:r>
        <w:rPr>
          <w:rFonts w:ascii="宋体" w:hAnsi="宋体" w:cs="宋体" w:eastAsia="宋体" w:hint="default"/>
          <w:spacing w:val="-4"/>
        </w:rPr>
        <w:t>/</w:t>
      </w:r>
      <w:r>
        <w:rPr>
          <w:spacing w:val="-4"/>
        </w:rPr>
        <w:t>股的</w:t>
      </w:r>
      <w:r>
        <w:rPr>
          <w:rFonts w:ascii="宋体" w:hAnsi="宋体" w:cs="宋体" w:eastAsia="宋体" w:hint="default"/>
          <w:spacing w:val="-4"/>
        </w:rPr>
        <w:t>125.93%</w:t>
      </w:r>
      <w:r>
        <w:rPr>
          <w:spacing w:val="-4"/>
        </w:rPr>
        <w:t>；相当于方直科</w:t>
      </w:r>
      <w:r>
        <w:rPr>
          <w:w w:val="100"/>
        </w:rPr>
        <w:t> </w:t>
      </w:r>
      <w:r>
        <w:rPr/>
        <w:t>技发行期首日前</w:t>
      </w:r>
      <w:r>
        <w:rPr>
          <w:rFonts w:ascii="宋体" w:hAnsi="宋体" w:cs="宋体" w:eastAsia="宋体" w:hint="default"/>
        </w:rPr>
        <w:t>20</w:t>
      </w:r>
      <w:r>
        <w:rPr/>
        <w:t>个交易日（</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24</w:t>
      </w:r>
      <w:r>
        <w:rPr/>
        <w:t>日至</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27</w:t>
      </w:r>
      <w:r>
        <w:rPr/>
        <w:t>日）均价</w:t>
      </w:r>
      <w:r>
        <w:rPr>
          <w:rFonts w:ascii="宋体" w:hAnsi="宋体" w:cs="宋体" w:eastAsia="宋体" w:hint="default"/>
        </w:rPr>
        <w:t>22.32</w:t>
      </w:r>
      <w:r>
        <w:rPr/>
        <w:t>元</w:t>
      </w:r>
      <w:r>
        <w:rPr>
          <w:rFonts w:ascii="宋体" w:hAnsi="宋体" w:cs="宋体" w:eastAsia="宋体" w:hint="default"/>
        </w:rPr>
        <w:t>/</w:t>
      </w:r>
      <w:r>
        <w:rPr/>
        <w:t>股的</w:t>
      </w:r>
      <w:r>
        <w:rPr>
          <w:rFonts w:ascii="宋体" w:hAnsi="宋体" w:cs="宋体" w:eastAsia="宋体" w:hint="default"/>
        </w:rPr>
        <w:t>113.35%</w:t>
      </w:r>
      <w:r>
        <w:rPr/>
        <w:t>。</w:t>
      </w:r>
    </w:p>
    <w:p>
      <w:pPr>
        <w:pStyle w:val="BodyText"/>
        <w:spacing w:line="408" w:lineRule="auto"/>
        <w:ind w:left="573" w:right="0"/>
        <w:jc w:val="left"/>
      </w:pPr>
      <w:r>
        <w:rPr/>
        <w:t>（</w:t>
      </w:r>
      <w:r>
        <w:rPr>
          <w:rFonts w:ascii="宋体" w:hAnsi="宋体" w:cs="宋体" w:eastAsia="宋体" w:hint="default"/>
        </w:rPr>
        <w:t>5</w:t>
      </w:r>
      <w:r>
        <w:rPr/>
        <w:t>）锁定期及上市流通时间</w:t>
      </w:r>
      <w:r>
        <w:rPr>
          <w:w w:val="100"/>
        </w:rPr>
        <w:t> </w:t>
      </w:r>
      <w:r>
        <w:rPr>
          <w:spacing w:val="-2"/>
        </w:rPr>
        <w:t>本次非公开发行新增股份</w:t>
      </w:r>
      <w:r>
        <w:rPr>
          <w:rFonts w:ascii="宋体" w:hAnsi="宋体" w:cs="宋体" w:eastAsia="宋体" w:hint="default"/>
          <w:spacing w:val="-2"/>
        </w:rPr>
        <w:t>9,431,090</w:t>
      </w:r>
      <w:r>
        <w:rPr>
          <w:spacing w:val="-2"/>
        </w:rPr>
        <w:t>股，将于</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日在深圳证券交易所上市。根据深圳证券</w:t>
      </w:r>
    </w:p>
    <w:p>
      <w:pPr>
        <w:pStyle w:val="BodyText"/>
        <w:spacing w:line="408" w:lineRule="auto"/>
        <w:ind w:left="573" w:right="0" w:hanging="420"/>
        <w:jc w:val="left"/>
      </w:pPr>
      <w:r>
        <w:rPr/>
        <w:t>交易所相关业务规则规定，</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27</w:t>
      </w:r>
      <w:r>
        <w:rPr/>
        <w:t>日（即上市日），公司股价不除权。</w:t>
      </w:r>
      <w:r>
        <w:rPr>
          <w:w w:val="100"/>
        </w:rPr>
        <w:t> </w:t>
      </w:r>
      <w:r>
        <w:rPr>
          <w:spacing w:val="-2"/>
        </w:rPr>
        <w:t>本次非公开发行对象为北京嘉豪伟业投资中心（有限合伙）、前海开源基金管理有限公司共计</w:t>
      </w:r>
      <w:r>
        <w:rPr>
          <w:rFonts w:ascii="宋体" w:hAnsi="宋体" w:cs="宋体" w:eastAsia="宋体" w:hint="default"/>
          <w:spacing w:val="-2"/>
        </w:rPr>
        <w:t>2</w:t>
      </w:r>
      <w:r>
        <w:rPr>
          <w:spacing w:val="-2"/>
        </w:rPr>
        <w:t>名投</w:t>
      </w:r>
    </w:p>
    <w:p>
      <w:pPr>
        <w:pStyle w:val="BodyText"/>
        <w:spacing w:line="408" w:lineRule="auto"/>
        <w:ind w:right="0"/>
        <w:jc w:val="left"/>
      </w:pPr>
      <w:r>
        <w:rPr>
          <w:spacing w:val="-2"/>
        </w:rPr>
        <w:t>资者。北京嘉豪伟业投资中心（有限合伙）和前海开源基金管理有限公司认购本次发行的股份自愿承诺</w:t>
      </w:r>
      <w:r>
        <w:rPr>
          <w:spacing w:val="-21"/>
        </w:rPr>
        <w:t> </w:t>
      </w:r>
      <w:r>
        <w:rPr>
          <w:spacing w:val="-21"/>
        </w:rPr>
      </w:r>
      <w:r>
        <w:rPr/>
        <w:t>自上市之日起</w:t>
      </w:r>
      <w:r>
        <w:rPr>
          <w:rFonts w:ascii="宋体" w:hAnsi="宋体" w:cs="宋体" w:eastAsia="宋体" w:hint="default"/>
        </w:rPr>
        <w:t>12</w:t>
      </w:r>
      <w:r>
        <w:rPr/>
        <w:t>个月内不转让，即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日起，本次非公开发行股票可上市流通。</w:t>
      </w:r>
    </w:p>
    <w:p>
      <w:pPr>
        <w:pStyle w:val="BodyText"/>
        <w:spacing w:line="240" w:lineRule="auto"/>
        <w:ind w:left="573" w:right="0"/>
        <w:jc w:val="left"/>
      </w:pPr>
      <w:r>
        <w:rPr/>
        <w:t>（</w:t>
      </w:r>
      <w:r>
        <w:rPr>
          <w:rFonts w:ascii="宋体" w:hAnsi="宋体" w:cs="宋体" w:eastAsia="宋体" w:hint="default"/>
        </w:rPr>
        <w:t>6</w:t>
      </w:r>
      <w:r>
        <w:rPr/>
        <w:t>）募集资金总额（含发行费用）</w:t>
      </w:r>
    </w:p>
    <w:p>
      <w:pPr>
        <w:spacing w:after="0" w:line="240" w:lineRule="auto"/>
        <w:jc w:val="left"/>
        <w:sectPr>
          <w:pgSz w:w="11910" w:h="16840"/>
          <w:pgMar w:header="880" w:footer="979" w:top="1100" w:bottom="1160" w:left="980" w:right="980"/>
        </w:sectPr>
      </w:pPr>
    </w:p>
    <w:p>
      <w:pPr>
        <w:spacing w:line="240" w:lineRule="auto" w:before="12"/>
        <w:rPr>
          <w:rFonts w:ascii="宋体" w:hAnsi="宋体" w:cs="宋体" w:eastAsia="宋体" w:hint="default"/>
          <w:sz w:val="26"/>
          <w:szCs w:val="26"/>
        </w:rPr>
      </w:pPr>
    </w:p>
    <w:p>
      <w:pPr>
        <w:pStyle w:val="BodyText"/>
        <w:spacing w:line="240" w:lineRule="auto" w:before="36"/>
        <w:ind w:left="633" w:right="0"/>
        <w:jc w:val="left"/>
      </w:pPr>
      <w:r>
        <w:rPr/>
        <w:t>本次发行募集资金总额为</w:t>
      </w:r>
      <w:r>
        <w:rPr>
          <w:rFonts w:ascii="宋体" w:hAnsi="宋体" w:cs="宋体" w:eastAsia="宋体" w:hint="default"/>
        </w:rPr>
        <w:t>238,606,577.00</w:t>
      </w:r>
      <w:r>
        <w:rPr/>
        <w:t>元。</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7</w:t>
      </w:r>
      <w:r>
        <w:rPr/>
        <w:t>）发行费用总额及明细构成</w:t>
      </w:r>
    </w:p>
    <w:p>
      <w:pPr>
        <w:spacing w:line="240" w:lineRule="auto" w:before="10"/>
        <w:rPr>
          <w:rFonts w:ascii="宋体" w:hAnsi="宋体" w:cs="宋体" w:eastAsia="宋体" w:hint="default"/>
          <w:sz w:val="14"/>
          <w:szCs w:val="14"/>
        </w:rPr>
      </w:pPr>
    </w:p>
    <w:p>
      <w:pPr>
        <w:pStyle w:val="BodyText"/>
        <w:spacing w:line="408" w:lineRule="auto" w:before="0"/>
        <w:ind w:right="148" w:firstLine="480"/>
        <w:jc w:val="both"/>
      </w:pPr>
      <w:r>
        <w:rPr/>
        <w:t>本次发行费用总额合计为</w:t>
      </w:r>
      <w:r>
        <w:rPr>
          <w:rFonts w:ascii="宋体" w:hAnsi="宋体" w:cs="宋体" w:eastAsia="宋体" w:hint="default"/>
        </w:rPr>
        <w:t>10,609,431.09</w:t>
      </w:r>
      <w:r>
        <w:rPr>
          <w:rFonts w:ascii="宋体" w:hAnsi="宋体" w:cs="宋体" w:eastAsia="宋体" w:hint="default"/>
          <w:spacing w:val="25"/>
        </w:rPr>
        <w:t> </w:t>
      </w:r>
      <w:r>
        <w:rPr>
          <w:spacing w:val="-4"/>
        </w:rPr>
        <w:t>元（其中增值税进项税</w:t>
      </w:r>
      <w:r>
        <w:rPr>
          <w:rFonts w:ascii="宋体" w:hAnsi="宋体" w:cs="宋体" w:eastAsia="宋体" w:hint="default"/>
          <w:spacing w:val="-4"/>
        </w:rPr>
        <w:t>600,533.85</w:t>
      </w:r>
      <w:r>
        <w:rPr>
          <w:spacing w:val="-4"/>
        </w:rPr>
        <w:t>元），其中保荐和承销费</w:t>
      </w:r>
      <w:r>
        <w:rPr>
          <w:w w:val="100"/>
        </w:rPr>
        <w:t> </w:t>
      </w:r>
      <w:r>
        <w:rPr/>
        <w:t>用 </w:t>
      </w:r>
      <w:r>
        <w:rPr>
          <w:rFonts w:ascii="宋体" w:hAnsi="宋体" w:cs="宋体" w:eastAsia="宋体" w:hint="default"/>
        </w:rPr>
        <w:t>10,000,000.00 </w:t>
      </w:r>
      <w:r>
        <w:rPr/>
        <w:t>元（含税），审计费、律师费以及其他发行费用共计</w:t>
      </w:r>
      <w:r>
        <w:rPr>
          <w:rFonts w:ascii="宋体" w:hAnsi="宋体" w:cs="宋体" w:eastAsia="宋体" w:hint="default"/>
        </w:rPr>
        <w:t>609,431.09</w:t>
      </w:r>
      <w:r>
        <w:rPr>
          <w:rFonts w:ascii="宋体" w:hAnsi="宋体" w:cs="宋体" w:eastAsia="宋体" w:hint="default"/>
          <w:spacing w:val="-8"/>
        </w:rPr>
        <w:t> </w:t>
      </w:r>
      <w:r>
        <w:rPr/>
        <w:t>元（含税）。</w:t>
      </w:r>
    </w:p>
    <w:p>
      <w:pPr>
        <w:pStyle w:val="BodyText"/>
        <w:spacing w:line="408" w:lineRule="auto"/>
        <w:ind w:left="633" w:right="4152" w:hanging="60"/>
        <w:jc w:val="left"/>
      </w:pPr>
      <w:r>
        <w:rPr/>
        <w:t>（</w:t>
      </w:r>
      <w:r>
        <w:rPr>
          <w:rFonts w:ascii="宋体" w:hAnsi="宋体" w:cs="宋体" w:eastAsia="宋体" w:hint="default"/>
        </w:rPr>
        <w:t>8</w:t>
      </w:r>
      <w:r>
        <w:rPr/>
        <w:t>）募集资金净额（扣除发行费用）</w:t>
      </w:r>
      <w:r>
        <w:rPr>
          <w:w w:val="100"/>
        </w:rPr>
        <w:t> </w:t>
      </w:r>
      <w:r>
        <w:rPr/>
        <w:t>扣除发行费用后，募集资金净额为</w:t>
      </w:r>
      <w:r>
        <w:rPr>
          <w:rFonts w:ascii="宋体" w:hAnsi="宋体" w:cs="宋体" w:eastAsia="宋体" w:hint="default"/>
        </w:rPr>
        <w:t>227,997,145.91</w:t>
      </w:r>
      <w:r>
        <w:rPr>
          <w:rFonts w:ascii="宋体" w:hAnsi="宋体" w:cs="宋体" w:eastAsia="宋体" w:hint="default"/>
          <w:spacing w:val="-4"/>
        </w:rPr>
        <w:t> </w:t>
      </w:r>
      <w:r>
        <w:rPr/>
        <w:t>元。</w:t>
      </w:r>
    </w:p>
    <w:p>
      <w:pPr>
        <w:pStyle w:val="BodyText"/>
        <w:spacing w:line="408" w:lineRule="auto"/>
        <w:ind w:left="633" w:right="145" w:hanging="60"/>
        <w:jc w:val="left"/>
      </w:pPr>
      <w:r>
        <w:rPr/>
        <w:t>（</w:t>
      </w:r>
      <w:r>
        <w:rPr>
          <w:rFonts w:ascii="宋体" w:hAnsi="宋体" w:cs="宋体" w:eastAsia="宋体" w:hint="default"/>
        </w:rPr>
        <w:t>9</w:t>
      </w:r>
      <w:r>
        <w:rPr/>
        <w:t>）会计师事务所对本次募集资金到位的验资情况</w:t>
      </w:r>
      <w:r>
        <w:rPr>
          <w:w w:val="100"/>
        </w:rPr>
        <w:t> </w:t>
      </w:r>
      <w:r>
        <w:rPr>
          <w:rFonts w:ascii="宋体" w:hAnsi="宋体" w:cs="宋体" w:eastAsia="宋体" w:hint="default"/>
          <w:spacing w:val="-5"/>
        </w:rPr>
        <w:t>2017</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8</w:t>
      </w:r>
      <w:r>
        <w:rPr>
          <w:spacing w:val="-5"/>
        </w:rPr>
        <w:t>日，大华会计师事务所（特殊普通合伙）出具了大华验字</w:t>
      </w:r>
      <w:r>
        <w:rPr>
          <w:spacing w:val="68"/>
        </w:rPr>
        <w:t> </w:t>
      </w:r>
      <w:r>
        <w:rPr>
          <w:rFonts w:ascii="宋体" w:hAnsi="宋体" w:cs="宋体" w:eastAsia="宋体" w:hint="default"/>
          <w:spacing w:val="-5"/>
        </w:rPr>
        <w:t>[2017]000151</w:t>
      </w:r>
      <w:r>
        <w:rPr>
          <w:spacing w:val="-5"/>
        </w:rPr>
        <w:t>号《验证报告》。</w:t>
      </w:r>
    </w:p>
    <w:p>
      <w:pPr>
        <w:pStyle w:val="BodyText"/>
        <w:spacing w:line="408" w:lineRule="auto"/>
        <w:ind w:right="148"/>
        <w:jc w:val="both"/>
      </w:pPr>
      <w:r>
        <w:rPr>
          <w:spacing w:val="-4"/>
        </w:rPr>
        <w:t>经审验，截至</w:t>
      </w:r>
      <w:r>
        <w:rPr>
          <w:rFonts w:ascii="宋体" w:hAnsi="宋体" w:cs="宋体" w:eastAsia="宋体" w:hint="default"/>
          <w:spacing w:val="-4"/>
        </w:rPr>
        <w:t>2017</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8</w:t>
      </w:r>
      <w:r>
        <w:rPr>
          <w:spacing w:val="-4"/>
        </w:rPr>
        <w:t>日</w:t>
      </w:r>
      <w:r>
        <w:rPr>
          <w:rFonts w:ascii="宋体" w:hAnsi="宋体" w:cs="宋体" w:eastAsia="宋体" w:hint="default"/>
          <w:spacing w:val="-4"/>
        </w:rPr>
        <w:t>16:50:03</w:t>
      </w:r>
      <w:r>
        <w:rPr>
          <w:spacing w:val="-4"/>
        </w:rPr>
        <w:t>时止，保荐机构（主承销商）平安证券指定的收款银行账户已收到</w:t>
      </w:r>
      <w:r>
        <w:rPr>
          <w:rFonts w:ascii="宋体" w:hAnsi="宋体" w:cs="宋体" w:eastAsia="宋体" w:hint="default"/>
          <w:spacing w:val="-4"/>
        </w:rPr>
        <w:t>2</w:t>
      </w:r>
      <w:r>
        <w:rPr>
          <w:spacing w:val="-4"/>
        </w:rPr>
        <w:t>家</w:t>
      </w:r>
      <w:r>
        <w:rPr>
          <w:spacing w:val="-28"/>
        </w:rPr>
        <w:t> </w:t>
      </w:r>
      <w:r>
        <w:rPr>
          <w:spacing w:val="19"/>
        </w:rPr>
        <w:t>认购对象缴纳的认购深圳市方直科技股份有限公司非公开发行人民币</w:t>
      </w:r>
      <w:r>
        <w:rPr>
          <w:rFonts w:ascii="宋体" w:hAnsi="宋体" w:cs="宋体" w:eastAsia="宋体" w:hint="default"/>
          <w:spacing w:val="19"/>
        </w:rPr>
        <w:t>A</w:t>
      </w:r>
      <w:r>
        <w:rPr>
          <w:spacing w:val="19"/>
        </w:rPr>
        <w:t>股股票的申购资金人民币</w:t>
      </w:r>
      <w:r>
        <w:rPr/>
        <w:t> </w:t>
      </w:r>
      <w:r>
        <w:rPr/>
      </w:r>
      <w:r>
        <w:rPr>
          <w:rFonts w:ascii="宋体" w:hAnsi="宋体" w:cs="宋体" w:eastAsia="宋体" w:hint="default"/>
        </w:rPr>
        <w:t>238,606,577.00</w:t>
      </w:r>
      <w:r>
        <w:rPr/>
        <w:t>元。</w:t>
      </w:r>
    </w:p>
    <w:p>
      <w:pPr>
        <w:pStyle w:val="BodyText"/>
        <w:spacing w:line="408" w:lineRule="auto"/>
        <w:ind w:right="146" w:firstLine="480"/>
        <w:jc w:val="both"/>
      </w:pPr>
      <w:r>
        <w:rPr>
          <w:rFonts w:ascii="宋体" w:hAnsi="宋体" w:cs="宋体" w:eastAsia="宋体" w:hint="default"/>
          <w:spacing w:val="-5"/>
        </w:rPr>
        <w:t>2017</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9</w:t>
      </w:r>
      <w:r>
        <w:rPr>
          <w:spacing w:val="-5"/>
        </w:rPr>
        <w:t>日，大华会计师事务所（特殊普通合伙）出具了大华验字</w:t>
      </w:r>
      <w:r>
        <w:rPr>
          <w:spacing w:val="56"/>
        </w:rPr>
        <w:t> </w:t>
      </w:r>
      <w:r>
        <w:rPr>
          <w:rFonts w:ascii="宋体" w:hAnsi="宋体" w:cs="宋体" w:eastAsia="宋体" w:hint="default"/>
          <w:spacing w:val="-5"/>
        </w:rPr>
        <w:t>[2017]000150</w:t>
      </w:r>
      <w:r>
        <w:rPr>
          <w:spacing w:val="-5"/>
        </w:rPr>
        <w:t>号《验资报告》。</w:t>
      </w:r>
      <w:r>
        <w:rPr>
          <w:w w:val="100"/>
        </w:rPr>
        <w:t> </w:t>
      </w:r>
      <w:r>
        <w:rPr>
          <w:spacing w:val="-4"/>
        </w:rPr>
        <w:t>经审验，截至</w:t>
      </w:r>
      <w:r>
        <w:rPr>
          <w:rFonts w:ascii="宋体" w:hAnsi="宋体" w:cs="宋体" w:eastAsia="宋体" w:hint="default"/>
          <w:spacing w:val="-4"/>
        </w:rPr>
        <w:t>2017</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9</w:t>
      </w:r>
      <w:r>
        <w:rPr>
          <w:spacing w:val="-4"/>
        </w:rPr>
        <w:t>日止，方直科技共计募集货币资金人民币</w:t>
      </w:r>
      <w:r>
        <w:rPr>
          <w:rFonts w:ascii="宋体" w:hAnsi="宋体" w:cs="宋体" w:eastAsia="宋体" w:hint="default"/>
          <w:spacing w:val="-4"/>
        </w:rPr>
        <w:t>238,606,577.00</w:t>
      </w:r>
      <w:r>
        <w:rPr>
          <w:spacing w:val="-4"/>
        </w:rPr>
        <w:t>元</w:t>
      </w:r>
      <w:r>
        <w:rPr>
          <w:rFonts w:ascii="宋体" w:hAnsi="宋体" w:cs="宋体" w:eastAsia="宋体" w:hint="default"/>
          <w:spacing w:val="-4"/>
        </w:rPr>
        <w:t>,</w:t>
      </w:r>
      <w:r>
        <w:rPr>
          <w:spacing w:val="-4"/>
        </w:rPr>
        <w:t>扣除与发行有关的费</w:t>
      </w:r>
      <w:r>
        <w:rPr>
          <w:spacing w:val="-14"/>
        </w:rPr>
        <w:t> </w:t>
      </w:r>
      <w:r>
        <w:rPr>
          <w:spacing w:val="-14"/>
        </w:rPr>
      </w:r>
      <w:r>
        <w:rPr/>
        <w:t>用总额人民币</w:t>
      </w:r>
      <w:r>
        <w:rPr>
          <w:rFonts w:ascii="宋体" w:hAnsi="宋体" w:cs="宋体" w:eastAsia="宋体" w:hint="default"/>
        </w:rPr>
        <w:t>10,609,431.09</w:t>
      </w:r>
      <w:r>
        <w:rPr/>
        <w:t>元，方直科技实际募集资金净额为人民币</w:t>
      </w:r>
      <w:r>
        <w:rPr>
          <w:rFonts w:ascii="宋体" w:hAnsi="宋体" w:cs="宋体" w:eastAsia="宋体" w:hint="default"/>
        </w:rPr>
        <w:t>227,997,145.91</w:t>
      </w:r>
      <w:r>
        <w:rPr/>
        <w:t>元，其中计入“股</w:t>
      </w:r>
      <w:r>
        <w:rPr>
          <w:spacing w:val="-24"/>
        </w:rPr>
        <w:t> </w:t>
      </w:r>
      <w:r>
        <w:rPr>
          <w:spacing w:val="-24"/>
        </w:rPr>
      </w:r>
      <w:r>
        <w:rPr>
          <w:spacing w:val="-2"/>
        </w:rPr>
        <w:t>本”人民币</w:t>
      </w:r>
      <w:r>
        <w:rPr>
          <w:rFonts w:ascii="宋体" w:hAnsi="宋体" w:cs="宋体" w:eastAsia="宋体" w:hint="default"/>
          <w:spacing w:val="-2"/>
        </w:rPr>
        <w:t>9,431,090.00</w:t>
      </w:r>
      <w:r>
        <w:rPr>
          <w:spacing w:val="-2"/>
        </w:rPr>
        <w:t>元，计入“资本公积－股本溢价”人民币</w:t>
      </w:r>
      <w:r>
        <w:rPr>
          <w:rFonts w:ascii="宋体" w:hAnsi="宋体" w:cs="宋体" w:eastAsia="宋体" w:hint="default"/>
          <w:spacing w:val="-2"/>
        </w:rPr>
        <w:t>219,166,589.76</w:t>
      </w:r>
      <w:r>
        <w:rPr>
          <w:spacing w:val="-2"/>
        </w:rPr>
        <w:t>元，差异部分为增值税</w:t>
      </w:r>
      <w:r>
        <w:rPr>
          <w:spacing w:val="-21"/>
        </w:rPr>
        <w:t> </w:t>
      </w:r>
      <w:r>
        <w:rPr>
          <w:spacing w:val="-21"/>
        </w:rPr>
      </w:r>
      <w:r>
        <w:rPr/>
        <w:t>进项税额人民币</w:t>
      </w:r>
      <w:r>
        <w:rPr>
          <w:rFonts w:ascii="宋体" w:hAnsi="宋体" w:cs="宋体" w:eastAsia="宋体" w:hint="default"/>
        </w:rPr>
        <w:t>600,533.85</w:t>
      </w:r>
      <w:r>
        <w:rPr/>
        <w:t>元。</w:t>
      </w:r>
    </w:p>
    <w:p>
      <w:pPr>
        <w:pStyle w:val="BodyText"/>
        <w:spacing w:line="408" w:lineRule="auto"/>
        <w:ind w:left="573" w:right="0" w:hanging="420"/>
        <w:jc w:val="left"/>
      </w:pPr>
      <w:r>
        <w:rPr/>
        <w:t>（</w:t>
      </w:r>
      <w:r>
        <w:rPr>
          <w:rFonts w:ascii="宋体" w:hAnsi="宋体" w:cs="宋体" w:eastAsia="宋体" w:hint="default"/>
        </w:rPr>
        <w:t>10</w:t>
      </w:r>
      <w:r>
        <w:rPr/>
        <w:t>）募集资金专用账户设立和三方监管协议签署情况</w:t>
      </w:r>
      <w:r>
        <w:rPr>
          <w:w w:val="100"/>
        </w:rPr>
        <w:t> </w:t>
      </w:r>
      <w:r>
        <w:rPr>
          <w:spacing w:val="-2"/>
        </w:rPr>
        <w:t>公司已经建立募集资金专项存储制度，并将严格遵循公司《深圳市方直科技股份有限公司募集资金</w:t>
      </w:r>
    </w:p>
    <w:p>
      <w:pPr>
        <w:pStyle w:val="BodyText"/>
        <w:spacing w:line="408" w:lineRule="auto"/>
        <w:ind w:right="333"/>
        <w:jc w:val="both"/>
      </w:pPr>
      <w:r>
        <w:rPr>
          <w:spacing w:val="-2"/>
        </w:rPr>
        <w:t>管理制度》的规定，在资金到位后及时存入专用账户，按照募集资金使用计划确保专款专用。保荐人、</w:t>
      </w:r>
      <w:r>
        <w:rPr>
          <w:spacing w:val="-21"/>
        </w:rPr>
        <w:t> </w:t>
      </w:r>
      <w:r>
        <w:rPr>
          <w:spacing w:val="-21"/>
        </w:rPr>
      </w:r>
      <w:r>
        <w:rPr>
          <w:spacing w:val="-2"/>
        </w:rPr>
        <w:t>开户银行和公司将根据《深圳证券交易所创业板上市公司规范运作指引》的有关规定在募集资金到位后</w:t>
      </w:r>
      <w:r>
        <w:rPr>
          <w:spacing w:val="-21"/>
        </w:rPr>
        <w:t> </w:t>
      </w:r>
      <w:r>
        <w:rPr>
          <w:spacing w:val="-21"/>
        </w:rPr>
      </w:r>
      <w:r>
        <w:rPr/>
        <w:t>一个月内签订募集资金三方监管协议，共同监督募集资金的使用情况。</w:t>
      </w:r>
    </w:p>
    <w:p>
      <w:pPr>
        <w:pStyle w:val="BodyText"/>
        <w:spacing w:line="408" w:lineRule="auto"/>
        <w:ind w:left="664" w:right="0" w:hanging="512"/>
        <w:jc w:val="left"/>
      </w:pPr>
      <w:r>
        <w:rPr/>
        <w:t>（</w:t>
      </w:r>
      <w:r>
        <w:rPr>
          <w:rFonts w:ascii="宋体" w:hAnsi="宋体" w:cs="宋体" w:eastAsia="宋体" w:hint="default"/>
        </w:rPr>
        <w:t>11</w:t>
      </w:r>
      <w:r>
        <w:rPr/>
        <w:t>）新增股份登记托管情况</w:t>
      </w:r>
      <w:r>
        <w:rPr>
          <w:w w:val="100"/>
        </w:rPr>
        <w:t> </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21</w:t>
      </w:r>
      <w:r>
        <w:rPr>
          <w:spacing w:val="-2"/>
        </w:rPr>
        <w:t>日，公司在中国证券登记结算有限公司深圳分公司办理了本次非公开发行相关股份的股</w:t>
      </w:r>
    </w:p>
    <w:p>
      <w:pPr>
        <w:pStyle w:val="BodyText"/>
        <w:spacing w:line="408" w:lineRule="auto"/>
        <w:ind w:right="145"/>
        <w:jc w:val="both"/>
      </w:pPr>
      <w:r>
        <w:rPr>
          <w:spacing w:val="-2"/>
        </w:rPr>
        <w:t>权登记，本次非公开发行股票的发行对象认购的股票自发行结束之日起</w:t>
      </w:r>
      <w:r>
        <w:rPr>
          <w:rFonts w:ascii="宋体" w:hAnsi="宋体" w:cs="宋体" w:eastAsia="宋体" w:hint="default"/>
          <w:spacing w:val="-2"/>
        </w:rPr>
        <w:t>12</w:t>
      </w:r>
      <w:r>
        <w:rPr>
          <w:spacing w:val="-2"/>
        </w:rPr>
        <w:t>个月内不转让，在此之后，按中</w:t>
      </w:r>
      <w:r>
        <w:rPr>
          <w:spacing w:val="-40"/>
        </w:rPr>
        <w:t> </w:t>
      </w:r>
      <w:r>
        <w:rPr>
          <w:spacing w:val="-40"/>
        </w:rPr>
      </w:r>
      <w:r>
        <w:rPr/>
        <w:t>国证券监督管理委员会及深圳证券交易所的有关规定执行。</w:t>
      </w:r>
    </w:p>
    <w:p>
      <w:pPr>
        <w:pStyle w:val="BodyText"/>
        <w:spacing w:line="240" w:lineRule="auto"/>
        <w:ind w:right="0"/>
        <w:jc w:val="both"/>
      </w:pPr>
      <w:r>
        <w:rPr/>
        <w:t>（</w:t>
      </w:r>
      <w:r>
        <w:rPr>
          <w:rFonts w:ascii="宋体" w:hAnsi="宋体" w:cs="宋体" w:eastAsia="宋体" w:hint="default"/>
        </w:rPr>
        <w:t>12</w:t>
      </w:r>
      <w:r>
        <w:rPr/>
        <w:t>）本次发行的发行对象情况</w:t>
      </w:r>
    </w:p>
    <w:p>
      <w:pPr>
        <w:spacing w:line="240" w:lineRule="auto" w:before="10"/>
        <w:rPr>
          <w:rFonts w:ascii="宋体" w:hAnsi="宋体" w:cs="宋体" w:eastAsia="宋体" w:hint="default"/>
          <w:sz w:val="14"/>
          <w:szCs w:val="14"/>
        </w:rPr>
      </w:pPr>
    </w:p>
    <w:p>
      <w:pPr>
        <w:pStyle w:val="BodyText"/>
        <w:spacing w:line="408" w:lineRule="auto" w:before="0"/>
        <w:ind w:left="573" w:right="4267"/>
        <w:jc w:val="left"/>
      </w:pPr>
      <w:r>
        <w:rPr/>
        <w:t>①</w:t>
      </w:r>
      <w:r>
        <w:rPr>
          <w:spacing w:val="-1"/>
        </w:rPr>
        <w:t> </w:t>
      </w:r>
      <w:r>
        <w:rPr/>
        <w:t>发行对象名称、认购股数及限售期等情况</w:t>
      </w:r>
      <w:r>
        <w:rPr>
          <w:w w:val="100"/>
        </w:rPr>
        <w:t> </w:t>
      </w:r>
      <w:r>
        <w:rPr>
          <w:rFonts w:ascii="宋体" w:hAnsi="宋体" w:cs="宋体" w:eastAsia="宋体" w:hint="default"/>
        </w:rPr>
        <w:t>A</w:t>
      </w:r>
      <w:r>
        <w:rPr/>
        <w:t>、询价时间</w:t>
      </w:r>
      <w:r>
        <w:rPr>
          <w:w w:val="100"/>
        </w:rPr>
        <w:t> </w:t>
      </w:r>
      <w:r>
        <w:rPr/>
        <w:t>本次发行的询价时间为</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w:t>
      </w:r>
      <w:r>
        <w:rPr/>
        <w:t>日上午</w:t>
      </w:r>
      <w:r>
        <w:rPr>
          <w:rFonts w:ascii="宋体" w:hAnsi="宋体" w:cs="宋体" w:eastAsia="宋体" w:hint="default"/>
        </w:rPr>
        <w:t>9:00-12:00</w:t>
      </w:r>
      <w:r>
        <w:rPr/>
        <w:t>。</w:t>
      </w:r>
      <w:r>
        <w:rPr>
          <w:w w:val="100"/>
        </w:rPr>
        <w:t> </w:t>
      </w:r>
      <w:r>
        <w:rPr>
          <w:rFonts w:ascii="宋体" w:hAnsi="宋体" w:cs="宋体" w:eastAsia="宋体" w:hint="default"/>
        </w:rPr>
        <w:t>B</w:t>
      </w:r>
      <w:r>
        <w:rPr/>
        <w:t>、申购价格区间</w:t>
      </w:r>
    </w:p>
    <w:p>
      <w:pPr>
        <w:spacing w:after="0" w:line="408" w:lineRule="auto"/>
        <w:jc w:val="left"/>
        <w:sectPr>
          <w:footerReference w:type="default" r:id="rId33"/>
          <w:pgSz w:w="11910" w:h="16840"/>
          <w:pgMar w:footer="979" w:header="880" w:top="1100" w:bottom="1160" w:left="980" w:right="980"/>
          <w:pgNumType w:start="8"/>
        </w:sectPr>
      </w:pPr>
    </w:p>
    <w:p>
      <w:pPr>
        <w:spacing w:line="240" w:lineRule="auto" w:before="12"/>
        <w:rPr>
          <w:rFonts w:ascii="宋体" w:hAnsi="宋体" w:cs="宋体" w:eastAsia="宋体" w:hint="default"/>
          <w:sz w:val="26"/>
          <w:szCs w:val="26"/>
        </w:rPr>
      </w:pPr>
    </w:p>
    <w:p>
      <w:pPr>
        <w:pStyle w:val="BodyText"/>
        <w:spacing w:line="408" w:lineRule="auto" w:before="36"/>
        <w:ind w:left="573" w:right="0"/>
        <w:jc w:val="left"/>
      </w:pPr>
      <w:r>
        <w:rPr>
          <w:spacing w:val="-4"/>
        </w:rPr>
        <w:t>本次发行询价区间不设上限，询价下限为不低于</w:t>
      </w:r>
      <w:r>
        <w:rPr>
          <w:rFonts w:ascii="宋体" w:hAnsi="宋体" w:cs="宋体" w:eastAsia="宋体" w:hint="default"/>
          <w:spacing w:val="-4"/>
        </w:rPr>
        <w:t>20.09</w:t>
      </w:r>
      <w:r>
        <w:rPr>
          <w:spacing w:val="-4"/>
        </w:rPr>
        <w:t>元</w:t>
      </w:r>
      <w:r>
        <w:rPr>
          <w:rFonts w:ascii="宋体" w:hAnsi="宋体" w:cs="宋体" w:eastAsia="宋体" w:hint="default"/>
          <w:spacing w:val="-4"/>
        </w:rPr>
        <w:t>/</w:t>
      </w:r>
      <w:r>
        <w:rPr>
          <w:spacing w:val="-4"/>
        </w:rPr>
        <w:t>股。申购价格低于</w:t>
      </w:r>
      <w:r>
        <w:rPr>
          <w:rFonts w:ascii="宋体" w:hAnsi="宋体" w:cs="宋体" w:eastAsia="宋体" w:hint="default"/>
          <w:spacing w:val="-4"/>
        </w:rPr>
        <w:t>20.09</w:t>
      </w:r>
      <w:r>
        <w:rPr>
          <w:spacing w:val="-4"/>
        </w:rPr>
        <w:t>元</w:t>
      </w:r>
      <w:r>
        <w:rPr>
          <w:rFonts w:ascii="宋体" w:hAnsi="宋体" w:cs="宋体" w:eastAsia="宋体" w:hint="default"/>
          <w:spacing w:val="-4"/>
        </w:rPr>
        <w:t>/</w:t>
      </w:r>
      <w:r>
        <w:rPr>
          <w:spacing w:val="-4"/>
        </w:rPr>
        <w:t>股的为无效申购。</w:t>
      </w:r>
      <w:r>
        <w:rPr>
          <w:spacing w:val="-37"/>
        </w:rPr>
        <w:t> </w:t>
      </w:r>
      <w:r>
        <w:rPr>
          <w:spacing w:val="-37"/>
        </w:rPr>
      </w:r>
      <w:r>
        <w:rPr/>
        <w:t>询价下限的确定依据：本次发行的定价基准日为发行期首日，本次非公开发行股票发行价格不低于定</w:t>
      </w:r>
    </w:p>
    <w:p>
      <w:pPr>
        <w:pStyle w:val="BodyText"/>
        <w:spacing w:line="408" w:lineRule="auto"/>
        <w:ind w:left="635" w:right="2633" w:hanging="483"/>
        <w:jc w:val="left"/>
      </w:pPr>
      <w:r>
        <w:rPr>
          <w:spacing w:val="-2"/>
        </w:rPr>
        <w:t>价基准日前</w:t>
      </w:r>
      <w:r>
        <w:rPr>
          <w:rFonts w:ascii="宋体" w:hAnsi="宋体" w:cs="宋体" w:eastAsia="宋体" w:hint="default"/>
          <w:spacing w:val="-2"/>
        </w:rPr>
        <w:t>20</w:t>
      </w:r>
      <w:r>
        <w:rPr>
          <w:spacing w:val="-2"/>
        </w:rPr>
        <w:t>个交易日公司股票交易均价的</w:t>
      </w:r>
      <w:r>
        <w:rPr>
          <w:rFonts w:ascii="宋体" w:hAnsi="宋体" w:cs="宋体" w:eastAsia="宋体" w:hint="default"/>
          <w:spacing w:val="-2"/>
        </w:rPr>
        <w:t>90%</w:t>
      </w:r>
      <w:r>
        <w:rPr>
          <w:spacing w:val="-2"/>
        </w:rPr>
        <w:t>，即</w:t>
      </w:r>
      <w:r>
        <w:rPr>
          <w:rFonts w:ascii="宋体" w:hAnsi="宋体" w:cs="宋体" w:eastAsia="宋体" w:hint="default"/>
          <w:spacing w:val="-2"/>
        </w:rPr>
        <w:t>20.09</w:t>
      </w:r>
      <w:r>
        <w:rPr>
          <w:spacing w:val="-2"/>
        </w:rPr>
        <w:t>元</w:t>
      </w:r>
      <w:r>
        <w:rPr>
          <w:rFonts w:ascii="宋体" w:hAnsi="宋体" w:cs="宋体" w:eastAsia="宋体" w:hint="default"/>
          <w:spacing w:val="-2"/>
        </w:rPr>
        <w:t>/</w:t>
      </w:r>
      <w:r>
        <w:rPr>
          <w:spacing w:val="-2"/>
        </w:rPr>
        <w:t>股。</w:t>
      </w:r>
      <w:r>
        <w:rPr>
          <w:spacing w:val="-45"/>
        </w:rPr>
        <w:t> </w:t>
      </w:r>
      <w:r>
        <w:rPr>
          <w:rFonts w:ascii="宋体" w:hAnsi="宋体" w:cs="宋体" w:eastAsia="宋体" w:hint="default"/>
        </w:rPr>
        <w:t>C</w:t>
      </w:r>
      <w:r>
        <w:rPr/>
        <w:t>、申购数量区间</w:t>
      </w:r>
    </w:p>
    <w:p>
      <w:pPr>
        <w:pStyle w:val="BodyText"/>
        <w:spacing w:line="408" w:lineRule="auto"/>
        <w:ind w:right="208" w:firstLine="420"/>
        <w:jc w:val="both"/>
      </w:pPr>
      <w:r>
        <w:rPr>
          <w:spacing w:val="-4"/>
        </w:rPr>
        <w:t>每一特定投资者的最低有效认购金额不得低于</w:t>
      </w:r>
      <w:r>
        <w:rPr>
          <w:rFonts w:ascii="宋体" w:hAnsi="宋体" w:cs="宋体" w:eastAsia="宋体" w:hint="default"/>
          <w:spacing w:val="-4"/>
        </w:rPr>
        <w:t>7,500</w:t>
      </w:r>
      <w:r>
        <w:rPr>
          <w:spacing w:val="-4"/>
        </w:rPr>
        <w:t>万元（含</w:t>
      </w:r>
      <w:r>
        <w:rPr>
          <w:rFonts w:ascii="宋体" w:hAnsi="宋体" w:cs="宋体" w:eastAsia="宋体" w:hint="default"/>
          <w:spacing w:val="-4"/>
        </w:rPr>
        <w:t>7,500</w:t>
      </w:r>
      <w:r>
        <w:rPr>
          <w:spacing w:val="-4"/>
        </w:rPr>
        <w:t>万元），超过</w:t>
      </w:r>
      <w:r>
        <w:rPr>
          <w:rFonts w:ascii="宋体" w:hAnsi="宋体" w:cs="宋体" w:eastAsia="宋体" w:hint="default"/>
          <w:spacing w:val="-4"/>
        </w:rPr>
        <w:t>7,500</w:t>
      </w:r>
      <w:r>
        <w:rPr>
          <w:spacing w:val="-4"/>
        </w:rPr>
        <w:t>万元的必须是</w:t>
      </w:r>
      <w:r>
        <w:rPr>
          <w:rFonts w:ascii="宋体" w:hAnsi="宋体" w:cs="宋体" w:eastAsia="宋体" w:hint="default"/>
          <w:spacing w:val="-4"/>
        </w:rPr>
        <w:t>10</w:t>
      </w:r>
      <w:r>
        <w:rPr>
          <w:rFonts w:ascii="宋体" w:hAnsi="宋体" w:cs="宋体" w:eastAsia="宋体" w:hint="default"/>
          <w:w w:val="100"/>
        </w:rPr>
        <w:t> </w:t>
      </w:r>
      <w:r>
        <w:rPr/>
        <w:t>万元的整数倍，且每一特定投资者最高认购金额不得超过</w:t>
      </w:r>
      <w:r>
        <w:rPr>
          <w:rFonts w:ascii="宋体" w:hAnsi="宋体" w:cs="宋体" w:eastAsia="宋体" w:hint="default"/>
        </w:rPr>
        <w:t>23,860.66</w:t>
      </w:r>
      <w:r>
        <w:rPr/>
        <w:t>万元。</w:t>
      </w:r>
    </w:p>
    <w:p>
      <w:pPr>
        <w:pStyle w:val="BodyText"/>
        <w:spacing w:line="240" w:lineRule="auto"/>
        <w:ind w:left="573" w:right="0"/>
        <w:jc w:val="left"/>
      </w:pPr>
      <w:r>
        <w:rPr>
          <w:rFonts w:ascii="宋体" w:hAnsi="宋体" w:cs="宋体" w:eastAsia="宋体" w:hint="default"/>
        </w:rPr>
        <w:t>D</w:t>
      </w:r>
      <w:r>
        <w:rPr/>
        <w:t>、询价对象及认购邀请书的发放</w:t>
      </w:r>
    </w:p>
    <w:p>
      <w:pPr>
        <w:spacing w:line="240" w:lineRule="auto" w:before="10"/>
        <w:rPr>
          <w:rFonts w:ascii="宋体" w:hAnsi="宋体" w:cs="宋体" w:eastAsia="宋体" w:hint="default"/>
          <w:sz w:val="14"/>
          <w:szCs w:val="14"/>
        </w:rPr>
      </w:pPr>
    </w:p>
    <w:p>
      <w:pPr>
        <w:pStyle w:val="BodyText"/>
        <w:spacing w:line="408" w:lineRule="auto" w:before="0"/>
        <w:ind w:right="206" w:firstLine="482"/>
        <w:jc w:val="both"/>
      </w:pPr>
      <w:r>
        <w:rPr>
          <w:spacing w:val="-1"/>
        </w:rPr>
        <w:t>发行人及主承销商于</w:t>
      </w:r>
      <w:r>
        <w:rPr>
          <w:rFonts w:ascii="宋体" w:hAnsi="宋体" w:cs="宋体" w:eastAsia="宋体" w:hint="default"/>
          <w:spacing w:val="-1"/>
        </w:rPr>
        <w:t>2017</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27</w:t>
      </w:r>
      <w:r>
        <w:rPr>
          <w:spacing w:val="-1"/>
        </w:rPr>
        <w:t>日（</w:t>
      </w:r>
      <w:r>
        <w:rPr>
          <w:rFonts w:ascii="宋体" w:hAnsi="宋体" w:cs="宋体" w:eastAsia="宋体" w:hint="default"/>
          <w:spacing w:val="-1"/>
        </w:rPr>
        <w:t>T-4</w:t>
      </w:r>
      <w:r>
        <w:rPr>
          <w:spacing w:val="-1"/>
        </w:rPr>
        <w:t>日），以电子邮件和邮寄的方式向</w:t>
      </w:r>
      <w:r>
        <w:rPr>
          <w:rFonts w:ascii="宋体" w:hAnsi="宋体" w:cs="宋体" w:eastAsia="宋体" w:hint="default"/>
          <w:spacing w:val="-1"/>
        </w:rPr>
        <w:t>129</w:t>
      </w:r>
      <w:r>
        <w:rPr>
          <w:spacing w:val="-1"/>
        </w:rPr>
        <w:t>名符合条件的投资者</w:t>
      </w:r>
      <w:r>
        <w:rPr>
          <w:w w:val="100"/>
        </w:rPr>
        <w:t> </w:t>
      </w:r>
      <w:r>
        <w:rPr>
          <w:spacing w:val="-2"/>
        </w:rPr>
        <w:t>发送了《深圳市方直科技股份有限公司非公开发行股票认购邀请书》及《深圳市方直科技股份有限公司非</w:t>
      </w:r>
      <w:r>
        <w:rPr>
          <w:spacing w:val="-43"/>
        </w:rPr>
        <w:t> </w:t>
      </w:r>
      <w:r>
        <w:rPr>
          <w:spacing w:val="-43"/>
        </w:rPr>
      </w:r>
      <w:r>
        <w:rPr>
          <w:spacing w:val="-2"/>
        </w:rPr>
        <w:t>公开发行股票申购报价单》。主承销商于</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w:t>
      </w:r>
      <w:r>
        <w:rPr>
          <w:rFonts w:ascii="宋体" w:hAnsi="宋体" w:cs="宋体" w:eastAsia="宋体" w:hint="default"/>
          <w:spacing w:val="-2"/>
        </w:rPr>
        <w:t>T-2</w:t>
      </w:r>
      <w:r>
        <w:rPr>
          <w:spacing w:val="-2"/>
        </w:rPr>
        <w:t>日）收到</w:t>
      </w:r>
      <w:r>
        <w:rPr>
          <w:rFonts w:ascii="宋体" w:hAnsi="宋体" w:cs="宋体" w:eastAsia="宋体" w:hint="default"/>
          <w:spacing w:val="-2"/>
        </w:rPr>
        <w:t>1</w:t>
      </w:r>
      <w:r>
        <w:rPr>
          <w:spacing w:val="-2"/>
        </w:rPr>
        <w:t>名新增投资者（东海基金管理有限</w:t>
      </w:r>
      <w:r>
        <w:rPr>
          <w:spacing w:val="-36"/>
        </w:rPr>
        <w:t> </w:t>
      </w:r>
      <w:r>
        <w:rPr>
          <w:spacing w:val="-36"/>
        </w:rPr>
      </w:r>
      <w:r>
        <w:rPr>
          <w:spacing w:val="-2"/>
        </w:rPr>
        <w:t>责任公司）关于方直科技的认购意向函，主承销商以电子邮件的方式向其发送了《深圳市方直科技股份有</w:t>
      </w:r>
      <w:r>
        <w:rPr>
          <w:spacing w:val="-44"/>
        </w:rPr>
        <w:t> </w:t>
      </w:r>
      <w:r>
        <w:rPr>
          <w:spacing w:val="-44"/>
        </w:rPr>
      </w:r>
      <w:r>
        <w:rPr>
          <w:spacing w:val="-2"/>
        </w:rPr>
        <w:t>限公司非公开发行股票认购邀请书》及《深圳市方直科技股份有限公司非公开发行股票申购报价单》。上</w:t>
      </w:r>
      <w:r>
        <w:rPr>
          <w:spacing w:val="-44"/>
        </w:rPr>
        <w:t> </w:t>
      </w:r>
      <w:r>
        <w:rPr>
          <w:spacing w:val="-44"/>
        </w:rPr>
      </w:r>
      <w:r>
        <w:rPr/>
        <w:t>述</w:t>
      </w:r>
      <w:r>
        <w:rPr>
          <w:rFonts w:ascii="宋体" w:hAnsi="宋体" w:cs="宋体" w:eastAsia="宋体" w:hint="default"/>
        </w:rPr>
        <w:t>130</w:t>
      </w:r>
      <w:r>
        <w:rPr/>
        <w:t>名投资者中包括：截至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日收市后的前</w:t>
      </w:r>
      <w:r>
        <w:rPr>
          <w:rFonts w:ascii="宋体" w:hAnsi="宋体" w:cs="宋体" w:eastAsia="宋体" w:hint="default"/>
        </w:rPr>
        <w:t>20</w:t>
      </w:r>
      <w:r>
        <w:rPr/>
        <w:t>名股东；已表达认购意向的其他类型投资者</w:t>
      </w:r>
      <w:r>
        <w:rPr>
          <w:rFonts w:ascii="宋体" w:hAnsi="宋体" w:cs="宋体" w:eastAsia="宋体" w:hint="default"/>
        </w:rPr>
        <w:t>65</w:t>
      </w:r>
      <w:r>
        <w:rPr>
          <w:rFonts w:ascii="宋体" w:hAnsi="宋体" w:cs="宋体" w:eastAsia="宋体" w:hint="default"/>
          <w:spacing w:val="-32"/>
        </w:rPr>
        <w:t> </w:t>
      </w:r>
      <w:r>
        <w:rPr/>
        <w:t>名；基金公司</w:t>
      </w:r>
      <w:r>
        <w:rPr>
          <w:rFonts w:ascii="宋体" w:hAnsi="宋体" w:cs="宋体" w:eastAsia="宋体" w:hint="default"/>
        </w:rPr>
        <w:t>25</w:t>
      </w:r>
      <w:r>
        <w:rPr/>
        <w:t>名；证券公司</w:t>
      </w:r>
      <w:r>
        <w:rPr>
          <w:rFonts w:ascii="宋体" w:hAnsi="宋体" w:cs="宋体" w:eastAsia="宋体" w:hint="default"/>
        </w:rPr>
        <w:t>13</w:t>
      </w:r>
      <w:r>
        <w:rPr/>
        <w:t>名；保险机构</w:t>
      </w:r>
      <w:r>
        <w:rPr>
          <w:rFonts w:ascii="宋体" w:hAnsi="宋体" w:cs="宋体" w:eastAsia="宋体" w:hint="default"/>
        </w:rPr>
        <w:t>7</w:t>
      </w:r>
      <w:r>
        <w:rPr/>
        <w:t>名。</w:t>
      </w:r>
    </w:p>
    <w:p>
      <w:pPr>
        <w:pStyle w:val="BodyText"/>
        <w:spacing w:line="408" w:lineRule="auto"/>
        <w:ind w:left="573" w:right="0"/>
        <w:jc w:val="left"/>
      </w:pPr>
      <w:r>
        <w:rPr>
          <w:rFonts w:ascii="宋体" w:hAnsi="宋体" w:cs="宋体" w:eastAsia="宋体" w:hint="default"/>
        </w:rPr>
        <w:t>E</w:t>
      </w:r>
      <w:r>
        <w:rPr/>
        <w:t>、发行定价与配售情况</w:t>
      </w:r>
      <w:r>
        <w:rPr>
          <w:w w:val="100"/>
        </w:rPr>
        <w:t> </w:t>
      </w:r>
      <w:r>
        <w:rPr>
          <w:spacing w:val="-2"/>
        </w:rPr>
        <w:t>发行人及主承销商以全部有效申购的投资者的报价为依据，并根据《深圳市方直科技股份有限公司非</w:t>
      </w:r>
    </w:p>
    <w:p>
      <w:pPr>
        <w:pStyle w:val="BodyText"/>
        <w:spacing w:line="408" w:lineRule="auto"/>
        <w:ind w:right="208"/>
        <w:jc w:val="both"/>
      </w:pPr>
      <w:r>
        <w:rPr>
          <w:spacing w:val="-2"/>
        </w:rPr>
        <w:t>公开发行股票发行方案》（以下简称“《发行方案》”）、《深圳市方直科技股份有限公司非公开发行股</w:t>
      </w:r>
      <w:r>
        <w:rPr>
          <w:spacing w:val="-48"/>
        </w:rPr>
        <w:t> </w:t>
      </w:r>
      <w:r>
        <w:rPr>
          <w:spacing w:val="-48"/>
        </w:rPr>
      </w:r>
      <w:r>
        <w:rPr>
          <w:spacing w:val="-2"/>
        </w:rPr>
        <w:t>票认购邀请书》中规定的认购对象和申购价格确定原则，确定本次非公开发行股票的发行价格为</w:t>
      </w:r>
      <w:r>
        <w:rPr>
          <w:rFonts w:ascii="宋体" w:hAnsi="宋体" w:cs="宋体" w:eastAsia="宋体" w:hint="default"/>
          <w:spacing w:val="-2"/>
        </w:rPr>
        <w:t>25.30</w:t>
      </w:r>
      <w:r>
        <w:rPr>
          <w:spacing w:val="-2"/>
        </w:rPr>
        <w:t>元</w:t>
      </w:r>
      <w:r>
        <w:rPr>
          <w:rFonts w:ascii="宋体" w:hAnsi="宋体" w:cs="宋体" w:eastAsia="宋体" w:hint="default"/>
          <w:spacing w:val="-2"/>
        </w:rPr>
        <w:t>/</w:t>
      </w:r>
      <w:r>
        <w:rPr>
          <w:rFonts w:ascii="宋体" w:hAnsi="宋体" w:cs="宋体" w:eastAsia="宋体" w:hint="default"/>
          <w:spacing w:val="-38"/>
        </w:rPr>
        <w:t> </w:t>
      </w:r>
      <w:r>
        <w:rPr/>
        <w:t>股，发行数量</w:t>
      </w:r>
      <w:r>
        <w:rPr>
          <w:rFonts w:ascii="宋体" w:hAnsi="宋体" w:cs="宋体" w:eastAsia="宋体" w:hint="default"/>
        </w:rPr>
        <w:t>9,431,090</w:t>
      </w:r>
      <w:r>
        <w:rPr/>
        <w:t>股，募集资金总额为</w:t>
      </w:r>
      <w:r>
        <w:rPr>
          <w:rFonts w:ascii="宋体" w:hAnsi="宋体" w:cs="宋体" w:eastAsia="宋体" w:hint="default"/>
        </w:rPr>
        <w:t>238,606,577.00</w:t>
      </w:r>
      <w:r>
        <w:rPr/>
        <w:t>元。</w:t>
      </w:r>
    </w:p>
    <w:p>
      <w:pPr>
        <w:pStyle w:val="BodyText"/>
        <w:spacing w:line="240" w:lineRule="auto"/>
        <w:ind w:left="573" w:right="0"/>
        <w:jc w:val="left"/>
      </w:pPr>
      <w:r>
        <w:rPr/>
        <w:t>本次发行最终配售结果如下：</w:t>
      </w:r>
    </w:p>
    <w:p>
      <w:pPr>
        <w:spacing w:line="240" w:lineRule="auto" w:before="9"/>
        <w:rPr>
          <w:rFonts w:ascii="宋体" w:hAnsi="宋体" w:cs="宋体" w:eastAsia="宋体" w:hint="default"/>
          <w:sz w:val="9"/>
          <w:szCs w:val="9"/>
        </w:rPr>
      </w:pPr>
    </w:p>
    <w:tbl>
      <w:tblPr>
        <w:tblW w:w="0" w:type="auto"/>
        <w:jc w:val="left"/>
        <w:tblInd w:w="162" w:type="dxa"/>
        <w:tblLayout w:type="fixed"/>
        <w:tblCellMar>
          <w:top w:w="0" w:type="dxa"/>
          <w:left w:w="0" w:type="dxa"/>
          <w:bottom w:w="0" w:type="dxa"/>
          <w:right w:w="0" w:type="dxa"/>
        </w:tblCellMar>
        <w:tblLook w:val="01E0"/>
      </w:tblPr>
      <w:tblGrid>
        <w:gridCol w:w="667"/>
        <w:gridCol w:w="3512"/>
        <w:gridCol w:w="1764"/>
        <w:gridCol w:w="2151"/>
        <w:gridCol w:w="1373"/>
      </w:tblGrid>
      <w:tr>
        <w:trPr>
          <w:trHeight w:val="341"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发行对象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7" w:right="0"/>
              <w:jc w:val="left"/>
              <w:rPr>
                <w:rFonts w:ascii="宋体" w:hAnsi="宋体" w:cs="宋体" w:eastAsia="宋体" w:hint="default"/>
                <w:sz w:val="18"/>
                <w:szCs w:val="18"/>
              </w:rPr>
            </w:pPr>
            <w:r>
              <w:rPr>
                <w:rFonts w:ascii="宋体" w:hAnsi="宋体" w:cs="宋体" w:eastAsia="宋体" w:hint="default"/>
                <w:sz w:val="18"/>
                <w:szCs w:val="18"/>
              </w:rPr>
              <w:t>认购股数（股）</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认购金额（元）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1" w:right="0"/>
              <w:jc w:val="left"/>
              <w:rPr>
                <w:rFonts w:ascii="宋体" w:hAnsi="宋体" w:cs="宋体" w:eastAsia="宋体" w:hint="default"/>
                <w:sz w:val="18"/>
                <w:szCs w:val="18"/>
              </w:rPr>
            </w:pPr>
            <w:r>
              <w:rPr>
                <w:rFonts w:ascii="宋体" w:hAnsi="宋体" w:cs="宋体" w:eastAsia="宋体" w:hint="default"/>
                <w:sz w:val="18"/>
                <w:szCs w:val="18"/>
              </w:rPr>
              <w:t>限售期（月）</w:t>
            </w:r>
          </w:p>
        </w:tc>
      </w:tr>
      <w:tr>
        <w:trPr>
          <w:trHeight w:val="343"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sz w:val="18"/>
              </w:rPr>
              <w:t>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北京嘉豪伟业投资中心（有限合伙）</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7,905,138.00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199,999,991.40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sz w:val="18"/>
              </w:rPr>
              <w:t>12</w:t>
            </w:r>
          </w:p>
        </w:tc>
      </w:tr>
      <w:tr>
        <w:trPr>
          <w:trHeight w:val="341"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前海开源基金管理有限公司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1,525,952.00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38,606,585.60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12</w:t>
            </w:r>
          </w:p>
        </w:tc>
      </w:tr>
      <w:tr>
        <w:trPr>
          <w:trHeight w:val="343" w:hRule="exact"/>
        </w:trPr>
        <w:tc>
          <w:tcPr>
            <w:tcW w:w="41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宋体" w:hAnsi="宋体" w:cs="宋体" w:eastAsia="宋体" w:hint="default"/>
                <w:sz w:val="18"/>
                <w:szCs w:val="18"/>
              </w:rPr>
            </w:pPr>
            <w:r>
              <w:rPr>
                <w:rFonts w:ascii="宋体"/>
                <w:spacing w:val="-1"/>
                <w:sz w:val="18"/>
              </w:rPr>
              <w:t>9,431,090.00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238,606,577.00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宋体" w:hAnsi="宋体" w:cs="宋体" w:eastAsia="宋体" w:hint="default"/>
                <w:sz w:val="18"/>
                <w:szCs w:val="18"/>
              </w:rPr>
            </w:pPr>
            <w:r>
              <w:rPr>
                <w:rFonts w:ascii="宋体"/>
                <w:sz w:val="18"/>
              </w:rPr>
              <w:t>-</w:t>
            </w:r>
          </w:p>
        </w:tc>
      </w:tr>
    </w:tbl>
    <w:p>
      <w:pPr>
        <w:pStyle w:val="BodyText"/>
        <w:spacing w:line="408" w:lineRule="auto" w:before="67"/>
        <w:ind w:right="0" w:firstLine="420"/>
        <w:jc w:val="left"/>
      </w:pPr>
      <w:r>
        <w:rPr>
          <w:spacing w:val="-2"/>
        </w:rPr>
        <w:t>北京嘉豪伟业投资中心（有限合伙）和前海开源基金管理有限公司认购本次发行的股份自愿承诺自上</w:t>
      </w:r>
      <w:r>
        <w:rPr>
          <w:w w:val="100"/>
        </w:rPr>
        <w:t> </w:t>
      </w:r>
      <w:r>
        <w:rPr/>
        <w:t>市之日起</w:t>
      </w:r>
      <w:r>
        <w:rPr>
          <w:rFonts w:ascii="宋体" w:hAnsi="宋体" w:cs="宋体" w:eastAsia="宋体" w:hint="default"/>
        </w:rPr>
        <w:t>12</w:t>
      </w:r>
      <w:r>
        <w:rPr/>
        <w:t>个月内不转让。</w:t>
      </w:r>
    </w:p>
    <w:p>
      <w:pPr>
        <w:spacing w:line="240" w:lineRule="auto" w:before="6"/>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6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205" w:firstLine="420"/>
        <w:jc w:val="left"/>
      </w:pPr>
      <w:r>
        <w:rPr>
          <w:spacing w:val="-2"/>
        </w:rPr>
        <w:t>报告期内，公司向特定投资者北京嘉豪伟业投资中心（有限合伙）和前海开源基金管理有限公司共发</w:t>
      </w:r>
      <w:r>
        <w:rPr>
          <w:w w:val="100"/>
        </w:rPr>
        <w:t> </w:t>
      </w:r>
      <w:r>
        <w:rPr>
          <w:spacing w:val="-2"/>
        </w:rPr>
        <w:t>行人民币普通股</w:t>
      </w:r>
      <w:r>
        <w:rPr>
          <w:rFonts w:ascii="宋体" w:hAnsi="宋体" w:cs="宋体" w:eastAsia="宋体" w:hint="default"/>
          <w:spacing w:val="-2"/>
        </w:rPr>
        <w:t>(A</w:t>
      </w:r>
      <w:r>
        <w:rPr>
          <w:spacing w:val="-2"/>
        </w:rPr>
        <w:t>股</w:t>
      </w:r>
      <w:r>
        <w:rPr>
          <w:rFonts w:ascii="宋体" w:hAnsi="宋体" w:cs="宋体" w:eastAsia="宋体" w:hint="default"/>
          <w:spacing w:val="-2"/>
        </w:rPr>
        <w:t>)</w:t>
      </w:r>
      <w:r>
        <w:rPr>
          <w:rFonts w:ascii="宋体" w:hAnsi="宋体" w:cs="宋体" w:eastAsia="宋体" w:hint="default"/>
          <w:spacing w:val="80"/>
        </w:rPr>
        <w:t> </w:t>
      </w:r>
      <w:r>
        <w:rPr>
          <w:rFonts w:ascii="宋体" w:hAnsi="宋体" w:cs="宋体" w:eastAsia="宋体" w:hint="default"/>
          <w:spacing w:val="-2"/>
        </w:rPr>
        <w:t>9,431,090</w:t>
      </w:r>
      <w:r>
        <w:rPr>
          <w:spacing w:val="-2"/>
        </w:rPr>
        <w:t>股，每股面值人民币</w:t>
      </w:r>
      <w:r>
        <w:rPr>
          <w:rFonts w:ascii="宋体" w:hAnsi="宋体" w:cs="宋体" w:eastAsia="宋体" w:hint="default"/>
          <w:spacing w:val="-2"/>
        </w:rPr>
        <w:t>1.00</w:t>
      </w:r>
      <w:r>
        <w:rPr>
          <w:spacing w:val="-2"/>
        </w:rPr>
        <w:t>元，每股发行认购价格为人民币</w:t>
      </w:r>
      <w:r>
        <w:rPr>
          <w:rFonts w:ascii="宋体" w:hAnsi="宋体" w:cs="宋体" w:eastAsia="宋体" w:hint="default"/>
          <w:spacing w:val="-2"/>
        </w:rPr>
        <w:t>25.30</w:t>
      </w:r>
      <w:r>
        <w:rPr>
          <w:spacing w:val="-2"/>
        </w:rPr>
        <w:t>元。截至</w:t>
      </w:r>
    </w:p>
    <w:p>
      <w:pPr>
        <w:spacing w:after="0" w:line="408" w:lineRule="auto"/>
        <w:jc w:val="left"/>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right="0"/>
        <w:jc w:val="left"/>
      </w:pPr>
      <w:r>
        <w:rPr>
          <w:rFonts w:ascii="宋体" w:hAnsi="宋体" w:cs="宋体" w:eastAsia="宋体" w:hint="default"/>
          <w:spacing w:val="-2"/>
        </w:rPr>
        <w:t>2017</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09</w:t>
      </w:r>
      <w:r>
        <w:rPr>
          <w:spacing w:val="-2"/>
        </w:rPr>
        <w:t>日止，公司上述发行募集的资金已全部到位，大华会计师事务所（特殊普通合伙）出具了大</w:t>
      </w:r>
      <w:r>
        <w:rPr>
          <w:spacing w:val="-39"/>
        </w:rPr>
        <w:t> </w:t>
      </w:r>
      <w:r>
        <w:rPr>
          <w:spacing w:val="-39"/>
        </w:rPr>
      </w:r>
      <w:r>
        <w:rPr/>
        <w:t>华验字</w:t>
      </w:r>
      <w:r>
        <w:rPr>
          <w:spacing w:val="-5"/>
        </w:rPr>
        <w:t> </w:t>
      </w:r>
      <w:r>
        <w:rPr>
          <w:rFonts w:ascii="宋体" w:hAnsi="宋体" w:cs="宋体" w:eastAsia="宋体" w:hint="default"/>
        </w:rPr>
        <w:t>[2017]000150</w:t>
      </w:r>
      <w:r>
        <w:rPr/>
        <w:t>号《验资报告》验证确认。</w:t>
      </w:r>
    </w:p>
    <w:p>
      <w:pPr>
        <w:pStyle w:val="BodyText"/>
        <w:spacing w:line="408" w:lineRule="auto" w:before="87"/>
        <w:ind w:right="0" w:firstLine="420"/>
        <w:jc w:val="left"/>
      </w:pPr>
      <w:r>
        <w:rPr>
          <w:spacing w:val="2"/>
        </w:rPr>
        <w:t>公司本次非公开发行的新增股份已于</w:t>
      </w:r>
      <w:r>
        <w:rPr>
          <w:rFonts w:ascii="宋体" w:hAnsi="宋体" w:cs="宋体" w:eastAsia="宋体" w:hint="default"/>
          <w:spacing w:val="2"/>
        </w:rPr>
        <w:t>2017</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24</w:t>
      </w:r>
      <w:r>
        <w:rPr>
          <w:spacing w:val="2"/>
        </w:rPr>
        <w:t>日在中国证券登记结算有限责任公司深圳分公司</w:t>
      </w:r>
      <w:r>
        <w:rPr>
          <w:w w:val="100"/>
        </w:rPr>
        <w:t> </w:t>
      </w:r>
      <w:r>
        <w:rPr/>
        <w:t>办理完毕股份登记手续，并于</w:t>
      </w:r>
      <w:r>
        <w:rPr>
          <w:rFonts w:ascii="宋体" w:hAnsi="宋体" w:cs="宋体" w:eastAsia="宋体" w:hint="default"/>
        </w:rPr>
        <w:t>2017</w:t>
      </w:r>
      <w:r>
        <w:rPr/>
        <w:t>年</w:t>
      </w:r>
      <w:r>
        <w:rPr>
          <w:rFonts w:ascii="宋体" w:hAnsi="宋体" w:cs="宋体" w:eastAsia="宋体" w:hint="default"/>
        </w:rPr>
        <w:t>03</w:t>
      </w:r>
      <w:r>
        <w:rPr/>
        <w:t>月</w:t>
      </w:r>
      <w:r>
        <w:rPr>
          <w:rFonts w:ascii="宋体" w:hAnsi="宋体" w:cs="宋体" w:eastAsia="宋体" w:hint="default"/>
        </w:rPr>
        <w:t>27</w:t>
      </w:r>
      <w:r>
        <w:rPr/>
        <w:t>日在深圳证券交易所上市。</w:t>
      </w:r>
    </w:p>
    <w:p>
      <w:pPr>
        <w:pStyle w:val="BodyText"/>
        <w:spacing w:line="408" w:lineRule="auto" w:before="84"/>
        <w:ind w:right="0" w:firstLine="420"/>
        <w:jc w:val="left"/>
      </w:pPr>
      <w:r>
        <w:rPr>
          <w:spacing w:val="12"/>
        </w:rPr>
        <w:t>在上述非公开发行股票前公司总股本为 </w:t>
      </w:r>
      <w:r>
        <w:rPr>
          <w:rFonts w:ascii="宋体" w:hAnsi="宋体" w:cs="宋体" w:eastAsia="宋体" w:hint="default"/>
        </w:rPr>
        <w:t>158,400,000</w:t>
      </w:r>
      <w:r>
        <w:rPr>
          <w:rFonts w:ascii="宋体" w:hAnsi="宋体" w:cs="宋体" w:eastAsia="宋体" w:hint="default"/>
          <w:spacing w:val="51"/>
        </w:rPr>
        <w:t> </w:t>
      </w:r>
      <w:r>
        <w:rPr>
          <w:spacing w:val="12"/>
        </w:rPr>
        <w:t>股，非公开发行股票后公司总股本变更为</w:t>
      </w:r>
      <w:r>
        <w:rPr>
          <w:w w:val="100"/>
        </w:rPr>
        <w:t> </w:t>
      </w:r>
      <w:r>
        <w:rPr>
          <w:rFonts w:ascii="宋体" w:hAnsi="宋体" w:cs="宋体" w:eastAsia="宋体" w:hint="default"/>
        </w:rPr>
        <w:t>167,831,090</w:t>
      </w:r>
      <w:r>
        <w:rPr/>
        <w:t>股。</w:t>
      </w:r>
    </w:p>
    <w:p>
      <w:pPr>
        <w:pStyle w:val="BodyText"/>
        <w:spacing w:line="408" w:lineRule="auto" w:before="87"/>
        <w:ind w:right="0" w:firstLine="420"/>
        <w:jc w:val="left"/>
      </w:pPr>
      <w:r>
        <w:rPr>
          <w:spacing w:val="-2"/>
        </w:rPr>
        <w:t>上述股份变动增加公司资产中货币资金项目，增加股东权益中股本及资本公积项目，降低公司资产负</w:t>
      </w:r>
      <w:r>
        <w:rPr>
          <w:w w:val="100"/>
        </w:rPr>
        <w:t> </w:t>
      </w:r>
      <w:r>
        <w:rPr/>
        <w:t>债率。</w:t>
      </w:r>
    </w:p>
    <w:p>
      <w:pPr>
        <w:pStyle w:val="BodyText"/>
        <w:spacing w:line="240" w:lineRule="auto" w:before="87"/>
        <w:ind w:left="573" w:right="0"/>
        <w:jc w:val="left"/>
      </w:pPr>
      <w:r>
        <w:rPr/>
        <w:t>股份总数及股东结构变动详情如下：</w:t>
      </w:r>
    </w:p>
    <w:p>
      <w:pPr>
        <w:spacing w:line="240" w:lineRule="auto" w:before="8"/>
        <w:rPr>
          <w:rFonts w:ascii="宋体" w:hAnsi="宋体" w:cs="宋体" w:eastAsia="宋体" w:hint="default"/>
          <w:sz w:val="12"/>
          <w:szCs w:val="12"/>
        </w:rPr>
      </w:pPr>
    </w:p>
    <w:tbl>
      <w:tblPr>
        <w:tblW w:w="0" w:type="auto"/>
        <w:jc w:val="left"/>
        <w:tblInd w:w="165" w:type="dxa"/>
        <w:tblLayout w:type="fixed"/>
        <w:tblCellMar>
          <w:top w:w="0" w:type="dxa"/>
          <w:left w:w="0" w:type="dxa"/>
          <w:bottom w:w="0" w:type="dxa"/>
          <w:right w:w="0" w:type="dxa"/>
        </w:tblCellMar>
        <w:tblLook w:val="01E0"/>
      </w:tblPr>
      <w:tblGrid>
        <w:gridCol w:w="2225"/>
        <w:gridCol w:w="2009"/>
        <w:gridCol w:w="1560"/>
        <w:gridCol w:w="2127"/>
        <w:gridCol w:w="1620"/>
      </w:tblGrid>
      <w:tr>
        <w:trPr>
          <w:trHeight w:val="427" w:hRule="exact"/>
        </w:trPr>
        <w:tc>
          <w:tcPr>
            <w:tcW w:w="222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股东类别</w:t>
            </w:r>
            <w:r>
              <w:rPr>
                <w:rFonts w:ascii="Microsoft JhengHei" w:hAnsi="Microsoft JhengHei" w:cs="Microsoft JhengHei" w:eastAsia="Microsoft JhengHei" w:hint="default"/>
                <w:sz w:val="21"/>
                <w:szCs w:val="21"/>
              </w:rPr>
            </w:r>
          </w:p>
        </w:tc>
        <w:tc>
          <w:tcPr>
            <w:tcW w:w="3569" w:type="dxa"/>
            <w:gridSpan w:val="2"/>
            <w:tcBorders>
              <w:top w:val="single" w:sz="6" w:space="0" w:color="000000"/>
              <w:left w:val="single" w:sz="6" w:space="0" w:color="000000"/>
              <w:bottom w:val="single" w:sz="6" w:space="0" w:color="000000"/>
              <w:right w:val="single" w:sz="6" w:space="0" w:color="000000"/>
            </w:tcBorders>
          </w:tcPr>
          <w:p>
            <w:pPr>
              <w:pStyle w:val="TableParagraph"/>
              <w:spacing w:line="339" w:lineRule="exact"/>
              <w:ind w:left="11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上一报告期末</w:t>
            </w:r>
            <w:r>
              <w:rPr>
                <w:rFonts w:ascii="Microsoft JhengHei" w:hAnsi="Microsoft JhengHei" w:cs="Microsoft JhengHei" w:eastAsia="Microsoft JhengHei" w:hint="default"/>
                <w:sz w:val="21"/>
                <w:szCs w:val="21"/>
              </w:rPr>
            </w:r>
          </w:p>
        </w:tc>
        <w:tc>
          <w:tcPr>
            <w:tcW w:w="3747" w:type="dxa"/>
            <w:gridSpan w:val="2"/>
            <w:tcBorders>
              <w:top w:val="single" w:sz="6" w:space="0" w:color="000000"/>
              <w:left w:val="single" w:sz="6" w:space="0" w:color="000000"/>
              <w:bottom w:val="single" w:sz="6" w:space="0" w:color="000000"/>
              <w:right w:val="single" w:sz="6" w:space="0" w:color="000000"/>
            </w:tcBorders>
          </w:tcPr>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本报告期末</w:t>
            </w:r>
            <w:r>
              <w:rPr>
                <w:rFonts w:ascii="Microsoft JhengHei" w:hAnsi="Microsoft JhengHei" w:cs="Microsoft JhengHei" w:eastAsia="Microsoft JhengHei" w:hint="default"/>
                <w:sz w:val="21"/>
                <w:szCs w:val="21"/>
              </w:rPr>
            </w:r>
          </w:p>
        </w:tc>
      </w:tr>
      <w:tr>
        <w:trPr>
          <w:trHeight w:val="427" w:hRule="exact"/>
        </w:trPr>
        <w:tc>
          <w:tcPr>
            <w:tcW w:w="2225" w:type="dxa"/>
            <w:vMerge/>
            <w:tcBorders>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339" w:lineRule="exact"/>
              <w:ind w:left="4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股数（股）</w:t>
            </w:r>
            <w:r>
              <w:rPr>
                <w:rFonts w:ascii="Microsoft JhengHei" w:hAnsi="Microsoft JhengHei" w:cs="Microsoft JhengHei" w:eastAsia="Microsoft JhengHei" w:hint="default"/>
                <w:sz w:val="21"/>
                <w:szCs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39"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39" w:lineRule="exact"/>
              <w:ind w:left="5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股数（股）</w:t>
            </w:r>
            <w:r>
              <w:rPr>
                <w:rFonts w:ascii="Microsoft JhengHei" w:hAnsi="Microsoft JhengHei" w:cs="Microsoft JhengHei" w:eastAsia="Microsoft JhengHei" w:hint="default"/>
                <w:sz w:val="21"/>
                <w:szCs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427"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sz w:val="21"/>
              </w:rPr>
              <w:t>80,000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 w:right="0"/>
              <w:jc w:val="center"/>
              <w:rPr>
                <w:rFonts w:ascii="Times New Roman" w:hAnsi="Times New Roman" w:cs="Times New Roman" w:eastAsia="Times New Roman" w:hint="default"/>
                <w:sz w:val="21"/>
                <w:szCs w:val="21"/>
              </w:rPr>
            </w:pPr>
            <w:r>
              <w:rPr>
                <w:rFonts w:ascii="Times New Roman"/>
                <w:sz w:val="21"/>
              </w:rPr>
              <w:t>0.05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sz w:val="21"/>
              </w:rPr>
              <w:t>80,000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0.05</w:t>
            </w:r>
          </w:p>
        </w:tc>
      </w:tr>
      <w:tr>
        <w:trPr>
          <w:trHeight w:val="427"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4,545,359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5" w:right="0"/>
              <w:jc w:val="center"/>
              <w:rPr>
                <w:rFonts w:ascii="Times New Roman" w:hAnsi="Times New Roman" w:cs="Times New Roman" w:eastAsia="Times New Roman" w:hint="default"/>
                <w:sz w:val="21"/>
                <w:szCs w:val="21"/>
              </w:rPr>
            </w:pPr>
            <w:r>
              <w:rPr>
                <w:rFonts w:ascii="Times New Roman"/>
                <w:sz w:val="21"/>
              </w:rPr>
              <w:t>2.86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12,186,148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7.26</w:t>
            </w:r>
          </w:p>
        </w:tc>
      </w:tr>
      <w:tr>
        <w:trPr>
          <w:trHeight w:val="427"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137,366,542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5" w:right="0"/>
              <w:jc w:val="center"/>
              <w:rPr>
                <w:rFonts w:ascii="Times New Roman" w:hAnsi="Times New Roman" w:cs="Times New Roman" w:eastAsia="Times New Roman" w:hint="default"/>
                <w:sz w:val="21"/>
                <w:szCs w:val="21"/>
              </w:rPr>
            </w:pPr>
            <w:r>
              <w:rPr>
                <w:rFonts w:ascii="Times New Roman"/>
                <w:sz w:val="21"/>
              </w:rPr>
              <w:t>86.72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2"/>
                <w:sz w:val="21"/>
              </w:rPr>
              <w:t>146,070,911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87.03</w:t>
            </w:r>
          </w:p>
        </w:tc>
      </w:tr>
      <w:tr>
        <w:trPr>
          <w:trHeight w:val="427"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z w:val="21"/>
              </w:rPr>
              <w:t>14,316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132,025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0.08</w:t>
            </w:r>
          </w:p>
        </w:tc>
      </w:tr>
      <w:tr>
        <w:trPr>
          <w:trHeight w:val="428"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境外自然人</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153,239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5" w:right="0"/>
              <w:jc w:val="center"/>
              <w:rPr>
                <w:rFonts w:ascii="Times New Roman" w:hAnsi="Times New Roman" w:cs="Times New Roman" w:eastAsia="Times New Roman" w:hint="default"/>
                <w:sz w:val="21"/>
                <w:szCs w:val="21"/>
              </w:rPr>
            </w:pPr>
            <w:r>
              <w:rPr>
                <w:rFonts w:ascii="Times New Roman"/>
                <w:sz w:val="21"/>
              </w:rPr>
              <w:t>0.09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168,673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0.1</w:t>
            </w:r>
          </w:p>
        </w:tc>
      </w:tr>
      <w:tr>
        <w:trPr>
          <w:trHeight w:val="427"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基金 理财产品等</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16,240,544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5" w:right="0"/>
              <w:jc w:val="center"/>
              <w:rPr>
                <w:rFonts w:ascii="Times New Roman" w:hAnsi="Times New Roman" w:cs="Times New Roman" w:eastAsia="Times New Roman" w:hint="default"/>
                <w:sz w:val="21"/>
                <w:szCs w:val="21"/>
              </w:rPr>
            </w:pPr>
            <w:r>
              <w:rPr>
                <w:rFonts w:ascii="Times New Roman"/>
                <w:sz w:val="21"/>
              </w:rPr>
              <w:t>10.25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9,193,333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5.48</w:t>
            </w:r>
          </w:p>
        </w:tc>
      </w:tr>
      <w:tr>
        <w:trPr>
          <w:trHeight w:val="427" w:hRule="exact"/>
        </w:trPr>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33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158,400,000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5" w:right="0"/>
              <w:jc w:val="center"/>
              <w:rPr>
                <w:rFonts w:ascii="Times New Roman" w:hAnsi="Times New Roman" w:cs="Times New Roman" w:eastAsia="Times New Roman" w:hint="default"/>
                <w:sz w:val="21"/>
                <w:szCs w:val="21"/>
              </w:rPr>
            </w:pPr>
            <w:r>
              <w:rPr>
                <w:rFonts w:ascii="Times New Roman"/>
                <w:sz w:val="21"/>
              </w:rPr>
              <w:t>100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167,831,090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243"/>
        <w:gridCol w:w="709"/>
        <w:gridCol w:w="1135"/>
        <w:gridCol w:w="425"/>
        <w:gridCol w:w="425"/>
        <w:gridCol w:w="994"/>
        <w:gridCol w:w="850"/>
        <w:gridCol w:w="566"/>
        <w:gridCol w:w="425"/>
        <w:gridCol w:w="284"/>
        <w:gridCol w:w="709"/>
        <w:gridCol w:w="566"/>
        <w:gridCol w:w="425"/>
        <w:gridCol w:w="811"/>
      </w:tblGrid>
      <w:tr>
        <w:trPr>
          <w:trHeight w:val="1344"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2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12,518</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年度报告披露日前 上一月末普通股股 东总数</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3" w:right="0"/>
              <w:jc w:val="left"/>
              <w:rPr>
                <w:rFonts w:ascii="Times New Roman" w:hAnsi="Times New Roman" w:cs="Times New Roman" w:eastAsia="Times New Roman" w:hint="default"/>
                <w:sz w:val="18"/>
                <w:szCs w:val="18"/>
              </w:rPr>
            </w:pPr>
            <w:r>
              <w:rPr>
                <w:rFonts w:ascii="Times New Roman"/>
                <w:sz w:val="18"/>
              </w:rPr>
              <w:t>14,337</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2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9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59" w:right="59"/>
              <w:jc w:val="left"/>
              <w:rPr>
                <w:rFonts w:ascii="宋体" w:hAnsi="宋体" w:cs="宋体" w:eastAsia="宋体" w:hint="default"/>
                <w:sz w:val="18"/>
                <w:szCs w:val="18"/>
              </w:rPr>
            </w:pPr>
            <w:r>
              <w:rPr>
                <w:rFonts w:ascii="宋体" w:hAnsi="宋体" w:cs="宋体" w:eastAsia="宋体" w:hint="default"/>
                <w:sz w:val="18"/>
                <w:szCs w:val="18"/>
              </w:rPr>
              <w:t>报告期内 增减变动</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40" w:right="39"/>
              <w:jc w:val="left"/>
              <w:rPr>
                <w:rFonts w:ascii="宋体" w:hAnsi="宋体" w:cs="宋体" w:eastAsia="宋体" w:hint="default"/>
                <w:sz w:val="18"/>
                <w:szCs w:val="18"/>
              </w:rPr>
            </w:pPr>
            <w:r>
              <w:rPr>
                <w:rFonts w:ascii="宋体" w:hAnsi="宋体" w:cs="宋体" w:eastAsia="宋体" w:hint="default"/>
                <w:sz w:val="18"/>
                <w:szCs w:val="18"/>
              </w:rPr>
              <w:t>持有有限售 条件的股份</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40" w:right="41"/>
              <w:jc w:val="left"/>
              <w:rPr>
                <w:rFonts w:ascii="宋体" w:hAnsi="宋体" w:cs="宋体" w:eastAsia="宋体" w:hint="default"/>
                <w:sz w:val="18"/>
                <w:szCs w:val="18"/>
              </w:rPr>
            </w:pPr>
            <w:r>
              <w:rPr>
                <w:rFonts w:ascii="宋体" w:hAnsi="宋体" w:cs="宋体" w:eastAsia="宋体" w:hint="default"/>
                <w:sz w:val="18"/>
                <w:szCs w:val="18"/>
              </w:rPr>
              <w:t>持有无限售 条件的股份</w:t>
            </w:r>
          </w:p>
        </w:tc>
        <w:tc>
          <w:tcPr>
            <w:tcW w:w="18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1" w:hRule="exact"/>
        </w:trPr>
        <w:tc>
          <w:tcPr>
            <w:tcW w:w="1952" w:type="dxa"/>
            <w:gridSpan w:val="2"/>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8"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footerReference w:type="default" r:id="rId34"/>
          <w:pgSz w:w="11910" w:h="16840"/>
          <w:pgMar w:footer="979" w:header="8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1951"/>
        <w:gridCol w:w="1136"/>
        <w:gridCol w:w="850"/>
        <w:gridCol w:w="994"/>
        <w:gridCol w:w="850"/>
        <w:gridCol w:w="992"/>
        <w:gridCol w:w="994"/>
        <w:gridCol w:w="566"/>
        <w:gridCol w:w="1236"/>
      </w:tblGrid>
      <w:tr>
        <w:trPr>
          <w:trHeight w:val="363"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36,303,188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27,227,391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9,075,797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21,335,800</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21,838,477</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16,378,858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5,459,619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8,030,000</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21,338,478</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16,003,858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5,334,620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4,950,000</w:t>
            </w:r>
          </w:p>
        </w:tc>
      </w:tr>
      <w:tr>
        <w:trPr>
          <w:trHeight w:val="71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北京嘉豪伟业投资中心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7,905,138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7,905,138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7,905,138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67"/>
              <w:jc w:val="both"/>
              <w:rPr>
                <w:rFonts w:ascii="宋体" w:hAnsi="宋体" w:cs="宋体" w:eastAsia="宋体" w:hint="default"/>
                <w:sz w:val="18"/>
                <w:szCs w:val="18"/>
              </w:rPr>
            </w:pPr>
            <w:r>
              <w:rPr>
                <w:rFonts w:ascii="宋体" w:hAnsi="宋体" w:cs="宋体" w:eastAsia="宋体" w:hint="default"/>
                <w:sz w:val="18"/>
                <w:szCs w:val="18"/>
              </w:rPr>
              <w:t>方正富邦基金－浦发银 行－西藏信托－顺浦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5,515,112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5,515,112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5,515,112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北京柘量投资中心（有 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2,030,500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660500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1,637,164</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1,637,164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前海开源基金－浦发银 行－中融国际信托－中 融－融珲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 信托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1,525,952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1,525,952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1,525,952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1,414,737</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1,061,053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常鑫民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1,147,678</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1,147,678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48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3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8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公司实际控制人黄元忠先生同黄晓峰先生、陈克让先生为一致行动人。</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08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685"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08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85"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96"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087" w:type="dxa"/>
            <w:gridSpan w:val="2"/>
            <w:vMerge/>
            <w:tcBorders>
              <w:left w:val="single" w:sz="4" w:space="0" w:color="000000"/>
              <w:bottom w:val="nil" w:sz="6" w:space="0" w:color="auto"/>
              <w:right w:val="single" w:sz="4" w:space="0" w:color="000000"/>
            </w:tcBorders>
            <w:shd w:val="clear" w:color="auto" w:fill="D2D2D2"/>
          </w:tcPr>
          <w:p>
            <w:pPr/>
          </w:p>
        </w:tc>
        <w:tc>
          <w:tcPr>
            <w:tcW w:w="3685" w:type="dxa"/>
            <w:gridSpan w:val="4"/>
            <w:vMerge/>
            <w:tcBorders>
              <w:left w:val="single" w:sz="4" w:space="0" w:color="000000"/>
              <w:bottom w:val="nil" w:sz="6" w:space="0" w:color="auto"/>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08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685"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23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9,075,797</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9,075,797</w:t>
            </w:r>
          </w:p>
        </w:tc>
      </w:tr>
      <w:tr>
        <w:trPr>
          <w:trHeight w:val="713" w:hRule="exact"/>
        </w:trPr>
        <w:tc>
          <w:tcPr>
            <w:tcW w:w="3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方正富邦基金－浦发银行－西藏信托</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－顺浦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5,515,112</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5,515,112</w:t>
            </w:r>
          </w:p>
        </w:tc>
      </w:tr>
      <w:tr>
        <w:trPr>
          <w:trHeight w:val="403" w:hRule="exact"/>
        </w:trPr>
        <w:tc>
          <w:tcPr>
            <w:tcW w:w="3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5,459,619</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5,459,619</w:t>
            </w:r>
          </w:p>
        </w:tc>
      </w:tr>
      <w:tr>
        <w:trPr>
          <w:trHeight w:val="401" w:hRule="exact"/>
        </w:trPr>
        <w:tc>
          <w:tcPr>
            <w:tcW w:w="3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5,334,620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5,334,620</w:t>
            </w:r>
          </w:p>
        </w:tc>
      </w:tr>
      <w:tr>
        <w:trPr>
          <w:trHeight w:val="403" w:hRule="exact"/>
        </w:trPr>
        <w:tc>
          <w:tcPr>
            <w:tcW w:w="3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北京柘量投资中心（有限合伙）</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2,030,500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2,030,500</w:t>
            </w:r>
          </w:p>
        </w:tc>
      </w:tr>
      <w:tr>
        <w:trPr>
          <w:trHeight w:val="401" w:hRule="exact"/>
        </w:trPr>
        <w:tc>
          <w:tcPr>
            <w:tcW w:w="3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常鑫民</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1,147,678</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1,147,678</w:t>
            </w:r>
          </w:p>
        </w:tc>
      </w:tr>
      <w:tr>
        <w:trPr>
          <w:trHeight w:val="403" w:hRule="exact"/>
        </w:trPr>
        <w:tc>
          <w:tcPr>
            <w:tcW w:w="3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刘秀峰</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1,046,600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1,046,600</w:t>
            </w:r>
          </w:p>
        </w:tc>
      </w:tr>
      <w:tr>
        <w:trPr>
          <w:trHeight w:val="401" w:hRule="exact"/>
        </w:trPr>
        <w:tc>
          <w:tcPr>
            <w:tcW w:w="3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923,871</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923,871</w:t>
            </w:r>
          </w:p>
        </w:tc>
      </w:tr>
      <w:tr>
        <w:trPr>
          <w:trHeight w:val="403" w:hRule="exact"/>
        </w:trPr>
        <w:tc>
          <w:tcPr>
            <w:tcW w:w="3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拉萨戈尔登投资有限公司</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816,653</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816,653</w:t>
            </w:r>
          </w:p>
        </w:tc>
      </w:tr>
      <w:tr>
        <w:trPr>
          <w:trHeight w:val="401" w:hRule="exact"/>
        </w:trPr>
        <w:tc>
          <w:tcPr>
            <w:tcW w:w="3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657,594</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657,594</w:t>
            </w:r>
          </w:p>
        </w:tc>
      </w:tr>
      <w:tr>
        <w:trPr>
          <w:trHeight w:val="674" w:hRule="exact"/>
        </w:trPr>
        <w:tc>
          <w:tcPr>
            <w:tcW w:w="3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w:t>
            </w:r>
          </w:p>
        </w:tc>
        <w:tc>
          <w:tcPr>
            <w:tcW w:w="6481"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5"/>
              <w:jc w:val="left"/>
              <w:rPr>
                <w:rFonts w:ascii="宋体" w:hAnsi="宋体" w:cs="宋体" w:eastAsia="宋体" w:hint="default"/>
                <w:sz w:val="18"/>
                <w:szCs w:val="18"/>
              </w:rPr>
            </w:pPr>
            <w:r>
              <w:rPr>
                <w:rFonts w:ascii="宋体" w:hAnsi="宋体" w:cs="宋体" w:eastAsia="宋体" w:hint="default"/>
                <w:sz w:val="18"/>
                <w:szCs w:val="18"/>
              </w:rPr>
              <w:t>公司实际控制人黄元忠先生同黄晓峰先生、陈克让先生为一致行动人。公司未知 上述其他无限售条件股东间是否存在关联关系或属于《上市公司股东持股变动信</w:t>
            </w:r>
          </w:p>
        </w:tc>
      </w:tr>
    </w:tbl>
    <w:p>
      <w:pPr>
        <w:spacing w:after="0" w:line="316" w:lineRule="auto"/>
        <w:jc w:val="left"/>
        <w:rPr>
          <w:rFonts w:ascii="宋体" w:hAnsi="宋体" w:cs="宋体" w:eastAsia="宋体" w:hint="default"/>
          <w:sz w:val="18"/>
          <w:szCs w:val="18"/>
        </w:rPr>
        <w:sectPr>
          <w:footerReference w:type="default" r:id="rId35"/>
          <w:pgSz w:w="11910" w:h="16840"/>
          <w:pgMar w:footer="979" w:header="880" w:top="1100" w:bottom="1160" w:left="980" w:right="980"/>
          <w:pgNumType w:start="1"/>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3087"/>
        <w:gridCol w:w="6481"/>
      </w:tblGrid>
      <w:tr>
        <w:trPr>
          <w:trHeight w:val="36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股东之间关联关系或一致行动的说明</w:t>
            </w:r>
          </w:p>
        </w:tc>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息披露管理办法》中规定的一致行动人。</w:t>
            </w:r>
          </w:p>
        </w:tc>
      </w:tr>
      <w:tr>
        <w:trPr>
          <w:trHeight w:val="71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w:t>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761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82" w:type="dxa"/>
        <w:tblLayout w:type="fixed"/>
        <w:tblCellMar>
          <w:top w:w="0" w:type="dxa"/>
          <w:left w:w="0" w:type="dxa"/>
          <w:bottom w:w="0" w:type="dxa"/>
          <w:right w:w="0" w:type="dxa"/>
        </w:tblCellMar>
        <w:tblLook w:val="01E0"/>
      </w:tblPr>
      <w:tblGrid>
        <w:gridCol w:w="4503"/>
        <w:gridCol w:w="1843"/>
        <w:gridCol w:w="3222"/>
      </w:tblGrid>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深圳市方直科技股份有限公司董事长</w:t>
            </w: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7"/>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743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82" w:type="dxa"/>
        <w:tblLayout w:type="fixed"/>
        <w:tblCellMar>
          <w:top w:w="0" w:type="dxa"/>
          <w:left w:w="0" w:type="dxa"/>
          <w:bottom w:w="0" w:type="dxa"/>
          <w:right w:w="0" w:type="dxa"/>
        </w:tblCellMar>
        <w:tblLook w:val="01E0"/>
      </w:tblPr>
      <w:tblGrid>
        <w:gridCol w:w="3937"/>
        <w:gridCol w:w="1985"/>
        <w:gridCol w:w="3647"/>
      </w:tblGrid>
      <w:tr>
        <w:trPr>
          <w:trHeight w:val="402"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深圳市方直科技股份有限公司董事长</w:t>
            </w: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5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
        <w:rPr>
          <w:rFonts w:ascii="宋体" w:hAnsi="宋体" w:cs="宋体" w:eastAsia="宋体" w:hint="default"/>
          <w:sz w:val="7"/>
          <w:szCs w:val="7"/>
        </w:rPr>
      </w:pPr>
    </w:p>
    <w:p>
      <w:pPr>
        <w:spacing w:line="1480" w:lineRule="exact"/>
        <w:ind w:left="420"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1875788" cy="94011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6" cstate="print"/>
                    <a:stretch>
                      <a:fillRect/>
                    </a:stretch>
                  </pic:blipFill>
                  <pic:spPr>
                    <a:xfrm>
                      <a:off x="0" y="0"/>
                      <a:ext cx="1875788" cy="940117"/>
                    </a:xfrm>
                    <a:prstGeom prst="rect">
                      <a:avLst/>
                    </a:prstGeom>
                  </pic:spPr>
                </pic:pic>
              </a:graphicData>
            </a:graphic>
          </wp:inline>
        </w:drawing>
      </w:r>
      <w:r>
        <w:rPr>
          <w:rFonts w:ascii="宋体" w:hAnsi="宋体" w:cs="宋体" w:eastAsia="宋体" w:hint="default"/>
          <w:position w:val="-29"/>
          <w:sz w:val="20"/>
          <w:szCs w:val="20"/>
        </w:rPr>
      </w:r>
    </w:p>
    <w:p>
      <w:pPr>
        <w:spacing w:before="11"/>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left="3285" w:right="0"/>
        <w:jc w:val="left"/>
        <w:rPr>
          <w:b w:val="0"/>
          <w:bCs w:val="0"/>
        </w:rPr>
      </w:pPr>
      <w:bookmarkStart w:name="_bookmark5" w:id="6"/>
      <w:bookmarkEnd w:id="6"/>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spacing w:line="338" w:lineRule="auto" w:before="44"/>
        <w:ind w:left="153" w:right="7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61"/>
        <w:ind w:left="3826" w:right="0"/>
        <w:jc w:val="left"/>
        <w:rPr>
          <w:b w:val="0"/>
          <w:bCs w:val="0"/>
        </w:rPr>
      </w:pPr>
      <w:bookmarkStart w:name="_bookmark6" w:id="7"/>
      <w:bookmarkEnd w:id="7"/>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3"/>
        <w:spacing w:line="240" w:lineRule="auto"/>
        <w:ind w:left="140" w:right="0"/>
        <w:jc w:val="left"/>
        <w:rPr>
          <w:b w:val="0"/>
          <w:bCs w:val="0"/>
        </w:rPr>
      </w:pP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68" w:type="dxa"/>
        <w:tblLayout w:type="fixed"/>
        <w:tblCellMar>
          <w:top w:w="0" w:type="dxa"/>
          <w:left w:w="0" w:type="dxa"/>
          <w:bottom w:w="0" w:type="dxa"/>
          <w:right w:w="0" w:type="dxa"/>
        </w:tblCellMar>
        <w:tblLook w:val="01E0"/>
      </w:tblPr>
      <w:tblGrid>
        <w:gridCol w:w="797"/>
        <w:gridCol w:w="1296"/>
        <w:gridCol w:w="708"/>
        <w:gridCol w:w="569"/>
        <w:gridCol w:w="567"/>
        <w:gridCol w:w="1560"/>
        <w:gridCol w:w="1558"/>
        <w:gridCol w:w="1277"/>
        <w:gridCol w:w="1560"/>
        <w:gridCol w:w="1558"/>
        <w:gridCol w:w="1277"/>
        <w:gridCol w:w="1133"/>
      </w:tblGrid>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姓名</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59" w:right="77"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本期增持股份数量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本期减持股份数量</w:t>
            </w:r>
          </w:p>
          <w:p>
            <w:pPr>
              <w:pStyle w:val="TableParagraph"/>
              <w:spacing w:line="240" w:lineRule="auto" w:before="74"/>
              <w:ind w:right="3"/>
              <w:jc w:val="center"/>
              <w:rPr>
                <w:rFonts w:ascii="宋体" w:hAnsi="宋体" w:cs="宋体" w:eastAsia="宋体" w:hint="default"/>
                <w:sz w:val="18"/>
                <w:szCs w:val="18"/>
              </w:rPr>
            </w:pPr>
            <w:r>
              <w:rPr>
                <w:rFonts w:ascii="宋体" w:hAnsi="宋体" w:cs="宋体" w:eastAsia="宋体" w:hint="default"/>
                <w:sz w:val="18"/>
                <w:szCs w:val="18"/>
              </w:rPr>
              <w:t>（股）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黄元忠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35,875,188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36,303,188</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陈克让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21,338,478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21,338,478</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黄晓峰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21,838,477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21,838,477</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陈伟强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刘勇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许鲁光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乔东斌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艾倩兰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朱文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林勇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周洁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杨颖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1,414,737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1,414,737</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李枫</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83" w:right="101" w:hanging="180"/>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杨正华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卢庆华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孙晓玲</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副总经理、财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1,637,164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1,637,164</w:t>
            </w:r>
          </w:p>
        </w:tc>
      </w:tr>
    </w:tbl>
    <w:p>
      <w:pPr>
        <w:spacing w:after="0" w:line="240" w:lineRule="auto"/>
        <w:jc w:val="right"/>
        <w:rPr>
          <w:rFonts w:ascii="Times New Roman" w:hAnsi="Times New Roman" w:cs="Times New Roman" w:eastAsia="Times New Roman" w:hint="default"/>
          <w:sz w:val="18"/>
          <w:szCs w:val="18"/>
        </w:rPr>
        <w:sectPr>
          <w:headerReference w:type="default" r:id="rId37"/>
          <w:footerReference w:type="default" r:id="rId38"/>
          <w:pgSz w:w="16840" w:h="11910" w:orient="landscape"/>
          <w:pgMar w:header="870" w:footer="979" w:top="1060" w:bottom="1160" w:left="1300" w:right="1300"/>
          <w:pgNumType w:start="5"/>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28" w:type="dxa"/>
        <w:tblLayout w:type="fixed"/>
        <w:tblCellMar>
          <w:top w:w="0" w:type="dxa"/>
          <w:left w:w="0" w:type="dxa"/>
          <w:bottom w:w="0" w:type="dxa"/>
          <w:right w:w="0" w:type="dxa"/>
        </w:tblCellMar>
        <w:tblLook w:val="01E0"/>
      </w:tblPr>
      <w:tblGrid>
        <w:gridCol w:w="797"/>
        <w:gridCol w:w="1296"/>
        <w:gridCol w:w="708"/>
        <w:gridCol w:w="569"/>
        <w:gridCol w:w="567"/>
        <w:gridCol w:w="1560"/>
        <w:gridCol w:w="1558"/>
        <w:gridCol w:w="1277"/>
        <w:gridCol w:w="1560"/>
        <w:gridCol w:w="1558"/>
        <w:gridCol w:w="1277"/>
        <w:gridCol w:w="1133"/>
      </w:tblGrid>
      <w:tr>
        <w:trPr>
          <w:trHeight w:val="377" w:hRule="exact"/>
        </w:trPr>
        <w:tc>
          <w:tcPr>
            <w:tcW w:w="797" w:type="dxa"/>
            <w:tcBorders>
              <w:top w:val="single" w:sz="15" w:space="0" w:color="000000"/>
              <w:left w:val="single" w:sz="4" w:space="0" w:color="000000"/>
              <w:bottom w:val="single" w:sz="4" w:space="0" w:color="000000"/>
              <w:right w:val="single" w:sz="4" w:space="0" w:color="000000"/>
            </w:tcBorders>
          </w:tcPr>
          <w:p>
            <w:pPr/>
          </w:p>
        </w:tc>
        <w:tc>
          <w:tcPr>
            <w:tcW w:w="12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务总监</w:t>
            </w:r>
          </w:p>
        </w:tc>
        <w:tc>
          <w:tcPr>
            <w:tcW w:w="708"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82,104,344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0" w:right="0"/>
              <w:jc w:val="left"/>
              <w:rPr>
                <w:rFonts w:ascii="Times New Roman" w:hAnsi="Times New Roman" w:cs="Times New Roman" w:eastAsia="Times New Roman" w:hint="default"/>
                <w:sz w:val="18"/>
                <w:szCs w:val="18"/>
              </w:rPr>
            </w:pPr>
            <w:r>
              <w:rPr>
                <w:rFonts w:ascii="Times New Roman"/>
                <w:sz w:val="18"/>
              </w:rPr>
              <w:t>430,000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82,534,344</w:t>
            </w:r>
          </w:p>
        </w:tc>
      </w:tr>
    </w:tbl>
    <w:p>
      <w:pPr>
        <w:spacing w:line="240" w:lineRule="auto" w:before="12"/>
        <w:rPr>
          <w:rFonts w:ascii="Microsoft JhengHei" w:hAnsi="Microsoft JhengHei" w:cs="Microsoft JhengHei" w:eastAsia="Microsoft JhengHei" w:hint="default"/>
          <w:b/>
          <w:bCs/>
          <w:sz w:val="13"/>
          <w:szCs w:val="13"/>
        </w:rPr>
      </w:pPr>
    </w:p>
    <w:p>
      <w:pPr>
        <w:pStyle w:val="Heading3"/>
        <w:spacing w:line="367" w:lineRule="exact"/>
        <w:ind w:left="100" w:right="0"/>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1330"/>
        <w:gridCol w:w="1330"/>
        <w:gridCol w:w="1330"/>
        <w:gridCol w:w="1790"/>
        <w:gridCol w:w="8079"/>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类型</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8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周洁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6"/>
              <w:jc w:val="right"/>
              <w:rPr>
                <w:rFonts w:ascii="宋体" w:hAnsi="宋体" w:cs="宋体" w:eastAsia="宋体" w:hint="default"/>
                <w:sz w:val="18"/>
                <w:szCs w:val="18"/>
              </w:rPr>
            </w:pPr>
            <w:r>
              <w:rPr>
                <w:rFonts w:ascii="宋体" w:hAnsi="宋体" w:cs="宋体" w:eastAsia="宋体" w:hint="default"/>
                <w:sz w:val="18"/>
                <w:szCs w:val="18"/>
              </w:rPr>
              <w:t>职工监事代表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因个人原因，申请辞去公司职工监事的职务。周洁女士辞职后将不在公司担任职务。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36"/>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日，公司副总经理兼财务总监孙晓玲女士休假期间遭遇意外不幸去世。</w:t>
            </w:r>
          </w:p>
        </w:tc>
      </w:tr>
    </w:tbl>
    <w:p>
      <w:pPr>
        <w:spacing w:line="240" w:lineRule="auto" w:before="3"/>
        <w:rPr>
          <w:rFonts w:ascii="宋体" w:hAnsi="宋体" w:cs="宋体" w:eastAsia="宋体" w:hint="default"/>
          <w:sz w:val="18"/>
          <w:szCs w:val="18"/>
        </w:rPr>
      </w:pPr>
    </w:p>
    <w:p>
      <w:pPr>
        <w:pStyle w:val="Heading3"/>
        <w:spacing w:line="367" w:lineRule="exact"/>
        <w:ind w:left="100" w:right="0"/>
        <w:jc w:val="left"/>
        <w:rPr>
          <w:b w:val="0"/>
          <w:bCs w:val="0"/>
        </w:rPr>
      </w:pPr>
      <w:r>
        <w:rPr/>
        <w:t>三、任职情况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spacing w:before="0"/>
        <w:ind w:left="100"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3"/>
        <w:rPr>
          <w:rFonts w:ascii="宋体" w:hAnsi="宋体" w:cs="宋体" w:eastAsia="宋体" w:hint="default"/>
          <w:sz w:val="13"/>
          <w:szCs w:val="13"/>
        </w:rPr>
      </w:pPr>
    </w:p>
    <w:p>
      <w:pPr>
        <w:pStyle w:val="BodyText"/>
        <w:spacing w:line="408" w:lineRule="auto" w:before="0"/>
        <w:ind w:left="520" w:right="0"/>
        <w:jc w:val="left"/>
      </w:pPr>
      <w:r>
        <w:rPr>
          <w:rFonts w:ascii="宋体" w:hAnsi="宋体" w:cs="宋体" w:eastAsia="宋体" w:hint="default"/>
        </w:rPr>
        <w:t>1</w:t>
      </w:r>
      <w:r>
        <w:rPr/>
        <w:t>、董事会成员介绍</w:t>
      </w:r>
      <w:r>
        <w:rPr>
          <w:w w:val="100"/>
        </w:rPr>
        <w:t> </w:t>
      </w:r>
      <w:r>
        <w:rPr>
          <w:spacing w:val="-2"/>
        </w:rPr>
        <w:t>黄元忠先生，</w:t>
      </w:r>
      <w:r>
        <w:rPr>
          <w:rFonts w:ascii="宋体" w:hAnsi="宋体" w:cs="宋体" w:eastAsia="宋体" w:hint="default"/>
          <w:spacing w:val="-2"/>
        </w:rPr>
        <w:t>1964</w:t>
      </w:r>
      <w:r>
        <w:rPr>
          <w:spacing w:val="-2"/>
        </w:rPr>
        <w:t>年生，中国国籍，硕士研究生，无境外永久居留权，毕业于华中科技大学计算机系，曾任中国长城计算机集团深圳昆仑公司副</w:t>
      </w:r>
    </w:p>
    <w:p>
      <w:pPr>
        <w:pStyle w:val="BodyText"/>
        <w:spacing w:line="408" w:lineRule="auto"/>
        <w:ind w:left="100" w:right="0"/>
        <w:jc w:val="left"/>
      </w:pPr>
      <w:r>
        <w:rPr>
          <w:spacing w:val="-2"/>
        </w:rPr>
        <w:t>经理。黄元忠先生是本公司创始人之一，自</w:t>
      </w:r>
      <w:r>
        <w:rPr>
          <w:rFonts w:ascii="宋体" w:hAnsi="宋体" w:cs="宋体" w:eastAsia="宋体" w:hint="default"/>
          <w:spacing w:val="-2"/>
        </w:rPr>
        <w:t>1993</w:t>
      </w:r>
      <w:r>
        <w:rPr>
          <w:spacing w:val="-2"/>
        </w:rPr>
        <w:t>年深圳市方直科技有限公司成立以来，长期担任执行董事、总经理、董事长等职务，全面负责公司的</w:t>
      </w:r>
      <w:r>
        <w:rPr>
          <w:spacing w:val="19"/>
        </w:rPr>
        <w:t> </w:t>
      </w:r>
      <w:r>
        <w:rPr>
          <w:spacing w:val="19"/>
        </w:rPr>
      </w:r>
      <w:r>
        <w:rPr/>
        <w:t>运营管理和研发工作，系公司技术骨干。深圳市科技专家委员会成员，深圳市南山区科技专家，现任本公司董事长。</w:t>
      </w:r>
    </w:p>
    <w:p>
      <w:pPr>
        <w:pStyle w:val="BodyText"/>
        <w:spacing w:line="408" w:lineRule="auto"/>
        <w:ind w:left="100" w:right="415" w:firstLine="420"/>
        <w:jc w:val="both"/>
      </w:pPr>
      <w:r>
        <w:rPr>
          <w:spacing w:val="-2"/>
        </w:rPr>
        <w:t>黄晓峰先生，</w:t>
      </w:r>
      <w:r>
        <w:rPr>
          <w:rFonts w:ascii="宋体" w:hAnsi="宋体" w:cs="宋体" w:eastAsia="宋体" w:hint="default"/>
          <w:spacing w:val="-2"/>
        </w:rPr>
        <w:t>1968</w:t>
      </w:r>
      <w:r>
        <w:rPr>
          <w:spacing w:val="-2"/>
        </w:rPr>
        <w:t>年生，中国国籍，毕业于东北财经大学，</w:t>
      </w:r>
      <w:r>
        <w:rPr>
          <w:rFonts w:ascii="宋体" w:hAnsi="宋体" w:cs="宋体" w:eastAsia="宋体" w:hint="default"/>
          <w:spacing w:val="-2"/>
        </w:rPr>
        <w:t>EMBA</w:t>
      </w:r>
      <w:r>
        <w:rPr>
          <w:spacing w:val="-2"/>
        </w:rPr>
        <w:t>，无境外永久居留权。曾任中国长城计算机集团深圳昆仑公司研发部经理，自本</w:t>
      </w:r>
      <w:r>
        <w:rPr>
          <w:w w:val="100"/>
        </w:rPr>
        <w:t> </w:t>
      </w:r>
      <w:r>
        <w:rPr>
          <w:spacing w:val="-2"/>
        </w:rPr>
        <w:t>公司成立以来担任公司销售总监、开发中心总经理、副总经理，具有丰富的市场营销经验及销售团队管理经验，为广东省融智库专家。现任本公司董</w:t>
      </w:r>
      <w:r>
        <w:rPr>
          <w:spacing w:val="14"/>
        </w:rPr>
        <w:t> </w:t>
      </w:r>
      <w:r>
        <w:rPr>
          <w:spacing w:val="14"/>
        </w:rPr>
      </w:r>
      <w:r>
        <w:rPr/>
        <w:t>事、总经理。</w:t>
      </w:r>
    </w:p>
    <w:p>
      <w:pPr>
        <w:pStyle w:val="BodyText"/>
        <w:spacing w:line="408" w:lineRule="auto"/>
        <w:ind w:left="100" w:right="415" w:firstLine="420"/>
        <w:jc w:val="both"/>
      </w:pPr>
      <w:r>
        <w:rPr>
          <w:spacing w:val="-2"/>
        </w:rPr>
        <w:t>陈克让先生，</w:t>
      </w:r>
      <w:r>
        <w:rPr>
          <w:rFonts w:ascii="宋体" w:hAnsi="宋体" w:cs="宋体" w:eastAsia="宋体" w:hint="default"/>
          <w:spacing w:val="-2"/>
        </w:rPr>
        <w:t>1965</w:t>
      </w:r>
      <w:r>
        <w:rPr>
          <w:spacing w:val="-2"/>
        </w:rPr>
        <w:t>年生。香港中文大学</w:t>
      </w:r>
      <w:r>
        <w:rPr>
          <w:rFonts w:ascii="宋体" w:hAnsi="宋体" w:cs="宋体" w:eastAsia="宋体" w:hint="default"/>
          <w:spacing w:val="-2"/>
        </w:rPr>
        <w:t>FMBA</w:t>
      </w:r>
      <w:r>
        <w:rPr>
          <w:spacing w:val="-2"/>
        </w:rPr>
        <w:t>，无境外永久居留权，曾任中国长城计算机集团深圳昆仑公司技术部经理，长期负责连邦信息的总体</w:t>
      </w:r>
      <w:r>
        <w:rPr>
          <w:w w:val="100"/>
        </w:rPr>
        <w:t> </w:t>
      </w:r>
      <w:r>
        <w:rPr/>
        <w:t>运营管理工作，担任连邦信息总经理。现任本公司董事。</w:t>
      </w:r>
    </w:p>
    <w:p>
      <w:pPr>
        <w:pStyle w:val="BodyText"/>
        <w:spacing w:line="240" w:lineRule="auto"/>
        <w:ind w:left="520" w:right="0"/>
        <w:jc w:val="left"/>
        <w:rPr>
          <w:rFonts w:ascii="宋体" w:hAnsi="宋体" w:cs="宋体" w:eastAsia="宋体" w:hint="default"/>
        </w:rPr>
      </w:pPr>
      <w:r>
        <w:rPr/>
        <w:t>乔东斌先生，</w:t>
      </w:r>
      <w:r>
        <w:rPr>
          <w:rFonts w:ascii="宋体" w:hAnsi="宋体" w:cs="宋体" w:eastAsia="宋体" w:hint="default"/>
        </w:rPr>
        <w:t>1965</w:t>
      </w:r>
      <w:r>
        <w:rPr/>
        <w:t>年生，毕业于华中科技大学计算机系，硕士学位；</w:t>
      </w:r>
      <w:r>
        <w:rPr>
          <w:rFonts w:ascii="宋体" w:hAnsi="宋体" w:cs="宋体" w:eastAsia="宋体" w:hint="default"/>
        </w:rPr>
        <w:t>1989</w:t>
      </w:r>
      <w:r>
        <w:rPr/>
        <w:t>年至</w:t>
      </w:r>
      <w:r>
        <w:rPr>
          <w:rFonts w:ascii="宋体" w:hAnsi="宋体" w:cs="宋体" w:eastAsia="宋体" w:hint="default"/>
        </w:rPr>
        <w:t>1993</w:t>
      </w:r>
      <w:r>
        <w:rPr/>
        <w:t>年在深圳（蛇口）新欣软件产业有限公司任研发部经理；</w:t>
      </w:r>
      <w:r>
        <w:rPr>
          <w:rFonts w:ascii="宋体" w:hAnsi="宋体" w:cs="宋体" w:eastAsia="宋体" w:hint="default"/>
        </w:rPr>
        <w:t>1993</w:t>
      </w:r>
    </w:p>
    <w:p>
      <w:pPr>
        <w:spacing w:after="0" w:line="240" w:lineRule="auto"/>
        <w:jc w:val="left"/>
        <w:rPr>
          <w:rFonts w:ascii="宋体" w:hAnsi="宋体" w:cs="宋体" w:eastAsia="宋体" w:hint="default"/>
        </w:rPr>
        <w:sectPr>
          <w:pgSz w:w="16840" w:h="11910" w:orient="landscape"/>
          <w:pgMar w:header="870" w:footer="979" w:top="1060" w:bottom="1160" w:left="1340" w:right="1320"/>
        </w:sectPr>
      </w:pP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75"/>
        <w:ind w:left="140" w:right="0"/>
        <w:jc w:val="left"/>
      </w:pPr>
      <w:r>
        <w:rPr>
          <w:spacing w:val="-2"/>
        </w:rPr>
        <w:t>年至</w:t>
      </w:r>
      <w:r>
        <w:rPr>
          <w:rFonts w:ascii="宋体" w:hAnsi="宋体" w:cs="宋体" w:eastAsia="宋体" w:hint="default"/>
          <w:spacing w:val="-2"/>
        </w:rPr>
        <w:t>1996</w:t>
      </w:r>
      <w:r>
        <w:rPr>
          <w:spacing w:val="-2"/>
        </w:rPr>
        <w:t>年在蛇口新亚电脑工程有限公司任总经理；</w:t>
      </w:r>
      <w:r>
        <w:rPr>
          <w:rFonts w:ascii="宋体" w:hAnsi="宋体" w:cs="宋体" w:eastAsia="宋体" w:hint="default"/>
          <w:spacing w:val="-2"/>
        </w:rPr>
        <w:t>1996</w:t>
      </w:r>
      <w:r>
        <w:rPr>
          <w:spacing w:val="-2"/>
        </w:rPr>
        <w:t>年至</w:t>
      </w:r>
      <w:r>
        <w:rPr>
          <w:rFonts w:ascii="宋体" w:hAnsi="宋体" w:cs="宋体" w:eastAsia="宋体" w:hint="default"/>
          <w:spacing w:val="-2"/>
        </w:rPr>
        <w:t>2001</w:t>
      </w:r>
      <w:r>
        <w:rPr>
          <w:spacing w:val="-2"/>
        </w:rPr>
        <w:t>年在深圳市盛亚电脑技术有限公司任总经理；任深圳市齐普生信息科技有限公司董</w:t>
      </w:r>
      <w:r>
        <w:rPr>
          <w:spacing w:val="26"/>
        </w:rPr>
        <w:t> </w:t>
      </w:r>
      <w:r>
        <w:rPr>
          <w:spacing w:val="26"/>
        </w:rPr>
      </w:r>
      <w:r>
        <w:rPr/>
        <w:t>事、总经理，现任本公司第三届董事会董事。</w:t>
      </w:r>
    </w:p>
    <w:p>
      <w:pPr>
        <w:pStyle w:val="BodyText"/>
        <w:spacing w:line="408" w:lineRule="auto"/>
        <w:ind w:left="140" w:right="0" w:firstLine="420"/>
        <w:jc w:val="left"/>
      </w:pPr>
      <w:r>
        <w:rPr/>
        <w:t>刘勇先生，</w:t>
      </w:r>
      <w:r>
        <w:rPr>
          <w:rFonts w:ascii="宋体" w:hAnsi="宋体" w:cs="宋体" w:eastAsia="宋体" w:hint="default"/>
        </w:rPr>
        <w:t>1977</w:t>
      </w:r>
      <w:r>
        <w:rPr/>
        <w:t>年生，工商管理硕士，中国注册会计师，中国注册税务师，</w:t>
      </w:r>
      <w:r>
        <w:rPr>
          <w:rFonts w:ascii="宋体" w:hAnsi="宋体" w:cs="宋体" w:eastAsia="宋体" w:hint="default"/>
        </w:rPr>
        <w:t>2013</w:t>
      </w:r>
      <w:r>
        <w:rPr/>
        <w:t>年毕业于北京交通大学工商管理专业，硕士学位。</w:t>
      </w:r>
      <w:r>
        <w:rPr>
          <w:rFonts w:ascii="宋体" w:hAnsi="宋体" w:cs="宋体" w:eastAsia="宋体" w:hint="default"/>
        </w:rPr>
        <w:t>1998</w:t>
      </w:r>
      <w:r>
        <w:rPr/>
        <w:t>年</w:t>
      </w:r>
      <w:r>
        <w:rPr>
          <w:rFonts w:ascii="宋体" w:hAnsi="宋体" w:cs="宋体" w:eastAsia="宋体" w:hint="default"/>
        </w:rPr>
        <w:t>8</w:t>
      </w:r>
      <w:r>
        <w:rPr/>
        <w:t>月至</w:t>
      </w:r>
      <w:r>
        <w:rPr>
          <w:w w:val="100"/>
        </w:rPr>
        <w:t> </w:t>
      </w:r>
      <w:r>
        <w:rPr>
          <w:rFonts w:ascii="宋体" w:hAnsi="宋体" w:cs="宋体" w:eastAsia="宋体" w:hint="default"/>
          <w:spacing w:val="-2"/>
        </w:rPr>
        <w:t>2000</w:t>
      </w:r>
      <w:r>
        <w:rPr>
          <w:spacing w:val="-2"/>
        </w:rPr>
        <w:t>年</w:t>
      </w:r>
      <w:r>
        <w:rPr>
          <w:rFonts w:ascii="宋体" w:hAnsi="宋体" w:cs="宋体" w:eastAsia="宋体" w:hint="default"/>
          <w:spacing w:val="-2"/>
        </w:rPr>
        <w:t>12</w:t>
      </w:r>
      <w:r>
        <w:rPr>
          <w:spacing w:val="-2"/>
        </w:rPr>
        <w:t>月在深圳融信会计师事务所任审计员；</w:t>
      </w:r>
      <w:r>
        <w:rPr>
          <w:rFonts w:ascii="宋体" w:hAnsi="宋体" w:cs="宋体" w:eastAsia="宋体" w:hint="default"/>
          <w:spacing w:val="-2"/>
        </w:rPr>
        <w:t>2000</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11</w:t>
      </w:r>
      <w:r>
        <w:rPr>
          <w:spacing w:val="-2"/>
        </w:rPr>
        <w:t>月在深圳深信会计师事务所任审计经理；</w:t>
      </w:r>
      <w:r>
        <w:rPr>
          <w:rFonts w:ascii="宋体" w:hAnsi="宋体" w:cs="宋体" w:eastAsia="宋体" w:hint="default"/>
          <w:spacing w:val="-2"/>
        </w:rPr>
        <w:t>2001</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2006</w:t>
      </w:r>
      <w:r>
        <w:rPr>
          <w:spacing w:val="-2"/>
        </w:rPr>
        <w:t>年</w:t>
      </w:r>
      <w:r>
        <w:rPr>
          <w:rFonts w:ascii="宋体" w:hAnsi="宋体" w:cs="宋体" w:eastAsia="宋体" w:hint="default"/>
          <w:spacing w:val="-2"/>
        </w:rPr>
        <w:t>6</w:t>
      </w:r>
      <w:r>
        <w:rPr>
          <w:spacing w:val="-2"/>
        </w:rPr>
        <w:t>月在深圳大华天</w:t>
      </w:r>
      <w:r>
        <w:rPr>
          <w:spacing w:val="37"/>
        </w:rPr>
        <w:t> </w:t>
      </w:r>
      <w:r>
        <w:rPr>
          <w:spacing w:val="37"/>
        </w:rPr>
      </w:r>
      <w:r>
        <w:rPr>
          <w:spacing w:val="-2"/>
        </w:rPr>
        <w:t>诚会计师事务所任高级审计经理，</w:t>
      </w:r>
      <w:r>
        <w:rPr>
          <w:rFonts w:ascii="宋体" w:hAnsi="宋体" w:cs="宋体" w:eastAsia="宋体" w:hint="default"/>
          <w:spacing w:val="-2"/>
        </w:rPr>
        <w:t>2006</w:t>
      </w:r>
      <w:r>
        <w:rPr>
          <w:spacing w:val="-2"/>
        </w:rPr>
        <w:t>年</w:t>
      </w:r>
      <w:r>
        <w:rPr>
          <w:rFonts w:ascii="宋体" w:hAnsi="宋体" w:cs="宋体" w:eastAsia="宋体" w:hint="default"/>
          <w:spacing w:val="-2"/>
        </w:rPr>
        <w:t>6</w:t>
      </w:r>
      <w:r>
        <w:rPr>
          <w:spacing w:val="-2"/>
        </w:rPr>
        <w:t>月至今任深圳平海会计师事务所（普通合伙）合伙人。现任深圳平海会计师事务所（普通合伙）合伙人，深</w:t>
      </w:r>
      <w:r>
        <w:rPr>
          <w:spacing w:val="17"/>
        </w:rPr>
        <w:t> </w:t>
      </w:r>
      <w:r>
        <w:rPr>
          <w:spacing w:val="17"/>
        </w:rPr>
      </w:r>
      <w:r>
        <w:rPr>
          <w:spacing w:val="-2"/>
        </w:rPr>
        <w:t>圳市道律中和税务师事务所有限公司执行董事兼总经理，深圳市嘉卓成科技发展有限公司独立董事，胜宏科技（惠州）股份有限公司、广东雷伊（集</w:t>
      </w:r>
      <w:r>
        <w:rPr>
          <w:spacing w:val="16"/>
        </w:rPr>
        <w:t> </w:t>
      </w:r>
      <w:r>
        <w:rPr>
          <w:spacing w:val="16"/>
        </w:rPr>
      </w:r>
      <w:r>
        <w:rPr/>
        <w:t>团）股份有限公司独立董事，长治潞州农村商业银行股份有限公司独立董事，现任本公司第三届董事会独立董事。</w:t>
      </w:r>
    </w:p>
    <w:p>
      <w:pPr>
        <w:pStyle w:val="BodyText"/>
        <w:spacing w:line="408" w:lineRule="auto"/>
        <w:ind w:left="140" w:right="0" w:firstLine="420"/>
        <w:jc w:val="left"/>
      </w:pPr>
      <w:r>
        <w:rPr>
          <w:spacing w:val="-2"/>
        </w:rPr>
        <w:t>许鲁光先生，</w:t>
      </w:r>
      <w:r>
        <w:rPr>
          <w:rFonts w:ascii="宋体" w:hAnsi="宋体" w:cs="宋体" w:eastAsia="宋体" w:hint="default"/>
          <w:spacing w:val="-2"/>
        </w:rPr>
        <w:t>1964</w:t>
      </w:r>
      <w:r>
        <w:rPr>
          <w:spacing w:val="-2"/>
        </w:rPr>
        <w:t>年生，区域经济学硕士，副教授、高级经济师，</w:t>
      </w:r>
      <w:r>
        <w:rPr>
          <w:spacing w:val="100"/>
        </w:rPr>
        <w:t> </w:t>
      </w:r>
      <w:r>
        <w:rPr>
          <w:rFonts w:ascii="宋体" w:hAnsi="宋体" w:cs="宋体" w:eastAsia="宋体" w:hint="default"/>
          <w:spacing w:val="-2"/>
        </w:rPr>
        <w:t>1988</w:t>
      </w:r>
      <w:r>
        <w:rPr>
          <w:spacing w:val="-2"/>
        </w:rPr>
        <w:t>年毕业于西南大学区域经济学专业，硕士学位，</w:t>
      </w:r>
      <w:r>
        <w:rPr>
          <w:rFonts w:ascii="宋体" w:hAnsi="宋体" w:cs="宋体" w:eastAsia="宋体" w:hint="default"/>
          <w:spacing w:val="-2"/>
        </w:rPr>
        <w:t>1988</w:t>
      </w:r>
      <w:r>
        <w:rPr>
          <w:spacing w:val="-2"/>
        </w:rPr>
        <w:t>年至</w:t>
      </w:r>
      <w:r>
        <w:rPr>
          <w:rFonts w:ascii="宋体" w:hAnsi="宋体" w:cs="宋体" w:eastAsia="宋体" w:hint="default"/>
          <w:spacing w:val="-2"/>
        </w:rPr>
        <w:t>1994</w:t>
      </w:r>
      <w:r>
        <w:rPr>
          <w:spacing w:val="-2"/>
        </w:rPr>
        <w:t>年在在深圳</w:t>
      </w:r>
      <w:r>
        <w:rPr>
          <w:w w:val="100"/>
        </w:rPr>
        <w:t> </w:t>
      </w:r>
      <w:r>
        <w:rPr>
          <w:spacing w:val="-2"/>
        </w:rPr>
        <w:t>市人民政府经济体制改革办公室工作；</w:t>
      </w:r>
      <w:r>
        <w:rPr>
          <w:rFonts w:ascii="宋体" w:hAnsi="宋体" w:cs="宋体" w:eastAsia="宋体" w:hint="default"/>
          <w:spacing w:val="-2"/>
        </w:rPr>
        <w:t>1994</w:t>
      </w:r>
      <w:r>
        <w:rPr>
          <w:spacing w:val="-2"/>
        </w:rPr>
        <w:t>年至</w:t>
      </w:r>
      <w:r>
        <w:rPr>
          <w:rFonts w:ascii="宋体" w:hAnsi="宋体" w:cs="宋体" w:eastAsia="宋体" w:hint="default"/>
          <w:spacing w:val="-2"/>
        </w:rPr>
        <w:t>1997</w:t>
      </w:r>
      <w:r>
        <w:rPr>
          <w:spacing w:val="-2"/>
        </w:rPr>
        <w:t>年在深圳市商业广播股份公司的工作，任董事，同时兼任商业广播投资发展有限公司副总经理；</w:t>
      </w:r>
      <w:r>
        <w:rPr>
          <w:spacing w:val="19"/>
        </w:rPr>
        <w:t> </w:t>
      </w:r>
      <w:r>
        <w:rPr>
          <w:spacing w:val="19"/>
        </w:rPr>
      </w:r>
      <w:r>
        <w:rPr>
          <w:rFonts w:ascii="宋体" w:hAnsi="宋体" w:cs="宋体" w:eastAsia="宋体" w:hint="default"/>
          <w:spacing w:val="-2"/>
        </w:rPr>
        <w:t>1997</w:t>
      </w:r>
      <w:r>
        <w:rPr>
          <w:spacing w:val="-2"/>
        </w:rPr>
        <w:t>年至</w:t>
      </w:r>
      <w:r>
        <w:rPr>
          <w:rFonts w:ascii="宋体" w:hAnsi="宋体" w:cs="宋体" w:eastAsia="宋体" w:hint="default"/>
          <w:spacing w:val="-2"/>
        </w:rPr>
        <w:t>2003</w:t>
      </w:r>
      <w:r>
        <w:rPr>
          <w:spacing w:val="-2"/>
        </w:rPr>
        <w:t>年在深圳市成人教育中心工作，任主任助理一职，</w:t>
      </w:r>
      <w:r>
        <w:rPr>
          <w:rFonts w:ascii="宋体" w:hAnsi="宋体" w:cs="宋体" w:eastAsia="宋体" w:hint="default"/>
          <w:spacing w:val="-2"/>
        </w:rPr>
        <w:t>2003</w:t>
      </w:r>
      <w:r>
        <w:rPr>
          <w:spacing w:val="-2"/>
        </w:rPr>
        <w:t>年至</w:t>
      </w:r>
      <w:r>
        <w:rPr>
          <w:rFonts w:ascii="宋体" w:hAnsi="宋体" w:cs="宋体" w:eastAsia="宋体" w:hint="default"/>
          <w:spacing w:val="-2"/>
        </w:rPr>
        <w:t>2006</w:t>
      </w:r>
      <w:r>
        <w:rPr>
          <w:spacing w:val="-2"/>
        </w:rPr>
        <w:t>年在深圳市发展改革委员会的市城市发展研究中心工作，任任副研究员</w:t>
      </w:r>
      <w:r>
        <w:rPr>
          <w:spacing w:val="24"/>
        </w:rPr>
        <w:t> </w:t>
      </w:r>
      <w:r>
        <w:rPr>
          <w:spacing w:val="24"/>
        </w:rPr>
      </w:r>
      <w:r>
        <w:rPr/>
        <w:t>职位，</w:t>
      </w:r>
      <w:r>
        <w:rPr>
          <w:rFonts w:ascii="宋体" w:hAnsi="宋体" w:cs="宋体" w:eastAsia="宋体" w:hint="default"/>
        </w:rPr>
        <w:t>2006</w:t>
      </w:r>
      <w:r>
        <w:rPr/>
        <w:t>年至今在深圳市社会科学院经济所工作，现任副所长职位，现任本公司第三届董事会独立董事。</w:t>
      </w:r>
    </w:p>
    <w:p>
      <w:pPr>
        <w:pStyle w:val="BodyText"/>
        <w:spacing w:line="408" w:lineRule="auto"/>
        <w:ind w:left="140" w:right="0" w:firstLine="420"/>
        <w:jc w:val="left"/>
      </w:pPr>
      <w:r>
        <w:rPr>
          <w:spacing w:val="-2"/>
        </w:rPr>
        <w:t>陈伟强先生，</w:t>
      </w:r>
      <w:r>
        <w:rPr>
          <w:rFonts w:ascii="宋体" w:hAnsi="宋体" w:cs="宋体" w:eastAsia="宋体" w:hint="default"/>
          <w:spacing w:val="-2"/>
        </w:rPr>
        <w:t>1962</w:t>
      </w:r>
      <w:r>
        <w:rPr>
          <w:spacing w:val="-2"/>
        </w:rPr>
        <w:t>年生，法学研究生，民建会员，</w:t>
      </w:r>
      <w:r>
        <w:rPr>
          <w:rFonts w:ascii="宋体" w:hAnsi="宋体" w:cs="宋体" w:eastAsia="宋体" w:hint="default"/>
          <w:spacing w:val="-2"/>
        </w:rPr>
        <w:t>1987</w:t>
      </w:r>
      <w:r>
        <w:rPr>
          <w:spacing w:val="-2"/>
        </w:rPr>
        <w:t>年毕业于中国人民大学，大专学位，</w:t>
      </w:r>
      <w:r>
        <w:rPr>
          <w:rFonts w:ascii="宋体" w:hAnsi="宋体" w:cs="宋体" w:eastAsia="宋体" w:hint="default"/>
          <w:spacing w:val="-2"/>
        </w:rPr>
        <w:t>2002</w:t>
      </w:r>
      <w:r>
        <w:rPr>
          <w:spacing w:val="-2"/>
        </w:rPr>
        <w:t>年取得河南大学诉讼法学研究生学位，</w:t>
      </w:r>
      <w:r>
        <w:rPr>
          <w:rFonts w:ascii="宋体" w:hAnsi="宋体" w:cs="宋体" w:eastAsia="宋体" w:hint="default"/>
          <w:spacing w:val="-2"/>
        </w:rPr>
        <w:t>1987</w:t>
      </w:r>
      <w:r>
        <w:rPr>
          <w:spacing w:val="-2"/>
        </w:rPr>
        <w:t>年</w:t>
      </w:r>
      <w:r>
        <w:rPr>
          <w:rFonts w:ascii="宋体" w:hAnsi="宋体" w:cs="宋体" w:eastAsia="宋体" w:hint="default"/>
          <w:spacing w:val="-2"/>
        </w:rPr>
        <w:t>7</w:t>
      </w:r>
      <w:r>
        <w:rPr>
          <w:spacing w:val="-2"/>
        </w:rPr>
        <w:t>月</w:t>
      </w:r>
      <w:r>
        <w:rPr>
          <w:w w:val="100"/>
        </w:rPr>
        <w:t> </w:t>
      </w:r>
      <w:r>
        <w:rPr/>
        <w:t>至</w:t>
      </w:r>
      <w:r>
        <w:rPr>
          <w:rFonts w:ascii="宋体" w:hAnsi="宋体" w:cs="宋体" w:eastAsia="宋体" w:hint="default"/>
        </w:rPr>
        <w:t>1993</w:t>
      </w:r>
      <w:r>
        <w:rPr/>
        <w:t>年</w:t>
      </w:r>
      <w:r>
        <w:rPr>
          <w:rFonts w:ascii="宋体" w:hAnsi="宋体" w:cs="宋体" w:eastAsia="宋体" w:hint="default"/>
        </w:rPr>
        <w:t>7</w:t>
      </w:r>
      <w:r>
        <w:rPr/>
        <w:t>月河南省开封市第一律师事务所律师；</w:t>
      </w:r>
      <w:r>
        <w:rPr>
          <w:rFonts w:ascii="宋体" w:hAnsi="宋体" w:cs="宋体" w:eastAsia="宋体" w:hint="default"/>
        </w:rPr>
        <w:t>1993</w:t>
      </w:r>
      <w:r>
        <w:rPr/>
        <w:t>年</w:t>
      </w:r>
      <w:r>
        <w:rPr>
          <w:rFonts w:ascii="宋体" w:hAnsi="宋体" w:cs="宋体" w:eastAsia="宋体" w:hint="default"/>
        </w:rPr>
        <w:t>7</w:t>
      </w:r>
      <w:r>
        <w:rPr/>
        <w:t>月至今广东深天正律师事务所律师、任主任，现任本公司第三届董事会独立董事。</w:t>
      </w:r>
    </w:p>
    <w:p>
      <w:pPr>
        <w:pStyle w:val="BodyText"/>
        <w:spacing w:line="410" w:lineRule="auto"/>
        <w:ind w:left="560" w:right="0"/>
        <w:jc w:val="left"/>
      </w:pPr>
      <w:r>
        <w:rPr>
          <w:rFonts w:ascii="宋体" w:hAnsi="宋体" w:cs="宋体" w:eastAsia="宋体" w:hint="default"/>
        </w:rPr>
        <w:t>2</w:t>
      </w:r>
      <w:r>
        <w:rPr/>
        <w:t>、监事会成员介绍</w:t>
      </w:r>
      <w:r>
        <w:rPr>
          <w:w w:val="100"/>
        </w:rPr>
        <w:t> </w:t>
      </w:r>
      <w:r>
        <w:rPr>
          <w:spacing w:val="-2"/>
        </w:rPr>
        <w:t>艾倩兰女士，</w:t>
      </w:r>
      <w:r>
        <w:rPr>
          <w:rFonts w:ascii="宋体" w:hAnsi="宋体" w:cs="宋体" w:eastAsia="宋体" w:hint="default"/>
          <w:spacing w:val="-2"/>
        </w:rPr>
        <w:t>1984</w:t>
      </w:r>
      <w:r>
        <w:rPr>
          <w:spacing w:val="-2"/>
        </w:rPr>
        <w:t>年生，教研专员，</w:t>
      </w:r>
      <w:r>
        <w:rPr>
          <w:rFonts w:ascii="宋体" w:hAnsi="宋体" w:cs="宋体" w:eastAsia="宋体" w:hint="default"/>
          <w:spacing w:val="-2"/>
        </w:rPr>
        <w:t>2006</w:t>
      </w:r>
      <w:r>
        <w:rPr>
          <w:spacing w:val="-2"/>
        </w:rPr>
        <w:t>年毕业于西北民族大学，</w:t>
      </w:r>
      <w:r>
        <w:rPr>
          <w:rFonts w:ascii="宋体" w:hAnsi="宋体" w:cs="宋体" w:eastAsia="宋体" w:hint="default"/>
          <w:spacing w:val="-2"/>
        </w:rPr>
        <w:t>2006</w:t>
      </w:r>
      <w:r>
        <w:rPr>
          <w:spacing w:val="-2"/>
        </w:rPr>
        <w:t>年</w:t>
      </w:r>
      <w:r>
        <w:rPr>
          <w:rFonts w:ascii="宋体" w:hAnsi="宋体" w:cs="宋体" w:eastAsia="宋体" w:hint="default"/>
          <w:spacing w:val="-2"/>
        </w:rPr>
        <w:t>8</w:t>
      </w:r>
      <w:r>
        <w:rPr>
          <w:spacing w:val="-2"/>
        </w:rPr>
        <w:t>月至今在深圳方直科技股份有限公司分别担任过软件策划、项目经理、</w:t>
      </w:r>
    </w:p>
    <w:p>
      <w:pPr>
        <w:pStyle w:val="BodyText"/>
        <w:spacing w:line="408" w:lineRule="auto" w:before="44"/>
        <w:ind w:left="560" w:right="0" w:hanging="421"/>
        <w:jc w:val="left"/>
      </w:pPr>
      <w:r>
        <w:rPr/>
        <w:t>产品经理，现任公司教研专员，本公司公司第三届监事会监事。</w:t>
      </w:r>
      <w:r>
        <w:rPr>
          <w:w w:val="100"/>
        </w:rPr>
        <w:t> </w:t>
      </w:r>
      <w:r>
        <w:rPr>
          <w:spacing w:val="-2"/>
        </w:rPr>
        <w:t>朱文先生，</w:t>
      </w:r>
      <w:r>
        <w:rPr>
          <w:rFonts w:ascii="宋体" w:hAnsi="宋体" w:cs="宋体" w:eastAsia="宋体" w:hint="default"/>
          <w:spacing w:val="-2"/>
        </w:rPr>
        <w:t>1986</w:t>
      </w:r>
      <w:r>
        <w:rPr>
          <w:spacing w:val="-2"/>
        </w:rPr>
        <w:t>年生，毕业于深圳大学，</w:t>
      </w:r>
      <w:r>
        <w:rPr>
          <w:rFonts w:ascii="宋体" w:hAnsi="宋体" w:cs="宋体" w:eastAsia="宋体" w:hint="default"/>
          <w:spacing w:val="-2"/>
        </w:rPr>
        <w:t>2009</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月于深圳市森茂广告有限公司任后期制作，</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月至今，在深圳市方直科技股份</w:t>
      </w:r>
    </w:p>
    <w:p>
      <w:pPr>
        <w:pStyle w:val="BodyText"/>
        <w:spacing w:line="408" w:lineRule="auto"/>
        <w:ind w:left="560" w:right="0" w:hanging="421"/>
        <w:jc w:val="left"/>
      </w:pPr>
      <w:r>
        <w:rPr/>
        <w:t>有限公司工作，曾任音视频编辑、项目经理，现任</w:t>
      </w:r>
      <w:r>
        <w:rPr>
          <w:rFonts w:ascii="宋体" w:hAnsi="宋体" w:cs="宋体" w:eastAsia="宋体" w:hint="default"/>
        </w:rPr>
        <w:t>C</w:t>
      </w:r>
      <w:r>
        <w:rPr/>
        <w:t>端销售副总监，本公司第三届监事会监事。</w:t>
      </w:r>
      <w:r>
        <w:rPr>
          <w:w w:val="100"/>
        </w:rPr>
        <w:t> </w:t>
      </w:r>
      <w:r>
        <w:rPr>
          <w:spacing w:val="-2"/>
        </w:rPr>
        <w:t>林勇先生，</w:t>
      </w:r>
      <w:r>
        <w:rPr>
          <w:rFonts w:ascii="宋体" w:hAnsi="宋体" w:cs="宋体" w:eastAsia="宋体" w:hint="default"/>
          <w:spacing w:val="-2"/>
        </w:rPr>
        <w:t>1978</w:t>
      </w:r>
      <w:r>
        <w:rPr>
          <w:spacing w:val="-2"/>
        </w:rPr>
        <w:t>年生，毕业于中山大学，专科学历，助理会计师。</w:t>
      </w:r>
      <w:r>
        <w:rPr>
          <w:rFonts w:ascii="宋体" w:hAnsi="宋体" w:cs="宋体" w:eastAsia="宋体" w:hint="default"/>
          <w:spacing w:val="-2"/>
        </w:rPr>
        <w:t>2007</w:t>
      </w:r>
      <w:r>
        <w:rPr>
          <w:spacing w:val="-2"/>
        </w:rPr>
        <w:t>年</w:t>
      </w:r>
      <w:r>
        <w:rPr>
          <w:rFonts w:ascii="宋体" w:hAnsi="宋体" w:cs="宋体" w:eastAsia="宋体" w:hint="default"/>
          <w:spacing w:val="-2"/>
        </w:rPr>
        <w:t>09</w:t>
      </w:r>
      <w:r>
        <w:rPr>
          <w:spacing w:val="-2"/>
        </w:rPr>
        <w:t>月至今在深圳市方直科技股份有限公司先后任职深圳办事处财务、营</w:t>
      </w:r>
    </w:p>
    <w:p>
      <w:pPr>
        <w:pStyle w:val="BodyText"/>
        <w:spacing w:line="240" w:lineRule="auto"/>
        <w:ind w:left="140" w:right="0"/>
        <w:jc w:val="left"/>
      </w:pPr>
      <w:r>
        <w:rPr/>
        <w:t>销中心总监助理、北京分公司副总经理，现任营销中心总经理助理兼西南区大区经理，现任本公司第三届监事会职工代表监事。</w:t>
      </w:r>
    </w:p>
    <w:p>
      <w:pPr>
        <w:spacing w:after="0" w:line="240" w:lineRule="auto"/>
        <w:jc w:val="left"/>
        <w:sectPr>
          <w:pgSz w:w="16840" w:h="11910" w:orient="landscape"/>
          <w:pgMar w:header="870" w:footer="979" w:top="1060" w:bottom="1160" w:left="1300" w:right="1300"/>
        </w:sectPr>
      </w:pPr>
    </w:p>
    <w:p>
      <w:pPr>
        <w:pStyle w:val="BodyText"/>
        <w:spacing w:line="408" w:lineRule="auto" w:before="130"/>
        <w:ind w:left="560" w:right="0"/>
        <w:jc w:val="left"/>
      </w:pPr>
      <w:r>
        <w:rPr>
          <w:rFonts w:ascii="宋体" w:hAnsi="宋体" w:cs="宋体" w:eastAsia="宋体" w:hint="default"/>
        </w:rPr>
        <w:t>3</w:t>
      </w:r>
      <w:r>
        <w:rPr/>
        <w:t>、高级管理人员介绍</w:t>
      </w:r>
      <w:r>
        <w:rPr>
          <w:w w:val="100"/>
        </w:rPr>
        <w:t> </w:t>
      </w:r>
      <w:r>
        <w:rPr>
          <w:spacing w:val="-2"/>
        </w:rPr>
        <w:t>李枫，</w:t>
      </w:r>
      <w:r>
        <w:rPr>
          <w:rFonts w:ascii="宋体" w:hAnsi="宋体" w:cs="宋体" w:eastAsia="宋体" w:hint="default"/>
          <w:spacing w:val="-2"/>
        </w:rPr>
        <w:t>1974</w:t>
      </w:r>
      <w:r>
        <w:rPr>
          <w:spacing w:val="-2"/>
        </w:rPr>
        <w:t>年生，毕业于北京交通大学工商管理专业，本科学历，在读北京大学汇丰商学院</w:t>
      </w:r>
      <w:r>
        <w:rPr>
          <w:rFonts w:ascii="宋体" w:hAnsi="宋体" w:cs="宋体" w:eastAsia="宋体" w:hint="default"/>
          <w:spacing w:val="-2"/>
        </w:rPr>
        <w:t>EMBA</w:t>
      </w:r>
      <w:r>
        <w:rPr>
          <w:spacing w:val="-2"/>
        </w:rPr>
        <w:t>，无境外永久居留权。</w:t>
      </w:r>
      <w:r>
        <w:rPr>
          <w:rFonts w:ascii="宋体" w:hAnsi="宋体" w:cs="宋体" w:eastAsia="宋体" w:hint="default"/>
          <w:spacing w:val="-2"/>
        </w:rPr>
        <w:t>1997</w:t>
      </w:r>
      <w:r>
        <w:rPr>
          <w:spacing w:val="-2"/>
        </w:rPr>
        <w:t>年至今在深圳市方直</w:t>
      </w:r>
    </w:p>
    <w:p>
      <w:pPr>
        <w:pStyle w:val="BodyText"/>
        <w:spacing w:line="408" w:lineRule="auto"/>
        <w:ind w:left="140" w:right="0"/>
        <w:jc w:val="left"/>
      </w:pPr>
      <w:r>
        <w:rPr>
          <w:spacing w:val="-2"/>
        </w:rPr>
        <w:t>科技股份有限公司担任行政部经理、证券事务代表、证券部经理，现任本公司副总经理、董事会秘书。持有深圳证券交易所颁发的《董事会秘书资格</w:t>
      </w:r>
      <w:r>
        <w:rPr>
          <w:spacing w:val="17"/>
        </w:rPr>
        <w:t> </w:t>
      </w:r>
      <w:r>
        <w:rPr>
          <w:spacing w:val="17"/>
        </w:rPr>
      </w:r>
      <w:r>
        <w:rPr/>
        <w:t>证书》。</w:t>
      </w:r>
    </w:p>
    <w:p>
      <w:pPr>
        <w:pStyle w:val="BodyText"/>
        <w:spacing w:line="408" w:lineRule="auto"/>
        <w:ind w:left="140" w:right="0" w:firstLine="420"/>
        <w:jc w:val="left"/>
      </w:pPr>
      <w:r>
        <w:rPr>
          <w:spacing w:val="-2"/>
        </w:rPr>
        <w:t>杨颖，</w:t>
      </w:r>
      <w:r>
        <w:rPr>
          <w:rFonts w:ascii="宋体" w:hAnsi="宋体" w:cs="宋体" w:eastAsia="宋体" w:hint="default"/>
          <w:spacing w:val="-2"/>
        </w:rPr>
        <w:t>1964</w:t>
      </w:r>
      <w:r>
        <w:rPr>
          <w:spacing w:val="-2"/>
        </w:rPr>
        <w:t>年生，毕业于重庆市建筑工程学院，无境外永久居留权。曾任重庆建安公司经济员，中国长城计算机集团深圳昆仑公司会计，</w:t>
      </w:r>
      <w:r>
        <w:rPr>
          <w:rFonts w:ascii="宋体" w:hAnsi="宋体" w:cs="宋体" w:eastAsia="宋体" w:hint="default"/>
          <w:spacing w:val="-2"/>
        </w:rPr>
        <w:t>1996</w:t>
      </w:r>
      <w:r>
        <w:rPr>
          <w:spacing w:val="-2"/>
        </w:rPr>
        <w:t>年</w:t>
      </w:r>
      <w:r>
        <w:rPr>
          <w:w w:val="100"/>
        </w:rPr>
        <w:t> </w:t>
      </w:r>
      <w:r>
        <w:rPr/>
        <w:t>加入本公司，历任本公司会计、行政总监，现任本公司副总经理。</w:t>
      </w:r>
    </w:p>
    <w:p>
      <w:pPr>
        <w:pStyle w:val="BodyText"/>
        <w:spacing w:line="408" w:lineRule="auto"/>
        <w:ind w:left="140" w:right="332" w:firstLine="420"/>
        <w:jc w:val="both"/>
      </w:pPr>
      <w:r>
        <w:rPr>
          <w:spacing w:val="-2"/>
        </w:rPr>
        <w:t>杨正华，</w:t>
      </w:r>
      <w:r>
        <w:rPr>
          <w:rFonts w:ascii="宋体" w:hAnsi="宋体" w:cs="宋体" w:eastAsia="宋体" w:hint="default"/>
          <w:spacing w:val="-2"/>
        </w:rPr>
        <w:t>1973</w:t>
      </w:r>
      <w:r>
        <w:rPr>
          <w:spacing w:val="-2"/>
        </w:rPr>
        <w:t>年生，毕业于湖北大学，经济学学士、副研究员，无境外永久居留权。</w:t>
      </w:r>
      <w:r>
        <w:rPr>
          <w:rFonts w:ascii="宋体" w:hAnsi="宋体" w:cs="宋体" w:eastAsia="宋体" w:hint="default"/>
          <w:spacing w:val="-2"/>
        </w:rPr>
        <w:t>1998</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12</w:t>
      </w:r>
      <w:r>
        <w:rPr>
          <w:spacing w:val="-2"/>
        </w:rPr>
        <w:t>月在武汉启明星科技有限公司任程序员</w:t>
      </w:r>
      <w:r>
        <w:rPr>
          <w:w w:val="100"/>
        </w:rPr>
        <w:t> </w:t>
      </w:r>
      <w:r>
        <w:rPr>
          <w:spacing w:val="-2"/>
        </w:rPr>
        <w:t>职位；</w:t>
      </w:r>
      <w:r>
        <w:rPr>
          <w:rFonts w:ascii="宋体" w:hAnsi="宋体" w:cs="宋体" w:eastAsia="宋体" w:hint="default"/>
          <w:spacing w:val="-2"/>
        </w:rPr>
        <w:t>2002</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5</w:t>
      </w:r>
      <w:r>
        <w:rPr>
          <w:spacing w:val="-2"/>
        </w:rPr>
        <w:t>月在深圳正普信息技术有限公司任部门经理职位，</w:t>
      </w:r>
      <w:r>
        <w:rPr>
          <w:rFonts w:ascii="宋体" w:hAnsi="宋体" w:cs="宋体" w:eastAsia="宋体" w:hint="default"/>
          <w:spacing w:val="-2"/>
        </w:rPr>
        <w:t>2004</w:t>
      </w:r>
      <w:r>
        <w:rPr>
          <w:spacing w:val="-2"/>
        </w:rPr>
        <w:t>年加入本公司，历任研发部经理、总经理助理；</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月任深圳市</w:t>
      </w:r>
      <w:r>
        <w:rPr>
          <w:spacing w:val="24"/>
        </w:rPr>
        <w:t> </w:t>
      </w:r>
      <w:r>
        <w:rPr>
          <w:spacing w:val="24"/>
        </w:rPr>
      </w:r>
      <w:r>
        <w:rPr/>
        <w:t>方直课程教学研究院副理事长、财务负责人，现任公司副总经理。</w:t>
      </w:r>
    </w:p>
    <w:p>
      <w:pPr>
        <w:pStyle w:val="BodyText"/>
        <w:spacing w:line="273" w:lineRule="auto" w:before="10"/>
        <w:ind w:left="140" w:right="0"/>
        <w:jc w:val="left"/>
        <w:rPr>
          <w:sz w:val="18"/>
          <w:szCs w:val="18"/>
        </w:rPr>
      </w:pPr>
      <w:r>
        <w:rPr>
          <w:spacing w:val="-1"/>
        </w:rPr>
        <w:t>卢庆华，</w:t>
      </w:r>
      <w:r>
        <w:rPr>
          <w:rFonts w:ascii="宋体" w:hAnsi="宋体" w:cs="宋体" w:eastAsia="宋体" w:hint="default"/>
          <w:spacing w:val="-1"/>
        </w:rPr>
        <w:t>1975</w:t>
      </w:r>
      <w:r>
        <w:rPr>
          <w:rFonts w:ascii="宋体" w:hAnsi="宋体" w:cs="宋体" w:eastAsia="宋体" w:hint="default"/>
        </w:rPr>
        <w:t> </w:t>
      </w:r>
      <w:r>
        <w:rPr>
          <w:spacing w:val="-2"/>
        </w:rPr>
        <w:t>年生，毕业于北京工业大学，工学硕士，无境外永久居留权。曾在华为技术有限公司、广州市优拓计算机科技有限公司、江苏中科梦兰电</w:t>
      </w:r>
      <w:r>
        <w:rPr>
          <w:spacing w:val="-40"/>
        </w:rPr>
        <w:t> </w:t>
      </w:r>
      <w:r>
        <w:rPr>
          <w:spacing w:val="-40"/>
        </w:rPr>
      </w:r>
      <w:r>
        <w:rPr/>
        <w:t>子科技有限公司任职；现任深圳市方直科技股份有限公司副总经理兼技术总监。</w:t>
      </w:r>
      <w:r>
        <w:rPr>
          <w:sz w:val="18"/>
          <w:szCs w:val="18"/>
        </w:rPr>
        <w:t>在股东单位任职情况</w:t>
      </w:r>
    </w:p>
    <w:p>
      <w:pPr>
        <w:spacing w:line="338" w:lineRule="auto" w:before="69"/>
        <w:ind w:left="140" w:right="124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3"/>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8" w:type="dxa"/>
        <w:tblLayout w:type="fixed"/>
        <w:tblCellMar>
          <w:top w:w="0" w:type="dxa"/>
          <w:left w:w="0" w:type="dxa"/>
          <w:bottom w:w="0" w:type="dxa"/>
          <w:right w:w="0" w:type="dxa"/>
        </w:tblCellMar>
        <w:tblLook w:val="01E0"/>
      </w:tblPr>
      <w:tblGrid>
        <w:gridCol w:w="2376"/>
        <w:gridCol w:w="3262"/>
        <w:gridCol w:w="2410"/>
        <w:gridCol w:w="1843"/>
        <w:gridCol w:w="1275"/>
        <w:gridCol w:w="2693"/>
      </w:tblGrid>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1"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7"/>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在其他单位是否领取报酬津贴</w:t>
            </w:r>
          </w:p>
        </w:tc>
      </w:tr>
      <w:tr>
        <w:trPr>
          <w:trHeight w:val="40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乔东斌</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深圳市齐普生信息科技有限公司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166"/>
              <w:jc w:val="left"/>
              <w:rPr>
                <w:rFonts w:ascii="宋体" w:hAnsi="宋体" w:cs="宋体" w:eastAsia="宋体" w:hint="default"/>
                <w:sz w:val="18"/>
                <w:szCs w:val="18"/>
              </w:rPr>
            </w:pPr>
            <w:r>
              <w:rPr>
                <w:rFonts w:ascii="宋体" w:hAnsi="宋体" w:cs="宋体" w:eastAsia="宋体" w:hint="default"/>
                <w:sz w:val="18"/>
                <w:szCs w:val="18"/>
              </w:rPr>
              <w:t>深圳平海会计师事务所（普通合伙） 深圳市道律中和税务师事务所有限公司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合伙人、执行董事、总经理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许鲁光</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深圳市社会科学院经济所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广东深天正律师事务所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律师、主任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114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39"/>
          <w:pgSz w:w="16840" w:h="11910" w:orient="landscape"/>
          <w:pgMar w:footer="979" w:header="870" w:top="1060" w:bottom="1160" w:left="1300" w:right="1300"/>
          <w:pgNumType w:start="8"/>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2321"/>
        <w:gridCol w:w="7041"/>
      </w:tblGrid>
      <w:tr>
        <w:trPr>
          <w:trHeight w:val="96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7" w:right="1"/>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酬的决策程序</w:t>
            </w:r>
          </w:p>
        </w:tc>
        <w:tc>
          <w:tcPr>
            <w:tcW w:w="7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
              <w:jc w:val="both"/>
              <w:rPr>
                <w:rFonts w:ascii="宋体" w:hAnsi="宋体" w:cs="宋体" w:eastAsia="宋体" w:hint="default"/>
                <w:sz w:val="18"/>
                <w:szCs w:val="18"/>
              </w:rPr>
            </w:pPr>
            <w:r>
              <w:rPr>
                <w:rFonts w:ascii="宋体" w:hAnsi="宋体" w:cs="宋体" w:eastAsia="宋体" w:hint="default"/>
                <w:sz w:val="18"/>
                <w:szCs w:val="18"/>
              </w:rPr>
              <w:t>董事、监事、高级管理人员报酬的决策程序以及确定依据均按照《方直科技董事、监事薪 酬方案》、《方直科技高级管理人员薪酬方案》执行；董事、监事、高级管理人员报酬由 公司支付；</w:t>
            </w:r>
          </w:p>
        </w:tc>
      </w:tr>
      <w:tr>
        <w:trPr>
          <w:trHeight w:val="16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7" w:right="1"/>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酬确定依据</w:t>
            </w:r>
          </w:p>
        </w:tc>
        <w:tc>
          <w:tcPr>
            <w:tcW w:w="7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7" w:right="1"/>
              <w:jc w:val="both"/>
              <w:rPr>
                <w:rFonts w:ascii="宋体" w:hAnsi="宋体" w:cs="宋体" w:eastAsia="宋体" w:hint="default"/>
                <w:sz w:val="18"/>
                <w:szCs w:val="18"/>
              </w:rPr>
            </w:pPr>
            <w:r>
              <w:rPr>
                <w:rFonts w:ascii="宋体" w:hAnsi="宋体" w:cs="宋体" w:eastAsia="宋体" w:hint="default"/>
                <w:sz w:val="18"/>
                <w:szCs w:val="18"/>
              </w:rPr>
              <w:t>根据《公司法》、《关于在上市公司建立独立董事制度的指导意见》等有关法律、法规以 及《公司章程》、《独立董事工作制度》等公司制度的规定，公司董事、监事和高级管理 人员的报酬结合其经营绩效、工作能力、岗位职级等为依据考核确定并发放。</w:t>
            </w:r>
          </w:p>
        </w:tc>
      </w:tr>
      <w:tr>
        <w:trPr>
          <w:trHeight w:val="656"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3"/>
              <w:jc w:val="left"/>
              <w:rPr>
                <w:rFonts w:ascii="宋体" w:hAnsi="宋体" w:cs="宋体" w:eastAsia="宋体" w:hint="default"/>
                <w:sz w:val="18"/>
                <w:szCs w:val="18"/>
              </w:rPr>
            </w:pPr>
            <w:r>
              <w:rPr>
                <w:rFonts w:ascii="宋体" w:hAnsi="宋体" w:cs="宋体" w:eastAsia="宋体" w:hint="default"/>
                <w:spacing w:val="-4"/>
                <w:sz w:val="18"/>
                <w:szCs w:val="18"/>
              </w:rPr>
              <w:t>董事、监事和高级管理人员报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酬的实际支付情况</w:t>
            </w:r>
          </w:p>
        </w:tc>
        <w:tc>
          <w:tcPr>
            <w:tcW w:w="7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薪酬均已按公司规定发放。</w:t>
            </w:r>
          </w:p>
        </w:tc>
      </w:tr>
    </w:tbl>
    <w:p>
      <w:pPr>
        <w:spacing w:line="240" w:lineRule="auto" w:before="2"/>
        <w:rPr>
          <w:rFonts w:ascii="宋体" w:hAnsi="宋体" w:cs="宋体" w:eastAsia="宋体" w:hint="default"/>
          <w:sz w:val="24"/>
          <w:szCs w:val="24"/>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2569"/>
        <w:gridCol w:w="850"/>
        <w:gridCol w:w="852"/>
        <w:gridCol w:w="1201"/>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董事、连邦总经理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乔东斌</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许鲁光</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卢庆华</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副总经理兼技术总监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杨正华</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李枫</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副总经理兼董事会秘书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艾倩兰</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监事、教研专员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朱文</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4"/>
              <w:jc w:val="left"/>
              <w:rPr>
                <w:rFonts w:ascii="宋体" w:hAnsi="宋体" w:cs="宋体" w:eastAsia="宋体" w:hint="default"/>
                <w:sz w:val="18"/>
                <w:szCs w:val="18"/>
              </w:rPr>
            </w:pPr>
            <w:r>
              <w:rPr>
                <w:rFonts w:ascii="宋体" w:hAnsi="宋体" w:cs="宋体" w:eastAsia="宋体" w:hint="default"/>
                <w:sz w:val="18"/>
                <w:szCs w:val="18"/>
              </w:rPr>
              <w:t>监事、销售副总监兼华南区大 区经理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林勇</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监事、营销中心总经理助理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财务总监（离职）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周洁</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监事（离职）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40"/>
          <w:footerReference w:type="default" r:id="rId41"/>
          <w:pgSz w:w="11910" w:h="16840"/>
          <w:pgMar w:header="880" w:footer="979" w:top="1100" w:bottom="1160" w:left="980" w:right="980"/>
          <w:pgNumType w:start="6"/>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五、公司员工情况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281</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事业部人员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其他支持人员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281</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281</w:t>
            </w:r>
          </w:p>
        </w:tc>
      </w:tr>
    </w:tbl>
    <w:p>
      <w:pPr>
        <w:spacing w:line="240" w:lineRule="auto" w:before="10"/>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right="333" w:firstLine="420"/>
        <w:jc w:val="both"/>
      </w:pPr>
      <w:r>
        <w:rPr>
          <w:spacing w:val="-2"/>
        </w:rPr>
        <w:t>为切实达成公司的中长期战略目标，公司对高级管理人员建立以绩效目标考核为主的激励和约束机</w:t>
      </w:r>
      <w:r>
        <w:rPr>
          <w:w w:val="100"/>
        </w:rPr>
        <w:t> </w:t>
      </w:r>
      <w:r>
        <w:rPr>
          <w:spacing w:val="-2"/>
        </w:rPr>
        <w:t>制，制定《方直科技高级管理人员薪酬方案》，通过绩效考核的方式激励高级管理人员达成考核目标。</w:t>
      </w:r>
      <w:r>
        <w:rPr>
          <w:spacing w:val="-21"/>
        </w:rPr>
        <w:t> </w:t>
      </w:r>
      <w:r>
        <w:rPr>
          <w:spacing w:val="-21"/>
        </w:rPr>
      </w:r>
      <w:r>
        <w:rPr>
          <w:spacing w:val="-2"/>
        </w:rPr>
        <w:t>自激励机制建立以来，公司每年依据年度经营目标层层分解，对每位高级管理人员制定绩效考核指标，</w:t>
      </w:r>
      <w:r>
        <w:rPr>
          <w:spacing w:val="-21"/>
        </w:rPr>
        <w:t> </w:t>
      </w:r>
      <w:r>
        <w:rPr>
          <w:spacing w:val="-21"/>
        </w:rPr>
      </w:r>
      <w:r>
        <w:rPr/>
        <w:t>并进行过程监督、调控，促进公司目标达成。</w:t>
      </w:r>
    </w:p>
    <w:p>
      <w:pPr>
        <w:spacing w:after="0" w:line="408" w:lineRule="auto"/>
        <w:jc w:val="both"/>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right="0" w:firstLine="420"/>
        <w:jc w:val="left"/>
      </w:pPr>
      <w:r>
        <w:rPr/>
        <w:t>公司总部年度培训计划由人力资源部组织制定，经审核、批准后，人力资源部正式发布并组织执</w:t>
      </w:r>
      <w:r>
        <w:rPr>
          <w:w w:val="100"/>
        </w:rPr>
        <w:t> </w:t>
      </w:r>
      <w:r>
        <w:rPr>
          <w:spacing w:val="-2"/>
        </w:rPr>
        <w:t>行。各办事处的年度计划由各办负责人制定，报总部审批后，由负责人组织实施。各部门根据本部门年</w:t>
      </w:r>
      <w:r>
        <w:rPr>
          <w:spacing w:val="-21"/>
        </w:rPr>
        <w:t> </w:t>
      </w:r>
      <w:r>
        <w:rPr>
          <w:spacing w:val="-21"/>
        </w:rPr>
      </w:r>
      <w:r>
        <w:rPr>
          <w:spacing w:val="-2"/>
        </w:rPr>
        <w:t>度工作计划，与部门内员工进行沟通交流后，拟定部门培训需求，并详细、完整地提交部门年度培训计</w:t>
      </w:r>
      <w:r>
        <w:rPr>
          <w:spacing w:val="-21"/>
        </w:rPr>
        <w:t> </w:t>
      </w:r>
      <w:r>
        <w:rPr>
          <w:spacing w:val="-21"/>
        </w:rPr>
      </w:r>
      <w:r>
        <w:rPr>
          <w:spacing w:val="-2"/>
        </w:rPr>
        <w:t>划至人力资源部部。部门年度培训计划需详细说明培训方式、培训时间、培训地点、培训内容、培训讲</w:t>
      </w:r>
      <w:r>
        <w:rPr>
          <w:spacing w:val="-21"/>
        </w:rPr>
        <w:t> </w:t>
      </w:r>
      <w:r>
        <w:rPr>
          <w:spacing w:val="-21"/>
        </w:rPr>
      </w:r>
      <w:r>
        <w:rPr/>
        <w:t>师、培训对象、培训预算、其它需协调事项等。</w:t>
      </w:r>
    </w:p>
    <w:p>
      <w:pPr>
        <w:spacing w:line="240" w:lineRule="auto" w:before="6"/>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42"/>
          <w:pgSz w:w="11910" w:h="16840"/>
          <w:pgMar w:footer="979" w:header="880" w:top="1100" w:bottom="1160" w:left="980" w:right="9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left="3751" w:right="3806"/>
        <w:jc w:val="center"/>
        <w:rPr>
          <w:b w:val="0"/>
          <w:bCs w:val="0"/>
        </w:rPr>
      </w:pPr>
      <w:bookmarkStart w:name="_bookmark7" w:id="8"/>
      <w:bookmarkEnd w:id="8"/>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both"/>
        <w:rPr>
          <w:b w:val="0"/>
          <w:bCs w:val="0"/>
        </w:rPr>
      </w:pPr>
      <w:r>
        <w:rPr/>
        <w:t>一、公司治理的基本状况</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240" w:lineRule="auto" w:before="0"/>
        <w:ind w:left="573" w:right="0"/>
        <w:jc w:val="left"/>
      </w:pPr>
      <w:r>
        <w:rPr>
          <w:spacing w:val="-12"/>
        </w:rPr>
        <w:t>报告期内，公司严格按照《公司法》、《证券法》、《上市公司治理准则》、《创业板股票上市规则》、</w:t>
      </w:r>
    </w:p>
    <w:p>
      <w:pPr>
        <w:spacing w:line="240" w:lineRule="auto" w:before="10"/>
        <w:rPr>
          <w:rFonts w:ascii="宋体" w:hAnsi="宋体" w:cs="宋体" w:eastAsia="宋体" w:hint="default"/>
          <w:sz w:val="14"/>
          <w:szCs w:val="14"/>
        </w:rPr>
      </w:pPr>
    </w:p>
    <w:p>
      <w:pPr>
        <w:pStyle w:val="BodyText"/>
        <w:spacing w:line="408" w:lineRule="auto" w:before="0"/>
        <w:ind w:right="206"/>
        <w:jc w:val="both"/>
      </w:pPr>
      <w:r>
        <w:rPr>
          <w:spacing w:val="-2"/>
        </w:rPr>
        <w:t>《创业板上市公司规范运作指引》等相关法律法规、规范性文件的要求，不断提高公司规范运作水平，完</w:t>
      </w:r>
      <w:r>
        <w:rPr>
          <w:spacing w:val="-44"/>
        </w:rPr>
        <w:t> </w:t>
      </w:r>
      <w:r>
        <w:rPr>
          <w:spacing w:val="-44"/>
        </w:rPr>
      </w:r>
      <w:r>
        <w:rPr>
          <w:spacing w:val="-7"/>
        </w:rPr>
        <w:t>善公司法人治理结构，建立健全公司内部管理和控制制度，加强信息披露，积极开展投资者关系管理工作，</w:t>
      </w:r>
      <w:r>
        <w:rPr>
          <w:spacing w:val="-19"/>
        </w:rPr>
        <w:t> </w:t>
      </w:r>
      <w:r>
        <w:rPr>
          <w:spacing w:val="-19"/>
        </w:rPr>
      </w:r>
      <w:r>
        <w:rPr>
          <w:spacing w:val="-2"/>
        </w:rPr>
        <w:t>提升公司治理水平。公司按要求设立了股东大会、董事会、监事会和董事会下设的专门委员会。公司股东</w:t>
      </w:r>
      <w:r>
        <w:rPr>
          <w:spacing w:val="-50"/>
        </w:rPr>
        <w:t> </w:t>
      </w:r>
      <w:r>
        <w:rPr>
          <w:spacing w:val="-50"/>
        </w:rPr>
      </w:r>
      <w:r>
        <w:rPr>
          <w:spacing w:val="-2"/>
        </w:rPr>
        <w:t>大会、董事会、监事会和经营层责权分明，根据董事会、监事会议事规则及董事会专门委员会实施细则明</w:t>
      </w:r>
      <w:r>
        <w:rPr>
          <w:spacing w:val="-47"/>
        </w:rPr>
        <w:t> </w:t>
      </w:r>
      <w:r>
        <w:rPr>
          <w:spacing w:val="-47"/>
        </w:rPr>
      </w:r>
      <w:r>
        <w:rPr>
          <w:spacing w:val="-2"/>
        </w:rPr>
        <w:t>确了各级机构在决策、监督、执行等方面的职责权限、程序以及应履行的义务。同时，以规范岗位说明书</w:t>
      </w:r>
      <w:r>
        <w:rPr>
          <w:spacing w:val="-43"/>
        </w:rPr>
        <w:t> </w:t>
      </w:r>
      <w:r>
        <w:rPr>
          <w:spacing w:val="-43"/>
        </w:rPr>
      </w:r>
      <w:r>
        <w:rPr>
          <w:spacing w:val="-2"/>
        </w:rPr>
        <w:t>形式明确各部门、岗位的职责、权限和目标，建立完善严密的制衡和监督机制，确保公司各层级均在授权</w:t>
      </w:r>
      <w:r>
        <w:rPr>
          <w:spacing w:val="-47"/>
        </w:rPr>
        <w:t> </w:t>
      </w:r>
      <w:r>
        <w:rPr>
          <w:spacing w:val="-47"/>
        </w:rPr>
      </w:r>
      <w:r>
        <w:rPr/>
        <w:t>范围内履行职责，形成了科学有效、权责明确、相互制衡、相互协调的治理结构。</w:t>
      </w:r>
    </w:p>
    <w:p>
      <w:pPr>
        <w:spacing w:line="376" w:lineRule="auto" w:before="20"/>
        <w:ind w:left="575" w:right="0" w:firstLine="43"/>
        <w:jc w:val="left"/>
        <w:rPr>
          <w:rFonts w:ascii="宋体" w:hAnsi="宋体" w:cs="宋体" w:eastAsia="宋体"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、关于股东与股东大会</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公司严格按照《公司法》、《上市公司股东大会规则》以及《公司章程》、《股东大会议事规则》和</w:t>
      </w:r>
    </w:p>
    <w:p>
      <w:pPr>
        <w:pStyle w:val="BodyText"/>
        <w:spacing w:line="408" w:lineRule="auto" w:before="73"/>
        <w:ind w:right="206"/>
        <w:jc w:val="both"/>
      </w:pPr>
      <w:r>
        <w:rPr>
          <w:spacing w:val="-2"/>
        </w:rPr>
        <w:t>深圳证券交易所创业板的相关规定和要求，规范股东大会的召集、召开和表决程序。报告期内，公司召开</w:t>
      </w:r>
      <w:r>
        <w:rPr>
          <w:spacing w:val="-47"/>
        </w:rPr>
        <w:t> </w:t>
      </w:r>
      <w:r>
        <w:rPr>
          <w:spacing w:val="-47"/>
        </w:rPr>
      </w:r>
      <w:r>
        <w:rPr>
          <w:spacing w:val="-2"/>
        </w:rPr>
        <w:t>的股东大会均由公司董事会召集召开，董事长主持，邀请见证律师进行现场见证并出具了法律意见书。股</w:t>
      </w:r>
      <w:r>
        <w:rPr>
          <w:spacing w:val="-43"/>
        </w:rPr>
        <w:t> </w:t>
      </w:r>
      <w:r>
        <w:rPr>
          <w:spacing w:val="-43"/>
        </w:rPr>
      </w:r>
      <w:r>
        <w:rPr>
          <w:spacing w:val="-2"/>
        </w:rPr>
        <w:t>东大会召开日同时进行股东大会网络投票。在股东大会上能够保证各位股东有充分的发言权，确保全体股</w:t>
      </w:r>
      <w:r>
        <w:rPr>
          <w:spacing w:val="-44"/>
        </w:rPr>
        <w:t> </w:t>
      </w:r>
      <w:r>
        <w:rPr>
          <w:spacing w:val="-44"/>
        </w:rPr>
      </w:r>
      <w:r>
        <w:rPr/>
        <w:t>东特别是中小股东享有平等地位，充分行使自己的权力。</w:t>
      </w:r>
    </w:p>
    <w:p>
      <w:pPr>
        <w:pStyle w:val="BodyText"/>
        <w:spacing w:line="408" w:lineRule="auto" w:before="87"/>
        <w:ind w:right="210" w:firstLine="480"/>
        <w:jc w:val="both"/>
      </w:pPr>
      <w:r>
        <w:rPr>
          <w:spacing w:val="-4"/>
        </w:rPr>
        <w:t>报告期内，本公司召开的股东大会不存在违反《上市公司股东大会规则》的情形，公司未发生单独或</w:t>
      </w:r>
      <w:r>
        <w:rPr>
          <w:w w:val="100"/>
        </w:rPr>
        <w:t> </w:t>
      </w:r>
      <w:r>
        <w:rPr/>
        <w:t>合并持有本公司有表决权股份总数</w:t>
      </w:r>
      <w:r>
        <w:rPr>
          <w:rFonts w:ascii="宋体" w:hAnsi="宋体" w:cs="宋体" w:eastAsia="宋体" w:hint="default"/>
        </w:rPr>
        <w:t>10%</w:t>
      </w:r>
      <w:r>
        <w:rPr/>
        <w:t>以上的股东请求召开临时股东大会的情形，也无应监事会提议召开</w:t>
      </w:r>
      <w:r>
        <w:rPr>
          <w:spacing w:val="-27"/>
        </w:rPr>
        <w:t> </w:t>
      </w:r>
      <w:r>
        <w:rPr>
          <w:spacing w:val="-27"/>
        </w:rPr>
      </w:r>
      <w:r>
        <w:rPr>
          <w:spacing w:val="-2"/>
        </w:rPr>
        <w:t>的股东大会。按照《公司法》、《公司章程》的规定应由股东大会审议的重大事项，本公司均通过股东大</w:t>
      </w:r>
      <w:r>
        <w:rPr>
          <w:spacing w:val="-46"/>
        </w:rPr>
        <w:t> </w:t>
      </w:r>
      <w:r>
        <w:rPr>
          <w:spacing w:val="-46"/>
        </w:rPr>
      </w:r>
      <w:r>
        <w:rPr/>
        <w:t>会审议，不存在绕过股东大会的情况，也不存在先实施后审议的情况。</w:t>
      </w:r>
    </w:p>
    <w:p>
      <w:pPr>
        <w:spacing w:line="376" w:lineRule="auto" w:before="20"/>
        <w:ind w:left="575" w:right="0" w:firstLine="43"/>
        <w:jc w:val="left"/>
        <w:rPr>
          <w:rFonts w:ascii="宋体" w:hAnsi="宋体" w:cs="宋体" w:eastAsia="宋体"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、关于公司与控股股东</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公司控股股东黄元忠先生担任公司董事长，其严格按照《上市公司治理准则》、《深圳证券交易所创</w:t>
      </w:r>
    </w:p>
    <w:p>
      <w:pPr>
        <w:pStyle w:val="BodyText"/>
        <w:spacing w:line="408" w:lineRule="auto" w:before="73"/>
        <w:ind w:right="0"/>
        <w:jc w:val="left"/>
      </w:pPr>
      <w:r>
        <w:rPr/>
        <w:t>业板股票上市规则》、《深圳证券交易所创业板上市公司规范运作指引》、《公司章程》等规定和要求，</w:t>
      </w:r>
      <w:r>
        <w:rPr>
          <w:spacing w:val="-24"/>
        </w:rPr>
        <w:t> </w:t>
      </w:r>
      <w:r>
        <w:rPr>
          <w:spacing w:val="-24"/>
        </w:rPr>
      </w:r>
      <w:r>
        <w:rPr>
          <w:spacing w:val="-2"/>
        </w:rPr>
        <w:t>在担任公司董事长期间，严格规范自己的行为，不存在超越公司股东大会直接或间接干预公司的决策和经</w:t>
      </w:r>
      <w:r>
        <w:rPr>
          <w:spacing w:val="-43"/>
        </w:rPr>
        <w:t> </w:t>
      </w:r>
      <w:r>
        <w:rPr>
          <w:spacing w:val="-43"/>
        </w:rPr>
      </w:r>
      <w:r>
        <w:rPr>
          <w:spacing w:val="-2"/>
        </w:rPr>
        <w:t>营活动的行为，未损害公司及其他股东的利益，不存在控股股东占用公司资金的现象，公司亦无为控股股</w:t>
      </w:r>
      <w:r>
        <w:rPr>
          <w:spacing w:val="-45"/>
        </w:rPr>
        <w:t> </w:t>
      </w:r>
      <w:r>
        <w:rPr>
          <w:spacing w:val="-45"/>
        </w:rPr>
      </w:r>
      <w:r>
        <w:rPr>
          <w:spacing w:val="-2"/>
        </w:rPr>
        <w:t>东提供担保的情形。公司拥有独立完整的业务和自主经营能力，在业务、资产、人员、机构、财务上独立</w:t>
      </w:r>
      <w:r>
        <w:rPr>
          <w:spacing w:val="-42"/>
        </w:rPr>
        <w:t> </w:t>
      </w:r>
      <w:r>
        <w:rPr>
          <w:spacing w:val="-42"/>
        </w:rPr>
      </w:r>
      <w:r>
        <w:rPr/>
        <w:t>于控股股东，公司董事会、监事会和内部机构独立运作。</w:t>
      </w:r>
    </w:p>
    <w:p>
      <w:pPr>
        <w:spacing w:after="0" w:line="408" w:lineRule="auto"/>
        <w:jc w:val="left"/>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Heading5"/>
        <w:spacing w:line="335" w:lineRule="exact"/>
        <w:ind w:left="513" w:right="6954"/>
        <w:jc w:val="left"/>
        <w:rPr>
          <w:b w:val="0"/>
          <w:bCs w:val="0"/>
        </w:rPr>
      </w:pPr>
      <w:r>
        <w:rPr>
          <w:rFonts w:ascii="Arial" w:hAnsi="Arial" w:cs="Arial" w:eastAsia="Arial" w:hint="default"/>
        </w:rPr>
        <w:t>3</w:t>
      </w:r>
      <w:r>
        <w:rPr/>
        <w:t>、关于董事与董事会</w:t>
      </w:r>
      <w:r>
        <w:rPr>
          <w:b w:val="0"/>
          <w:bCs w:val="0"/>
        </w:rPr>
      </w:r>
    </w:p>
    <w:p>
      <w:pPr>
        <w:spacing w:line="240" w:lineRule="auto" w:before="1"/>
        <w:rPr>
          <w:rFonts w:ascii="Microsoft JhengHei" w:hAnsi="Microsoft JhengHei" w:cs="Microsoft JhengHei" w:eastAsia="Microsoft JhengHei" w:hint="default"/>
          <w:b/>
          <w:bCs/>
          <w:sz w:val="12"/>
          <w:szCs w:val="12"/>
        </w:rPr>
      </w:pPr>
    </w:p>
    <w:p>
      <w:pPr>
        <w:pStyle w:val="BodyText"/>
        <w:spacing w:line="408" w:lineRule="auto" w:before="0"/>
        <w:ind w:right="207" w:firstLine="360"/>
        <w:jc w:val="both"/>
      </w:pPr>
      <w:r>
        <w:rPr>
          <w:spacing w:val="-1"/>
        </w:rPr>
        <w:t>公司董事会设董事</w:t>
      </w:r>
      <w:r>
        <w:rPr>
          <w:rFonts w:ascii="宋体" w:hAnsi="宋体" w:cs="宋体" w:eastAsia="宋体" w:hint="default"/>
          <w:spacing w:val="-1"/>
        </w:rPr>
        <w:t>7</w:t>
      </w:r>
      <w:r>
        <w:rPr>
          <w:spacing w:val="-1"/>
        </w:rPr>
        <w:t>名，其中独立董事</w:t>
      </w:r>
      <w:r>
        <w:rPr>
          <w:rFonts w:ascii="宋体" w:hAnsi="宋体" w:cs="宋体" w:eastAsia="宋体" w:hint="default"/>
          <w:spacing w:val="-1"/>
        </w:rPr>
        <w:t>3</w:t>
      </w:r>
      <w:r>
        <w:rPr>
          <w:spacing w:val="-1"/>
        </w:rPr>
        <w:t>名，董事会的人数及人员构成符合法律、法规和《公司章程》</w:t>
      </w:r>
      <w:r>
        <w:rPr>
          <w:w w:val="100"/>
        </w:rPr>
        <w:t> </w:t>
      </w:r>
      <w:r>
        <w:rPr>
          <w:spacing w:val="-2"/>
        </w:rPr>
        <w:t>的要求。各位董事能够依据《董事会议事规则》、《独立董事工作制度》、《深圳证券交易所创业板上市</w:t>
      </w:r>
      <w:r>
        <w:rPr>
          <w:spacing w:val="-49"/>
        </w:rPr>
        <w:t> </w:t>
      </w:r>
      <w:r>
        <w:rPr>
          <w:spacing w:val="-49"/>
        </w:rPr>
      </w:r>
      <w:r>
        <w:rPr>
          <w:spacing w:val="-2"/>
        </w:rPr>
        <w:t>公司规范运作指引》等开展工作，出席董事会、董事会专门委员会和股东大会，勤勉尽责地履行职责和义</w:t>
      </w:r>
      <w:r>
        <w:rPr>
          <w:spacing w:val="-47"/>
        </w:rPr>
        <w:t> </w:t>
      </w:r>
      <w:r>
        <w:rPr>
          <w:spacing w:val="-47"/>
        </w:rPr>
      </w:r>
      <w:r>
        <w:rPr/>
        <w:t>务，同时积极参加相关培训，熟悉相关法律法规。</w:t>
      </w:r>
    </w:p>
    <w:p>
      <w:pPr>
        <w:pStyle w:val="BodyText"/>
        <w:spacing w:line="408" w:lineRule="auto" w:before="84"/>
        <w:ind w:right="206" w:firstLine="360"/>
        <w:jc w:val="both"/>
      </w:pPr>
      <w:r>
        <w:rPr>
          <w:spacing w:val="-1"/>
        </w:rPr>
        <w:t>公司按照《深圳证券交易所创业板上市公司规范运作指引》的要求，下设有审计委员会、薪酬与考核</w:t>
      </w:r>
      <w:r>
        <w:rPr>
          <w:w w:val="100"/>
        </w:rPr>
        <w:t> </w:t>
      </w:r>
      <w:r>
        <w:rPr>
          <w:spacing w:val="-2"/>
        </w:rPr>
        <w:t>委员会和提名委员会三个专门委员会。专门委员会成员全部由董事组成，且独立董事人数占其他专门委员</w:t>
      </w:r>
      <w:r>
        <w:rPr>
          <w:spacing w:val="-44"/>
        </w:rPr>
        <w:t> </w:t>
      </w:r>
      <w:r>
        <w:rPr>
          <w:spacing w:val="-44"/>
        </w:rPr>
      </w:r>
      <w:r>
        <w:rPr>
          <w:spacing w:val="-2"/>
        </w:rPr>
        <w:t>会委员的比例均达到三分之二，为董事会的决策提供了科学和专业的意见和参考。各委员会依据《公司章</w:t>
      </w:r>
      <w:r>
        <w:rPr>
          <w:spacing w:val="-44"/>
        </w:rPr>
        <w:t> </w:t>
      </w:r>
      <w:r>
        <w:rPr>
          <w:spacing w:val="-44"/>
        </w:rPr>
      </w:r>
      <w:r>
        <w:rPr/>
        <w:t>程》和各委员会议事规则的规定履行职权，不受公司任何其他部门和个人的干预。</w:t>
      </w:r>
    </w:p>
    <w:p>
      <w:pPr>
        <w:pStyle w:val="BodyText"/>
        <w:spacing w:line="408" w:lineRule="auto" w:before="87"/>
        <w:ind w:right="207" w:firstLine="360"/>
        <w:jc w:val="both"/>
      </w:pPr>
      <w:r>
        <w:rPr>
          <w:spacing w:val="-1"/>
        </w:rPr>
        <w:t>报告期内，公司董事参加了相关培训，通过进一步学习、熟悉有关法律法规，切实提高了履行董事职</w:t>
      </w:r>
      <w:r>
        <w:rPr>
          <w:w w:val="100"/>
        </w:rPr>
        <w:t> </w:t>
      </w:r>
      <w:r>
        <w:rPr/>
        <w:t>责的能力。</w:t>
      </w:r>
    </w:p>
    <w:p>
      <w:pPr>
        <w:pStyle w:val="BodyText"/>
        <w:spacing w:line="376" w:lineRule="auto" w:before="20"/>
        <w:ind w:left="573" w:right="0" w:firstLine="45"/>
        <w:jc w:val="left"/>
      </w:pPr>
      <w:r>
        <w:rPr>
          <w:rFonts w:ascii="Arial" w:hAnsi="Arial" w:cs="Arial" w:eastAsia="Arial" w:hint="default"/>
          <w:b/>
          <w:bCs/>
        </w:rPr>
        <w:t>4</w:t>
      </w:r>
      <w:r>
        <w:rPr>
          <w:rFonts w:ascii="Microsoft JhengHei" w:hAnsi="Microsoft JhengHei" w:cs="Microsoft JhengHei" w:eastAsia="Microsoft JhengHei" w:hint="default"/>
          <w:b/>
          <w:bCs/>
        </w:rPr>
        <w:t>、关于监事与监事会</w:t>
      </w:r>
      <w:r>
        <w:rPr>
          <w:rFonts w:ascii="Microsoft JhengHei" w:hAnsi="Microsoft JhengHei" w:cs="Microsoft JhengHei" w:eastAsia="Microsoft JhengHei" w:hint="default"/>
          <w:b/>
          <w:bCs/>
          <w:w w:val="100"/>
        </w:rPr>
        <w:t> </w:t>
      </w:r>
      <w:r>
        <w:rPr>
          <w:spacing w:val="-2"/>
        </w:rPr>
        <w:t>公司监事会设监事</w:t>
      </w:r>
      <w:r>
        <w:rPr>
          <w:rFonts w:ascii="宋体" w:hAnsi="宋体" w:cs="宋体" w:eastAsia="宋体" w:hint="default"/>
          <w:spacing w:val="-2"/>
        </w:rPr>
        <w:t>3</w:t>
      </w:r>
      <w:r>
        <w:rPr>
          <w:spacing w:val="-2"/>
        </w:rPr>
        <w:t>名，其中职工监事</w:t>
      </w:r>
      <w:r>
        <w:rPr>
          <w:rFonts w:ascii="宋体" w:hAnsi="宋体" w:cs="宋体" w:eastAsia="宋体" w:hint="default"/>
          <w:spacing w:val="-2"/>
        </w:rPr>
        <w:t>1</w:t>
      </w:r>
      <w:r>
        <w:rPr>
          <w:spacing w:val="-2"/>
        </w:rPr>
        <w:t>名，监事会的人数和构成符合法律、法规的要求。各位监事能</w:t>
      </w:r>
    </w:p>
    <w:p>
      <w:pPr>
        <w:pStyle w:val="BodyText"/>
        <w:spacing w:line="408" w:lineRule="auto" w:before="73"/>
        <w:ind w:right="0"/>
        <w:jc w:val="left"/>
      </w:pPr>
      <w:r>
        <w:rPr>
          <w:spacing w:val="-2"/>
        </w:rPr>
        <w:t>够按照《公司章程》、《监事会议事规则》等规定的要求，认真履行自己的职责，对公司重大事项、财务</w:t>
      </w:r>
      <w:r>
        <w:rPr>
          <w:spacing w:val="-49"/>
        </w:rPr>
        <w:t> </w:t>
      </w:r>
      <w:r>
        <w:rPr>
          <w:spacing w:val="-49"/>
        </w:rPr>
      </w:r>
      <w:r>
        <w:rPr/>
        <w:t>状况以及董事、高管人员履行职责的合法合规性进行监督。报告期内，原职工监事周洁女士因个人原因，</w:t>
      </w:r>
      <w:r>
        <w:rPr>
          <w:spacing w:val="-22"/>
        </w:rPr>
        <w:t> </w:t>
      </w:r>
      <w:r>
        <w:rPr>
          <w:spacing w:val="-22"/>
        </w:rPr>
      </w:r>
      <w:r>
        <w:rPr>
          <w:spacing w:val="-2"/>
        </w:rPr>
        <w:t>申请辞去公司职工监事的职务，周洁女士辞职后将不在公司担任职务。为保证公司监事会的正常运作，根</w:t>
      </w:r>
      <w:r>
        <w:rPr>
          <w:spacing w:val="-43"/>
        </w:rPr>
        <w:t> </w:t>
      </w:r>
      <w:r>
        <w:rPr>
          <w:spacing w:val="-43"/>
        </w:rPr>
      </w:r>
      <w:r>
        <w:rPr>
          <w:spacing w:val="-2"/>
        </w:rPr>
        <w:t>据《公司法》、《公司章程》等相关规定，公司职工代表大会对职工监事进行了补选，公司于</w:t>
      </w:r>
      <w:r>
        <w:rPr>
          <w:rFonts w:ascii="宋体" w:hAnsi="宋体" w:cs="宋体" w:eastAsia="宋体" w:hint="default"/>
          <w:spacing w:val="-2"/>
        </w:rPr>
        <w:t>2017</w:t>
      </w:r>
      <w:r>
        <w:rPr>
          <w:spacing w:val="-2"/>
        </w:rPr>
        <w:t>年</w:t>
      </w:r>
      <w:r>
        <w:rPr>
          <w:rFonts w:ascii="宋体" w:hAnsi="宋体" w:cs="宋体" w:eastAsia="宋体" w:hint="default"/>
          <w:spacing w:val="-2"/>
        </w:rPr>
        <w:t>09</w:t>
      </w:r>
      <w:r>
        <w:rPr>
          <w:spacing w:val="-2"/>
        </w:rPr>
        <w:t>月</w:t>
      </w:r>
      <w:r>
        <w:rPr>
          <w:spacing w:val="-42"/>
        </w:rPr>
        <w:t> </w:t>
      </w:r>
      <w:r>
        <w:rPr>
          <w:rFonts w:ascii="宋体" w:hAnsi="宋体" w:cs="宋体" w:eastAsia="宋体" w:hint="default"/>
          <w:spacing w:val="-4"/>
        </w:rPr>
        <w:t>08</w:t>
      </w:r>
      <w:r>
        <w:rPr>
          <w:spacing w:val="-4"/>
        </w:rPr>
        <w:t>日召开职工代表大会，经与会职工代表审议，会议表决同意选举林勇先生为公司第三届监事会职工监事，</w:t>
      </w:r>
      <w:r>
        <w:rPr>
          <w:spacing w:val="-47"/>
        </w:rPr>
        <w:t> </w:t>
      </w:r>
      <w:r>
        <w:rPr>
          <w:spacing w:val="-47"/>
        </w:rPr>
      </w:r>
      <w:r>
        <w:rPr>
          <w:spacing w:val="-2"/>
        </w:rPr>
        <w:t>任期自本次职工代表大会决议通过之日起至第三届监事会届满之日止。报告期内，公司监事参加了相关培</w:t>
      </w:r>
      <w:r>
        <w:rPr>
          <w:spacing w:val="-42"/>
        </w:rPr>
        <w:t> </w:t>
      </w:r>
      <w:r>
        <w:rPr>
          <w:spacing w:val="-42"/>
        </w:rPr>
      </w:r>
      <w:r>
        <w:rPr/>
        <w:t>训，通过进一步学习、熟悉有关法律法规，切实提高了履行监事职责的能力。</w:t>
      </w:r>
    </w:p>
    <w:p>
      <w:pPr>
        <w:spacing w:line="376" w:lineRule="auto" w:before="20"/>
        <w:ind w:left="633" w:right="0" w:hanging="60"/>
        <w:jc w:val="left"/>
        <w:rPr>
          <w:rFonts w:ascii="宋体" w:hAnsi="宋体" w:cs="宋体" w:eastAsia="宋体"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、关于绩效评价与激励约束机制</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公司逐步完善公正、透明的高级管理人员的绩效考核标准和激励约束机制，高级管理人员的薪酬直</w:t>
      </w:r>
    </w:p>
    <w:p>
      <w:pPr>
        <w:pStyle w:val="BodyText"/>
        <w:spacing w:line="408" w:lineRule="auto" w:before="74"/>
        <w:ind w:right="393"/>
        <w:jc w:val="both"/>
      </w:pPr>
      <w:r>
        <w:rPr>
          <w:spacing w:val="-2"/>
        </w:rPr>
        <w:t>接与其业绩挂钩；高级管理人员的聘任公开、透明，符合法律、法规的规定。同时，为鼓励高级管理人</w:t>
      </w:r>
      <w:r>
        <w:rPr>
          <w:spacing w:val="-21"/>
        </w:rPr>
        <w:t> </w:t>
      </w:r>
      <w:r>
        <w:rPr>
          <w:spacing w:val="-21"/>
        </w:rPr>
      </w:r>
      <w:r>
        <w:rPr>
          <w:spacing w:val="-2"/>
        </w:rPr>
        <w:t>员工作方向与公司战略要求同步，公司还针对不同岗位制定了不同的绩效考核指标。公司严格按规定对</w:t>
      </w:r>
      <w:r>
        <w:rPr>
          <w:spacing w:val="-21"/>
        </w:rPr>
        <w:t> </w:t>
      </w:r>
      <w:r>
        <w:rPr>
          <w:spacing w:val="-21"/>
        </w:rPr>
      </w:r>
      <w:r>
        <w:rPr>
          <w:spacing w:val="-2"/>
        </w:rPr>
        <w:t>高级管理人员进行绩效评价与考核，在强化对高级管理人员的考评激励作用的同时，保证了公司近远期</w:t>
      </w:r>
      <w:r>
        <w:rPr>
          <w:spacing w:val="-21"/>
        </w:rPr>
        <w:t> </w:t>
      </w:r>
      <w:r>
        <w:rPr>
          <w:spacing w:val="-21"/>
        </w:rPr>
      </w:r>
      <w:r>
        <w:rPr/>
        <w:t>目标的达成。</w:t>
      </w:r>
    </w:p>
    <w:p>
      <w:pPr>
        <w:spacing w:line="376" w:lineRule="auto" w:before="17"/>
        <w:ind w:left="604" w:right="0" w:hanging="32"/>
        <w:jc w:val="left"/>
        <w:rPr>
          <w:rFonts w:ascii="宋体" w:hAnsi="宋体" w:cs="宋体" w:eastAsia="宋体"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、关于信息披露与透明度</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公司高度重视信息披露与投资者关系管理工作，严格按照《上市公司信息披露管理办法》、深圳证</w:t>
      </w:r>
    </w:p>
    <w:p>
      <w:pPr>
        <w:pStyle w:val="BodyText"/>
        <w:spacing w:line="240" w:lineRule="auto" w:before="73"/>
        <w:ind w:right="0"/>
        <w:jc w:val="left"/>
      </w:pPr>
      <w:r>
        <w:rPr/>
        <w:t>券交易所创业板上市公司的信息披露格式指引等规定以及公司制定的《信息披露制度》、《投资者关系</w:t>
      </w:r>
    </w:p>
    <w:p>
      <w:pPr>
        <w:spacing w:after="0" w:line="240" w:lineRule="auto"/>
        <w:jc w:val="left"/>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right="0"/>
        <w:jc w:val="left"/>
      </w:pPr>
      <w:r>
        <w:rPr>
          <w:spacing w:val="-2"/>
        </w:rPr>
        <w:t>管理制度》、《投资者接待和推广制度》、《重大信息内部报告制度》等操作文件的要求，真实、准</w:t>
      </w:r>
      <w:r>
        <w:rPr>
          <w:spacing w:val="-21"/>
        </w:rPr>
        <w:t> </w:t>
      </w:r>
      <w:r>
        <w:rPr>
          <w:spacing w:val="-21"/>
        </w:rPr>
      </w:r>
      <w:r>
        <w:rPr/>
        <w:t>确、完整、及时地披露信息。</w:t>
      </w:r>
    </w:p>
    <w:p>
      <w:pPr>
        <w:pStyle w:val="BodyText"/>
        <w:spacing w:line="408" w:lineRule="auto"/>
        <w:ind w:right="0" w:firstLine="420"/>
        <w:jc w:val="left"/>
      </w:pPr>
      <w:r>
        <w:rPr>
          <w:spacing w:val="-2"/>
        </w:rPr>
        <w:t>为深入贯彻落实习近平总书记系列重要讲话精神进一步将“蓝天行动”专项工作常态化、制度化、</w:t>
      </w:r>
      <w:r>
        <w:rPr>
          <w:w w:val="100"/>
        </w:rPr>
        <w:t> </w:t>
      </w:r>
      <w:r>
        <w:rPr>
          <w:spacing w:val="-2"/>
        </w:rPr>
        <w:t>长期化，积极响应贵局持续深入开展的投资者保护“蓝天行动2017”专项工作的号召，更好地为中小投</w:t>
      </w:r>
      <w:r>
        <w:rPr>
          <w:spacing w:val="-18"/>
        </w:rPr>
        <w:t> </w:t>
      </w:r>
      <w:r>
        <w:rPr>
          <w:spacing w:val="-18"/>
        </w:rPr>
      </w:r>
      <w:r>
        <w:rPr>
          <w:spacing w:val="-2"/>
        </w:rPr>
        <w:t>资者服务，保护中小投资者权益，公司结合公司实际情况制定了《深圳市方直科技股份有限公司“蓝天</w:t>
      </w:r>
      <w:r>
        <w:rPr>
          <w:spacing w:val="-23"/>
        </w:rPr>
        <w:t> </w:t>
      </w:r>
      <w:r>
        <w:rPr>
          <w:spacing w:val="-23"/>
        </w:rPr>
      </w:r>
      <w:r>
        <w:rPr>
          <w:spacing w:val="-2"/>
        </w:rPr>
        <w:t>行动2017”专项工作方案》（以下简称“方案”），在现有工作的基础上，针对存在的问题开展了一系</w:t>
      </w:r>
      <w:r>
        <w:rPr>
          <w:spacing w:val="-17"/>
        </w:rPr>
        <w:t> </w:t>
      </w:r>
      <w:r>
        <w:rPr>
          <w:spacing w:val="-17"/>
        </w:rPr>
      </w:r>
      <w:r>
        <w:rPr/>
        <w:t>列以充分保护中小投资者合法权益、使投资者有实实在在的获得感为目标，以提高信息披露质量为重</w:t>
      </w:r>
      <w:r>
        <w:rPr>
          <w:w w:val="100"/>
        </w:rPr>
        <w:t> </w:t>
      </w:r>
      <w:r>
        <w:rPr>
          <w:spacing w:val="-2"/>
        </w:rPr>
        <w:t>点，多渠道多形式的投资者保护活动，不断加强投资者服务投资者保护工作。公司“蓝天行动2017”专</w:t>
      </w:r>
      <w:r>
        <w:rPr>
          <w:spacing w:val="-18"/>
        </w:rPr>
        <w:t> </w:t>
      </w:r>
      <w:r>
        <w:rPr>
          <w:spacing w:val="-18"/>
        </w:rPr>
      </w:r>
      <w:r>
        <w:rPr>
          <w:spacing w:val="-2"/>
        </w:rPr>
        <w:t>项工作负责人为董事会秘书李枫女士，全面统筹蓝天行动工作，证券部为工作执行监督机构，负责督导</w:t>
      </w:r>
      <w:r>
        <w:rPr>
          <w:spacing w:val="-21"/>
        </w:rPr>
        <w:t> </w:t>
      </w:r>
      <w:r>
        <w:rPr>
          <w:spacing w:val="-21"/>
        </w:rPr>
      </w:r>
      <w:r>
        <w:rPr/>
        <w:t>工作执行及协调各项工作，工作小组成员在日常工作中恪守尽职，积极践行“投资者权益得到充分保</w:t>
      </w:r>
      <w:r>
        <w:rPr>
          <w:w w:val="100"/>
        </w:rPr>
        <w:t> </w:t>
      </w:r>
      <w:r>
        <w:rPr/>
        <w:t>护”的重要讲话精神。</w:t>
      </w:r>
    </w:p>
    <w:p>
      <w:pPr>
        <w:pStyle w:val="BodyText"/>
        <w:spacing w:line="408" w:lineRule="auto"/>
        <w:ind w:right="335" w:firstLine="420"/>
        <w:jc w:val="both"/>
      </w:pPr>
      <w:r>
        <w:rPr>
          <w:spacing w:val="-2"/>
        </w:rPr>
        <w:t>同时，明确董事长为公司信息披露第一责任人，董事会秘书为信息披露负责人，证券部负责信息披</w:t>
      </w:r>
      <w:r>
        <w:rPr>
          <w:spacing w:val="-3"/>
          <w:w w:val="100"/>
        </w:rPr>
        <w:t> </w:t>
      </w:r>
      <w:r>
        <w:rPr>
          <w:spacing w:val="-2"/>
        </w:rPr>
        <w:t>露日常事务。公司指定《证券时报》信息披露报纸，巨潮资讯网（</w:t>
      </w:r>
      <w:hyperlink r:id="rId13">
        <w:r>
          <w:rPr>
            <w:rFonts w:ascii="宋体" w:hAnsi="宋体" w:cs="宋体" w:eastAsia="宋体" w:hint="default"/>
            <w:spacing w:val="-2"/>
          </w:rPr>
          <w:t>http://www.cninfo.com.cn</w:t>
        </w:r>
      </w:hyperlink>
      <w:r>
        <w:rPr>
          <w:spacing w:val="-2"/>
        </w:rPr>
        <w:t>）为信息</w:t>
      </w:r>
      <w:r>
        <w:rPr/>
        <w:t> </w:t>
      </w:r>
      <w:r>
        <w:rPr/>
        <w:t>披露网站。</w:t>
      </w:r>
    </w:p>
    <w:p>
      <w:pPr>
        <w:pStyle w:val="BodyText"/>
        <w:spacing w:line="408" w:lineRule="auto"/>
        <w:ind w:right="0" w:firstLine="345"/>
        <w:jc w:val="left"/>
      </w:pPr>
      <w:r>
        <w:rPr>
          <w:spacing w:val="-2"/>
        </w:rPr>
        <w:t>公司上市以来，不断尝试更加有效、充分地开展投资者关系管理工作，指定专人负责与投资者进行沟</w:t>
      </w:r>
      <w:r>
        <w:rPr>
          <w:w w:val="100"/>
        </w:rPr>
        <w:t> </w:t>
      </w:r>
      <w:r>
        <w:rPr/>
        <w:t>通和交流，设立了电话专线、专用邮箱等多种渠道，采取积极回复投资者咨询、接受投资者来访与调研</w:t>
      </w:r>
      <w:r>
        <w:rPr>
          <w:w w:val="100"/>
        </w:rPr>
        <w:t> </w:t>
      </w:r>
      <w:r>
        <w:rPr/>
        <w:t>等多种形式。作为公众公司，在资本市场需要与投资者建立良性互动的关系，公司仍需要进一步加强投</w:t>
      </w:r>
      <w:r>
        <w:rPr>
          <w:w w:val="100"/>
        </w:rPr>
        <w:t> </w:t>
      </w:r>
      <w:r>
        <w:rPr/>
        <w:t>资者关系管理工作，以提高公司信息透明度，保障全体股东的合法权益。</w:t>
      </w:r>
    </w:p>
    <w:p>
      <w:pPr>
        <w:pStyle w:val="BodyText"/>
        <w:spacing w:line="376" w:lineRule="auto" w:before="17"/>
        <w:ind w:left="573" w:right="0"/>
        <w:jc w:val="left"/>
      </w:pPr>
      <w:r>
        <w:rPr>
          <w:rFonts w:ascii="Arial" w:hAnsi="Arial" w:cs="Arial" w:eastAsia="Arial" w:hint="default"/>
          <w:b/>
          <w:bCs/>
        </w:rPr>
        <w:t>7</w:t>
      </w:r>
      <w:r>
        <w:rPr>
          <w:rFonts w:ascii="Microsoft JhengHei" w:hAnsi="Microsoft JhengHei" w:cs="Microsoft JhengHei" w:eastAsia="Microsoft JhengHei" w:hint="default"/>
          <w:b/>
          <w:bCs/>
        </w:rPr>
        <w:t>、关于相关利益者</w:t>
      </w:r>
      <w:r>
        <w:rPr>
          <w:rFonts w:ascii="Microsoft JhengHei" w:hAnsi="Microsoft JhengHei" w:cs="Microsoft JhengHei" w:eastAsia="Microsoft JhengHei" w:hint="default"/>
          <w:b/>
          <w:bCs/>
          <w:w w:val="100"/>
        </w:rPr>
        <w:t> </w:t>
      </w:r>
      <w:r>
        <w:rPr>
          <w:spacing w:val="-2"/>
        </w:rPr>
        <w:t>公司充分尊重和维护相关利益者的合法权益，重视公司的社会责任，积极与相关利益者合作，加强</w:t>
      </w:r>
    </w:p>
    <w:p>
      <w:pPr>
        <w:pStyle w:val="BodyText"/>
        <w:spacing w:line="408" w:lineRule="auto" w:before="73"/>
        <w:ind w:right="415"/>
        <w:jc w:val="left"/>
      </w:pPr>
      <w:r>
        <w:rPr>
          <w:spacing w:val="-2"/>
        </w:rPr>
        <w:t>与各方的沟通和交流，实现股东、员工、社会等各方利益的协调平衡，共同推动公司持续、健康的发</w:t>
      </w:r>
      <w:r>
        <w:rPr>
          <w:spacing w:val="-21"/>
        </w:rPr>
        <w:t> </w:t>
      </w:r>
      <w:r>
        <w:rPr>
          <w:spacing w:val="-21"/>
        </w:rPr>
      </w:r>
      <w:r>
        <w:rPr/>
        <w:t>展。</w:t>
      </w:r>
    </w:p>
    <w:p>
      <w:pPr>
        <w:pStyle w:val="Heading5"/>
        <w:spacing w:line="345" w:lineRule="exact"/>
        <w:ind w:left="575" w:right="0"/>
        <w:jc w:val="left"/>
        <w:rPr>
          <w:b w:val="0"/>
          <w:bCs w:val="0"/>
        </w:rPr>
      </w:pPr>
      <w:r>
        <w:rPr>
          <w:rFonts w:ascii="Arial" w:hAnsi="Arial" w:cs="Arial" w:eastAsia="Arial" w:hint="default"/>
        </w:rPr>
        <w:t>8</w:t>
      </w:r>
      <w:r>
        <w:rPr/>
        <w:t>、投资者关系管理</w:t>
      </w:r>
      <w:r>
        <w:rPr>
          <w:b w:val="0"/>
          <w:bCs w:val="0"/>
        </w:rPr>
      </w:r>
    </w:p>
    <w:p>
      <w:pPr>
        <w:spacing w:line="240" w:lineRule="auto" w:before="2"/>
        <w:rPr>
          <w:rFonts w:ascii="Microsoft JhengHei" w:hAnsi="Microsoft JhengHei" w:cs="Microsoft JhengHei" w:eastAsia="Microsoft JhengHei" w:hint="default"/>
          <w:b/>
          <w:bCs/>
          <w:sz w:val="12"/>
          <w:szCs w:val="12"/>
        </w:rPr>
      </w:pPr>
    </w:p>
    <w:p>
      <w:pPr>
        <w:pStyle w:val="BodyText"/>
        <w:spacing w:line="408" w:lineRule="auto" w:before="0"/>
        <w:ind w:right="146" w:firstLine="422"/>
        <w:jc w:val="both"/>
      </w:pPr>
      <w:r>
        <w:rPr>
          <w:spacing w:val="-2"/>
        </w:rPr>
        <w:t>投资者关系工作是一项长期、持续的重要工作，公司不断学习先进投资者关系管理经验，便于以更好</w:t>
      </w:r>
      <w:r>
        <w:rPr>
          <w:w w:val="100"/>
        </w:rPr>
        <w:t> </w:t>
      </w:r>
      <w:r>
        <w:rPr>
          <w:spacing w:val="-2"/>
        </w:rPr>
        <w:t>的方式和途径使广大投资者能够平等地获取公司经营管理、未来发展等信息，构建与投资者的良好互动关</w:t>
      </w:r>
      <w:r>
        <w:rPr>
          <w:spacing w:val="-44"/>
        </w:rPr>
        <w:t> </w:t>
      </w:r>
      <w:r>
        <w:rPr>
          <w:spacing w:val="-44"/>
        </w:rPr>
      </w:r>
      <w:r>
        <w:rPr>
          <w:spacing w:val="-2"/>
        </w:rPr>
        <w:t>系，树立公司在资本市场的规范形象。报告期内，公司严格执行《投资者关系管理制度》，认真做好投资</w:t>
      </w:r>
      <w:r>
        <w:rPr>
          <w:spacing w:val="-42"/>
        </w:rPr>
        <w:t> </w:t>
      </w:r>
      <w:r>
        <w:rPr>
          <w:spacing w:val="-42"/>
        </w:rPr>
      </w:r>
      <w:r>
        <w:rPr/>
        <w:t>者关系管理工作。</w:t>
      </w:r>
    </w:p>
    <w:p>
      <w:pPr>
        <w:pStyle w:val="BodyText"/>
        <w:spacing w:line="408" w:lineRule="auto" w:before="87"/>
        <w:ind w:right="0" w:firstLine="480"/>
        <w:jc w:val="left"/>
      </w:pPr>
      <w:r>
        <w:rPr>
          <w:spacing w:val="-2"/>
        </w:rPr>
        <w:t>（</w:t>
      </w:r>
      <w:r>
        <w:rPr>
          <w:rFonts w:ascii="宋体" w:hAnsi="宋体" w:cs="宋体" w:eastAsia="宋体" w:hint="default"/>
          <w:spacing w:val="-2"/>
        </w:rPr>
        <w:t>1</w:t>
      </w:r>
      <w:r>
        <w:rPr>
          <w:spacing w:val="-2"/>
        </w:rPr>
        <w:t>）公司指定董事会秘书作为投资者关系管理的负责人，负责投资者来访接待工作，合理、妥善地</w:t>
      </w:r>
      <w:r>
        <w:rPr>
          <w:w w:val="100"/>
        </w:rPr>
        <w:t> </w:t>
      </w:r>
      <w:r>
        <w:rPr/>
        <w:t>安排个人投资者、机构投资者、行业分析师等相关人员到公司进行调研，做好调研的会议记录和相关信</w:t>
      </w:r>
    </w:p>
    <w:p>
      <w:pPr>
        <w:spacing w:after="0" w:line="408" w:lineRule="auto"/>
        <w:jc w:val="left"/>
        <w:sectPr>
          <w:pgSz w:w="11910" w:h="16840"/>
          <w:pgMar w:header="880" w:footer="979" w:top="1100" w:bottom="1160" w:left="980" w:right="980"/>
        </w:sectPr>
      </w:pPr>
    </w:p>
    <w:p>
      <w:pPr>
        <w:spacing w:line="240" w:lineRule="auto" w:before="12"/>
        <w:rPr>
          <w:rFonts w:ascii="宋体" w:hAnsi="宋体" w:cs="宋体" w:eastAsia="宋体" w:hint="default"/>
          <w:sz w:val="26"/>
          <w:szCs w:val="26"/>
        </w:rPr>
      </w:pPr>
    </w:p>
    <w:p>
      <w:pPr>
        <w:pStyle w:val="BodyText"/>
        <w:spacing w:line="240" w:lineRule="auto" w:before="36"/>
        <w:ind w:right="0"/>
        <w:jc w:val="both"/>
      </w:pPr>
      <w:r>
        <w:rPr/>
        <w:t>息的保密工作，并对调研会议记录上传深交所报备，公司进行存档保管。</w:t>
      </w:r>
    </w:p>
    <w:p>
      <w:pPr>
        <w:spacing w:line="240" w:lineRule="auto" w:before="10"/>
        <w:rPr>
          <w:rFonts w:ascii="宋体" w:hAnsi="宋体" w:cs="宋体" w:eastAsia="宋体" w:hint="default"/>
          <w:sz w:val="14"/>
          <w:szCs w:val="14"/>
        </w:rPr>
      </w:pPr>
    </w:p>
    <w:p>
      <w:pPr>
        <w:pStyle w:val="BodyText"/>
        <w:spacing w:line="408" w:lineRule="auto" w:before="0"/>
        <w:ind w:right="230" w:firstLine="480"/>
        <w:jc w:val="both"/>
      </w:pPr>
      <w:r>
        <w:rPr>
          <w:spacing w:val="-2"/>
        </w:rPr>
        <w:t>（</w:t>
      </w:r>
      <w:r>
        <w:rPr>
          <w:rFonts w:ascii="宋体" w:hAnsi="宋体" w:cs="宋体" w:eastAsia="宋体" w:hint="default"/>
          <w:spacing w:val="-2"/>
        </w:rPr>
        <w:t>2</w:t>
      </w:r>
      <w:r>
        <w:rPr>
          <w:spacing w:val="-2"/>
        </w:rPr>
        <w:t>）通过公司网站、投资者关系管理电话、电子信箱、互动平台等多种渠道与投资者加强沟通，尽</w:t>
      </w:r>
      <w:r>
        <w:rPr>
          <w:w w:val="100"/>
        </w:rPr>
        <w:t> </w:t>
      </w:r>
      <w:r>
        <w:rPr/>
        <w:t>职解答投资者的疑问。</w:t>
      </w:r>
    </w:p>
    <w:p>
      <w:pPr>
        <w:pStyle w:val="BodyText"/>
        <w:spacing w:line="444" w:lineRule="auto"/>
        <w:ind w:left="633" w:right="0"/>
        <w:jc w:val="left"/>
      </w:pPr>
      <w:r>
        <w:rPr/>
        <w:t>（</w:t>
      </w:r>
      <w:r>
        <w:rPr>
          <w:rFonts w:ascii="宋体" w:hAnsi="宋体" w:cs="宋体" w:eastAsia="宋体" w:hint="default"/>
        </w:rPr>
        <w:t>3</w:t>
      </w:r>
      <w:r>
        <w:rPr/>
        <w:t>）报告期内公司治理专项活动开展情况</w:t>
      </w:r>
      <w:r>
        <w:rPr>
          <w:w w:val="100"/>
        </w:rPr>
        <w:t> </w:t>
      </w:r>
      <w:r>
        <w:rPr>
          <w:spacing w:val="-4"/>
        </w:rPr>
        <w:t>报告期内，公司证券事务部组织全体董事、监事、高级管理人员开展了《内幕交易防控》、《董监高</w:t>
      </w:r>
    </w:p>
    <w:p>
      <w:pPr>
        <w:pStyle w:val="BodyText"/>
        <w:spacing w:line="408" w:lineRule="auto" w:before="14"/>
        <w:ind w:left="213" w:right="208"/>
        <w:jc w:val="both"/>
      </w:pPr>
      <w:r>
        <w:rPr>
          <w:spacing w:val="-4"/>
        </w:rPr>
        <w:t>股票操作法律法规》、《董监高行为规范》、《</w:t>
      </w:r>
      <w:r>
        <w:rPr>
          <w:rFonts w:ascii="宋体" w:hAnsi="宋体" w:cs="宋体" w:eastAsia="宋体" w:hint="default"/>
          <w:spacing w:val="-4"/>
        </w:rPr>
        <w:t>2017</w:t>
      </w:r>
      <w:r>
        <w:rPr>
          <w:spacing w:val="-4"/>
        </w:rPr>
        <w:t>年减持新规培训》等培训讲座，组织董监高等参加深</w:t>
      </w:r>
      <w:r>
        <w:rPr>
          <w:spacing w:val="-9"/>
        </w:rPr>
        <w:t> </w:t>
      </w:r>
      <w:r>
        <w:rPr>
          <w:spacing w:val="-9"/>
        </w:rPr>
      </w:r>
      <w:r>
        <w:rPr>
          <w:spacing w:val="-4"/>
        </w:rPr>
        <w:t>圳上市公司信息披露、基础法律法规培训及财务会计基础工作专项会议，强化法制意识，加强了公司全体</w:t>
      </w:r>
      <w:r>
        <w:rPr>
          <w:spacing w:val="-13"/>
        </w:rPr>
        <w:t> </w:t>
      </w:r>
      <w:r>
        <w:rPr>
          <w:spacing w:val="-13"/>
        </w:rPr>
      </w:r>
      <w:r>
        <w:rPr>
          <w:spacing w:val="-4"/>
        </w:rPr>
        <w:t>董监高及财务人员的内幕交易防控意识。通过培训学习，吸收消化典型案例，为公司规范运作打下良好的</w:t>
      </w:r>
      <w:r>
        <w:rPr>
          <w:spacing w:val="-16"/>
        </w:rPr>
        <w:t> </w:t>
      </w:r>
      <w:r>
        <w:rPr>
          <w:spacing w:val="-16"/>
        </w:rPr>
      </w:r>
      <w:r>
        <w:rPr/>
        <w:t>基础。</w:t>
      </w:r>
    </w:p>
    <w:p>
      <w:pPr>
        <w:pStyle w:val="BodyText"/>
        <w:spacing w:line="408" w:lineRule="auto" w:before="84"/>
        <w:ind w:left="213" w:right="206" w:firstLine="420"/>
        <w:jc w:val="both"/>
      </w:pPr>
      <w:r>
        <w:rPr>
          <w:spacing w:val="-4"/>
        </w:rPr>
        <w:t>截至本报告期末，公司依法运作，能够切实履行应尽的职责和义务，公司治理的实际状况符合中国证</w:t>
      </w:r>
      <w:r>
        <w:rPr>
          <w:w w:val="100"/>
        </w:rPr>
        <w:t> </w:t>
      </w:r>
      <w:r>
        <w:rPr>
          <w:spacing w:val="-4"/>
        </w:rPr>
        <w:t>监会《上市公司治理准则》和深圳证券交易所《创业板上市公司规范运作指引》的要求，不存在尚未解决</w:t>
      </w:r>
      <w:r>
        <w:rPr>
          <w:spacing w:val="-11"/>
        </w:rPr>
        <w:t> </w:t>
      </w:r>
      <w:r>
        <w:rPr>
          <w:spacing w:val="-11"/>
        </w:rPr>
      </w:r>
      <w:r>
        <w:rPr>
          <w:spacing w:val="-4"/>
        </w:rPr>
        <w:t>的公司治理问题。不存在因部分改制、行业特性、国家政策或收购兼并等原因导致的同业竞争和关联交易</w:t>
      </w:r>
      <w:r>
        <w:rPr>
          <w:spacing w:val="-10"/>
        </w:rPr>
        <w:t> </w:t>
      </w:r>
      <w:r>
        <w:rPr>
          <w:spacing w:val="-10"/>
        </w:rPr>
      </w:r>
      <w:r>
        <w:rPr/>
        <w:t>问题。</w:t>
      </w:r>
    </w:p>
    <w:p>
      <w:pPr>
        <w:spacing w:before="31"/>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2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10"/>
        <w:rPr>
          <w:rFonts w:ascii="宋体" w:hAnsi="宋体" w:cs="宋体" w:eastAsia="宋体" w:hint="default"/>
          <w:sz w:val="13"/>
          <w:szCs w:val="13"/>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08" w:lineRule="auto" w:before="0"/>
        <w:ind w:right="0" w:firstLine="420"/>
        <w:jc w:val="left"/>
      </w:pPr>
      <w:r>
        <w:rPr/>
        <w:t>公司自成立以来严格按照《公司法》、《证券法》等相关法律法规和《公司章程》的要求规范运作，</w:t>
      </w:r>
      <w:r>
        <w:rPr>
          <w:w w:val="100"/>
        </w:rPr>
        <w:t> </w:t>
      </w:r>
      <w:r>
        <w:rPr>
          <w:spacing w:val="-2"/>
        </w:rPr>
        <w:t>在业务、资产、人员、机构和财务等方面与公司股东相互独立，保证了公司人员独立、资产完整、财务独</w:t>
      </w:r>
      <w:r>
        <w:rPr>
          <w:spacing w:val="-41"/>
        </w:rPr>
        <w:t> </w:t>
      </w:r>
      <w:r>
        <w:rPr>
          <w:spacing w:val="-41"/>
        </w:rPr>
      </w:r>
      <w:r>
        <w:rPr/>
        <w:t>立、机构独立运作和业务独立完整，具备面向市场自主经营的能力。</w:t>
      </w:r>
    </w:p>
    <w:p>
      <w:pPr>
        <w:pStyle w:val="BodyText"/>
        <w:spacing w:line="408" w:lineRule="auto" w:before="84"/>
        <w:ind w:right="206" w:firstLine="422"/>
        <w:jc w:val="both"/>
      </w:pPr>
      <w:r>
        <w:rPr>
          <w:rFonts w:ascii="宋体" w:hAnsi="宋体" w:cs="宋体" w:eastAsia="宋体" w:hint="default"/>
          <w:spacing w:val="-2"/>
        </w:rPr>
        <w:t>1</w:t>
      </w:r>
      <w:r>
        <w:rPr>
          <w:spacing w:val="-2"/>
        </w:rPr>
        <w:t>、人员独立：公司的董事、监事均严格按照《公司法》、《公司章程》的有关规定选举，</w:t>
      </w:r>
      <w:r>
        <w:rPr>
          <w:spacing w:val="40"/>
        </w:rPr>
        <w:t> </w:t>
      </w:r>
      <w:r>
        <w:rPr>
          <w:spacing w:val="-2"/>
        </w:rPr>
        <w:t>履行了合</w:t>
      </w:r>
      <w:r>
        <w:rPr>
          <w:w w:val="100"/>
        </w:rPr>
        <w:t> </w:t>
      </w:r>
      <w:r>
        <w:rPr>
          <w:spacing w:val="-2"/>
        </w:rPr>
        <w:t>法程序；公司的人事及工资管理与股东完全分开，总经理、副总经理、董事会秘书、财务负责人等高级管</w:t>
      </w:r>
      <w:r>
        <w:rPr>
          <w:spacing w:val="-43"/>
        </w:rPr>
        <w:t> </w:t>
      </w:r>
      <w:r>
        <w:rPr>
          <w:spacing w:val="-43"/>
        </w:rPr>
      </w:r>
      <w:r>
        <w:rPr>
          <w:spacing w:val="-2"/>
        </w:rPr>
        <w:t>理人员均未在股东单位兼职或领取薪酬；公司在员工管理、社会保障、工资报酬等方面独立于股东和其他</w:t>
      </w:r>
      <w:r>
        <w:rPr>
          <w:spacing w:val="-44"/>
        </w:rPr>
        <w:t> </w:t>
      </w:r>
      <w:r>
        <w:rPr>
          <w:spacing w:val="-44"/>
        </w:rPr>
      </w:r>
      <w:r>
        <w:rPr/>
        <w:t>关联方。</w:t>
      </w:r>
    </w:p>
    <w:p>
      <w:pPr>
        <w:pStyle w:val="BodyText"/>
        <w:spacing w:line="408" w:lineRule="auto" w:before="87"/>
        <w:ind w:right="208" w:firstLine="422"/>
        <w:jc w:val="both"/>
      </w:pPr>
      <w:r>
        <w:rPr>
          <w:rFonts w:ascii="宋体" w:hAnsi="宋体" w:cs="宋体" w:eastAsia="宋体" w:hint="default"/>
          <w:spacing w:val="-5"/>
        </w:rPr>
        <w:t>2</w:t>
      </w:r>
      <w:r>
        <w:rPr>
          <w:spacing w:val="-5"/>
        </w:rPr>
        <w:t>、资产独立：公司拥有独立、完整的生产经营场所及商标，不存在资产资金被股东占用而损害公司利</w:t>
      </w:r>
      <w:r>
        <w:rPr>
          <w:w w:val="100"/>
        </w:rPr>
        <w:t> </w:t>
      </w:r>
      <w:r>
        <w:rPr/>
        <w:t>益的情况。</w:t>
      </w:r>
    </w:p>
    <w:p>
      <w:pPr>
        <w:pStyle w:val="BodyText"/>
        <w:spacing w:line="408" w:lineRule="auto" w:before="87"/>
        <w:ind w:right="208" w:firstLine="422"/>
        <w:jc w:val="both"/>
      </w:pPr>
      <w:r>
        <w:rPr>
          <w:rFonts w:ascii="宋体" w:hAnsi="宋体" w:cs="宋体" w:eastAsia="宋体" w:hint="default"/>
          <w:spacing w:val="-9"/>
          <w:w w:val="100"/>
        </w:rPr>
        <w:t>3</w:t>
      </w:r>
      <w:r>
        <w:rPr>
          <w:spacing w:val="-9"/>
          <w:w w:val="100"/>
        </w:rPr>
        <w:t>、财务独立：公司设有独立的财务会计部门，配备了专门的财务人员，建立了符合有关会计制度要求、</w:t>
      </w:r>
      <w:r>
        <w:rPr>
          <w:w w:val="100"/>
        </w:rPr>
        <w:t> </w:t>
      </w:r>
      <w:r>
        <w:rPr/>
        <w:t>独立的会计核算体系和财务管理制度。</w:t>
      </w:r>
    </w:p>
    <w:p>
      <w:pPr>
        <w:pStyle w:val="BodyText"/>
        <w:spacing w:line="240" w:lineRule="auto" w:before="84"/>
        <w:ind w:left="575" w:right="0"/>
        <w:jc w:val="left"/>
      </w:pPr>
      <w:r>
        <w:rPr>
          <w:rFonts w:ascii="宋体" w:hAnsi="宋体" w:cs="宋体" w:eastAsia="宋体" w:hint="default"/>
          <w:spacing w:val="-5"/>
        </w:rPr>
        <w:t>4</w:t>
      </w:r>
      <w:r>
        <w:rPr>
          <w:spacing w:val="-5"/>
        </w:rPr>
        <w:t>、机构独立：公司健全了股东大会、董事会、监事会等法人治理机构，各组织机构依法行使各自的职</w:t>
      </w:r>
    </w:p>
    <w:p>
      <w:pPr>
        <w:spacing w:after="0" w:line="240" w:lineRule="auto"/>
        <w:jc w:val="left"/>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right="0"/>
        <w:jc w:val="left"/>
      </w:pPr>
      <w:r>
        <w:rPr>
          <w:spacing w:val="-2"/>
        </w:rPr>
        <w:t>权；公司建立了独立的、适应自身发展需要的组织机构，制订了完善的岗位职责和管理制度，各部门按照</w:t>
      </w:r>
      <w:r>
        <w:rPr>
          <w:spacing w:val="-47"/>
        </w:rPr>
        <w:t> </w:t>
      </w:r>
      <w:r>
        <w:rPr>
          <w:spacing w:val="-47"/>
        </w:rPr>
      </w:r>
      <w:r>
        <w:rPr/>
        <w:t>规定的职责独立运作。</w:t>
      </w:r>
    </w:p>
    <w:p>
      <w:pPr>
        <w:pStyle w:val="BodyText"/>
        <w:spacing w:line="408" w:lineRule="auto" w:before="87"/>
        <w:ind w:right="148" w:firstLine="422"/>
        <w:jc w:val="both"/>
      </w:pPr>
      <w:r>
        <w:rPr>
          <w:rFonts w:ascii="宋体" w:hAnsi="宋体" w:cs="宋体" w:eastAsia="宋体" w:hint="default"/>
          <w:spacing w:val="-2"/>
        </w:rPr>
        <w:t>5</w:t>
      </w:r>
      <w:r>
        <w:rPr>
          <w:spacing w:val="-2"/>
        </w:rPr>
        <w:t>、业务独立：公司已经建立了符合现代企业制度要求的法人治理结构和内部组织结构，</w:t>
      </w:r>
      <w:r>
        <w:rPr>
          <w:spacing w:val="41"/>
        </w:rPr>
        <w:t> </w:t>
      </w:r>
      <w:r>
        <w:rPr>
          <w:spacing w:val="-2"/>
        </w:rPr>
        <w:t>在经营管理</w:t>
      </w:r>
      <w:r>
        <w:rPr>
          <w:w w:val="100"/>
        </w:rPr>
        <w:t> </w:t>
      </w:r>
      <w:r>
        <w:rPr>
          <w:spacing w:val="-2"/>
        </w:rPr>
        <w:t>上独立运作。公司独立对外签订合同，开展业务，形成了独立完整的业务体系，具备面向市场自主经营的</w:t>
      </w:r>
      <w:r>
        <w:rPr>
          <w:spacing w:val="-47"/>
        </w:rPr>
        <w:t> </w:t>
      </w:r>
      <w:r>
        <w:rPr>
          <w:spacing w:val="-47"/>
        </w:rPr>
      </w:r>
      <w:r>
        <w:rPr/>
        <w:t>能力。</w:t>
      </w:r>
    </w:p>
    <w:p>
      <w:pPr>
        <w:pStyle w:val="Heading3"/>
        <w:spacing w:line="240" w:lineRule="auto" w:before="165"/>
        <w:ind w:right="0"/>
        <w:jc w:val="left"/>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2377"/>
        <w:gridCol w:w="1277"/>
        <w:gridCol w:w="1131"/>
        <w:gridCol w:w="1594"/>
        <w:gridCol w:w="1594"/>
        <w:gridCol w:w="1596"/>
      </w:tblGrid>
      <w:tr>
        <w:trPr>
          <w:trHeight w:val="715"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1" w:right="108"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年年度股东大会决 议</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2017-030</w:t>
            </w:r>
          </w:p>
        </w:tc>
      </w:tr>
      <w:tr>
        <w:trPr>
          <w:trHeight w:val="102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年年度股东大会决 议</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2017-044</w:t>
            </w:r>
          </w:p>
        </w:tc>
      </w:tr>
      <w:tr>
        <w:trPr>
          <w:trHeight w:val="102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年年度股东大会决 议</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2017-056</w:t>
            </w:r>
          </w:p>
        </w:tc>
      </w:tr>
      <w:tr>
        <w:trPr>
          <w:trHeight w:val="102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年年度股东大会决 议</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2017-064</w:t>
            </w:r>
          </w:p>
        </w:tc>
      </w:tr>
      <w:tr>
        <w:trPr>
          <w:trHeight w:val="102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年年度股东大会决 议</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2017-088</w:t>
            </w:r>
          </w:p>
        </w:tc>
      </w:tr>
    </w:tbl>
    <w:p>
      <w:pPr>
        <w:spacing w:line="240" w:lineRule="auto" w:before="10"/>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五、报告期内独立董事履行职责的情况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1426"/>
        <w:gridCol w:w="1165"/>
        <w:gridCol w:w="1164"/>
        <w:gridCol w:w="1164"/>
        <w:gridCol w:w="1164"/>
        <w:gridCol w:w="1162"/>
        <w:gridCol w:w="1164"/>
        <w:gridCol w:w="1162"/>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5"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96" w:right="34"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许鲁光</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line="360" w:lineRule="auto" w:before="49"/>
        <w:ind w:left="153" w:right="713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3"/>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3" w:right="6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4"/>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3" w:right="5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393" w:firstLine="420"/>
        <w:jc w:val="both"/>
      </w:pPr>
      <w:r>
        <w:rPr>
          <w:spacing w:val="-2"/>
        </w:rPr>
        <w:t>报告期内，公司独立董事积极出席相关会议，认真审阅各项议案，客观地发表自己的看法和观点，</w:t>
      </w:r>
      <w:r>
        <w:rPr>
          <w:w w:val="100"/>
        </w:rPr>
        <w:t> </w:t>
      </w:r>
      <w:r>
        <w:rPr>
          <w:spacing w:val="-2"/>
        </w:rPr>
        <w:t>了解公司运营、经营状况、内部控制建设以及董事会决议和股东会决议的执行情况，并利用自己的专业</w:t>
      </w:r>
      <w:r>
        <w:rPr>
          <w:spacing w:val="-21"/>
        </w:rPr>
        <w:t> </w:t>
      </w:r>
      <w:r>
        <w:rPr>
          <w:spacing w:val="-21"/>
        </w:rPr>
      </w:r>
      <w:r>
        <w:rPr>
          <w:spacing w:val="-2"/>
        </w:rPr>
        <w:t>知识对公司的内部管理积极提出建议，包括：加强公司内部管理制度、加强业务流程管理、加强现金流</w:t>
      </w:r>
      <w:r>
        <w:rPr>
          <w:spacing w:val="-21"/>
        </w:rPr>
        <w:t> </w:t>
      </w:r>
      <w:r>
        <w:rPr>
          <w:spacing w:val="-21"/>
        </w:rPr>
      </w:r>
      <w:r>
        <w:rPr>
          <w:spacing w:val="-2"/>
        </w:rPr>
        <w:t>量和应收款项管理、对外投资、关联交易、募集资金的使用管理等等，公司认真采纳独立董事的建议，</w:t>
      </w:r>
      <w:r>
        <w:rPr>
          <w:spacing w:val="-21"/>
        </w:rPr>
        <w:t> </w:t>
      </w:r>
      <w:r>
        <w:rPr>
          <w:spacing w:val="-21"/>
        </w:rPr>
      </w:r>
      <w:r>
        <w:rPr/>
        <w:t>不断完善和提高公司的管理水平。</w:t>
      </w:r>
    </w:p>
    <w:p>
      <w:pPr>
        <w:pStyle w:val="Heading3"/>
        <w:spacing w:line="240" w:lineRule="auto" w:before="168"/>
        <w:ind w:right="0"/>
        <w:jc w:val="left"/>
        <w:rPr>
          <w:b w:val="0"/>
          <w:bCs w:val="0"/>
        </w:rPr>
      </w:pPr>
      <w:r>
        <w:rPr/>
        <w:t>六、董事会下设专门委员会在报告期内履行职责情况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44" w:lineRule="auto" w:before="0"/>
        <w:ind w:left="575" w:right="0" w:hanging="3"/>
        <w:jc w:val="left"/>
      </w:pPr>
      <w:r>
        <w:rPr>
          <w:rFonts w:ascii="宋体" w:hAnsi="宋体" w:cs="宋体" w:eastAsia="宋体" w:hint="default"/>
        </w:rPr>
        <w:t>1</w:t>
      </w:r>
      <w:r>
        <w:rPr/>
        <w:t>、审计委员会的履职情况</w:t>
      </w:r>
      <w:r>
        <w:rPr>
          <w:w w:val="100"/>
        </w:rPr>
        <w:t> </w:t>
      </w:r>
      <w:r>
        <w:rPr>
          <w:spacing w:val="-3"/>
        </w:rPr>
        <w:t>根据公司《董事会审计委员会工作细则》，审计委员会充分发挥了审核与监督作用，主要负责公司财</w:t>
      </w:r>
    </w:p>
    <w:p>
      <w:pPr>
        <w:pStyle w:val="BodyText"/>
        <w:spacing w:line="408" w:lineRule="auto" w:before="14"/>
        <w:ind w:right="0"/>
        <w:jc w:val="left"/>
      </w:pPr>
      <w:r>
        <w:rPr/>
        <w:t>务监督和核查工作及与外部审计机构的沟通、协调工作。审计委员会对公司</w:t>
      </w:r>
      <w:r>
        <w:rPr>
          <w:rFonts w:ascii="宋体" w:hAnsi="宋体" w:cs="宋体" w:eastAsia="宋体" w:hint="default"/>
        </w:rPr>
        <w:t>2017</w:t>
      </w:r>
      <w:r>
        <w:rPr/>
        <w:t>年内控情况进行了核查，</w:t>
      </w:r>
      <w:r>
        <w:rPr>
          <w:spacing w:val="-24"/>
        </w:rPr>
        <w:t> </w:t>
      </w:r>
      <w:r>
        <w:rPr>
          <w:spacing w:val="-24"/>
        </w:rPr>
      </w:r>
      <w:r>
        <w:rPr>
          <w:spacing w:val="-2"/>
        </w:rPr>
        <w:t>认为公司已经建立的内控制度体系符合相关法规的规定，并能有效控制相关风险。</w:t>
      </w:r>
      <w:r>
        <w:rPr>
          <w:rFonts w:ascii="宋体" w:hAnsi="宋体" w:cs="宋体" w:eastAsia="宋体" w:hint="default"/>
          <w:spacing w:val="-2"/>
        </w:rPr>
        <w:t>2017</w:t>
      </w:r>
      <w:r>
        <w:rPr>
          <w:spacing w:val="-2"/>
        </w:rPr>
        <w:t>年，审计委员会重</w:t>
      </w:r>
    </w:p>
    <w:p>
      <w:pPr>
        <w:spacing w:after="0" w:line="408" w:lineRule="auto"/>
        <w:jc w:val="left"/>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right="146"/>
        <w:jc w:val="both"/>
      </w:pPr>
      <w:r>
        <w:rPr>
          <w:spacing w:val="-2"/>
        </w:rPr>
        <w:t>点对公司定期财务报告、生产经营控制、募集资金使用情况、控股股东及关联方资金占用、聘任</w:t>
      </w:r>
      <w:r>
        <w:rPr>
          <w:rFonts w:ascii="宋体" w:hAnsi="宋体" w:cs="宋体" w:eastAsia="宋体" w:hint="default"/>
          <w:spacing w:val="-2"/>
        </w:rPr>
        <w:t>2017</w:t>
      </w:r>
      <w:r>
        <w:rPr>
          <w:spacing w:val="-2"/>
        </w:rPr>
        <w:t>年度</w:t>
      </w:r>
      <w:r>
        <w:rPr>
          <w:spacing w:val="-46"/>
        </w:rPr>
        <w:t> </w:t>
      </w:r>
      <w:r>
        <w:rPr>
          <w:spacing w:val="-2"/>
        </w:rPr>
        <w:t>会计师事务所等事项进行审议。审计委员会就会计师事务所从事公司年度审计的工作进行了总结评价，提</w:t>
      </w:r>
      <w:r>
        <w:rPr>
          <w:spacing w:val="-43"/>
        </w:rPr>
        <w:t> </w:t>
      </w:r>
      <w:r>
        <w:rPr>
          <w:spacing w:val="-43"/>
        </w:rPr>
      </w:r>
      <w:r>
        <w:rPr/>
        <w:t>出续聘会计事务所的建议。</w:t>
      </w:r>
    </w:p>
    <w:p>
      <w:pPr>
        <w:pStyle w:val="BodyText"/>
        <w:spacing w:line="441" w:lineRule="auto" w:before="87"/>
        <w:ind w:left="573" w:right="0"/>
        <w:jc w:val="left"/>
      </w:pPr>
      <w:r>
        <w:rPr>
          <w:rFonts w:ascii="宋体" w:hAnsi="宋体" w:cs="宋体" w:eastAsia="宋体" w:hint="default"/>
        </w:rPr>
        <w:t>2</w:t>
      </w:r>
      <w:r>
        <w:rPr/>
        <w:t>、薪酬与考核委员会的履职情况</w:t>
      </w:r>
      <w:r>
        <w:rPr>
          <w:w w:val="100"/>
        </w:rPr>
        <w:t> </w:t>
      </w:r>
      <w:r>
        <w:rPr>
          <w:spacing w:val="-2"/>
        </w:rPr>
        <w:t>报告期内，公司董事会薪酬与考核委员会依照相关法规以及《公司章程》、《董事会薪酬与考核委员</w:t>
      </w:r>
    </w:p>
    <w:p>
      <w:pPr>
        <w:pStyle w:val="BodyText"/>
        <w:spacing w:line="444" w:lineRule="auto" w:before="16"/>
        <w:ind w:left="573" w:right="0" w:hanging="420"/>
        <w:jc w:val="left"/>
      </w:pPr>
      <w:r>
        <w:rPr>
          <w:spacing w:val="-2"/>
        </w:rPr>
        <w:t>会工作细则》的规定勤勉履行职责，对</w:t>
      </w:r>
      <w:r>
        <w:rPr>
          <w:rFonts w:ascii="宋体" w:hAnsi="宋体" w:cs="宋体" w:eastAsia="宋体" w:hint="default"/>
          <w:spacing w:val="-2"/>
        </w:rPr>
        <w:t>2017</w:t>
      </w:r>
      <w:r>
        <w:rPr>
          <w:spacing w:val="-2"/>
        </w:rPr>
        <w:t>年度董事和高级管理人员薪酬情况等事项进行审核。</w:t>
      </w:r>
      <w:r>
        <w:rPr>
          <w:spacing w:val="-22"/>
        </w:rPr>
        <w:t> </w:t>
      </w:r>
      <w:r>
        <w:rPr>
          <w:spacing w:val="-22"/>
        </w:rPr>
      </w:r>
      <w:r>
        <w:rPr>
          <w:rFonts w:ascii="宋体" w:hAnsi="宋体" w:cs="宋体" w:eastAsia="宋体" w:hint="default"/>
        </w:rPr>
        <w:t>3</w:t>
      </w:r>
      <w:r>
        <w:rPr/>
        <w:t>、提名委员会的履职情况</w:t>
      </w:r>
    </w:p>
    <w:p>
      <w:pPr>
        <w:pStyle w:val="BodyText"/>
        <w:spacing w:line="240" w:lineRule="auto" w:before="55"/>
        <w:ind w:left="573" w:right="0"/>
        <w:jc w:val="left"/>
      </w:pPr>
      <w:r>
        <w:rPr/>
        <w:t>报告期内，董事会提名委员会未召开会议。</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7"/>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3"/>
          <w:szCs w:val="13"/>
        </w:rPr>
      </w:pPr>
    </w:p>
    <w:p>
      <w:pPr>
        <w:pStyle w:val="Heading3"/>
        <w:spacing w:line="240" w:lineRule="auto"/>
        <w:ind w:right="0"/>
        <w:jc w:val="both"/>
        <w:rPr>
          <w:b w:val="0"/>
          <w:bCs w:val="0"/>
        </w:rPr>
      </w:pPr>
      <w:r>
        <w:rPr/>
        <w:t>八、高级管理人员的考评及激励情况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08" w:lineRule="auto" w:before="0"/>
        <w:ind w:right="333" w:firstLine="420"/>
        <w:jc w:val="both"/>
      </w:pPr>
      <w:r>
        <w:rPr>
          <w:spacing w:val="-2"/>
        </w:rPr>
        <w:t>为切实达成公司的中长期战略目标，公司对高级管理建立以绩效目标考核为主的激励和约束机制，</w:t>
      </w:r>
      <w:r>
        <w:rPr>
          <w:w w:val="100"/>
        </w:rPr>
        <w:t> </w:t>
      </w:r>
      <w:r>
        <w:rPr>
          <w:spacing w:val="-2"/>
        </w:rPr>
        <w:t>制定《方直科技高级管理人员薪酬方案》，通过绩效考核的方式激励高级管理人员达成考核目标。自激</w:t>
      </w:r>
      <w:r>
        <w:rPr>
          <w:spacing w:val="-21"/>
        </w:rPr>
        <w:t> </w:t>
      </w:r>
      <w:r>
        <w:rPr>
          <w:spacing w:val="-21"/>
        </w:rPr>
      </w:r>
      <w:r>
        <w:rPr>
          <w:spacing w:val="-2"/>
        </w:rPr>
        <w:t>励机制建立以来，公司每年依据年度经营目标层层分解，对每位高级管理人员制定绩效考核指标，并进</w:t>
      </w:r>
      <w:r>
        <w:rPr>
          <w:spacing w:val="-21"/>
        </w:rPr>
        <w:t> </w:t>
      </w:r>
      <w:r>
        <w:rPr>
          <w:spacing w:val="-21"/>
        </w:rPr>
      </w:r>
      <w:r>
        <w:rPr>
          <w:spacing w:val="-2"/>
        </w:rPr>
        <w:t>行过程监督、调控，促进公司目标达成。</w:t>
      </w:r>
      <w:r>
        <w:rPr>
          <w:rFonts w:ascii="宋体" w:hAnsi="宋体" w:cs="宋体" w:eastAsia="宋体" w:hint="default"/>
          <w:spacing w:val="-2"/>
        </w:rPr>
        <w:t>2017</w:t>
      </w:r>
      <w:r>
        <w:rPr>
          <w:spacing w:val="-2"/>
        </w:rPr>
        <w:t>年度公司高级管理人员薪酬方案严格执行了公司薪酬管理</w:t>
      </w:r>
      <w:r>
        <w:rPr>
          <w:spacing w:val="-17"/>
        </w:rPr>
        <w:t> </w:t>
      </w:r>
      <w:r>
        <w:rPr>
          <w:spacing w:val="-17"/>
        </w:rPr>
      </w:r>
      <w:r>
        <w:rPr/>
        <w:t>制度。</w:t>
      </w:r>
    </w:p>
    <w:p>
      <w:pPr>
        <w:pStyle w:val="Heading3"/>
        <w:spacing w:line="240" w:lineRule="auto" w:before="167"/>
        <w:ind w:right="0"/>
        <w:jc w:val="both"/>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3195"/>
        <w:gridCol w:w="6373"/>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3195"/>
        <w:gridCol w:w="3322"/>
        <w:gridCol w:w="3051"/>
      </w:tblGrid>
      <w:tr>
        <w:trPr>
          <w:trHeight w:val="36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73"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8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重大缺陷（指一个或多个控制缺陷的组 合，可能导致企业严重偏离控制目标）重 要缺陷（指一个或多个控制缺陷的组合， 其严重程度和经济后果低于重大缺陷但仍 </w:t>
            </w:r>
            <w:r>
              <w:rPr>
                <w:rFonts w:ascii="宋体" w:hAnsi="宋体" w:cs="宋体" w:eastAsia="宋体" w:hint="default"/>
                <w:spacing w:val="-6"/>
                <w:sz w:val="18"/>
                <w:szCs w:val="18"/>
              </w:rPr>
              <w:t>有可能导致企业偏离控制目标。）</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35"/>
              <w:jc w:val="both"/>
              <w:rPr>
                <w:rFonts w:ascii="宋体" w:hAnsi="宋体" w:cs="宋体" w:eastAsia="宋体" w:hint="default"/>
                <w:sz w:val="18"/>
                <w:szCs w:val="18"/>
              </w:rPr>
            </w:pPr>
            <w:r>
              <w:rPr>
                <w:rFonts w:ascii="宋体" w:hAnsi="宋体" w:cs="宋体" w:eastAsia="宋体" w:hint="default"/>
                <w:sz w:val="18"/>
                <w:szCs w:val="18"/>
              </w:rPr>
              <w:t>重大缺陷（指一个或多个控制缺陷的 组合，可能导致企业严重偏离控制目 标）重要缺陷（指一个或多个控制缺 陷的组合，其严重程度和经济后果低 于重大缺陷，但是仍有可能导致企业 </w:t>
            </w:r>
            <w:r>
              <w:rPr>
                <w:rFonts w:ascii="宋体" w:hAnsi="宋体" w:cs="宋体" w:eastAsia="宋体" w:hint="default"/>
                <w:spacing w:val="-12"/>
                <w:sz w:val="18"/>
                <w:szCs w:val="18"/>
              </w:rPr>
              <w:t>偏离控制目标。）</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78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7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 额大于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且绝对金额大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 对金额大于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 对金额大于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47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left="3125" w:right="0"/>
        <w:jc w:val="left"/>
        <w:rPr>
          <w:b w:val="0"/>
          <w:bCs w:val="0"/>
        </w:rPr>
      </w:pPr>
      <w:bookmarkStart w:name="_bookmark8" w:id="9"/>
      <w:bookmarkEnd w:id="9"/>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spacing w:line="357" w:lineRule="auto"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footerReference w:type="default" r:id="rId43"/>
          <w:pgSz w:w="11910" w:h="16840"/>
          <w:pgMar w:footer="979" w:header="8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right="2610"/>
        <w:jc w:val="center"/>
        <w:rPr>
          <w:b w:val="0"/>
          <w:bCs w:val="0"/>
        </w:rPr>
      </w:pPr>
      <w:bookmarkStart w:name="_bookmark9" w:id="10"/>
      <w:bookmarkEnd w:id="10"/>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一、审计报告</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XYZH/2018SZA50012</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王建新、郑立有</w:t>
            </w:r>
          </w:p>
        </w:tc>
      </w:tr>
    </w:tbl>
    <w:p>
      <w:pPr>
        <w:spacing w:before="49"/>
        <w:ind w:left="2610" w:right="261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2"/>
        <w:spacing w:line="240" w:lineRule="auto" w:before="105"/>
        <w:ind w:left="2610" w:right="2610"/>
        <w:jc w:val="center"/>
        <w:rPr>
          <w:b w:val="0"/>
          <w:bCs w:val="0"/>
        </w:rPr>
      </w:pPr>
      <w:r>
        <w:rPr/>
        <w:t>审计报告</w:t>
      </w:r>
      <w:r>
        <w:rPr>
          <w:b w:val="0"/>
          <w:bCs w:val="0"/>
        </w:rPr>
      </w:r>
    </w:p>
    <w:p>
      <w:pPr>
        <w:spacing w:line="240" w:lineRule="auto" w:before="7"/>
        <w:rPr>
          <w:rFonts w:ascii="Microsoft JhengHei" w:hAnsi="Microsoft JhengHei" w:cs="Microsoft JhengHei" w:eastAsia="Microsoft JhengHei" w:hint="default"/>
          <w:b/>
          <w:bCs/>
          <w:sz w:val="23"/>
          <w:szCs w:val="23"/>
        </w:rPr>
      </w:pPr>
    </w:p>
    <w:p>
      <w:pPr>
        <w:spacing w:after="0" w:line="240" w:lineRule="auto"/>
        <w:rPr>
          <w:rFonts w:ascii="Microsoft JhengHei" w:hAnsi="Microsoft JhengHei" w:cs="Microsoft JhengHei" w:eastAsia="Microsoft JhengHei" w:hint="default"/>
          <w:sz w:val="23"/>
          <w:szCs w:val="23"/>
        </w:rPr>
        <w:sectPr>
          <w:footerReference w:type="default" r:id="rId44"/>
          <w:pgSz w:w="11910" w:h="16840"/>
          <w:pgMar w:footer="979" w:header="880" w:top="1100" w:bottom="1160" w:left="980" w:right="980"/>
          <w:pgNumType w:start="1"/>
        </w:sectPr>
      </w:pPr>
    </w:p>
    <w:p>
      <w:pPr>
        <w:spacing w:line="240" w:lineRule="auto" w:before="6"/>
        <w:rPr>
          <w:rFonts w:ascii="Microsoft JhengHei" w:hAnsi="Microsoft JhengHei" w:cs="Microsoft JhengHei" w:eastAsia="Microsoft JhengHei" w:hint="default"/>
          <w:b/>
          <w:bCs/>
          <w:sz w:val="20"/>
          <w:szCs w:val="20"/>
        </w:rPr>
      </w:pPr>
    </w:p>
    <w:p>
      <w:pPr>
        <w:pStyle w:val="Heading5"/>
        <w:spacing w:line="465" w:lineRule="auto"/>
        <w:ind w:left="575" w:right="0" w:hanging="423"/>
        <w:jc w:val="left"/>
        <w:rPr>
          <w:b w:val="0"/>
          <w:bCs w:val="0"/>
        </w:rPr>
      </w:pPr>
      <w:r>
        <w:rPr>
          <w:spacing w:val="-1"/>
        </w:rPr>
        <w:t>深圳市方直科技股份有限公司全体股东：</w:t>
      </w:r>
      <w:r>
        <w:rPr>
          <w:spacing w:val="-19"/>
        </w:rPr>
        <w:t> </w:t>
      </w:r>
      <w:r>
        <w:rPr>
          <w:spacing w:val="-19"/>
        </w:rPr>
      </w:r>
      <w:r>
        <w:rPr/>
        <w:t>一、审计意见</w:t>
      </w:r>
      <w:r>
        <w:rPr>
          <w:b w:val="0"/>
          <w:bCs w:val="0"/>
        </w:rPr>
      </w:r>
    </w:p>
    <w:p>
      <w:pPr>
        <w:pStyle w:val="Heading4"/>
        <w:spacing w:line="240" w:lineRule="auto" w:before="72"/>
        <w:ind w:right="0"/>
        <w:jc w:val="left"/>
        <w:rPr>
          <w:rFonts w:ascii="Times New Roman" w:hAnsi="Times New Roman" w:cs="Times New Roman" w:eastAsia="Times New Roman" w:hint="default"/>
        </w:rPr>
      </w:pPr>
      <w:r>
        <w:rPr/>
        <w:br w:type="column"/>
      </w:r>
      <w:r>
        <w:rPr>
          <w:rFonts w:ascii="Times New Roman"/>
        </w:rPr>
        <w:t>XYZH/2018SZA50012</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cols w:num="2" w:equalWidth="0">
            <w:col w:w="3951" w:space="3611"/>
            <w:col w:w="2388"/>
          </w:cols>
        </w:sectPr>
      </w:pPr>
    </w:p>
    <w:p>
      <w:pPr>
        <w:spacing w:line="240" w:lineRule="auto" w:before="7"/>
        <w:rPr>
          <w:rFonts w:ascii="Times New Roman" w:hAnsi="Times New Roman" w:cs="Times New Roman" w:eastAsia="Times New Roman" w:hint="default"/>
          <w:sz w:val="9"/>
          <w:szCs w:val="9"/>
        </w:rPr>
      </w:pPr>
    </w:p>
    <w:p>
      <w:pPr>
        <w:pStyle w:val="BodyText"/>
        <w:spacing w:line="408" w:lineRule="auto" w:before="36"/>
        <w:ind w:right="146" w:firstLine="420"/>
        <w:jc w:val="both"/>
      </w:pPr>
      <w:r>
        <w:rPr>
          <w:spacing w:val="-2"/>
        </w:rPr>
        <w:t>我们审计了深圳市方直科技股份有限公司（以下简称方直科技公司）财务报表，包括</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w w:val="100"/>
        </w:rPr>
        <w:t> </w:t>
      </w:r>
      <w:r>
        <w:rPr>
          <w:spacing w:val="-2"/>
        </w:rPr>
        <w:t>的合并及母公司资产负债表，</w:t>
      </w:r>
      <w:r>
        <w:rPr>
          <w:rFonts w:ascii="宋体" w:hAnsi="宋体" w:cs="宋体" w:eastAsia="宋体" w:hint="default"/>
          <w:spacing w:val="-2"/>
        </w:rPr>
        <w:t>2017</w:t>
      </w:r>
      <w:r>
        <w:rPr>
          <w:spacing w:val="-2"/>
        </w:rPr>
        <w:t>年度的合并及母公司利润表、合并及母公司现金流量表、合并及母公司</w:t>
      </w:r>
      <w:r>
        <w:rPr>
          <w:spacing w:val="-40"/>
        </w:rPr>
        <w:t> </w:t>
      </w:r>
      <w:r>
        <w:rPr>
          <w:spacing w:val="-40"/>
        </w:rPr>
      </w:r>
      <w:r>
        <w:rPr/>
        <w:t>股东权益变动表，以及相关财务报表附注。</w:t>
      </w:r>
    </w:p>
    <w:p>
      <w:pPr>
        <w:spacing w:line="240" w:lineRule="auto" w:before="11"/>
        <w:rPr>
          <w:rFonts w:ascii="宋体" w:hAnsi="宋体" w:cs="宋体" w:eastAsia="宋体" w:hint="default"/>
          <w:sz w:val="21"/>
          <w:szCs w:val="21"/>
        </w:rPr>
      </w:pPr>
    </w:p>
    <w:p>
      <w:pPr>
        <w:pStyle w:val="BodyText"/>
        <w:spacing w:line="408" w:lineRule="auto" w:before="0"/>
        <w:ind w:right="146" w:firstLine="420"/>
        <w:jc w:val="both"/>
      </w:pPr>
      <w:r>
        <w:rPr>
          <w:spacing w:val="-2"/>
        </w:rPr>
        <w:t>我们认为，后附的财务报表在所有重大方面按照企业会计准则的规定编制，公允反映了方直科技公司</w:t>
      </w:r>
      <w:r>
        <w:rPr>
          <w:w w:val="100"/>
        </w:rPr>
        <w:t>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2017</w:t>
      </w:r>
      <w:r>
        <w:rPr/>
        <w:t>年度的合并及母公司经营成果和现金流量。</w:t>
      </w:r>
    </w:p>
    <w:p>
      <w:pPr>
        <w:spacing w:line="240" w:lineRule="auto" w:before="10"/>
        <w:rPr>
          <w:rFonts w:ascii="宋体" w:hAnsi="宋体" w:cs="宋体" w:eastAsia="宋体" w:hint="default"/>
          <w:sz w:val="16"/>
          <w:szCs w:val="16"/>
        </w:rPr>
      </w:pPr>
    </w:p>
    <w:p>
      <w:pPr>
        <w:pStyle w:val="Heading5"/>
        <w:spacing w:line="240" w:lineRule="auto"/>
        <w:ind w:left="575" w:right="0"/>
        <w:jc w:val="left"/>
        <w:rPr>
          <w:b w:val="0"/>
          <w:bCs w:val="0"/>
        </w:rPr>
      </w:pPr>
      <w:r>
        <w:rPr/>
        <w:t>二、形成审计意见的基础</w:t>
      </w:r>
      <w:r>
        <w:rPr>
          <w:b w:val="0"/>
          <w:bCs w:val="0"/>
        </w:rPr>
      </w:r>
    </w:p>
    <w:p>
      <w:pPr>
        <w:spacing w:line="240" w:lineRule="auto" w:before="10"/>
        <w:rPr>
          <w:rFonts w:ascii="Microsoft JhengHei" w:hAnsi="Microsoft JhengHei" w:cs="Microsoft JhengHei" w:eastAsia="Microsoft JhengHei" w:hint="default"/>
          <w:b/>
          <w:bCs/>
          <w:sz w:val="23"/>
          <w:szCs w:val="23"/>
        </w:rPr>
      </w:pPr>
    </w:p>
    <w:p>
      <w:pPr>
        <w:pStyle w:val="BodyText"/>
        <w:spacing w:line="408" w:lineRule="auto" w:before="0"/>
        <w:ind w:right="146" w:firstLine="420"/>
        <w:jc w:val="both"/>
      </w:pPr>
      <w:r>
        <w:rPr>
          <w:spacing w:val="-2"/>
        </w:rPr>
        <w:t>我们按照中国注册会计师审计准则的规定执行了审计工作。审计报告的“注册会计师对财务报表审计</w:t>
      </w:r>
      <w:r>
        <w:rPr>
          <w:w w:val="100"/>
        </w:rPr>
        <w:t> </w:t>
      </w:r>
      <w:r>
        <w:rPr>
          <w:spacing w:val="-2"/>
        </w:rPr>
        <w:t>的责任”部分进一步阐述了我们在这些准则下的责任。按照中国注册会计师职业道德守则，我们独立于方</w:t>
      </w:r>
      <w:r>
        <w:rPr>
          <w:spacing w:val="-43"/>
        </w:rPr>
        <w:t> </w:t>
      </w:r>
      <w:r>
        <w:rPr>
          <w:spacing w:val="-43"/>
        </w:rPr>
      </w:r>
      <w:r>
        <w:rPr>
          <w:spacing w:val="-2"/>
        </w:rPr>
        <w:t>直科技公司，并履行了职业道德方面的其他责任。我们相信，我们获取的审计证据是充分、适当的，为发</w:t>
      </w:r>
      <w:r>
        <w:rPr>
          <w:spacing w:val="-43"/>
        </w:rPr>
        <w:t> </w:t>
      </w:r>
      <w:r>
        <w:rPr>
          <w:spacing w:val="-43"/>
        </w:rPr>
      </w:r>
      <w:r>
        <w:rPr/>
        <w:t>表审计意见提供了基础。</w:t>
      </w:r>
    </w:p>
    <w:p>
      <w:pPr>
        <w:spacing w:line="240" w:lineRule="auto" w:before="10"/>
        <w:rPr>
          <w:rFonts w:ascii="宋体" w:hAnsi="宋体" w:cs="宋体" w:eastAsia="宋体" w:hint="default"/>
          <w:sz w:val="16"/>
          <w:szCs w:val="16"/>
        </w:rPr>
      </w:pPr>
    </w:p>
    <w:p>
      <w:pPr>
        <w:pStyle w:val="BodyText"/>
        <w:spacing w:line="508" w:lineRule="auto" w:before="0"/>
        <w:ind w:left="592" w:right="0" w:hanging="17"/>
        <w:jc w:val="left"/>
      </w:pPr>
      <w:r>
        <w:rPr>
          <w:rFonts w:ascii="Microsoft JhengHei" w:hAnsi="Microsoft JhengHei" w:cs="Microsoft JhengHei" w:eastAsia="Microsoft JhengHei" w:hint="default"/>
          <w:b/>
          <w:bCs/>
        </w:rPr>
        <w:t>三、关键审计事项</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spacing w:val="-3"/>
        </w:rPr>
        <w:t>关键审计事项是我们根据职业判断，认为对本期财务报表审计最为重要的事项。这些事项的应对以对</w:t>
      </w:r>
    </w:p>
    <w:p>
      <w:pPr>
        <w:spacing w:after="0" w:line="508" w:lineRule="auto"/>
        <w:jc w:val="left"/>
        <w:sectPr>
          <w:type w:val="continuous"/>
          <w:pgSz w:w="11910" w:h="16840"/>
          <w:pgMar w:top="1060" w:bottom="1160" w:left="980" w:right="98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t>财务报表整体进行审计并形成审计意见为背景，我们不对这些事项单独发表意见。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0" w:right="490" w:firstLine="0"/>
        <w:jc w:val="right"/>
        <w:rPr>
          <w:rFonts w:ascii="宋体" w:hAnsi="宋体" w:cs="宋体" w:eastAsia="宋体" w:hint="default"/>
          <w:sz w:val="18"/>
          <w:szCs w:val="18"/>
        </w:rPr>
      </w:pPr>
      <w:r>
        <w:rPr/>
        <w:pict>
          <v:shape style="position:absolute;margin-left:57.264pt;margin-top:-161.358261pt;width:461.05pt;height:483.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09"/>
                    <w:gridCol w:w="5389"/>
                  </w:tblGrid>
                  <w:tr>
                    <w:trPr>
                      <w:trHeight w:val="348" w:hRule="exact"/>
                    </w:trPr>
                    <w:tc>
                      <w:tcPr>
                        <w:tcW w:w="9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Microsoft JhengHei" w:hAnsi="Microsoft JhengHei" w:cs="Microsoft JhengHei" w:eastAsia="Microsoft JhengHei" w:hint="default"/>
                            <w:sz w:val="18"/>
                            <w:szCs w:val="18"/>
                          </w:rPr>
                        </w:pPr>
                        <w:r>
                          <w:rPr>
                            <w:rFonts w:ascii="Arial" w:hAnsi="Arial" w:cs="Arial" w:eastAsia="Arial" w:hint="default"/>
                            <w:b/>
                            <w:bCs/>
                            <w:sz w:val="18"/>
                            <w:szCs w:val="18"/>
                          </w:rPr>
                          <w:t>1</w:t>
                        </w:r>
                        <w:r>
                          <w:rPr>
                            <w:rFonts w:ascii="Microsoft JhengHei" w:hAnsi="Microsoft JhengHei" w:cs="Microsoft JhengHei" w:eastAsia="Microsoft JhengHei" w:hint="default"/>
                            <w:b/>
                            <w:bCs/>
                            <w:sz w:val="18"/>
                            <w:szCs w:val="18"/>
                          </w:rPr>
                          <w:t>、收入确认事项</w:t>
                        </w:r>
                        <w:r>
                          <w:rPr>
                            <w:rFonts w:ascii="Microsoft JhengHei" w:hAnsi="Microsoft JhengHei" w:cs="Microsoft JhengHei" w:eastAsia="Microsoft JhengHei" w:hint="default"/>
                            <w:sz w:val="18"/>
                            <w:szCs w:val="18"/>
                          </w:rPr>
                        </w:r>
                      </w:p>
                    </w:tc>
                  </w:tr>
                  <w:tr>
                    <w:trPr>
                      <w:trHeight w:val="346"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关键审计事项</w:t>
                        </w:r>
                        <w:r>
                          <w:rPr>
                            <w:rFonts w:ascii="Microsoft JhengHei" w:hAnsi="Microsoft JhengHei" w:cs="Microsoft JhengHei" w:eastAsia="Microsoft JhengHei" w:hint="default"/>
                            <w:sz w:val="18"/>
                            <w:szCs w:val="18"/>
                          </w:rPr>
                        </w:r>
                      </w:p>
                    </w:tc>
                    <w:tc>
                      <w:tcPr>
                        <w:tcW w:w="538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审计中的应对</w:t>
                        </w:r>
                        <w:r>
                          <w:rPr>
                            <w:rFonts w:ascii="Microsoft JhengHei" w:hAnsi="Microsoft JhengHei" w:cs="Microsoft JhengHei" w:eastAsia="Microsoft JhengHei" w:hint="default"/>
                            <w:sz w:val="18"/>
                            <w:szCs w:val="18"/>
                          </w:rPr>
                        </w:r>
                      </w:p>
                    </w:tc>
                  </w:tr>
                  <w:tr>
                    <w:trPr>
                      <w:trHeight w:val="4695"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方直科技公司主要从事同步教育软件产品的研发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和销售。</w:t>
                        </w:r>
                        <w:r>
                          <w:rPr>
                            <w:rFonts w:ascii="宋体" w:hAnsi="宋体" w:cs="宋体" w:eastAsia="宋体" w:hint="default"/>
                            <w:sz w:val="18"/>
                            <w:szCs w:val="18"/>
                          </w:rPr>
                          <w:t>2017</w:t>
                        </w:r>
                        <w:r>
                          <w:rPr>
                            <w:rFonts w:ascii="宋体" w:hAnsi="宋体" w:cs="宋体" w:eastAsia="宋体" w:hint="default"/>
                            <w:sz w:val="18"/>
                            <w:szCs w:val="18"/>
                          </w:rPr>
                          <w:t>年度销售产品确认的营业收入为人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民币</w:t>
                        </w:r>
                        <w:r>
                          <w:rPr>
                            <w:rFonts w:ascii="宋体" w:hAnsi="宋体" w:cs="宋体" w:eastAsia="宋体" w:hint="default"/>
                            <w:sz w:val="18"/>
                            <w:szCs w:val="18"/>
                          </w:rPr>
                          <w:t>100,510,607.42</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合并财务报表口径</w:t>
                        </w:r>
                        <w:r>
                          <w:rPr>
                            <w:rFonts w:ascii="宋体" w:hAnsi="宋体" w:cs="宋体" w:eastAsia="宋体" w:hint="default"/>
                            <w:sz w:val="18"/>
                            <w:szCs w:val="18"/>
                          </w:rPr>
                          <w:t>)</w:t>
                        </w:r>
                        <w:r>
                          <w:rPr>
                            <w:rFonts w:ascii="宋体" w:hAnsi="宋体" w:cs="宋体" w:eastAsia="宋体" w:hint="default"/>
                            <w:sz w:val="18"/>
                            <w:szCs w:val="18"/>
                          </w:rPr>
                          <w:t>。鉴 于收入是方直科技公司的关键业绩指标之一，从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而存在管理层为了达到特定目标或期望而操纵收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入确认时点的固有风险，我们将方直科技公司收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入确认识别为关键审计事项。 参见财务报表附注“四、重要会计政策和会计估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计20”所述的会计政策及“七、合并财务报表主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要项目注释25”。</w:t>
                        </w:r>
                      </w:p>
                    </w:tc>
                    <w:tc>
                      <w:tcPr>
                        <w:tcW w:w="53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1"/>
                          <w:jc w:val="left"/>
                          <w:rPr>
                            <w:rFonts w:ascii="宋体" w:hAnsi="宋体" w:cs="宋体" w:eastAsia="宋体" w:hint="default"/>
                            <w:sz w:val="18"/>
                            <w:szCs w:val="18"/>
                          </w:rPr>
                        </w:pPr>
                        <w:r>
                          <w:rPr>
                            <w:rFonts w:ascii="宋体" w:hAnsi="宋体" w:cs="宋体" w:eastAsia="宋体" w:hint="default"/>
                            <w:sz w:val="18"/>
                            <w:szCs w:val="18"/>
                          </w:rPr>
                          <w:t>我们执行的主要审计程序： </w:t>
                        </w:r>
                        <w:r>
                          <w:rPr>
                            <w:rFonts w:ascii="宋体" w:hAnsi="宋体" w:cs="宋体" w:eastAsia="宋体" w:hint="default"/>
                            <w:sz w:val="18"/>
                            <w:szCs w:val="18"/>
                          </w:rPr>
                          <w:t>1</w:t>
                        </w:r>
                        <w:r>
                          <w:rPr>
                            <w:rFonts w:ascii="宋体" w:hAnsi="宋体" w:cs="宋体" w:eastAsia="宋体" w:hint="default"/>
                            <w:sz w:val="18"/>
                            <w:szCs w:val="18"/>
                          </w:rPr>
                          <w:t>）评价并测试了管理层与收入确认相关的关键内部控制的设计和运</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行有效性； </w:t>
                        </w:r>
                        <w:r>
                          <w:rPr>
                            <w:rFonts w:ascii="宋体" w:hAnsi="宋体" w:cs="宋体" w:eastAsia="宋体" w:hint="default"/>
                            <w:spacing w:val="-4"/>
                            <w:sz w:val="18"/>
                            <w:szCs w:val="18"/>
                          </w:rPr>
                          <w:t>2</w:t>
                        </w:r>
                        <w:r>
                          <w:rPr>
                            <w:rFonts w:ascii="宋体" w:hAnsi="宋体" w:cs="宋体" w:eastAsia="宋体" w:hint="default"/>
                            <w:spacing w:val="-4"/>
                            <w:sz w:val="18"/>
                            <w:szCs w:val="18"/>
                          </w:rPr>
                          <w:t>）选取样本检查业务合同，识别与商品所有权上的风险和报酬转移相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关的合同条款与条件，评价方直科技的收入确认时点是否符合企业会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计准则的要求； </w:t>
                        </w:r>
                        <w:r>
                          <w:rPr>
                            <w:rFonts w:ascii="宋体" w:hAnsi="宋体" w:cs="宋体" w:eastAsia="宋体" w:hint="default"/>
                            <w:sz w:val="18"/>
                            <w:szCs w:val="18"/>
                          </w:rPr>
                          <w:t>3</w:t>
                        </w:r>
                        <w:r>
                          <w:rPr>
                            <w:rFonts w:ascii="宋体" w:hAnsi="宋体" w:cs="宋体" w:eastAsia="宋体" w:hint="default"/>
                            <w:sz w:val="18"/>
                            <w:szCs w:val="18"/>
                          </w:rPr>
                          <w:t>）对销售收入执行月度波动分析，结合行业特征识别和调查异常波</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动； </w:t>
                        </w:r>
                        <w:r>
                          <w:rPr>
                            <w:rFonts w:ascii="宋体" w:hAnsi="宋体" w:cs="宋体" w:eastAsia="宋体" w:hint="default"/>
                            <w:sz w:val="18"/>
                            <w:szCs w:val="18"/>
                          </w:rPr>
                          <w:t>4</w:t>
                        </w:r>
                        <w:r>
                          <w:rPr>
                            <w:rFonts w:ascii="宋体" w:hAnsi="宋体" w:cs="宋体" w:eastAsia="宋体" w:hint="default"/>
                            <w:sz w:val="18"/>
                            <w:szCs w:val="18"/>
                          </w:rPr>
                          <w:t>）核对财务系统收入记录与业务系统订单信息及发货记录的一致性 识别和调查异常业务记录； </w:t>
                        </w:r>
                        <w:r>
                          <w:rPr>
                            <w:rFonts w:ascii="宋体" w:hAnsi="宋体" w:cs="宋体" w:eastAsia="宋体" w:hint="default"/>
                            <w:sz w:val="18"/>
                            <w:szCs w:val="18"/>
                          </w:rPr>
                          <w:t>5</w:t>
                        </w:r>
                        <w:r>
                          <w:rPr>
                            <w:rFonts w:ascii="宋体" w:hAnsi="宋体" w:cs="宋体" w:eastAsia="宋体" w:hint="default"/>
                            <w:sz w:val="18"/>
                            <w:szCs w:val="18"/>
                          </w:rPr>
                          <w:t>）对本年记录的收入交易选取样本，核对发票、销售合同及出库单 评价相关收入确认是否符合方直科技公司收入确认的会计政策； </w:t>
                        </w:r>
                        <w:r>
                          <w:rPr>
                            <w:rFonts w:ascii="宋体" w:hAnsi="宋体" w:cs="宋体" w:eastAsia="宋体" w:hint="default"/>
                            <w:spacing w:val="-4"/>
                            <w:sz w:val="18"/>
                            <w:szCs w:val="18"/>
                          </w:rPr>
                          <w:t>6</w:t>
                        </w:r>
                        <w:r>
                          <w:rPr>
                            <w:rFonts w:ascii="宋体" w:hAnsi="宋体" w:cs="宋体" w:eastAsia="宋体" w:hint="default"/>
                            <w:spacing w:val="-4"/>
                            <w:sz w:val="18"/>
                            <w:szCs w:val="18"/>
                          </w:rPr>
                          <w:t>）就资产负债表日前后记录的收入交易，选取样本，核对出库单及其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他支持性文件，以评价收入是否被记录于恰当的会计期间。</w:t>
                        </w:r>
                      </w:p>
                    </w:tc>
                  </w:tr>
                  <w:tr>
                    <w:trPr>
                      <w:trHeight w:val="348" w:hRule="exact"/>
                    </w:trPr>
                    <w:tc>
                      <w:tcPr>
                        <w:tcW w:w="9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Microsoft JhengHei" w:hAnsi="Microsoft JhengHei" w:cs="Microsoft JhengHei" w:eastAsia="Microsoft JhengHei" w:hint="default"/>
                            <w:sz w:val="18"/>
                            <w:szCs w:val="18"/>
                          </w:rPr>
                        </w:pPr>
                        <w:r>
                          <w:rPr>
                            <w:rFonts w:ascii="Arial" w:hAnsi="Arial" w:cs="Arial" w:eastAsia="Arial" w:hint="default"/>
                            <w:b/>
                            <w:bCs/>
                            <w:sz w:val="18"/>
                            <w:szCs w:val="18"/>
                          </w:rPr>
                          <w:t>2</w:t>
                        </w:r>
                        <w:r>
                          <w:rPr>
                            <w:rFonts w:ascii="Microsoft JhengHei" w:hAnsi="Microsoft JhengHei" w:cs="Microsoft JhengHei" w:eastAsia="Microsoft JhengHei" w:hint="default"/>
                            <w:b/>
                            <w:bCs/>
                            <w:sz w:val="18"/>
                            <w:szCs w:val="18"/>
                          </w:rPr>
                          <w:t>、应收款项的减值事项</w:t>
                        </w:r>
                        <w:r>
                          <w:rPr>
                            <w:rFonts w:ascii="Microsoft JhengHei" w:hAnsi="Microsoft JhengHei" w:cs="Microsoft JhengHei" w:eastAsia="Microsoft JhengHei" w:hint="default"/>
                            <w:sz w:val="18"/>
                            <w:szCs w:val="18"/>
                          </w:rPr>
                        </w:r>
                      </w:p>
                    </w:tc>
                  </w:tr>
                  <w:tr>
                    <w:trPr>
                      <w:trHeight w:val="346"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关键审计事项</w:t>
                        </w:r>
                        <w:r>
                          <w:rPr>
                            <w:rFonts w:ascii="Microsoft JhengHei" w:hAnsi="Microsoft JhengHei" w:cs="Microsoft JhengHei" w:eastAsia="Microsoft JhengHei" w:hint="default"/>
                            <w:sz w:val="18"/>
                            <w:szCs w:val="18"/>
                          </w:rPr>
                        </w:r>
                      </w:p>
                    </w:tc>
                    <w:tc>
                      <w:tcPr>
                        <w:tcW w:w="538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审计中的应对</w:t>
                        </w:r>
                        <w:r>
                          <w:rPr>
                            <w:rFonts w:ascii="Microsoft JhengHei" w:hAnsi="Microsoft JhengHei" w:cs="Microsoft JhengHei" w:eastAsia="Microsoft JhengHei" w:hint="default"/>
                            <w:sz w:val="18"/>
                            <w:szCs w:val="18"/>
                          </w:rPr>
                        </w:r>
                      </w:p>
                    </w:tc>
                  </w:tr>
                  <w:tr>
                    <w:trPr>
                      <w:trHeight w:val="3567"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2" w:right="1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日，方直科技合并财务报表中 应收账款、其他应收款的原值合计为 </w:t>
                        </w:r>
                        <w:r>
                          <w:rPr>
                            <w:rFonts w:ascii="宋体" w:hAnsi="宋体" w:cs="宋体" w:eastAsia="宋体" w:hint="default"/>
                            <w:sz w:val="18"/>
                            <w:szCs w:val="18"/>
                          </w:rPr>
                          <w:t>113,602,066.57</w:t>
                        </w:r>
                        <w:r>
                          <w:rPr>
                            <w:rFonts w:ascii="宋体" w:hAnsi="宋体" w:cs="宋体" w:eastAsia="宋体" w:hint="default"/>
                            <w:sz w:val="18"/>
                            <w:szCs w:val="18"/>
                          </w:rPr>
                          <w:t>元，坏账准备合计为</w:t>
                        </w:r>
                      </w:p>
                      <w:p>
                        <w:pPr>
                          <w:pStyle w:val="TableParagraph"/>
                          <w:spacing w:line="316" w:lineRule="auto" w:before="17"/>
                          <w:ind w:left="2" w:right="10"/>
                          <w:jc w:val="left"/>
                          <w:rPr>
                            <w:rFonts w:ascii="宋体" w:hAnsi="宋体" w:cs="宋体" w:eastAsia="宋体" w:hint="default"/>
                            <w:sz w:val="18"/>
                            <w:szCs w:val="18"/>
                          </w:rPr>
                        </w:pPr>
                        <w:r>
                          <w:rPr>
                            <w:rFonts w:ascii="宋体" w:hAnsi="宋体" w:cs="宋体" w:eastAsia="宋体" w:hint="default"/>
                            <w:sz w:val="18"/>
                            <w:szCs w:val="18"/>
                          </w:rPr>
                          <w:t>2,714,084.73</w:t>
                        </w:r>
                        <w:r>
                          <w:rPr>
                            <w:rFonts w:ascii="宋体" w:hAnsi="宋体" w:cs="宋体" w:eastAsia="宋体" w:hint="default"/>
                            <w:sz w:val="18"/>
                            <w:szCs w:val="18"/>
                          </w:rPr>
                          <w:t>元。由于应收款项金额重大，且管 理层在确定应收款项减值时作出了重大判断，我 们将应收款项的减值确定为关键审计事项。 参见财务报表附注“四、重要会计政策及会计估 计9”所述的会计政策、“七、合并财务报表主 要项目注释2”及“七、合并财务报表主要项目 注释4”。</w:t>
                        </w:r>
                      </w:p>
                    </w:tc>
                    <w:tc>
                      <w:tcPr>
                        <w:tcW w:w="53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4" w:right="238"/>
                          <w:jc w:val="left"/>
                          <w:rPr>
                            <w:rFonts w:ascii="宋体" w:hAnsi="宋体" w:cs="宋体" w:eastAsia="宋体" w:hint="default"/>
                            <w:sz w:val="18"/>
                            <w:szCs w:val="18"/>
                          </w:rPr>
                        </w:pPr>
                        <w:r>
                          <w:rPr>
                            <w:rFonts w:ascii="宋体" w:hAnsi="宋体" w:cs="宋体" w:eastAsia="宋体" w:hint="default"/>
                            <w:sz w:val="18"/>
                            <w:szCs w:val="18"/>
                          </w:rPr>
                          <w:t>我们执行的主要审计程序： </w:t>
                        </w:r>
                        <w:r>
                          <w:rPr>
                            <w:rFonts w:ascii="宋体" w:hAnsi="宋体" w:cs="宋体" w:eastAsia="宋体" w:hint="default"/>
                            <w:sz w:val="18"/>
                            <w:szCs w:val="18"/>
                          </w:rPr>
                          <w:t>1</w:t>
                        </w:r>
                        <w:r>
                          <w:rPr>
                            <w:rFonts w:ascii="宋体" w:hAnsi="宋体" w:cs="宋体" w:eastAsia="宋体" w:hint="default"/>
                            <w:sz w:val="18"/>
                            <w:szCs w:val="18"/>
                          </w:rPr>
                          <w:t>）评价并测试了管理层复核、评估和确定应收款项减值的内部控 制，包括有关识别减值客观证据和计算减值准备的控制。 </w:t>
                        </w:r>
                        <w:r>
                          <w:rPr>
                            <w:rFonts w:ascii="宋体" w:hAnsi="宋体" w:cs="宋体" w:eastAsia="宋体" w:hint="default"/>
                            <w:sz w:val="18"/>
                            <w:szCs w:val="18"/>
                          </w:rPr>
                          <w:t>2</w:t>
                        </w:r>
                        <w:r>
                          <w:rPr>
                            <w:rFonts w:ascii="宋体" w:hAnsi="宋体" w:cs="宋体" w:eastAsia="宋体" w:hint="default"/>
                            <w:sz w:val="18"/>
                            <w:szCs w:val="18"/>
                          </w:rPr>
                          <w:t>）对</w:t>
                        </w:r>
                        <w:r>
                          <w:rPr>
                            <w:rFonts w:ascii="宋体" w:hAnsi="宋体" w:cs="宋体" w:eastAsia="宋体" w:hint="default"/>
                            <w:sz w:val="18"/>
                            <w:szCs w:val="18"/>
                          </w:rPr>
                          <w:t>2017</w:t>
                        </w:r>
                        <w:r>
                          <w:rPr>
                            <w:rFonts w:ascii="宋体" w:hAnsi="宋体" w:cs="宋体" w:eastAsia="宋体" w:hint="default"/>
                            <w:sz w:val="18"/>
                            <w:szCs w:val="18"/>
                          </w:rPr>
                          <w:t>年的应收款项余额进行函证。</w:t>
                        </w:r>
                      </w:p>
                      <w:p>
                        <w:pPr>
                          <w:pStyle w:val="TableParagraph"/>
                          <w:spacing w:line="316" w:lineRule="auto" w:before="17"/>
                          <w:ind w:left="4" w:right="5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）选取金额重大或高风险的应收款项，独立测试其可收回性。在评 估应收款项的可回收性时，对金额重大的债务人进行走访，检查相 关的支持性证据，包括期后收款、客户的信用历史、经营情况和还 款能力。 </w:t>
                        </w:r>
                        <w:r>
                          <w:rPr>
                            <w:rFonts w:ascii="宋体" w:hAnsi="宋体" w:cs="宋体" w:eastAsia="宋体" w:hint="default"/>
                            <w:sz w:val="18"/>
                            <w:szCs w:val="18"/>
                          </w:rPr>
                          <w:t>4</w:t>
                        </w:r>
                        <w:r>
                          <w:rPr>
                            <w:rFonts w:ascii="宋体" w:hAnsi="宋体" w:cs="宋体" w:eastAsia="宋体" w:hint="default"/>
                            <w:sz w:val="18"/>
                            <w:szCs w:val="18"/>
                          </w:rPr>
                          <w:t>）针对应收款项账龄报告中的应收款项的分类，通过抽样的方式对 部分项目与销售发票、客户合同及其他相关支持性文件比对。</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49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5"/>
        <w:spacing w:line="335" w:lineRule="exact"/>
        <w:ind w:left="575" w:right="0"/>
        <w:jc w:val="left"/>
        <w:rPr>
          <w:b w:val="0"/>
          <w:bCs w:val="0"/>
        </w:rPr>
      </w:pPr>
      <w:r>
        <w:rPr/>
        <w:t>四、其他信息</w:t>
      </w:r>
      <w:r>
        <w:rPr>
          <w:b w:val="0"/>
          <w:bCs w:val="0"/>
        </w:rPr>
      </w:r>
    </w:p>
    <w:p>
      <w:pPr>
        <w:spacing w:line="240" w:lineRule="auto" w:before="10"/>
        <w:rPr>
          <w:rFonts w:ascii="Microsoft JhengHei" w:hAnsi="Microsoft JhengHei" w:cs="Microsoft JhengHei" w:eastAsia="Microsoft JhengHei" w:hint="default"/>
          <w:b/>
          <w:bCs/>
          <w:sz w:val="14"/>
          <w:szCs w:val="14"/>
        </w:rPr>
      </w:pPr>
    </w:p>
    <w:p>
      <w:pPr>
        <w:pStyle w:val="BodyText"/>
        <w:spacing w:line="273" w:lineRule="auto" w:before="0"/>
        <w:ind w:right="0" w:firstLine="420"/>
        <w:jc w:val="left"/>
      </w:pPr>
      <w:r>
        <w:rPr>
          <w:spacing w:val="-2"/>
        </w:rPr>
        <w:t>方直科技公司管理层</w:t>
      </w:r>
      <w:r>
        <w:rPr>
          <w:rFonts w:ascii="宋体" w:hAnsi="宋体" w:cs="宋体" w:eastAsia="宋体" w:hint="default"/>
          <w:spacing w:val="-2"/>
        </w:rPr>
        <w:t>(</w:t>
      </w:r>
      <w:r>
        <w:rPr>
          <w:spacing w:val="-2"/>
        </w:rPr>
        <w:t>以下简称管理层</w:t>
      </w:r>
      <w:r>
        <w:rPr>
          <w:rFonts w:ascii="宋体" w:hAnsi="宋体" w:cs="宋体" w:eastAsia="宋体" w:hint="default"/>
          <w:spacing w:val="-2"/>
        </w:rPr>
        <w:t>)</w:t>
      </w:r>
      <w:r>
        <w:rPr>
          <w:spacing w:val="-2"/>
        </w:rPr>
        <w:t>对其他信息负责。其他信息包括方直科技公司</w:t>
      </w:r>
      <w:r>
        <w:rPr>
          <w:rFonts w:ascii="宋体" w:hAnsi="宋体" w:cs="宋体" w:eastAsia="宋体" w:hint="default"/>
          <w:spacing w:val="-2"/>
        </w:rPr>
        <w:t>2017</w:t>
      </w:r>
      <w:r>
        <w:rPr>
          <w:spacing w:val="-2"/>
        </w:rPr>
        <w:t>年年度报</w:t>
      </w:r>
      <w:r>
        <w:rPr>
          <w:w w:val="100"/>
        </w:rPr>
        <w:t> </w:t>
      </w:r>
      <w:r>
        <w:rPr/>
        <w:t>告中涵盖的信息，但不包括财务报表和我们的审计报告。</w:t>
      </w:r>
    </w:p>
    <w:p>
      <w:pPr>
        <w:pStyle w:val="BodyText"/>
        <w:spacing w:line="552" w:lineRule="exact" w:before="51"/>
        <w:ind w:left="573" w:right="0"/>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31" w:lineRule="exact" w:before="0"/>
        <w:ind w:right="0"/>
        <w:jc w:val="left"/>
      </w:pPr>
      <w:r>
        <w:rPr/>
        <w:t>表或我们在审计过程中了解到的情况存在重大不一致或者似乎存在重大错报。</w:t>
      </w:r>
    </w:p>
    <w:p>
      <w:pPr>
        <w:spacing w:line="240" w:lineRule="auto" w:before="2"/>
        <w:rPr>
          <w:rFonts w:ascii="宋体" w:hAnsi="宋体" w:cs="宋体" w:eastAsia="宋体" w:hint="default"/>
          <w:sz w:val="21"/>
          <w:szCs w:val="21"/>
        </w:rPr>
      </w:pPr>
    </w:p>
    <w:p>
      <w:pPr>
        <w:pStyle w:val="BodyText"/>
        <w:spacing w:line="240" w:lineRule="auto" w:before="0"/>
        <w:ind w:left="573" w:right="0"/>
        <w:jc w:val="left"/>
      </w:pPr>
      <w:r>
        <w:rPr/>
        <w:t>基于我们已执行的工作，如果我们确定其他信息存在重大错报，我们应当报告该事实。在这方面，我</w:t>
      </w:r>
    </w:p>
    <w:p>
      <w:pPr>
        <w:spacing w:after="0" w:line="24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spacing w:line="424" w:lineRule="auto" w:before="36"/>
        <w:ind w:left="575" w:right="5493" w:hanging="423"/>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Microsoft JhengHei" w:hAnsi="Microsoft JhengHei" w:cs="Microsoft JhengHei" w:eastAsia="Microsoft JhengHei" w:hint="default"/>
          <w:b/>
          <w:bCs/>
          <w:spacing w:val="-1"/>
          <w:sz w:val="21"/>
          <w:szCs w:val="21"/>
        </w:rPr>
        <w:t>五、管理层和治理层对财务报表的责任</w:t>
      </w:r>
      <w:r>
        <w:rPr>
          <w:rFonts w:ascii="Microsoft JhengHei" w:hAnsi="Microsoft JhengHei" w:cs="Microsoft JhengHei" w:eastAsia="Microsoft JhengHei" w:hint="default"/>
          <w:spacing w:val="-1"/>
          <w:sz w:val="21"/>
          <w:szCs w:val="21"/>
        </w:rPr>
      </w:r>
    </w:p>
    <w:p>
      <w:pPr>
        <w:pStyle w:val="BodyText"/>
        <w:spacing w:line="273" w:lineRule="auto" w:before="38"/>
        <w:ind w:right="146" w:firstLine="420"/>
        <w:jc w:val="both"/>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spacing w:line="240" w:lineRule="auto" w:before="12"/>
        <w:rPr>
          <w:rFonts w:ascii="宋体" w:hAnsi="宋体" w:cs="宋体" w:eastAsia="宋体" w:hint="default"/>
          <w:sz w:val="18"/>
          <w:szCs w:val="18"/>
        </w:rPr>
      </w:pPr>
    </w:p>
    <w:p>
      <w:pPr>
        <w:pStyle w:val="BodyText"/>
        <w:spacing w:line="273" w:lineRule="auto" w:before="0"/>
        <w:ind w:right="146" w:firstLine="420"/>
        <w:jc w:val="both"/>
      </w:pPr>
      <w:r>
        <w:rPr>
          <w:spacing w:val="-2"/>
        </w:rPr>
        <w:t>在编制财务报表时，管理层负责评估方直科技公司的持续经营能力，披露与持续经营相关的事项（如</w:t>
      </w:r>
      <w:r>
        <w:rPr>
          <w:w w:val="100"/>
        </w:rPr>
        <w:t> </w:t>
      </w:r>
      <w:r>
        <w:rPr/>
        <w:t>适用），并运用持续经营假设，除非管理层计划清算方直科技公司、终止运营或别无其他现实的选择。</w:t>
      </w:r>
    </w:p>
    <w:p>
      <w:pPr>
        <w:spacing w:line="240" w:lineRule="auto" w:before="12"/>
        <w:rPr>
          <w:rFonts w:ascii="宋体" w:hAnsi="宋体" w:cs="宋体" w:eastAsia="宋体" w:hint="default"/>
          <w:sz w:val="18"/>
          <w:szCs w:val="18"/>
        </w:rPr>
      </w:pPr>
    </w:p>
    <w:p>
      <w:pPr>
        <w:spacing w:line="424" w:lineRule="auto" w:before="0"/>
        <w:ind w:left="575" w:right="1673" w:hanging="3"/>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治理层负责监督方直科技公司的财务报告过程。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Microsoft JhengHei" w:hAnsi="Microsoft JhengHei" w:cs="Microsoft JhengHei" w:eastAsia="Microsoft JhengHei" w:hint="default"/>
          <w:b/>
          <w:bCs/>
          <w:sz w:val="21"/>
          <w:szCs w:val="21"/>
        </w:rPr>
        <w:t>六、注册会计师对财务报表审计的责任</w:t>
      </w:r>
      <w:r>
        <w:rPr>
          <w:rFonts w:ascii="Microsoft JhengHei" w:hAnsi="Microsoft JhengHei" w:cs="Microsoft JhengHei" w:eastAsia="Microsoft JhengHei" w:hint="default"/>
          <w:sz w:val="21"/>
          <w:szCs w:val="21"/>
        </w:rPr>
      </w:r>
    </w:p>
    <w:p>
      <w:pPr>
        <w:pStyle w:val="BodyText"/>
        <w:spacing w:line="273" w:lineRule="auto" w:before="39"/>
        <w:ind w:right="146" w:firstLine="439"/>
        <w:jc w:val="both"/>
      </w:pPr>
      <w:r>
        <w:rPr>
          <w:spacing w:val="-3"/>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spacing w:line="240" w:lineRule="auto" w:before="12"/>
        <w:rPr>
          <w:rFonts w:ascii="宋体" w:hAnsi="宋体" w:cs="宋体" w:eastAsia="宋体" w:hint="default"/>
          <w:sz w:val="18"/>
          <w:szCs w:val="18"/>
        </w:rPr>
      </w:pPr>
    </w:p>
    <w:p>
      <w:pPr>
        <w:pStyle w:val="BodyText"/>
        <w:spacing w:line="273" w:lineRule="auto" w:before="0"/>
        <w:ind w:right="148" w:firstLine="439"/>
        <w:jc w:val="both"/>
      </w:pPr>
      <w:r>
        <w:rPr>
          <w:spacing w:val="-3"/>
        </w:rPr>
        <w:t>在按照审计准则执行审计工作的过程中，我们运用职业判断，并保持职业怀疑。同时，我们也执行以</w:t>
      </w:r>
      <w:r>
        <w:rPr>
          <w:w w:val="100"/>
        </w:rPr>
        <w:t> </w:t>
      </w:r>
      <w:r>
        <w:rPr/>
        <w:t>下工作：</w:t>
      </w:r>
    </w:p>
    <w:p>
      <w:pPr>
        <w:spacing w:line="240" w:lineRule="auto" w:before="12"/>
        <w:rPr>
          <w:rFonts w:ascii="宋体" w:hAnsi="宋体" w:cs="宋体" w:eastAsia="宋体" w:hint="default"/>
          <w:sz w:val="18"/>
          <w:szCs w:val="18"/>
        </w:rPr>
      </w:pPr>
    </w:p>
    <w:p>
      <w:pPr>
        <w:pStyle w:val="BodyText"/>
        <w:spacing w:line="273" w:lineRule="auto" w:before="0"/>
        <w:ind w:right="146" w:firstLine="439"/>
        <w:jc w:val="both"/>
      </w:pPr>
      <w:r>
        <w:rPr>
          <w:rFonts w:ascii="宋体" w:hAnsi="宋体" w:cs="宋体" w:eastAsia="宋体" w:hint="default"/>
          <w:spacing w:val="-5"/>
        </w:rPr>
        <w:t>1</w:t>
      </w:r>
      <w:r>
        <w:rPr>
          <w:spacing w:val="-5"/>
        </w:rPr>
        <w:t>、识别和评估由于舞弊或错误导致的财务报表重大错报风险，设计和实施审计程序以应对这些风险，</w:t>
      </w:r>
      <w:r>
        <w:rPr>
          <w:w w:val="100"/>
        </w:rPr>
        <w:t> </w:t>
      </w:r>
      <w:r>
        <w:rPr>
          <w:spacing w:val="-2"/>
        </w:rPr>
        <w:t>并获取充分、适当的审计证据，作为发表审计意见的基础。由于舞弊可能涉及串通、伪造、故意遗漏、虚</w:t>
      </w:r>
      <w:r>
        <w:rPr>
          <w:spacing w:val="-45"/>
        </w:rPr>
        <w:t> </w:t>
      </w:r>
      <w:r>
        <w:rPr>
          <w:spacing w:val="-45"/>
        </w:rPr>
      </w:r>
      <w:r>
        <w:rPr>
          <w:spacing w:val="-2"/>
        </w:rPr>
        <w:t>假陈述或凌驾于内部控制之上，未能发现由于舞弊导致的重大错报的风险高于未能发现由于错误导致的重</w:t>
      </w:r>
      <w:r>
        <w:rPr>
          <w:spacing w:val="-43"/>
        </w:rPr>
        <w:t> </w:t>
      </w:r>
      <w:r>
        <w:rPr>
          <w:spacing w:val="-43"/>
        </w:rPr>
      </w:r>
      <w:r>
        <w:rPr/>
        <w:t>大错报的风险。</w:t>
      </w:r>
    </w:p>
    <w:p>
      <w:pPr>
        <w:spacing w:line="240" w:lineRule="auto" w:before="12"/>
        <w:rPr>
          <w:rFonts w:ascii="宋体" w:hAnsi="宋体" w:cs="宋体" w:eastAsia="宋体" w:hint="default"/>
          <w:sz w:val="18"/>
          <w:szCs w:val="18"/>
        </w:rPr>
      </w:pPr>
    </w:p>
    <w:p>
      <w:pPr>
        <w:pStyle w:val="BodyText"/>
        <w:spacing w:line="240" w:lineRule="auto" w:before="0"/>
        <w:ind w:left="592" w:right="0"/>
        <w:jc w:val="left"/>
      </w:pPr>
      <w:r>
        <w:rPr>
          <w:rFonts w:ascii="宋体" w:hAnsi="宋体" w:cs="宋体" w:eastAsia="宋体" w:hint="default"/>
          <w:spacing w:val="-5"/>
        </w:rPr>
        <w:t>2</w:t>
      </w:r>
      <w:r>
        <w:rPr>
          <w:spacing w:val="-5"/>
        </w:rPr>
        <w:t>、了解与审计相关的内部控制，以设计恰当的审计程序，但目的并非对内部控制的有效性发表意见。</w:t>
      </w:r>
    </w:p>
    <w:p>
      <w:pPr>
        <w:spacing w:line="240" w:lineRule="auto" w:before="2"/>
        <w:rPr>
          <w:rFonts w:ascii="宋体" w:hAnsi="宋体" w:cs="宋体" w:eastAsia="宋体" w:hint="default"/>
          <w:sz w:val="21"/>
          <w:szCs w:val="21"/>
        </w:rPr>
      </w:pPr>
    </w:p>
    <w:p>
      <w:pPr>
        <w:pStyle w:val="BodyText"/>
        <w:spacing w:line="240" w:lineRule="auto" w:before="0"/>
        <w:ind w:left="592" w:right="0"/>
        <w:jc w:val="left"/>
      </w:pPr>
      <w:r>
        <w:rPr>
          <w:rFonts w:ascii="宋体" w:hAnsi="宋体" w:cs="宋体" w:eastAsia="宋体" w:hint="default"/>
        </w:rPr>
        <w:t>3</w:t>
      </w:r>
      <w:r>
        <w:rPr/>
        <w:t>、评价管理层选用会计政策的恰当性和作出会计估计及相关披露的合理性。</w:t>
      </w:r>
    </w:p>
    <w:p>
      <w:pPr>
        <w:spacing w:line="240" w:lineRule="auto" w:before="2"/>
        <w:rPr>
          <w:rFonts w:ascii="宋体" w:hAnsi="宋体" w:cs="宋体" w:eastAsia="宋体" w:hint="default"/>
          <w:sz w:val="21"/>
          <w:szCs w:val="21"/>
        </w:rPr>
      </w:pPr>
    </w:p>
    <w:p>
      <w:pPr>
        <w:pStyle w:val="BodyText"/>
        <w:spacing w:line="273" w:lineRule="auto" w:before="0"/>
        <w:ind w:right="146" w:firstLine="420"/>
        <w:jc w:val="both"/>
      </w:pPr>
      <w:r>
        <w:rPr>
          <w:rFonts w:ascii="宋体" w:hAnsi="宋体" w:cs="宋体" w:eastAsia="宋体" w:hint="default"/>
          <w:spacing w:val="-5"/>
        </w:rPr>
        <w:t>4</w:t>
      </w:r>
      <w:r>
        <w:rPr>
          <w:spacing w:val="-5"/>
        </w:rPr>
        <w:t>、对管理层使用持续经营假设的恰当性得出结论。同时，根据获取的审计证据，就可能导致对方直科</w:t>
      </w:r>
      <w:r>
        <w:rPr>
          <w:w w:val="100"/>
        </w:rPr>
        <w:t> </w:t>
      </w:r>
      <w:r>
        <w:rPr>
          <w:spacing w:val="-2"/>
        </w:rPr>
        <w:t>技公司持续经营能力产生重大疑虑的事项或情况是否存在重大不确定性得出结论。如果我们得出结论认为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项或情况可能导致方直科技公司不能持续经营。</w:t>
      </w:r>
    </w:p>
    <w:p>
      <w:pPr>
        <w:spacing w:line="240" w:lineRule="auto" w:before="13"/>
        <w:rPr>
          <w:rFonts w:ascii="宋体" w:hAnsi="宋体" w:cs="宋体" w:eastAsia="宋体" w:hint="default"/>
          <w:sz w:val="18"/>
          <w:szCs w:val="18"/>
        </w:rPr>
      </w:pPr>
    </w:p>
    <w:p>
      <w:pPr>
        <w:pStyle w:val="BodyText"/>
        <w:spacing w:line="273" w:lineRule="auto" w:before="0"/>
        <w:ind w:right="148" w:firstLine="420"/>
        <w:jc w:val="both"/>
      </w:pPr>
      <w:r>
        <w:rPr>
          <w:rFonts w:ascii="宋体" w:hAnsi="宋体" w:cs="宋体" w:eastAsia="宋体" w:hint="default"/>
          <w:spacing w:val="-5"/>
        </w:rPr>
        <w:t>5</w:t>
      </w:r>
      <w:r>
        <w:rPr>
          <w:spacing w:val="-5"/>
        </w:rPr>
        <w:t>、评价财务报表的总体列报、结构和内容（包括披露），并评价财务报表是否公允反映相关交易和事</w:t>
      </w:r>
      <w:r>
        <w:rPr>
          <w:w w:val="100"/>
        </w:rPr>
        <w:t> </w:t>
      </w:r>
      <w:r>
        <w:rPr/>
        <w:t>项。</w:t>
      </w:r>
    </w:p>
    <w:p>
      <w:pPr>
        <w:spacing w:line="240" w:lineRule="auto" w:before="12"/>
        <w:rPr>
          <w:rFonts w:ascii="宋体" w:hAnsi="宋体" w:cs="宋体" w:eastAsia="宋体" w:hint="default"/>
          <w:sz w:val="18"/>
          <w:szCs w:val="18"/>
        </w:rPr>
      </w:pPr>
    </w:p>
    <w:p>
      <w:pPr>
        <w:pStyle w:val="BodyText"/>
        <w:spacing w:line="273" w:lineRule="auto" w:before="0"/>
        <w:ind w:right="146" w:firstLine="420"/>
        <w:jc w:val="both"/>
      </w:pPr>
      <w:r>
        <w:rPr>
          <w:rFonts w:ascii="宋体" w:hAnsi="宋体" w:cs="宋体" w:eastAsia="宋体" w:hint="default"/>
          <w:spacing w:val="-5"/>
        </w:rPr>
        <w:t>6</w:t>
      </w:r>
      <w:r>
        <w:rPr>
          <w:spacing w:val="-5"/>
        </w:rPr>
        <w:t>、就方直科技公司中实体或业务活动的财务信息获取充分、适当的审计证据，以对财务报表发表审计</w:t>
      </w:r>
      <w:r>
        <w:rPr>
          <w:w w:val="100"/>
        </w:rPr>
        <w:t> </w:t>
      </w:r>
      <w:r>
        <w:rPr/>
        <w:t>意见。我们负责指导、监督和执行集团审计，并对审计意见承担全部责任。</w:t>
      </w:r>
    </w:p>
    <w:p>
      <w:pPr>
        <w:spacing w:line="240" w:lineRule="auto" w:before="12"/>
        <w:rPr>
          <w:rFonts w:ascii="宋体" w:hAnsi="宋体" w:cs="宋体" w:eastAsia="宋体" w:hint="default"/>
          <w:sz w:val="18"/>
          <w:szCs w:val="18"/>
        </w:rPr>
      </w:pPr>
    </w:p>
    <w:p>
      <w:pPr>
        <w:pStyle w:val="BodyText"/>
        <w:spacing w:line="273" w:lineRule="auto" w:before="0"/>
        <w:ind w:right="146" w:firstLine="439"/>
        <w:jc w:val="both"/>
      </w:pPr>
      <w:r>
        <w:rPr>
          <w:spacing w:val="-3"/>
        </w:rPr>
        <w:t>我们与治理层就计划的审计范围、时间安排和重大审计发现等事项进行沟通，包括沟通我们在审计中</w:t>
      </w:r>
      <w:r>
        <w:rPr>
          <w:w w:val="100"/>
        </w:rPr>
        <w:t> </w:t>
      </w:r>
      <w:r>
        <w:rPr/>
        <w:t>识别出的值得关注的内部控制缺陷。</w:t>
      </w:r>
    </w:p>
    <w:p>
      <w:pPr>
        <w:spacing w:line="240" w:lineRule="auto" w:before="12"/>
        <w:rPr>
          <w:rFonts w:ascii="宋体" w:hAnsi="宋体" w:cs="宋体" w:eastAsia="宋体" w:hint="default"/>
          <w:sz w:val="18"/>
          <w:szCs w:val="18"/>
        </w:rPr>
      </w:pPr>
    </w:p>
    <w:p>
      <w:pPr>
        <w:pStyle w:val="BodyText"/>
        <w:spacing w:line="273" w:lineRule="auto" w:before="0"/>
        <w:ind w:right="146" w:firstLine="439"/>
        <w:jc w:val="both"/>
      </w:pPr>
      <w:r>
        <w:rPr>
          <w:spacing w:val="-3"/>
        </w:rPr>
        <w:t>我们还就已遵守与独立性相关的职业道德要求向治理层提供声明，并与治理层沟通可能被合理认为影</w:t>
      </w:r>
      <w:r>
        <w:rPr>
          <w:w w:val="100"/>
        </w:rPr>
        <w:t> </w:t>
      </w:r>
      <w:r>
        <w:rPr/>
        <w:t>响我们独立性的所有关系和其他事项，以及相关的防范措施。</w:t>
      </w:r>
    </w:p>
    <w:p>
      <w:pPr>
        <w:spacing w:after="0" w:line="273" w:lineRule="auto"/>
        <w:jc w:val="both"/>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BodyText"/>
        <w:spacing w:line="273" w:lineRule="auto" w:before="36"/>
        <w:ind w:left="293" w:right="146" w:firstLine="439"/>
        <w:jc w:val="both"/>
      </w:pPr>
      <w:r>
        <w:rPr>
          <w:spacing w:val="-3"/>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460"/>
        <w:gridCol w:w="4042"/>
      </w:tblGrid>
      <w:tr>
        <w:trPr>
          <w:trHeight w:val="438"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4042" w:type="dxa"/>
            <w:tcBorders>
              <w:top w:val="nil" w:sz="6" w:space="0" w:color="auto"/>
              <w:left w:val="nil" w:sz="6" w:space="0" w:color="auto"/>
              <w:bottom w:val="nil" w:sz="6" w:space="0" w:color="auto"/>
              <w:right w:val="nil" w:sz="6" w:space="0" w:color="auto"/>
            </w:tcBorders>
          </w:tcPr>
          <w:p>
            <w:pPr>
              <w:pStyle w:val="TableParagraph"/>
              <w:spacing w:line="211" w:lineRule="exact"/>
              <w:ind w:left="687" w:right="0"/>
              <w:jc w:val="left"/>
              <w:rPr>
                <w:rFonts w:ascii="宋体" w:hAnsi="宋体" w:cs="宋体" w:eastAsia="宋体" w:hint="default"/>
                <w:sz w:val="21"/>
                <w:szCs w:val="21"/>
              </w:rPr>
            </w:pPr>
            <w:r>
              <w:rPr>
                <w:rFonts w:ascii="宋体" w:hAnsi="宋体" w:cs="宋体" w:eastAsia="宋体" w:hint="default"/>
                <w:sz w:val="21"/>
                <w:szCs w:val="21"/>
              </w:rPr>
              <w:t>中国注册会计师：（项目合伙人）</w:t>
            </w:r>
          </w:p>
        </w:tc>
      </w:tr>
      <w:tr>
        <w:trPr>
          <w:trHeight w:val="664" w:hRule="exact"/>
        </w:trPr>
        <w:tc>
          <w:tcPr>
            <w:tcW w:w="4460" w:type="dxa"/>
            <w:tcBorders>
              <w:top w:val="nil" w:sz="6" w:space="0" w:color="auto"/>
              <w:left w:val="nil" w:sz="6" w:space="0" w:color="auto"/>
              <w:bottom w:val="nil" w:sz="6" w:space="0" w:color="auto"/>
              <w:right w:val="nil" w:sz="6" w:space="0" w:color="auto"/>
            </w:tcBorders>
          </w:tcPr>
          <w:p>
            <w:pPr/>
          </w:p>
        </w:tc>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790"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437" w:hRule="exact"/>
        </w:trPr>
        <w:tc>
          <w:tcPr>
            <w:tcW w:w="4460" w:type="dxa"/>
            <w:tcBorders>
              <w:top w:val="nil" w:sz="6" w:space="0" w:color="auto"/>
              <w:left w:val="nil" w:sz="6" w:space="0" w:color="auto"/>
              <w:bottom w:val="nil" w:sz="6" w:space="0" w:color="auto"/>
              <w:right w:val="nil" w:sz="6" w:space="0" w:color="auto"/>
            </w:tcBorders>
          </w:tcPr>
          <w:p>
            <w:pPr>
              <w:pStyle w:val="TableParagraph"/>
              <w:tabs>
                <w:tab w:pos="840" w:val="left" w:leader="none"/>
              </w:tabs>
              <w:spacing w:line="240" w:lineRule="auto" w:before="162"/>
              <w:ind w:right="44"/>
              <w:jc w:val="center"/>
              <w:rPr>
                <w:rFonts w:ascii="宋体" w:hAnsi="宋体" w:cs="宋体" w:eastAsia="宋体" w:hint="default"/>
                <w:sz w:val="21"/>
                <w:szCs w:val="21"/>
              </w:rPr>
            </w:pPr>
            <w:r>
              <w:rPr>
                <w:rFonts w:ascii="宋体" w:hAnsi="宋体" w:cs="宋体" w:eastAsia="宋体" w:hint="default"/>
                <w:sz w:val="21"/>
                <w:szCs w:val="21"/>
              </w:rPr>
              <w:t>中国</w:t>
              <w:tab/>
              <w:t>北京</w:t>
            </w:r>
          </w:p>
        </w:tc>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896" w:right="0"/>
              <w:jc w:val="left"/>
              <w:rPr>
                <w:rFonts w:ascii="宋体" w:hAnsi="宋体" w:cs="宋体" w:eastAsia="宋体" w:hint="default"/>
                <w:sz w:val="21"/>
                <w:szCs w:val="21"/>
              </w:rPr>
            </w:pPr>
            <w:r>
              <w:rPr>
                <w:rFonts w:ascii="宋体" w:hAnsi="宋体" w:cs="宋体" w:eastAsia="宋体" w:hint="default"/>
                <w:sz w:val="21"/>
                <w:szCs w:val="21"/>
              </w:rPr>
              <w:t>二〇一八年四月十六日</w:t>
            </w:r>
          </w:p>
        </w:tc>
      </w:tr>
    </w:tbl>
    <w:p>
      <w:pPr>
        <w:spacing w:after="0" w:line="240" w:lineRule="auto"/>
        <w:jc w:val="left"/>
        <w:rPr>
          <w:rFonts w:ascii="宋体" w:hAnsi="宋体" w:cs="宋体" w:eastAsia="宋体" w:hint="default"/>
          <w:sz w:val="21"/>
          <w:szCs w:val="21"/>
        </w:rPr>
        <w:sectPr>
          <w:pgSz w:w="11910" w:h="16840"/>
          <w:pgMar w:header="880" w:footer="979" w:top="1100" w:bottom="1160" w:left="840" w:right="980"/>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编制单位：深圳市方直科技股份有限公司</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503"/>
        <w:gridCol w:w="2696"/>
        <w:gridCol w:w="2369"/>
      </w:tblGrid>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166,476,159.08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62,808,703.02</w:t>
            </w: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34,958,886.38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26,196,923.43</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1,051,645.97</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776,274.25</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75,929,095.46</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633,003.09</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8,788,530.38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8,706,463.09</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137,302,151.38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116,624,602.75</w:t>
            </w:r>
          </w:p>
        </w:tc>
      </w:tr>
      <w:tr>
        <w:trPr>
          <w:trHeight w:val="408"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424,506,468.65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218,745,969.63</w:t>
            </w:r>
          </w:p>
        </w:tc>
      </w:tr>
      <w:tr>
        <w:trPr>
          <w:trHeight w:val="391"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80,284,774.14</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50,015,127.60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503"/>
        <w:gridCol w:w="2696"/>
        <w:gridCol w:w="2369"/>
      </w:tblGrid>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97,878,613.23</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19,016,004.01</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317,751.00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77,087,905.04</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4,657,013.67</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5,973,785.05</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83,940.16</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83,940.16</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367,240.32</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618,584.15</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700,582.02</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506,384.85</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618,242.20</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184,289,914.54</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153,919,973.06</w:t>
            </w:r>
          </w:p>
        </w:tc>
      </w:tr>
      <w:tr>
        <w:trPr>
          <w:trHeight w:val="408"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608,796,383.19</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372,665,942.69</w:t>
            </w:r>
          </w:p>
        </w:tc>
      </w:tr>
      <w:tr>
        <w:trPr>
          <w:trHeight w:val="391"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14,667,719.39</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10,705,112.38</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732,633.00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1,092,804.70</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2,066,459.38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2,754,141.01</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432,565.67</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191,762.33</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5,141,102.09</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6,277,454.56</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503"/>
        <w:gridCol w:w="2696"/>
        <w:gridCol w:w="2369"/>
      </w:tblGrid>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23,040,479.53</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21,021,274.98</w:t>
            </w:r>
          </w:p>
        </w:tc>
      </w:tr>
      <w:tr>
        <w:trPr>
          <w:trHeight w:val="39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2,582,545.87</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3,276,776.09</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618,452.61</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534,943.99</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3,200,998.48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3,811,720.08</w:t>
            </w:r>
          </w:p>
        </w:tc>
      </w:tr>
      <w:tr>
        <w:trPr>
          <w:trHeight w:val="40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26,241,478.01</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24,832,995.06</w:t>
            </w:r>
          </w:p>
        </w:tc>
      </w:tr>
      <w:tr>
        <w:trPr>
          <w:trHeight w:val="39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167,831,090.00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158,400,000.00</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281,747,580.52</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62,580,990.76</w:t>
            </w: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18,819,376.62</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17,837,313.97</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113,704,610.89</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108,240,068.42</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582,102,658.03</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347,058,373.15</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452,247.15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774,574.48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503"/>
        <w:gridCol w:w="2696"/>
        <w:gridCol w:w="2369"/>
      </w:tblGrid>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582,554,905.18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347,832,947.63</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608,796,383.19</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372,665,942.69</w:t>
            </w:r>
          </w:p>
        </w:tc>
      </w:tr>
    </w:tbl>
    <w:p>
      <w:pPr>
        <w:spacing w:line="240" w:lineRule="auto" w:before="2"/>
        <w:rPr>
          <w:rFonts w:ascii="Times New Roman" w:hAnsi="Times New Roman" w:cs="Times New Roman" w:eastAsia="Times New Roman" w:hint="default"/>
          <w:sz w:val="23"/>
          <w:szCs w:val="23"/>
        </w:rPr>
      </w:pPr>
    </w:p>
    <w:p>
      <w:pPr>
        <w:tabs>
          <w:tab w:pos="3578" w:val="left" w:leader="none"/>
          <w:tab w:pos="7721" w:val="left" w:leader="none"/>
        </w:tabs>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法定代表人：黄元忠</w:t>
        <w:tab/>
      </w:r>
      <w:r>
        <w:rPr>
          <w:rFonts w:ascii="宋体" w:hAnsi="宋体" w:cs="宋体" w:eastAsia="宋体" w:hint="default"/>
          <w:spacing w:val="-1"/>
          <w:sz w:val="18"/>
          <w:szCs w:val="18"/>
        </w:rPr>
        <w:t>主管会计工作负责人：黄晓峰</w:t>
        <w:tab/>
      </w:r>
      <w:r>
        <w:rPr>
          <w:rFonts w:ascii="宋体" w:hAnsi="宋体" w:cs="宋体" w:eastAsia="宋体" w:hint="default"/>
          <w:sz w:val="18"/>
          <w:szCs w:val="18"/>
        </w:rPr>
        <w:t>会计机构负责人：廖晓莉</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503"/>
        <w:gridCol w:w="2552"/>
        <w:gridCol w:w="2513"/>
      </w:tblGrid>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164,014,442.50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58,359,450.97</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34,642,160.63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26,196,923.43</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1,034,874.58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752,274.25</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75,503,395.46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621,933.59</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8,742,665.67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8,660,598.38</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137,264,333.85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116,622,812.79</w:t>
            </w:r>
          </w:p>
        </w:tc>
      </w:tr>
      <w:tr>
        <w:trPr>
          <w:trHeight w:val="408"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421,201,872.69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214,213,993.41</w:t>
            </w:r>
          </w:p>
        </w:tc>
      </w:tr>
      <w:tr>
        <w:trPr>
          <w:trHeight w:val="391"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82,284,774.14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52,015,127.60</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97,793,503.35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18,981,670.27</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317,751.00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77,087,905.04</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503"/>
        <w:gridCol w:w="2552"/>
        <w:gridCol w:w="2513"/>
      </w:tblGrid>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3,957,013.67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5,123,785.05</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367,240.32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618,584.15</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456,957.62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262,732.50</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618,242.20</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185,177,240.10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154,708,046.81</w:t>
            </w:r>
          </w:p>
        </w:tc>
      </w:tr>
      <w:tr>
        <w:trPr>
          <w:trHeight w:val="40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606,379,112.79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368,922,040.22</w:t>
            </w:r>
          </w:p>
        </w:tc>
      </w:tr>
      <w:tr>
        <w:trPr>
          <w:trHeight w:val="39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14,667,337.39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10,703,555.17</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732,633.00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1,092,804.70</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2,045,891.88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2,725,562.18</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432,565.67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180,859.66</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5,127,169.25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6,277,408.06</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23,005,597.19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20,980,189.77</w:t>
            </w:r>
          </w:p>
        </w:tc>
      </w:tr>
      <w:tr>
        <w:trPr>
          <w:trHeight w:val="39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2,582,545.87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3,276,776.09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503"/>
        <w:gridCol w:w="2552"/>
        <w:gridCol w:w="2513"/>
      </w:tblGrid>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618,452.61</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534,943.99</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3,200,998.48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3,811,720.08</w:t>
            </w:r>
          </w:p>
        </w:tc>
      </w:tr>
      <w:tr>
        <w:trPr>
          <w:trHeight w:val="40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26,206,595.67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24,791,909.85</w:t>
            </w:r>
          </w:p>
        </w:tc>
      </w:tr>
      <w:tr>
        <w:trPr>
          <w:trHeight w:val="397"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167,831,090.00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158,400,000.00</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281,747,580.52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62,580,990.76</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18,819,376.62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17,837,313.97</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111,774,469.98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105,311,825.64</w:t>
            </w:r>
          </w:p>
        </w:tc>
      </w:tr>
      <w:tr>
        <w:trPr>
          <w:trHeight w:val="402"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580,172,517.12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344,130,130.37</w:t>
            </w: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606,379,112.79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368,922,040.22</w:t>
            </w:r>
          </w:p>
        </w:tc>
      </w:tr>
    </w:tbl>
    <w:p>
      <w:pPr>
        <w:spacing w:line="240" w:lineRule="auto" w:before="1"/>
        <w:rPr>
          <w:rFonts w:ascii="Times New Roman" w:hAnsi="Times New Roman" w:cs="Times New Roman" w:eastAsia="Times New Roman" w:hint="default"/>
          <w:sz w:val="22"/>
          <w:szCs w:val="22"/>
        </w:rPr>
      </w:pPr>
    </w:p>
    <w:p>
      <w:pPr>
        <w:pStyle w:val="Heading5"/>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220"/>
        <w:gridCol w:w="2835"/>
        <w:gridCol w:w="2513"/>
      </w:tblGrid>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100,510,607.42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96,919,585.70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100,510,607.42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96,919,585.70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98,639,390.99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87,634,490.59</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34,531,178.49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29,067,050.46</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5"/>
          <w:pgSz w:w="11910" w:h="16840"/>
          <w:pgMar w:footer="979" w:header="8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220"/>
        <w:gridCol w:w="2835"/>
        <w:gridCol w:w="2513"/>
      </w:tblGrid>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858,407.79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931,722.11</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24,312,837.81</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20,377,693.79</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40,698,973.37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36,893,933.55</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-3,489,909.26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-257,640.68</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1,727,902.79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621,731.36</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3,745,855.84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3,979,707.22</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269,646.54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15,127.60</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3,130,686.09</w:t>
            </w: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8,747,758.36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13,264,802.33</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1,411,194.50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6,753,055.36</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69,233.54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6,073.10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10,089,719.32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20,011,784.59</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1,589,522.05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2,454,781.29</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8,500,197.27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17,557,003.30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8,500,197.27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17,557,003.30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5"/>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8,822,524.60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17,682,428.82</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-322,327.33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-125,425.52</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的变动</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8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 益的其他综合收益中享有的份额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8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 损益的其他综合收益中享有的份额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6"/>
          <w:pgSz w:w="11910" w:h="16840"/>
          <w:pgMar w:footer="979" w:header="880" w:top="1100" w:bottom="1160" w:left="980" w:right="980"/>
          <w:pgNumType w:start="1"/>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220"/>
        <w:gridCol w:w="2835"/>
        <w:gridCol w:w="2513"/>
      </w:tblGrid>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8,500,197.27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17,557,003.30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8,822,524.60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17,682,428.82</w:t>
            </w:r>
          </w:p>
        </w:tc>
      </w:tr>
      <w:tr>
        <w:trPr>
          <w:trHeight w:val="408"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-322,327.33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-125,425.52</w:t>
            </w:r>
          </w:p>
        </w:tc>
      </w:tr>
      <w:tr>
        <w:trPr>
          <w:trHeight w:val="39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bl>
    <w:p>
      <w:pPr>
        <w:tabs>
          <w:tab w:pos="3578" w:val="left" w:leader="none"/>
          <w:tab w:pos="7721" w:val="left" w:leader="none"/>
        </w:tabs>
        <w:spacing w:line="624" w:lineRule="auto" w:before="49"/>
        <w:ind w:left="153" w:right="242"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法定代表人：黄元忠</w:t>
        <w:tab/>
      </w:r>
      <w:r>
        <w:rPr>
          <w:rFonts w:ascii="宋体" w:hAnsi="宋体" w:cs="宋体" w:eastAsia="宋体" w:hint="default"/>
          <w:spacing w:val="-1"/>
          <w:sz w:val="18"/>
          <w:szCs w:val="18"/>
        </w:rPr>
        <w:t>主管会计工作负责人：黄晓峰</w:t>
        <w:tab/>
      </w:r>
      <w:r>
        <w:rPr>
          <w:rFonts w:ascii="宋体" w:hAnsi="宋体" w:cs="宋体" w:eastAsia="宋体" w:hint="default"/>
          <w:sz w:val="18"/>
          <w:szCs w:val="18"/>
        </w:rPr>
        <w:t>会计机构负责人：廖晓莉</w:t>
      </w:r>
    </w:p>
    <w:p>
      <w:pPr>
        <w:pStyle w:val="Heading5"/>
        <w:spacing w:line="240" w:lineRule="auto" w:before="1"/>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220"/>
        <w:gridCol w:w="2835"/>
        <w:gridCol w:w="2513"/>
      </w:tblGrid>
      <w:tr>
        <w:trPr>
          <w:trHeight w:val="398"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100,301,819.67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96,774,038.69</w:t>
            </w:r>
          </w:p>
        </w:tc>
      </w:tr>
      <w:tr>
        <w:trPr>
          <w:trHeight w:val="40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34,457,864.50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29,082,675.86</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858,323.60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928,624.38</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23,939,609.09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20,005,613.65</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39,588,957.87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36,144,708.72</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-3,458,138.84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-210,921.60</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1,720,515.35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621,619.55</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5"/>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3,745,855.84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3,979,707.22</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269,646.54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15,127.60</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3,130,686.09</w:t>
            </w: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10,071,230.03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14,181,425.35</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1,407,931.77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6,753,055.36</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69,041.23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6,047.33</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11,410,120.57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20,928,433.38</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1,589,494.10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2,454,809.24</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9,820,626.47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18,473,624.14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4220"/>
        <w:gridCol w:w="2835"/>
        <w:gridCol w:w="2513"/>
      </w:tblGrid>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9,820,626.47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18,473,624.14</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5"/>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的变动</w:t>
            </w:r>
          </w:p>
        </w:tc>
        <w:tc>
          <w:tcPr>
            <w:tcW w:w="2835" w:type="dxa"/>
            <w:tcBorders>
              <w:top w:val="single" w:sz="4" w:space="0" w:color="000000"/>
              <w:left w:val="single" w:sz="13" w:space="0" w:color="D2D2D2"/>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8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 益的其他综合收益中享有的份额</w:t>
            </w:r>
          </w:p>
        </w:tc>
        <w:tc>
          <w:tcPr>
            <w:tcW w:w="2835" w:type="dxa"/>
            <w:tcBorders>
              <w:top w:val="single" w:sz="4" w:space="0" w:color="000000"/>
              <w:left w:val="single" w:sz="13" w:space="0" w:color="D2D2D2"/>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8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 损益的其他综合收益中享有的份额</w:t>
            </w:r>
          </w:p>
        </w:tc>
        <w:tc>
          <w:tcPr>
            <w:tcW w:w="2835" w:type="dxa"/>
            <w:tcBorders>
              <w:top w:val="single" w:sz="4" w:space="0" w:color="000000"/>
              <w:left w:val="single" w:sz="13" w:space="0" w:color="D2D2D2"/>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2835" w:type="dxa"/>
            <w:tcBorders>
              <w:top w:val="single" w:sz="4" w:space="0" w:color="000000"/>
              <w:left w:val="single" w:sz="13" w:space="0" w:color="D2D2D2"/>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9,820,626.47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18,473,624.14</w:t>
            </w:r>
          </w:p>
        </w:tc>
      </w:tr>
      <w:tr>
        <w:trPr>
          <w:trHeight w:val="39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220"/>
        <w:gridCol w:w="2835"/>
        <w:gridCol w:w="2513"/>
      </w:tblGrid>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8" w:right="0"/>
              <w:jc w:val="left"/>
              <w:rPr>
                <w:rFonts w:ascii="Times New Roman" w:hAnsi="Times New Roman" w:cs="Times New Roman" w:eastAsia="Times New Roman" w:hint="default"/>
                <w:sz w:val="18"/>
                <w:szCs w:val="18"/>
              </w:rPr>
            </w:pPr>
            <w:r>
              <w:rPr>
                <w:rFonts w:ascii="Times New Roman"/>
                <w:sz w:val="18"/>
              </w:rPr>
              <w:t>104,341,832.47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56" w:right="0"/>
              <w:jc w:val="left"/>
              <w:rPr>
                <w:rFonts w:ascii="Times New Roman" w:hAnsi="Times New Roman" w:cs="Times New Roman" w:eastAsia="Times New Roman" w:hint="default"/>
                <w:sz w:val="18"/>
                <w:szCs w:val="18"/>
              </w:rPr>
            </w:pPr>
            <w:r>
              <w:rPr>
                <w:rFonts w:ascii="Times New Roman"/>
                <w:sz w:val="18"/>
              </w:rPr>
              <w:t>107,198,261.49</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2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2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44"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 融资产净增加额</w:t>
            </w:r>
          </w:p>
        </w:tc>
        <w:tc>
          <w:tcPr>
            <w:tcW w:w="2835" w:type="dxa"/>
            <w:tcBorders>
              <w:top w:val="single" w:sz="4" w:space="0" w:color="000000"/>
              <w:left w:val="single" w:sz="13" w:space="0" w:color="D2D2D2"/>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220"/>
        <w:gridCol w:w="2835"/>
        <w:gridCol w:w="2513"/>
      </w:tblGrid>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3,130,686.09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2,919,809.46</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2,050,109.01</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2,850,410.33</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109,522,627.57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112,968,481.28</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35,575,564.58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39,497,495.78</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37,634,002.92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31,325,865.00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7,704,810.99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11,337,922.94</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24,647,513.19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21,167,708.28</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105,561,891.68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103,328,992.00</w:t>
            </w:r>
          </w:p>
        </w:tc>
      </w:tr>
      <w:tr>
        <w:trPr>
          <w:trHeight w:val="408"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3,960,735.89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9,639,489.28</w:t>
            </w:r>
          </w:p>
        </w:tc>
      </w:tr>
      <w:tr>
        <w:trPr>
          <w:trHeight w:val="39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581,669,304.40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498,000,000.00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2,196,621.53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4,413,894.69</w:t>
            </w:r>
          </w:p>
        </w:tc>
      </w:tr>
      <w:tr>
        <w:trPr>
          <w:trHeight w:val="71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4"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 现金净额</w:t>
            </w:r>
          </w:p>
        </w:tc>
        <w:tc>
          <w:tcPr>
            <w:tcW w:w="2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3,365.00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04"/>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583,869,290.93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502,414,854.69</w:t>
            </w:r>
          </w:p>
        </w:tc>
      </w:tr>
      <w:tr>
        <w:trPr>
          <w:trHeight w:val="71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4"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 现金</w:t>
            </w:r>
          </w:p>
        </w:tc>
        <w:tc>
          <w:tcPr>
            <w:tcW w:w="2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9,819,349.38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4,616,742.97</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704,467,890.00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508,000,000.00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04"/>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714,287,239.38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512,617,142.97</w:t>
            </w:r>
          </w:p>
        </w:tc>
      </w:tr>
      <w:tr>
        <w:trPr>
          <w:trHeight w:val="408"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-130,417,948.45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-10,202,288.28</w:t>
            </w:r>
          </w:p>
        </w:tc>
      </w:tr>
      <w:tr>
        <w:trPr>
          <w:trHeight w:val="39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228,606,577.00</w:t>
            </w:r>
          </w:p>
        </w:tc>
        <w:tc>
          <w:tcPr>
            <w:tcW w:w="25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220"/>
        <w:gridCol w:w="2835"/>
        <w:gridCol w:w="2513"/>
      </w:tblGrid>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4"/>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4,503,442.19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20,758.72</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233,110,019.19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20,758.72</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2,375,919.48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9,508,694.30</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04"/>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609,431.09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215.95</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2,985,350.57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9,508,910.25</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230,124,668.62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-9,488,151.53</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103,667,456.06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-10,050,950.53</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62,808,703.02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72,859,653.55</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166,476,159.08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62,808,703.02</w:t>
            </w:r>
          </w:p>
        </w:tc>
      </w:tr>
    </w:tbl>
    <w:p>
      <w:pPr>
        <w:spacing w:line="240" w:lineRule="auto" w:before="1"/>
        <w:rPr>
          <w:rFonts w:ascii="Times New Roman" w:hAnsi="Times New Roman" w:cs="Times New Roman" w:eastAsia="Times New Roman" w:hint="default"/>
          <w:sz w:val="22"/>
          <w:szCs w:val="22"/>
        </w:rPr>
      </w:pPr>
    </w:p>
    <w:p>
      <w:pPr>
        <w:pStyle w:val="Heading5"/>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220"/>
        <w:gridCol w:w="2835"/>
        <w:gridCol w:w="2513"/>
      </w:tblGrid>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104,439,463.80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106,312,971.49</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3,130,686.09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2,917,220.53</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1,959,636.87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2,789,414.24</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109,529,786.76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112,019,606.26</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35,511,475.16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38,799,347.22</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36,642,967.19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30,493,681.94</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7,656,497.19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11,306,694.34</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23,833,172.86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20,905,410.71</w:t>
            </w: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103,644,112.40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101,505,134.21</w:t>
            </w:r>
          </w:p>
        </w:tc>
      </w:tr>
      <w:tr>
        <w:trPr>
          <w:trHeight w:val="40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5,885,674.36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10,514,472.05</w:t>
            </w:r>
          </w:p>
        </w:tc>
      </w:tr>
      <w:tr>
        <w:trPr>
          <w:trHeight w:val="39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581,669,304.40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498,000,000.00</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2,196,621.53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4,413,894.69</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3,365.00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220"/>
        <w:gridCol w:w="2835"/>
        <w:gridCol w:w="2513"/>
      </w:tblGrid>
      <w:tr>
        <w:trPr>
          <w:trHeight w:val="36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4"/>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583,869,290.93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502,414,854.69</w:t>
            </w:r>
          </w:p>
        </w:tc>
      </w:tr>
      <w:tr>
        <w:trPr>
          <w:trHeight w:val="7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4"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 现金</w:t>
            </w:r>
          </w:p>
        </w:tc>
        <w:tc>
          <w:tcPr>
            <w:tcW w:w="2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9,756,752.38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4,590,954.97</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704,467,890.00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508,000,000.00</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4"/>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40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714,224,642.38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512,591,354.97</w:t>
            </w:r>
          </w:p>
        </w:tc>
      </w:tr>
      <w:tr>
        <w:trPr>
          <w:trHeight w:val="406"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-130,355,351.45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-10,176,500.28</w:t>
            </w:r>
          </w:p>
        </w:tc>
      </w:tr>
      <w:tr>
        <w:trPr>
          <w:trHeight w:val="39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228,606,577.00</w:t>
            </w: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4,503,442.19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20,758.72</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233,110,019.19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20,758.72</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2,375,919.48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9,508,694.30</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609,431.09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215.95</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2,985,350.57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9,508,910.25</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230,124,668.62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-9,488,151.53</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105,654,991.53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-9,150,179.76</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58,359,450.97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67,509,630.73</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164,014,442.50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58,359,450.97</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pStyle w:val="Heading5"/>
        <w:spacing w:line="352" w:lineRule="exact"/>
        <w:ind w:left="140" w:right="0"/>
        <w:jc w:val="left"/>
        <w:rPr>
          <w:b w:val="0"/>
          <w:bCs w:val="0"/>
        </w:rPr>
      </w:pPr>
      <w:r>
        <w:rPr/>
        <w:pict>
          <v:group style="position:absolute;margin-left:70.559998pt;margin-top:2.102063pt;width:700.9pt;height:.1pt;mso-position-horizontal-relative:page;mso-position-vertical-relative:paragraph;z-index:-722464" coordorigin="1411,42" coordsize="14018,2">
            <v:shape style="position:absolute;left:1411;top:42;width:14018;height:2" coordorigin="1411,42" coordsize="14018,0" path="m1411,42l15429,42e" filled="false" stroked="true" strokeweight=".72pt" strokecolor="#000000">
              <v:path arrowok="t"/>
            </v:shape>
            <w10:wrap type="none"/>
          </v:group>
        </w:pict>
      </w: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518"/>
        <w:gridCol w:w="1277"/>
        <w:gridCol w:w="708"/>
        <w:gridCol w:w="708"/>
        <w:gridCol w:w="286"/>
        <w:gridCol w:w="1274"/>
        <w:gridCol w:w="994"/>
        <w:gridCol w:w="708"/>
        <w:gridCol w:w="425"/>
        <w:gridCol w:w="1135"/>
        <w:gridCol w:w="425"/>
        <w:gridCol w:w="1277"/>
        <w:gridCol w:w="991"/>
        <w:gridCol w:w="1277"/>
      </w:tblGrid>
      <w:tr>
        <w:trPr>
          <w:trHeight w:val="402" w:hRule="exact"/>
        </w:trPr>
        <w:tc>
          <w:tcPr>
            <w:tcW w:w="2518" w:type="dxa"/>
            <w:vMerge w:val="restart"/>
            <w:tcBorders>
              <w:top w:val="single" w:sz="4" w:space="0" w:color="000000"/>
              <w:left w:val="single" w:sz="4" w:space="0" w:color="000000"/>
              <w:right w:val="single" w:sz="4" w:space="0" w:color="000000"/>
            </w:tcBorders>
            <w:shd w:val="clear" w:color="auto" w:fill="D2D2D2"/>
          </w:tcPr>
          <w:p>
            <w:pPr/>
          </w:p>
        </w:tc>
        <w:tc>
          <w:tcPr>
            <w:tcW w:w="1148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518" w:type="dxa"/>
            <w:vMerge/>
            <w:tcBorders>
              <w:left w:val="single" w:sz="4" w:space="0" w:color="000000"/>
              <w:bottom w:val="nil" w:sz="6" w:space="0" w:color="auto"/>
              <w:right w:val="single" w:sz="4" w:space="0" w:color="000000"/>
            </w:tcBorders>
            <w:shd w:val="clear" w:color="auto" w:fill="D2D2D2"/>
          </w:tcPr>
          <w:p>
            <w:pPr/>
          </w:p>
        </w:tc>
        <w:tc>
          <w:tcPr>
            <w:tcW w:w="92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398" w:right="4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540" w:right="95"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77" w:hRule="exact"/>
        </w:trPr>
        <w:tc>
          <w:tcPr>
            <w:tcW w:w="25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76" w:right="7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738" w:hRule="exact"/>
        </w:trPr>
        <w:tc>
          <w:tcPr>
            <w:tcW w:w="2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47"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27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62,580,990.76</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17,837,313.97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108,240,068.42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center"/>
              <w:rPr>
                <w:rFonts w:ascii="Times New Roman" w:hAnsi="Times New Roman" w:cs="Times New Roman" w:eastAsia="Times New Roman" w:hint="default"/>
                <w:sz w:val="18"/>
                <w:szCs w:val="18"/>
              </w:rPr>
            </w:pPr>
            <w:r>
              <w:rPr>
                <w:rFonts w:ascii="Times New Roman"/>
                <w:sz w:val="18"/>
              </w:rPr>
              <w:t>774,574.48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347,832,947.63</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62,580,990.76</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17,837,313.97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108,240,068.42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774,574.48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347,832,947.63</w:t>
            </w:r>
          </w:p>
        </w:tc>
      </w:tr>
      <w:tr>
        <w:trPr>
          <w:trHeight w:val="715"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1" w:right="144"/>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9,431,090.00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219,166,589.76</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982,062.65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5,464,542.47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-322,327.33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234,721,957.55</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8,822,524.60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-322,327.33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8,500,197.27</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9,431,090.00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219,166,589.76</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228,597,679.76</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9,431,090.00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219,166,589.76</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228,597,679.76</w:t>
            </w:r>
          </w:p>
        </w:tc>
      </w:tr>
      <w:tr>
        <w:trPr>
          <w:trHeight w:val="715"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277" w:type="dxa"/>
            <w:tcBorders>
              <w:top w:val="single" w:sz="4" w:space="0" w:color="000000"/>
              <w:left w:val="single" w:sz="12"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277" w:type="dxa"/>
            <w:tcBorders>
              <w:top w:val="single" w:sz="4" w:space="0" w:color="000000"/>
              <w:left w:val="single" w:sz="12"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7"/>
          <w:footerReference w:type="default" r:id="rId48"/>
          <w:pgSz w:w="16840" w:h="11910" w:orient="landscape"/>
          <w:pgMar w:header="870" w:footer="979" w:top="1060" w:bottom="1160" w:left="1300" w:right="1240"/>
          <w:pgNumType w:start="7"/>
        </w:sectPr>
      </w:pPr>
    </w:p>
    <w:p>
      <w:pPr>
        <w:spacing w:line="240" w:lineRule="auto" w:before="9"/>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518"/>
        <w:gridCol w:w="1277"/>
        <w:gridCol w:w="708"/>
        <w:gridCol w:w="708"/>
        <w:gridCol w:w="286"/>
        <w:gridCol w:w="1274"/>
        <w:gridCol w:w="994"/>
        <w:gridCol w:w="708"/>
        <w:gridCol w:w="425"/>
        <w:gridCol w:w="1135"/>
        <w:gridCol w:w="425"/>
        <w:gridCol w:w="1277"/>
        <w:gridCol w:w="991"/>
        <w:gridCol w:w="1277"/>
      </w:tblGrid>
      <w:tr>
        <w:trPr>
          <w:trHeight w:val="418" w:hRule="exact"/>
        </w:trPr>
        <w:tc>
          <w:tcPr>
            <w:tcW w:w="25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7"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28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982,062.65</w:t>
            </w: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-3,357,982.13</w:t>
            </w:r>
          </w:p>
        </w:tc>
        <w:tc>
          <w:tcPr>
            <w:tcW w:w="991"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982,062.65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-982,062.65</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-2,375,919.48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1" w:right="2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2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167,831,090.00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281,747,580.52</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18,819,376.62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113,704,610.89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452,247.15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582,554,905.18</w:t>
            </w:r>
          </w:p>
        </w:tc>
      </w:tr>
    </w:tbl>
    <w:p>
      <w:pPr>
        <w:spacing w:before="49"/>
        <w:ind w:left="10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2518"/>
        <w:gridCol w:w="1277"/>
        <w:gridCol w:w="708"/>
        <w:gridCol w:w="708"/>
        <w:gridCol w:w="286"/>
        <w:gridCol w:w="1274"/>
        <w:gridCol w:w="994"/>
        <w:gridCol w:w="708"/>
        <w:gridCol w:w="425"/>
        <w:gridCol w:w="1135"/>
        <w:gridCol w:w="425"/>
        <w:gridCol w:w="1277"/>
        <w:gridCol w:w="991"/>
        <w:gridCol w:w="1279"/>
      </w:tblGrid>
      <w:tr>
        <w:trPr>
          <w:trHeight w:val="403" w:hRule="exact"/>
        </w:trPr>
        <w:tc>
          <w:tcPr>
            <w:tcW w:w="25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48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2518" w:type="dxa"/>
            <w:vMerge/>
            <w:tcBorders>
              <w:left w:val="single" w:sz="4" w:space="0" w:color="000000"/>
              <w:right w:val="single" w:sz="4" w:space="0" w:color="000000"/>
            </w:tcBorders>
            <w:shd w:val="clear" w:color="auto" w:fill="D2D2D2"/>
          </w:tcPr>
          <w:p>
            <w:pPr/>
          </w:p>
        </w:tc>
        <w:tc>
          <w:tcPr>
            <w:tcW w:w="92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9" w:lineRule="auto"/>
              <w:ind w:left="398" w:right="4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9" w:lineRule="auto"/>
              <w:ind w:left="540" w:right="95"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3" w:hRule="exact"/>
        </w:trPr>
        <w:tc>
          <w:tcPr>
            <w:tcW w:w="2518" w:type="dxa"/>
            <w:vMerge/>
            <w:tcBorders>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76" w:right="7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1" w:type="dxa"/>
            <w:vMerge/>
            <w:tcBorders>
              <w:left w:val="single" w:sz="4" w:space="0" w:color="000000"/>
              <w:right w:val="single" w:sz="4" w:space="0" w:color="000000"/>
            </w:tcBorders>
            <w:shd w:val="clear" w:color="auto" w:fill="D2D2D2"/>
          </w:tcPr>
          <w:p>
            <w:pPr/>
          </w:p>
        </w:tc>
        <w:tc>
          <w:tcPr>
            <w:tcW w:w="1279" w:type="dxa"/>
            <w:vMerge/>
            <w:tcBorders>
              <w:left w:val="single" w:sz="4" w:space="0" w:color="000000"/>
              <w:right w:val="single" w:sz="4" w:space="0" w:color="000000"/>
            </w:tcBorders>
            <w:shd w:val="clear" w:color="auto" w:fill="D2D2D2"/>
          </w:tcPr>
          <w:p>
            <w:pPr/>
          </w:p>
        </w:tc>
      </w:tr>
      <w:tr>
        <w:trPr>
          <w:trHeight w:val="713" w:hRule="exact"/>
        </w:trPr>
        <w:tc>
          <w:tcPr>
            <w:tcW w:w="251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27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70" w:footer="979" w:top="1060" w:bottom="1160" w:left="1340" w:right="1240"/>
        </w:sectPr>
      </w:pPr>
    </w:p>
    <w:p>
      <w:pPr>
        <w:spacing w:line="240" w:lineRule="auto" w:before="0"/>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518"/>
        <w:gridCol w:w="1277"/>
        <w:gridCol w:w="708"/>
        <w:gridCol w:w="708"/>
        <w:gridCol w:w="286"/>
        <w:gridCol w:w="1274"/>
        <w:gridCol w:w="994"/>
        <w:gridCol w:w="708"/>
        <w:gridCol w:w="425"/>
        <w:gridCol w:w="1135"/>
        <w:gridCol w:w="425"/>
        <w:gridCol w:w="1277"/>
        <w:gridCol w:w="991"/>
        <w:gridCol w:w="1277"/>
      </w:tblGrid>
      <w:tr>
        <w:trPr>
          <w:trHeight w:val="418" w:hRule="exact"/>
        </w:trPr>
        <w:tc>
          <w:tcPr>
            <w:tcW w:w="25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158,400,000.00</w:t>
            </w: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28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62,580,990.76</w:t>
            </w:r>
          </w:p>
        </w:tc>
        <w:tc>
          <w:tcPr>
            <w:tcW w:w="994"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15,989,951.55</w:t>
            </w: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101,909,002.02</w:t>
            </w:r>
          </w:p>
        </w:tc>
        <w:tc>
          <w:tcPr>
            <w:tcW w:w="991"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338,879,944.33</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158,400,000.00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62,580,990.76</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15,989,951.55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101,909,002.02</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338,879,944.33</w:t>
            </w:r>
          </w:p>
        </w:tc>
      </w:tr>
      <w:tr>
        <w:trPr>
          <w:trHeight w:val="715"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1" w:right="144"/>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1,847,362.42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6,331,066.40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774,574.48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8,953,003.30</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17,682,428.82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-125,425.52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17,557,003.30</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center"/>
              <w:rPr>
                <w:rFonts w:ascii="Times New Roman" w:hAnsi="Times New Roman" w:cs="Times New Roman" w:eastAsia="Times New Roman" w:hint="default"/>
                <w:sz w:val="18"/>
                <w:szCs w:val="18"/>
              </w:rPr>
            </w:pPr>
            <w:r>
              <w:rPr>
                <w:rFonts w:ascii="Times New Roman"/>
                <w:sz w:val="18"/>
              </w:rPr>
              <w:t>900,000.00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900,000.00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716"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1,847,362.42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-11,351,362.42</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-9,504,000.00</w:t>
            </w:r>
          </w:p>
        </w:tc>
      </w:tr>
      <w:tr>
        <w:trPr>
          <w:trHeight w:val="404"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2" w:right="0"/>
              <w:jc w:val="center"/>
              <w:rPr>
                <w:rFonts w:ascii="Times New Roman" w:hAnsi="Times New Roman" w:cs="Times New Roman" w:eastAsia="Times New Roman" w:hint="default"/>
                <w:sz w:val="18"/>
                <w:szCs w:val="18"/>
              </w:rPr>
            </w:pPr>
            <w:r>
              <w:rPr>
                <w:rFonts w:ascii="Times New Roman"/>
                <w:sz w:val="18"/>
              </w:rPr>
              <w:t>1,847,362.42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-1,847,362.42</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-9,504,000.00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-9,504,000.00</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2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9" w:top="1060" w:bottom="1160" w:left="1360" w:right="1240"/>
        </w:sectPr>
      </w:pPr>
    </w:p>
    <w:p>
      <w:pPr>
        <w:spacing w:line="240" w:lineRule="auto" w:before="0"/>
        <w:rPr>
          <w:rFonts w:ascii="Times New Roman" w:hAnsi="Times New Roman" w:cs="Times New Roman" w:eastAsia="Times New Roman"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2518"/>
        <w:gridCol w:w="1277"/>
        <w:gridCol w:w="708"/>
        <w:gridCol w:w="708"/>
        <w:gridCol w:w="286"/>
        <w:gridCol w:w="1274"/>
        <w:gridCol w:w="994"/>
        <w:gridCol w:w="708"/>
        <w:gridCol w:w="425"/>
        <w:gridCol w:w="1135"/>
        <w:gridCol w:w="425"/>
        <w:gridCol w:w="1277"/>
        <w:gridCol w:w="991"/>
        <w:gridCol w:w="1277"/>
      </w:tblGrid>
      <w:tr>
        <w:trPr>
          <w:trHeight w:val="730" w:hRule="exact"/>
        </w:trPr>
        <w:tc>
          <w:tcPr>
            <w:tcW w:w="25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1" w:right="2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277"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28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158,400,000.00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62,580,990.76</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17,837,313.97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108,240,068.42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774,574.48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347,832,947.63</w:t>
            </w:r>
          </w:p>
        </w:tc>
      </w:tr>
    </w:tbl>
    <w:p>
      <w:pPr>
        <w:spacing w:line="240" w:lineRule="auto" w:before="1"/>
        <w:rPr>
          <w:rFonts w:ascii="Times New Roman" w:hAnsi="Times New Roman" w:cs="Times New Roman" w:eastAsia="Times New Roman" w:hint="default"/>
          <w:sz w:val="22"/>
          <w:szCs w:val="22"/>
        </w:rPr>
      </w:pPr>
    </w:p>
    <w:p>
      <w:pPr>
        <w:pStyle w:val="Heading5"/>
        <w:spacing w:line="335" w:lineRule="exact"/>
        <w:ind w:left="10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0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228"/>
        <w:gridCol w:w="1417"/>
        <w:gridCol w:w="852"/>
        <w:gridCol w:w="708"/>
        <w:gridCol w:w="425"/>
        <w:gridCol w:w="1277"/>
        <w:gridCol w:w="991"/>
        <w:gridCol w:w="708"/>
        <w:gridCol w:w="569"/>
        <w:gridCol w:w="1133"/>
        <w:gridCol w:w="1277"/>
        <w:gridCol w:w="1418"/>
      </w:tblGrid>
      <w:tr>
        <w:trPr>
          <w:trHeight w:val="396" w:hRule="exact"/>
        </w:trPr>
        <w:tc>
          <w:tcPr>
            <w:tcW w:w="3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6" w:hRule="exact"/>
        </w:trPr>
        <w:tc>
          <w:tcPr>
            <w:tcW w:w="3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right="1428"/>
              <w:jc w:val="right"/>
              <w:rPr>
                <w:rFonts w:ascii="宋体" w:hAnsi="宋体" w:cs="宋体" w:eastAsia="宋体" w:hint="default"/>
                <w:sz w:val="18"/>
                <w:szCs w:val="18"/>
              </w:rPr>
            </w:pPr>
            <w:r>
              <w:rPr>
                <w:rFonts w:ascii="宋体" w:hAnsi="宋体" w:cs="宋体" w:eastAsia="宋体" w:hint="default"/>
                <w:sz w:val="18"/>
                <w:szCs w:val="18"/>
              </w:rPr>
              <w:t>项目</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8"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3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62,580,990.76</w:t>
            </w: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17,837,313.97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105,311,825.64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344,130,130.37</w:t>
            </w: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4"/>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4"/>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62,580,990.76</w:t>
            </w: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17,837,313.97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105,311,825.64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344,130,130.37</w:t>
            </w:r>
          </w:p>
        </w:tc>
      </w:tr>
      <w:tr>
        <w:trPr>
          <w:trHeight w:val="71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1" w:right="156"/>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9,431,090.00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219,166,589.76</w:t>
            </w: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982,062.65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6,462,644.34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236,042,386.75</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9,820,626.47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9,820,626.47</w:t>
            </w:r>
          </w:p>
        </w:tc>
      </w:tr>
    </w:tbl>
    <w:p>
      <w:pPr>
        <w:spacing w:after="0" w:line="240" w:lineRule="auto"/>
        <w:jc w:val="right"/>
        <w:rPr>
          <w:rFonts w:ascii="Times New Roman" w:hAnsi="Times New Roman" w:cs="Times New Roman" w:eastAsia="Times New Roman" w:hint="default"/>
          <w:sz w:val="18"/>
          <w:szCs w:val="18"/>
        </w:rPr>
        <w:sectPr>
          <w:footerReference w:type="default" r:id="rId49"/>
          <w:pgSz w:w="16840" w:h="11910" w:orient="landscape"/>
          <w:pgMar w:footer="979" w:header="870" w:top="1060" w:bottom="1160" w:left="1340" w:right="1240"/>
        </w:sectPr>
      </w:pPr>
    </w:p>
    <w:p>
      <w:pPr>
        <w:spacing w:line="240" w:lineRule="auto" w:before="9"/>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228"/>
        <w:gridCol w:w="1417"/>
        <w:gridCol w:w="852"/>
        <w:gridCol w:w="708"/>
        <w:gridCol w:w="425"/>
        <w:gridCol w:w="1277"/>
        <w:gridCol w:w="991"/>
        <w:gridCol w:w="708"/>
        <w:gridCol w:w="569"/>
        <w:gridCol w:w="1133"/>
        <w:gridCol w:w="1277"/>
        <w:gridCol w:w="1418"/>
      </w:tblGrid>
      <w:tr>
        <w:trPr>
          <w:trHeight w:val="418" w:hRule="exact"/>
        </w:trPr>
        <w:tc>
          <w:tcPr>
            <w:tcW w:w="322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9,431,090.00</w:t>
            </w:r>
          </w:p>
        </w:tc>
        <w:tc>
          <w:tcPr>
            <w:tcW w:w="852"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219,166,589.76</w:t>
            </w:r>
          </w:p>
        </w:tc>
        <w:tc>
          <w:tcPr>
            <w:tcW w:w="991"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228,597,679.76</w:t>
            </w: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9,431,090.00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219,166,589.76</w:t>
            </w: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228,597,679.76</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982,062.65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-3,357,982.13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982,062.65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-982,062.65</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-2,375,919.48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167,831,090.00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281,747,580.52</w:t>
            </w: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18,819,376.62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111,774,469.98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580,172,517.12</w:t>
            </w:r>
          </w:p>
        </w:tc>
      </w:tr>
    </w:tbl>
    <w:p>
      <w:pPr>
        <w:spacing w:before="49"/>
        <w:ind w:left="10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3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937"/>
        <w:gridCol w:w="1418"/>
        <w:gridCol w:w="1843"/>
        <w:gridCol w:w="1133"/>
        <w:gridCol w:w="991"/>
        <w:gridCol w:w="710"/>
        <w:gridCol w:w="566"/>
        <w:gridCol w:w="1136"/>
        <w:gridCol w:w="1133"/>
        <w:gridCol w:w="1294"/>
      </w:tblGrid>
      <w:tr>
        <w:trPr>
          <w:trHeight w:val="404" w:hRule="exact"/>
        </w:trPr>
        <w:tc>
          <w:tcPr>
            <w:tcW w:w="3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022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937"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6"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所有者权益合</w:t>
            </w:r>
          </w:p>
        </w:tc>
      </w:tr>
    </w:tbl>
    <w:p>
      <w:pPr>
        <w:spacing w:after="0" w:line="240" w:lineRule="auto"/>
        <w:jc w:val="left"/>
        <w:rPr>
          <w:rFonts w:ascii="宋体" w:hAnsi="宋体" w:cs="宋体" w:eastAsia="宋体" w:hint="default"/>
          <w:sz w:val="18"/>
          <w:szCs w:val="18"/>
        </w:rPr>
        <w:sectPr>
          <w:footerReference w:type="default" r:id="rId50"/>
          <w:pgSz w:w="16840" w:h="11910" w:orient="landscape"/>
          <w:pgMar w:footer="979" w:header="870" w:top="1060" w:bottom="1160" w:left="1340" w:right="1080"/>
          <w:pgNumType w:start="1"/>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937"/>
        <w:gridCol w:w="1418"/>
        <w:gridCol w:w="708"/>
        <w:gridCol w:w="708"/>
        <w:gridCol w:w="427"/>
        <w:gridCol w:w="1133"/>
        <w:gridCol w:w="991"/>
        <w:gridCol w:w="710"/>
        <w:gridCol w:w="566"/>
        <w:gridCol w:w="1136"/>
        <w:gridCol w:w="1133"/>
        <w:gridCol w:w="1291"/>
      </w:tblGrid>
      <w:tr>
        <w:trPr>
          <w:trHeight w:val="416" w:hRule="exact"/>
        </w:trPr>
        <w:tc>
          <w:tcPr>
            <w:tcW w:w="393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9"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5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6"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13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29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62,580,990.76</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15,989,951.55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98,189,563.92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335,160,506.23</w:t>
            </w: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62,580,990.76</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15,989,951.55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98,189,563.92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335,160,506.23</w:t>
            </w: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1,847,362.42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7,122,261.72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8,969,624.14</w:t>
            </w: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18,473,624.14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18,473,624.14</w:t>
            </w: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1,847,362.42</w:t>
            </w:r>
          </w:p>
        </w:tc>
        <w:tc>
          <w:tcPr>
            <w:tcW w:w="1133" w:type="dxa"/>
            <w:vMerge w:val="restart"/>
            <w:tcBorders>
              <w:top w:val="single" w:sz="4" w:space="0" w:color="000000"/>
              <w:left w:val="single" w:sz="4" w:space="0" w:color="000000"/>
              <w:right w:val="single" w:sz="4" w:space="0" w:color="000000"/>
            </w:tcBorders>
          </w:tcPr>
          <w:p>
            <w:pPr>
              <w:pStyle w:val="TableParagraph"/>
              <w:spacing w:line="362" w:lineRule="auto" w:before="93"/>
              <w:ind w:left="69" w:right="23" w:firstLine="969"/>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11,351,362.42</w:t>
            </w:r>
          </w:p>
        </w:tc>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-9,504,000.00</w:t>
            </w:r>
          </w:p>
        </w:tc>
      </w:tr>
      <w:tr>
        <w:trPr>
          <w:trHeight w:val="391" w:hRule="exact"/>
        </w:trPr>
        <w:tc>
          <w:tcPr>
            <w:tcW w:w="3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91" w:type="dxa"/>
            <w:vMerge/>
            <w:tcBorders>
              <w:left w:val="single" w:sz="4" w:space="0" w:color="000000"/>
              <w:right w:val="single" w:sz="4" w:space="0" w:color="000000"/>
            </w:tcBorders>
          </w:tcPr>
          <w:p>
            <w:pPr/>
          </w:p>
        </w:tc>
      </w:tr>
      <w:tr>
        <w:trPr>
          <w:trHeight w:val="161" w:hRule="exact"/>
        </w:trPr>
        <w:tc>
          <w:tcPr>
            <w:tcW w:w="3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91" w:type="dxa"/>
            <w:vMerge/>
            <w:tcBorders>
              <w:left w:val="single" w:sz="4" w:space="0" w:color="000000"/>
              <w:bottom w:val="single" w:sz="4" w:space="0" w:color="000000"/>
              <w:right w:val="single" w:sz="4" w:space="0" w:color="000000"/>
            </w:tcBorders>
          </w:tcPr>
          <w:p>
            <w:pP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1,847,362.42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-1,847,362.42</w:t>
            </w: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-9,504,000.00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-9,504,000.00</w:t>
            </w: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9" w:top="1060" w:bottom="1160" w:left="1360" w:right="1080"/>
        </w:sectPr>
      </w:pPr>
    </w:p>
    <w:p>
      <w:pPr>
        <w:spacing w:line="240" w:lineRule="auto" w:before="0"/>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937"/>
        <w:gridCol w:w="1418"/>
        <w:gridCol w:w="708"/>
        <w:gridCol w:w="708"/>
        <w:gridCol w:w="427"/>
        <w:gridCol w:w="1133"/>
        <w:gridCol w:w="991"/>
        <w:gridCol w:w="710"/>
        <w:gridCol w:w="566"/>
        <w:gridCol w:w="1136"/>
        <w:gridCol w:w="1133"/>
        <w:gridCol w:w="1291"/>
      </w:tblGrid>
      <w:tr>
        <w:trPr>
          <w:trHeight w:val="418" w:hRule="exact"/>
        </w:trPr>
        <w:tc>
          <w:tcPr>
            <w:tcW w:w="3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291"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158,400,000.00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62,580,990.76</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17,837,313.97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105,311,825.6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344,130,130.37</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70" w:footer="979" w:top="1060" w:bottom="1160" w:left="1360" w:right="1080"/>
        </w:sectPr>
      </w:pPr>
    </w:p>
    <w:p>
      <w:pPr>
        <w:spacing w:line="240" w:lineRule="auto" w:before="7"/>
        <w:rPr>
          <w:rFonts w:ascii="Times New Roman" w:hAnsi="Times New Roman" w:cs="Times New Roman" w:eastAsia="Times New Roman" w:hint="default"/>
          <w:sz w:val="22"/>
          <w:szCs w:val="22"/>
        </w:rPr>
      </w:pPr>
    </w:p>
    <w:p>
      <w:pPr>
        <w:pStyle w:val="Heading3"/>
        <w:spacing w:line="367" w:lineRule="exact"/>
        <w:ind w:right="0"/>
        <w:jc w:val="both"/>
        <w:rPr>
          <w:b w:val="0"/>
          <w:bCs w:val="0"/>
        </w:rPr>
      </w:pPr>
      <w:r>
        <w:rPr/>
        <w:t>三、公司基本情况</w:t>
      </w:r>
      <w:r>
        <w:rPr>
          <w:b w:val="0"/>
          <w:bCs w:val="0"/>
        </w:rPr>
      </w:r>
    </w:p>
    <w:p>
      <w:pPr>
        <w:spacing w:line="240" w:lineRule="auto" w:before="13"/>
        <w:rPr>
          <w:rFonts w:ascii="Microsoft JhengHei" w:hAnsi="Microsoft JhengHei" w:cs="Microsoft JhengHei" w:eastAsia="Microsoft JhengHei" w:hint="default"/>
          <w:b/>
          <w:bCs/>
          <w:sz w:val="17"/>
          <w:szCs w:val="17"/>
        </w:rPr>
      </w:pPr>
    </w:p>
    <w:p>
      <w:pPr>
        <w:spacing w:line="350" w:lineRule="auto" w:before="0"/>
        <w:ind w:left="592" w:right="0" w:hanging="20"/>
        <w:jc w:val="left"/>
        <w:rPr>
          <w:rFonts w:ascii="宋体" w:hAnsi="宋体" w:cs="宋体" w:eastAsia="宋体"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、历史沿革、注册地、组织形式和总部地址</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宋体" w:hAnsi="宋体" w:cs="宋体" w:eastAsia="宋体" w:hint="default"/>
          <w:sz w:val="21"/>
          <w:szCs w:val="21"/>
        </w:rPr>
        <w:t>深圳市方直科技股份有限公司</w:t>
      </w:r>
      <w:r>
        <w:rPr>
          <w:rFonts w:ascii="宋体" w:hAnsi="宋体" w:cs="宋体" w:eastAsia="宋体" w:hint="default"/>
          <w:sz w:val="21"/>
          <w:szCs w:val="21"/>
        </w:rPr>
        <w:t>(</w:t>
      </w:r>
      <w:r>
        <w:rPr>
          <w:rFonts w:ascii="宋体" w:hAnsi="宋体" w:cs="宋体" w:eastAsia="宋体" w:hint="default"/>
          <w:sz w:val="21"/>
          <w:szCs w:val="21"/>
        </w:rPr>
        <w:t>以下简称本公司，在包括子公司时简称本集团</w:t>
      </w:r>
      <w:r>
        <w:rPr>
          <w:rFonts w:ascii="宋体" w:hAnsi="宋体" w:cs="宋体" w:eastAsia="宋体" w:hint="default"/>
          <w:sz w:val="21"/>
          <w:szCs w:val="21"/>
        </w:rPr>
        <w:t>)</w:t>
      </w:r>
      <w:r>
        <w:rPr>
          <w:rFonts w:ascii="宋体" w:hAnsi="宋体" w:cs="宋体" w:eastAsia="宋体" w:hint="default"/>
          <w:sz w:val="21"/>
          <w:szCs w:val="21"/>
        </w:rPr>
        <w:t>是以黄元忠等</w:t>
      </w:r>
      <w:r>
        <w:rPr>
          <w:rFonts w:ascii="宋体" w:hAnsi="宋体" w:cs="宋体" w:eastAsia="宋体" w:hint="default"/>
          <w:sz w:val="21"/>
          <w:szCs w:val="21"/>
        </w:rPr>
        <w:t>7</w:t>
      </w:r>
      <w:r>
        <w:rPr>
          <w:rFonts w:ascii="宋体" w:hAnsi="宋体" w:cs="宋体" w:eastAsia="宋体" w:hint="default"/>
          <w:sz w:val="21"/>
          <w:szCs w:val="21"/>
        </w:rPr>
        <w:t>位自然</w:t>
      </w:r>
    </w:p>
    <w:p>
      <w:pPr>
        <w:pStyle w:val="BodyText"/>
        <w:spacing w:line="408" w:lineRule="auto" w:before="96"/>
        <w:ind w:right="206"/>
        <w:jc w:val="both"/>
      </w:pPr>
      <w:r>
        <w:rPr>
          <w:spacing w:val="-2"/>
        </w:rPr>
        <w:t>人和深圳市戈尔登投资有限公司为发起人，由深圳市方直科技有限公司以整体变更方式设立的股份有限公</w:t>
      </w:r>
      <w:r>
        <w:rPr>
          <w:spacing w:val="-43"/>
        </w:rPr>
        <w:t> </w:t>
      </w:r>
      <w:r>
        <w:rPr>
          <w:spacing w:val="-43"/>
        </w:rPr>
      </w:r>
      <w:r>
        <w:rPr>
          <w:spacing w:val="-6"/>
        </w:rPr>
        <w:t>司，领有深圳市工商行政管理局核发的注册号</w:t>
      </w:r>
      <w:r>
        <w:rPr>
          <w:rFonts w:ascii="宋体" w:hAnsi="宋体" w:cs="宋体" w:eastAsia="宋体" w:hint="default"/>
          <w:spacing w:val="-6"/>
        </w:rPr>
        <w:t>440301103180183</w:t>
      </w:r>
      <w:r>
        <w:rPr>
          <w:spacing w:val="-6"/>
        </w:rPr>
        <w:t>号《企业法人营业执照》。</w:t>
      </w:r>
      <w:r>
        <w:rPr>
          <w:rFonts w:ascii="宋体" w:hAnsi="宋体" w:cs="宋体" w:eastAsia="宋体" w:hint="default"/>
          <w:spacing w:val="-6"/>
        </w:rPr>
        <w:t>2016</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27</w:t>
      </w:r>
      <w:r>
        <w:rPr>
          <w:spacing w:val="-6"/>
        </w:rPr>
        <w:t>日，</w:t>
      </w:r>
      <w:r>
        <w:rPr>
          <w:spacing w:val="-1"/>
        </w:rPr>
        <w:t> </w:t>
      </w:r>
      <w:r>
        <w:rPr>
          <w:spacing w:val="-2"/>
        </w:rPr>
        <w:t>本公司经深圳市市场监督管理局核准，工商营业执照、组织机构代码证和税务登记证三证合为一证，换发</w:t>
      </w:r>
      <w:r>
        <w:rPr>
          <w:spacing w:val="-42"/>
        </w:rPr>
        <w:t> </w:t>
      </w:r>
      <w:r>
        <w:rPr>
          <w:spacing w:val="-42"/>
        </w:rPr>
      </w:r>
      <w:r>
        <w:rPr/>
        <w:t>统一社会信用代码为</w:t>
      </w:r>
      <w:r>
        <w:rPr>
          <w:rFonts w:ascii="宋体" w:hAnsi="宋体" w:cs="宋体" w:eastAsia="宋体" w:hint="default"/>
        </w:rPr>
        <w:t>91440300279416467B</w:t>
      </w:r>
      <w:r>
        <w:rPr/>
        <w:t>的营业执照。</w:t>
      </w:r>
    </w:p>
    <w:p>
      <w:pPr>
        <w:pStyle w:val="BodyText"/>
        <w:spacing w:line="408" w:lineRule="auto"/>
        <w:ind w:right="206" w:firstLine="439"/>
        <w:jc w:val="both"/>
      </w:pPr>
      <w:r>
        <w:rPr/>
        <w:t>本公司前身为深圳市方直电子科技有限公司，系于</w:t>
      </w:r>
      <w:r>
        <w:rPr>
          <w:rFonts w:ascii="宋体" w:hAnsi="宋体" w:cs="宋体" w:eastAsia="宋体" w:hint="default"/>
        </w:rPr>
        <w:t>1992</w:t>
      </w:r>
      <w:r>
        <w:rPr/>
        <w:t>年</w:t>
      </w:r>
      <w:r>
        <w:rPr>
          <w:rFonts w:ascii="宋体" w:hAnsi="宋体" w:cs="宋体" w:eastAsia="宋体" w:hint="default"/>
        </w:rPr>
        <w:t>12</w:t>
      </w:r>
      <w:r>
        <w:rPr/>
        <w:t>月</w:t>
      </w:r>
      <w:r>
        <w:rPr>
          <w:rFonts w:ascii="宋体" w:hAnsi="宋体" w:cs="宋体" w:eastAsia="宋体" w:hint="default"/>
        </w:rPr>
        <w:t>2</w:t>
      </w:r>
      <w:r>
        <w:rPr/>
        <w:t>日经深圳市人民政府办公厅以深府办</w:t>
      </w:r>
      <w:r>
        <w:rPr>
          <w:w w:val="100"/>
        </w:rPr>
        <w:t> </w:t>
      </w:r>
      <w:r>
        <w:rPr>
          <w:spacing w:val="-4"/>
        </w:rPr>
        <w:t>复（</w:t>
      </w:r>
      <w:r>
        <w:rPr>
          <w:rFonts w:ascii="宋体" w:hAnsi="宋体" w:cs="宋体" w:eastAsia="宋体" w:hint="default"/>
          <w:spacing w:val="-4"/>
        </w:rPr>
        <w:t>1992</w:t>
      </w:r>
      <w:r>
        <w:rPr>
          <w:spacing w:val="-4"/>
        </w:rPr>
        <w:t>）</w:t>
      </w:r>
      <w:r>
        <w:rPr>
          <w:rFonts w:ascii="宋体" w:hAnsi="宋体" w:cs="宋体" w:eastAsia="宋体" w:hint="default"/>
          <w:spacing w:val="-4"/>
        </w:rPr>
        <w:t>1747</w:t>
      </w:r>
      <w:r>
        <w:rPr>
          <w:spacing w:val="-4"/>
        </w:rPr>
        <w:t>号《关于成立深圳市方直电子科技有限公司的批复》同意，成立于</w:t>
      </w:r>
      <w:r>
        <w:rPr>
          <w:rFonts w:ascii="宋体" w:hAnsi="宋体" w:cs="宋体" w:eastAsia="宋体" w:hint="default"/>
          <w:spacing w:val="-4"/>
        </w:rPr>
        <w:t>1993</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19</w:t>
      </w:r>
      <w:r>
        <w:rPr>
          <w:spacing w:val="-4"/>
        </w:rPr>
        <w:t>日，注册资</w:t>
      </w:r>
      <w:r>
        <w:rPr>
          <w:spacing w:val="-25"/>
        </w:rPr>
        <w:t> </w:t>
      </w:r>
      <w:r>
        <w:rPr>
          <w:spacing w:val="-25"/>
        </w:rPr>
      </w:r>
      <w:r>
        <w:rPr/>
        <w:t>本人民币</w:t>
      </w:r>
      <w:r>
        <w:rPr>
          <w:rFonts w:ascii="宋体" w:hAnsi="宋体" w:cs="宋体" w:eastAsia="宋体" w:hint="default"/>
        </w:rPr>
        <w:t>30.00</w:t>
      </w:r>
      <w:r>
        <w:rPr/>
        <w:t>万元，由黄元忠、张竑天和陈克让各出资人民币</w:t>
      </w:r>
      <w:r>
        <w:rPr>
          <w:rFonts w:ascii="宋体" w:hAnsi="宋体" w:cs="宋体" w:eastAsia="宋体" w:hint="default"/>
        </w:rPr>
        <w:t>10.00</w:t>
      </w:r>
      <w:r>
        <w:rPr/>
        <w:t>万元设立。</w:t>
      </w:r>
    </w:p>
    <w:p>
      <w:pPr>
        <w:pStyle w:val="BodyText"/>
        <w:spacing w:line="408" w:lineRule="auto"/>
        <w:ind w:right="206" w:firstLine="439"/>
        <w:jc w:val="both"/>
      </w:pPr>
      <w:r>
        <w:rPr>
          <w:rFonts w:ascii="宋体" w:hAnsi="宋体" w:cs="宋体" w:eastAsia="宋体" w:hint="default"/>
        </w:rPr>
        <w:t>1997</w:t>
      </w:r>
      <w:r>
        <w:rPr/>
        <w:t>年</w:t>
      </w:r>
      <w:r>
        <w:rPr>
          <w:rFonts w:ascii="宋体" w:hAnsi="宋体" w:cs="宋体" w:eastAsia="宋体" w:hint="default"/>
        </w:rPr>
        <w:t>5</w:t>
      </w:r>
      <w:r>
        <w:rPr/>
        <w:t>月</w:t>
      </w:r>
      <w:r>
        <w:rPr>
          <w:rFonts w:ascii="宋体" w:hAnsi="宋体" w:cs="宋体" w:eastAsia="宋体" w:hint="default"/>
        </w:rPr>
        <w:t>15</w:t>
      </w:r>
      <w:r>
        <w:rPr/>
        <w:t>日，本公司股东会通过决议，同意张竑天将所持公司股权转让给黄晓峰；同意广州保税</w:t>
      </w:r>
      <w:r>
        <w:rPr>
          <w:w w:val="100"/>
        </w:rPr>
        <w:t> </w:t>
      </w:r>
      <w:r>
        <w:rPr>
          <w:spacing w:val="-2"/>
        </w:rPr>
        <w:t>区开特科技发展有限公司、广州保税区立诚经济发展有限公司及本公司原股东对公司进行增资，增资后注</w:t>
      </w:r>
      <w:r>
        <w:rPr>
          <w:spacing w:val="-43"/>
        </w:rPr>
        <w:t> </w:t>
      </w:r>
      <w:r>
        <w:rPr>
          <w:spacing w:val="-43"/>
        </w:rPr>
      </w:r>
      <w:r>
        <w:rPr/>
        <w:t>册资本变更为人民币</w:t>
      </w:r>
      <w:r>
        <w:rPr>
          <w:rFonts w:ascii="宋体" w:hAnsi="宋体" w:cs="宋体" w:eastAsia="宋体" w:hint="default"/>
        </w:rPr>
        <w:t>395.00</w:t>
      </w:r>
      <w:r>
        <w:rPr/>
        <w:t>万元。本公司于</w:t>
      </w:r>
      <w:r>
        <w:rPr>
          <w:rFonts w:ascii="宋体" w:hAnsi="宋体" w:cs="宋体" w:eastAsia="宋体" w:hint="default"/>
        </w:rPr>
        <w:t>1997</w:t>
      </w:r>
      <w:r>
        <w:rPr/>
        <w:t>年</w:t>
      </w:r>
      <w:r>
        <w:rPr>
          <w:rFonts w:ascii="宋体" w:hAnsi="宋体" w:cs="宋体" w:eastAsia="宋体" w:hint="default"/>
        </w:rPr>
        <w:t>7</w:t>
      </w:r>
      <w:r>
        <w:rPr/>
        <w:t>月</w:t>
      </w:r>
      <w:r>
        <w:rPr>
          <w:rFonts w:ascii="宋体" w:hAnsi="宋体" w:cs="宋体" w:eastAsia="宋体" w:hint="default"/>
        </w:rPr>
        <w:t>7</w:t>
      </w:r>
      <w:r>
        <w:rPr/>
        <w:t>日完成工商变更登记。</w:t>
      </w:r>
    </w:p>
    <w:p>
      <w:pPr>
        <w:pStyle w:val="BodyText"/>
        <w:spacing w:line="408" w:lineRule="auto"/>
        <w:ind w:right="213" w:firstLine="439"/>
        <w:jc w:val="both"/>
      </w:pPr>
      <w:r>
        <w:rPr>
          <w:rFonts w:ascii="宋体" w:hAnsi="宋体" w:cs="宋体" w:eastAsia="宋体" w:hint="default"/>
        </w:rPr>
        <w:t>1999</w:t>
      </w:r>
      <w:r>
        <w:rPr/>
        <w:t>年</w:t>
      </w:r>
      <w:r>
        <w:rPr>
          <w:rFonts w:ascii="宋体" w:hAnsi="宋体" w:cs="宋体" w:eastAsia="宋体" w:hint="default"/>
        </w:rPr>
        <w:t>8</w:t>
      </w:r>
      <w:r>
        <w:rPr/>
        <w:t>月</w:t>
      </w:r>
      <w:r>
        <w:rPr>
          <w:rFonts w:ascii="宋体" w:hAnsi="宋体" w:cs="宋体" w:eastAsia="宋体" w:hint="default"/>
        </w:rPr>
        <w:t>11</w:t>
      </w:r>
      <w:r>
        <w:rPr/>
        <w:t>日，本公司股东会通过决议，同意深圳市菲莫斯实业发展有限公司对公司进行增资，增</w:t>
      </w:r>
      <w:r>
        <w:rPr>
          <w:w w:val="100"/>
        </w:rPr>
        <w:t> </w:t>
      </w:r>
      <w:r>
        <w:rPr/>
        <w:t>资后注册资本变更为人民币</w:t>
      </w:r>
      <w:r>
        <w:rPr>
          <w:rFonts w:ascii="宋体" w:hAnsi="宋体" w:cs="宋体" w:eastAsia="宋体" w:hint="default"/>
        </w:rPr>
        <w:t>806.12</w:t>
      </w:r>
      <w:r>
        <w:rPr/>
        <w:t>万元。本公司于</w:t>
      </w:r>
      <w:r>
        <w:rPr>
          <w:rFonts w:ascii="宋体" w:hAnsi="宋体" w:cs="宋体" w:eastAsia="宋体" w:hint="default"/>
        </w:rPr>
        <w:t>1999</w:t>
      </w:r>
      <w:r>
        <w:rPr/>
        <w:t>年</w:t>
      </w:r>
      <w:r>
        <w:rPr>
          <w:rFonts w:ascii="宋体" w:hAnsi="宋体" w:cs="宋体" w:eastAsia="宋体" w:hint="default"/>
        </w:rPr>
        <w:t>10</w:t>
      </w:r>
      <w:r>
        <w:rPr/>
        <w:t>月</w:t>
      </w:r>
      <w:r>
        <w:rPr>
          <w:rFonts w:ascii="宋体" w:hAnsi="宋体" w:cs="宋体" w:eastAsia="宋体" w:hint="default"/>
        </w:rPr>
        <w:t>11</w:t>
      </w:r>
      <w:r>
        <w:rPr/>
        <w:t>日完成工商变更登记。</w:t>
      </w:r>
    </w:p>
    <w:p>
      <w:pPr>
        <w:pStyle w:val="BodyText"/>
        <w:spacing w:line="408" w:lineRule="auto"/>
        <w:ind w:right="206" w:firstLine="439"/>
        <w:jc w:val="both"/>
      </w:pPr>
      <w:r>
        <w:rPr>
          <w:rFonts w:ascii="宋体" w:hAnsi="宋体" w:cs="宋体" w:eastAsia="宋体" w:hint="default"/>
        </w:rPr>
        <w:t>2000</w:t>
      </w:r>
      <w:r>
        <w:rPr/>
        <w:t>年</w:t>
      </w:r>
      <w:r>
        <w:rPr>
          <w:rFonts w:ascii="宋体" w:hAnsi="宋体" w:cs="宋体" w:eastAsia="宋体" w:hint="default"/>
        </w:rPr>
        <w:t>7</w:t>
      </w:r>
      <w:r>
        <w:rPr/>
        <w:t>月</w:t>
      </w:r>
      <w:r>
        <w:rPr>
          <w:rFonts w:ascii="宋体" w:hAnsi="宋体" w:cs="宋体" w:eastAsia="宋体" w:hint="default"/>
        </w:rPr>
        <w:t>,</w:t>
      </w:r>
      <w:r>
        <w:rPr>
          <w:rFonts w:ascii="宋体" w:hAnsi="宋体" w:cs="宋体" w:eastAsia="宋体" w:hint="default"/>
          <w:spacing w:val="57"/>
        </w:rPr>
        <w:t> </w:t>
      </w:r>
      <w:r>
        <w:rPr/>
        <w:t>经深圳市福田区公证处以“（</w:t>
      </w:r>
      <w:r>
        <w:rPr>
          <w:rFonts w:ascii="宋体" w:hAnsi="宋体" w:cs="宋体" w:eastAsia="宋体" w:hint="default"/>
        </w:rPr>
        <w:t>2000</w:t>
      </w:r>
      <w:r>
        <w:rPr/>
        <w:t>）深福证字第</w:t>
      </w:r>
      <w:r>
        <w:rPr>
          <w:rFonts w:ascii="宋体" w:hAnsi="宋体" w:cs="宋体" w:eastAsia="宋体" w:hint="default"/>
        </w:rPr>
        <w:t>2795</w:t>
      </w:r>
      <w:r>
        <w:rPr/>
        <w:t>号”公证书公证，深圳市菲莫斯实</w:t>
      </w:r>
      <w:r>
        <w:rPr>
          <w:w w:val="100"/>
        </w:rPr>
        <w:t> </w:t>
      </w:r>
      <w:r>
        <w:rPr>
          <w:spacing w:val="-2"/>
        </w:rPr>
        <w:t>业发展有限公司将其所持公司</w:t>
      </w:r>
      <w:r>
        <w:rPr>
          <w:rFonts w:ascii="宋体" w:hAnsi="宋体" w:cs="宋体" w:eastAsia="宋体" w:hint="default"/>
          <w:spacing w:val="-2"/>
        </w:rPr>
        <w:t>51%</w:t>
      </w:r>
      <w:r>
        <w:rPr>
          <w:spacing w:val="-2"/>
        </w:rPr>
        <w:t>的股权转让给深圳市菲莫斯科技开发有限公司。本公司于</w:t>
      </w:r>
      <w:r>
        <w:rPr>
          <w:rFonts w:ascii="宋体" w:hAnsi="宋体" w:cs="宋体" w:eastAsia="宋体" w:hint="default"/>
          <w:spacing w:val="-2"/>
        </w:rPr>
        <w:t>2000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w:t>
      </w:r>
      <w:r>
        <w:rPr>
          <w:spacing w:val="-38"/>
        </w:rPr>
        <w:t> </w:t>
      </w:r>
      <w:r>
        <w:rPr/>
        <w:t>完成工商变更登记。</w:t>
      </w:r>
    </w:p>
    <w:p>
      <w:pPr>
        <w:pStyle w:val="BodyText"/>
        <w:spacing w:line="408" w:lineRule="auto"/>
        <w:ind w:right="0" w:firstLine="439"/>
        <w:jc w:val="left"/>
      </w:pPr>
      <w:r>
        <w:rPr>
          <w:rFonts w:ascii="宋体" w:hAnsi="宋体" w:cs="宋体" w:eastAsia="宋体" w:hint="default"/>
        </w:rPr>
        <w:t>2005</w:t>
      </w:r>
      <w:r>
        <w:rPr/>
        <w:t>年</w:t>
      </w:r>
      <w:r>
        <w:rPr>
          <w:rFonts w:ascii="宋体" w:hAnsi="宋体" w:cs="宋体" w:eastAsia="宋体" w:hint="default"/>
        </w:rPr>
        <w:t>7</w:t>
      </w:r>
      <w:r>
        <w:rPr/>
        <w:t>月，经深圳国际高新技术产权交易所以“深高交所见（</w:t>
      </w:r>
      <w:r>
        <w:rPr>
          <w:rFonts w:ascii="宋体" w:hAnsi="宋体" w:cs="宋体" w:eastAsia="宋体" w:hint="default"/>
        </w:rPr>
        <w:t>2005</w:t>
      </w:r>
      <w:r>
        <w:rPr/>
        <w:t>）字第</w:t>
      </w:r>
      <w:r>
        <w:rPr>
          <w:rFonts w:ascii="宋体" w:hAnsi="宋体" w:cs="宋体" w:eastAsia="宋体" w:hint="default"/>
        </w:rPr>
        <w:t>2244</w:t>
      </w:r>
      <w:r>
        <w:rPr/>
        <w:t>号”《股权转让见证</w:t>
      </w:r>
      <w:r>
        <w:rPr>
          <w:w w:val="100"/>
        </w:rPr>
        <w:t> </w:t>
      </w:r>
      <w:r>
        <w:rPr>
          <w:spacing w:val="-5"/>
        </w:rPr>
        <w:t>书》见证，深圳市金汛新世纪投资发展有限公司（原名深圳市菲莫斯科技开发有限公司）将所持公司</w:t>
      </w:r>
      <w:r>
        <w:rPr>
          <w:rFonts w:ascii="宋体" w:hAnsi="宋体" w:cs="宋体" w:eastAsia="宋体" w:hint="default"/>
          <w:spacing w:val="-5"/>
        </w:rPr>
        <w:t>51%</w:t>
      </w:r>
      <w:r>
        <w:rPr>
          <w:spacing w:val="-5"/>
        </w:rPr>
        <w:t>的</w:t>
      </w:r>
      <w:r>
        <w:rPr>
          <w:spacing w:val="-4"/>
        </w:rPr>
        <w:t> </w:t>
      </w:r>
      <w:r>
        <w:rPr/>
        <w:t>股权转让给黄晓峰。转让后黄晓峰持股</w:t>
      </w:r>
      <w:r>
        <w:rPr>
          <w:rFonts w:ascii="宋体" w:hAnsi="宋体" w:cs="宋体" w:eastAsia="宋体" w:hint="default"/>
        </w:rPr>
        <w:t>59.06%</w:t>
      </w:r>
      <w:r>
        <w:rPr/>
        <w:t>。本公司于</w:t>
      </w:r>
      <w:r>
        <w:rPr>
          <w:rFonts w:ascii="宋体" w:hAnsi="宋体" w:cs="宋体" w:eastAsia="宋体" w:hint="default"/>
        </w:rPr>
        <w:t>2005</w:t>
      </w:r>
      <w:r>
        <w:rPr/>
        <w:t>年</w:t>
      </w:r>
      <w:r>
        <w:rPr>
          <w:rFonts w:ascii="宋体" w:hAnsi="宋体" w:cs="宋体" w:eastAsia="宋体" w:hint="default"/>
        </w:rPr>
        <w:t>7</w:t>
      </w:r>
      <w:r>
        <w:rPr/>
        <w:t>月</w:t>
      </w:r>
      <w:r>
        <w:rPr>
          <w:rFonts w:ascii="宋体" w:hAnsi="宋体" w:cs="宋体" w:eastAsia="宋体" w:hint="default"/>
        </w:rPr>
        <w:t>26</w:t>
      </w:r>
      <w:r>
        <w:rPr/>
        <w:t>日完成工商变更登记。</w:t>
      </w:r>
      <w:r>
        <w:rPr>
          <w:rFonts w:ascii="宋体" w:hAnsi="宋体" w:cs="宋体" w:eastAsia="宋体" w:hint="default"/>
        </w:rPr>
        <w:t>2005</w:t>
      </w:r>
      <w:r>
        <w:rPr/>
        <w:t>年</w:t>
      </w:r>
      <w:r>
        <w:rPr>
          <w:rFonts w:ascii="宋体" w:hAnsi="宋体" w:cs="宋体" w:eastAsia="宋体" w:hint="default"/>
        </w:rPr>
        <w:t>8</w:t>
      </w:r>
      <w:r>
        <w:rPr/>
        <w:t>月，</w:t>
      </w:r>
      <w:r>
        <w:rPr>
          <w:spacing w:val="-28"/>
        </w:rPr>
        <w:t> </w:t>
      </w:r>
      <w:r>
        <w:rPr/>
        <w:t>公司名称变更为“深圳市方直科技有限公司”。</w:t>
      </w:r>
    </w:p>
    <w:p>
      <w:pPr>
        <w:pStyle w:val="BodyText"/>
        <w:spacing w:line="408" w:lineRule="auto"/>
        <w:ind w:right="206" w:firstLine="439"/>
        <w:jc w:val="both"/>
      </w:pPr>
      <w:r>
        <w:rPr>
          <w:rFonts w:ascii="宋体" w:hAnsi="宋体" w:cs="宋体" w:eastAsia="宋体" w:hint="default"/>
          <w:spacing w:val="-4"/>
        </w:rPr>
        <w:t>2006</w:t>
      </w:r>
      <w:r>
        <w:rPr>
          <w:spacing w:val="-4"/>
        </w:rPr>
        <w:t>年</w:t>
      </w:r>
      <w:r>
        <w:rPr>
          <w:rFonts w:ascii="宋体" w:hAnsi="宋体" w:cs="宋体" w:eastAsia="宋体" w:hint="default"/>
          <w:spacing w:val="-4"/>
        </w:rPr>
        <w:t>1</w:t>
      </w:r>
      <w:r>
        <w:rPr>
          <w:spacing w:val="-4"/>
        </w:rPr>
        <w:t>月，经深圳国际高新技术产权交易所以“深高交所见（</w:t>
      </w:r>
      <w:r>
        <w:rPr>
          <w:rFonts w:ascii="宋体" w:hAnsi="宋体" w:cs="宋体" w:eastAsia="宋体" w:hint="default"/>
          <w:spacing w:val="-4"/>
        </w:rPr>
        <w:t>2006</w:t>
      </w:r>
      <w:r>
        <w:rPr>
          <w:spacing w:val="-4"/>
        </w:rPr>
        <w:t>）字第</w:t>
      </w:r>
      <w:r>
        <w:rPr>
          <w:rFonts w:ascii="宋体" w:hAnsi="宋体" w:cs="宋体" w:eastAsia="宋体" w:hint="default"/>
          <w:spacing w:val="-4"/>
        </w:rPr>
        <w:t>153</w:t>
      </w:r>
      <w:r>
        <w:rPr>
          <w:spacing w:val="-4"/>
        </w:rPr>
        <w:t>号及</w:t>
      </w:r>
      <w:r>
        <w:rPr>
          <w:rFonts w:ascii="宋体" w:hAnsi="宋体" w:cs="宋体" w:eastAsia="宋体" w:hint="default"/>
          <w:spacing w:val="-4"/>
        </w:rPr>
        <w:t>154</w:t>
      </w:r>
      <w:r>
        <w:rPr>
          <w:spacing w:val="-4"/>
        </w:rPr>
        <w:t>号”《股权转让</w:t>
      </w:r>
      <w:r>
        <w:rPr>
          <w:w w:val="100"/>
        </w:rPr>
        <w:t> </w:t>
      </w:r>
      <w:r>
        <w:rPr/>
        <w:t>见证书》见证，广州保税区开特科技发展有限公司及广州市立诚贸易有限公司</w:t>
      </w:r>
      <w:r>
        <w:rPr>
          <w:rFonts w:ascii="宋体" w:hAnsi="宋体" w:cs="宋体" w:eastAsia="宋体" w:hint="default"/>
        </w:rPr>
        <w:t>(</w:t>
      </w:r>
      <w:r>
        <w:rPr/>
        <w:t>原名广州保税区立诚经济</w:t>
      </w:r>
      <w:r>
        <w:rPr>
          <w:spacing w:val="-21"/>
        </w:rPr>
        <w:t> </w:t>
      </w:r>
      <w:r>
        <w:rPr>
          <w:spacing w:val="-21"/>
        </w:rPr>
      </w:r>
      <w:r>
        <w:rPr>
          <w:spacing w:val="-2"/>
        </w:rPr>
        <w:t>发展有限公司</w:t>
      </w:r>
      <w:r>
        <w:rPr>
          <w:rFonts w:ascii="宋体" w:hAnsi="宋体" w:cs="宋体" w:eastAsia="宋体" w:hint="default"/>
          <w:spacing w:val="-2"/>
        </w:rPr>
        <w:t>)</w:t>
      </w:r>
      <w:r>
        <w:rPr>
          <w:spacing w:val="-2"/>
        </w:rPr>
        <w:t>分别将所持公司</w:t>
      </w:r>
      <w:r>
        <w:rPr>
          <w:rFonts w:ascii="宋体" w:hAnsi="宋体" w:cs="宋体" w:eastAsia="宋体" w:hint="default"/>
          <w:spacing w:val="-2"/>
        </w:rPr>
        <w:t>12.41%</w:t>
      </w:r>
      <w:r>
        <w:rPr>
          <w:spacing w:val="-2"/>
        </w:rPr>
        <w:t>的股权转让给黄晓峰。转让后黄晓峰持股</w:t>
      </w:r>
      <w:r>
        <w:rPr>
          <w:rFonts w:ascii="宋体" w:hAnsi="宋体" w:cs="宋体" w:eastAsia="宋体" w:hint="default"/>
          <w:spacing w:val="-2"/>
        </w:rPr>
        <w:t>83.88%</w:t>
      </w:r>
      <w:r>
        <w:rPr>
          <w:spacing w:val="-2"/>
        </w:rPr>
        <w:t>。本公司于</w:t>
      </w:r>
      <w:r>
        <w:rPr>
          <w:rFonts w:ascii="宋体" w:hAnsi="宋体" w:cs="宋体" w:eastAsia="宋体" w:hint="default"/>
          <w:spacing w:val="-2"/>
        </w:rPr>
        <w:t>2006</w:t>
      </w:r>
      <w:r>
        <w:rPr>
          <w:spacing w:val="-2"/>
        </w:rPr>
        <w:t>年</w:t>
      </w:r>
      <w:r>
        <w:rPr>
          <w:rFonts w:ascii="宋体" w:hAnsi="宋体" w:cs="宋体" w:eastAsia="宋体" w:hint="default"/>
          <w:spacing w:val="-2"/>
        </w:rPr>
        <w:t>1</w:t>
      </w:r>
      <w:r>
        <w:rPr>
          <w:rFonts w:ascii="宋体" w:hAnsi="宋体" w:cs="宋体" w:eastAsia="宋体" w:hint="default"/>
          <w:spacing w:val="-30"/>
        </w:rPr>
        <w:t> </w:t>
      </w:r>
      <w:r>
        <w:rPr/>
        <w:t>月</w:t>
      </w:r>
      <w:r>
        <w:rPr>
          <w:rFonts w:ascii="宋体" w:hAnsi="宋体" w:cs="宋体" w:eastAsia="宋体" w:hint="default"/>
        </w:rPr>
        <w:t>19</w:t>
      </w:r>
      <w:r>
        <w:rPr/>
        <w:t>日完成工商变更登记。</w:t>
      </w:r>
    </w:p>
    <w:p>
      <w:pPr>
        <w:pStyle w:val="BodyText"/>
        <w:spacing w:line="408" w:lineRule="auto"/>
        <w:ind w:right="208" w:firstLine="439"/>
        <w:jc w:val="both"/>
      </w:pPr>
      <w:r>
        <w:rPr>
          <w:rFonts w:ascii="宋体" w:hAnsi="宋体" w:cs="宋体" w:eastAsia="宋体" w:hint="default"/>
          <w:spacing w:val="-7"/>
        </w:rPr>
        <w:t>2006</w:t>
      </w:r>
      <w:r>
        <w:rPr>
          <w:spacing w:val="-7"/>
        </w:rPr>
        <w:t>年</w:t>
      </w:r>
      <w:r>
        <w:rPr>
          <w:rFonts w:ascii="宋体" w:hAnsi="宋体" w:cs="宋体" w:eastAsia="宋体" w:hint="default"/>
          <w:spacing w:val="-7"/>
        </w:rPr>
        <w:t>2</w:t>
      </w:r>
      <w:r>
        <w:rPr>
          <w:spacing w:val="-7"/>
        </w:rPr>
        <w:t>月，经深圳国际高新技术产权交易所以“深高交所见（</w:t>
      </w:r>
      <w:r>
        <w:rPr>
          <w:rFonts w:ascii="宋体" w:hAnsi="宋体" w:cs="宋体" w:eastAsia="宋体" w:hint="default"/>
          <w:spacing w:val="-7"/>
        </w:rPr>
        <w:t>2006</w:t>
      </w:r>
      <w:r>
        <w:rPr>
          <w:spacing w:val="-7"/>
        </w:rPr>
        <w:t>）字第</w:t>
      </w:r>
      <w:r>
        <w:rPr>
          <w:rFonts w:ascii="宋体" w:hAnsi="宋体" w:cs="宋体" w:eastAsia="宋体" w:hint="default"/>
          <w:spacing w:val="-7"/>
        </w:rPr>
        <w:t>468</w:t>
      </w:r>
      <w:r>
        <w:rPr>
          <w:spacing w:val="-7"/>
        </w:rPr>
        <w:t>号”《股权转让见证书》</w:t>
      </w:r>
      <w:r>
        <w:rPr>
          <w:w w:val="100"/>
        </w:rPr>
        <w:t> </w:t>
      </w:r>
      <w:r>
        <w:rPr>
          <w:spacing w:val="-2"/>
        </w:rPr>
        <w:t>见证，黄晓峰将所持公司</w:t>
      </w:r>
      <w:r>
        <w:rPr>
          <w:rFonts w:ascii="宋体" w:hAnsi="宋体" w:cs="宋体" w:eastAsia="宋体" w:hint="default"/>
          <w:spacing w:val="-2"/>
        </w:rPr>
        <w:t>25.94%</w:t>
      </w:r>
      <w:r>
        <w:rPr>
          <w:spacing w:val="-2"/>
        </w:rPr>
        <w:t>的股权转让给黄元忠，将所持公司</w:t>
      </w:r>
      <w:r>
        <w:rPr>
          <w:rFonts w:ascii="宋体" w:hAnsi="宋体" w:cs="宋体" w:eastAsia="宋体" w:hint="default"/>
          <w:spacing w:val="-2"/>
        </w:rPr>
        <w:t>24.94%</w:t>
      </w:r>
      <w:r>
        <w:rPr>
          <w:spacing w:val="-2"/>
        </w:rPr>
        <w:t>的股权转让给陈克让，转让后黄</w:t>
      </w:r>
      <w:r>
        <w:rPr>
          <w:spacing w:val="-36"/>
        </w:rPr>
        <w:t> </w:t>
      </w:r>
      <w:r>
        <w:rPr>
          <w:spacing w:val="-36"/>
        </w:rPr>
      </w:r>
      <w:r>
        <w:rPr/>
        <w:t>晓峰持股</w:t>
      </w:r>
      <w:r>
        <w:rPr>
          <w:rFonts w:ascii="宋体" w:hAnsi="宋体" w:cs="宋体" w:eastAsia="宋体" w:hint="default"/>
        </w:rPr>
        <w:t>33%</w:t>
      </w:r>
      <w:r>
        <w:rPr/>
        <w:t>，黄元忠持股</w:t>
      </w:r>
      <w:r>
        <w:rPr>
          <w:rFonts w:ascii="宋体" w:hAnsi="宋体" w:cs="宋体" w:eastAsia="宋体" w:hint="default"/>
        </w:rPr>
        <w:t>34%</w:t>
      </w:r>
      <w:r>
        <w:rPr/>
        <w:t>，陈克让持股</w:t>
      </w:r>
      <w:r>
        <w:rPr>
          <w:rFonts w:ascii="宋体" w:hAnsi="宋体" w:cs="宋体" w:eastAsia="宋体" w:hint="default"/>
        </w:rPr>
        <w:t>33%</w:t>
      </w:r>
      <w:r>
        <w:rPr/>
        <w:t>。本公司于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21</w:t>
      </w:r>
      <w:r>
        <w:rPr/>
        <w:t>日完成工商变更登记。</w:t>
      </w:r>
    </w:p>
    <w:p>
      <w:pPr>
        <w:spacing w:after="0" w:line="408" w:lineRule="auto"/>
        <w:jc w:val="both"/>
        <w:sectPr>
          <w:headerReference w:type="default" r:id="rId51"/>
          <w:footerReference w:type="default" r:id="rId52"/>
          <w:pgSz w:w="11910" w:h="16840"/>
          <w:pgMar w:header="880" w:footer="979" w:top="1100" w:bottom="1160" w:left="980" w:right="920"/>
          <w:pgNumType w:start="4"/>
        </w:sectPr>
      </w:pPr>
    </w:p>
    <w:p>
      <w:pPr>
        <w:spacing w:line="240" w:lineRule="auto" w:before="12"/>
        <w:rPr>
          <w:rFonts w:ascii="宋体" w:hAnsi="宋体" w:cs="宋体" w:eastAsia="宋体" w:hint="default"/>
          <w:sz w:val="26"/>
          <w:szCs w:val="26"/>
        </w:rPr>
      </w:pPr>
    </w:p>
    <w:p>
      <w:pPr>
        <w:pStyle w:val="BodyText"/>
        <w:spacing w:line="408" w:lineRule="auto" w:before="36"/>
        <w:ind w:right="206" w:firstLine="439"/>
        <w:jc w:val="both"/>
      </w:pP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29</w:t>
      </w:r>
      <w:r>
        <w:rPr/>
        <w:t>日，本公司股东会通过决议，同意黄元忠和黄晓峰分别将其</w:t>
      </w:r>
      <w:r>
        <w:rPr>
          <w:rFonts w:ascii="宋体" w:hAnsi="宋体" w:cs="宋体" w:eastAsia="宋体" w:hint="default"/>
        </w:rPr>
        <w:t>1.7%</w:t>
      </w:r>
      <w:r>
        <w:rPr/>
        <w:t>和</w:t>
      </w:r>
      <w:r>
        <w:rPr>
          <w:rFonts w:ascii="宋体" w:hAnsi="宋体" w:cs="宋体" w:eastAsia="宋体" w:hint="default"/>
        </w:rPr>
        <w:t>1.2%</w:t>
      </w:r>
      <w:r>
        <w:rPr/>
        <w:t>的股权转让给张</w:t>
      </w:r>
      <w:r>
        <w:rPr>
          <w:w w:val="100"/>
        </w:rPr>
        <w:t> </w:t>
      </w:r>
      <w:r>
        <w:rPr>
          <w:spacing w:val="-2"/>
        </w:rPr>
        <w:t>文凯；黄晓峰和陈克让分别将其</w:t>
      </w:r>
      <w:r>
        <w:rPr>
          <w:rFonts w:ascii="宋体" w:hAnsi="宋体" w:cs="宋体" w:eastAsia="宋体" w:hint="default"/>
          <w:spacing w:val="-2"/>
        </w:rPr>
        <w:t>2.972%</w:t>
      </w:r>
      <w:r>
        <w:rPr>
          <w:spacing w:val="-2"/>
        </w:rPr>
        <w:t>和</w:t>
      </w:r>
      <w:r>
        <w:rPr>
          <w:rFonts w:ascii="宋体" w:hAnsi="宋体" w:cs="宋体" w:eastAsia="宋体" w:hint="default"/>
          <w:spacing w:val="-2"/>
        </w:rPr>
        <w:t>0.7%</w:t>
      </w:r>
      <w:r>
        <w:rPr>
          <w:spacing w:val="-2"/>
        </w:rPr>
        <w:t>的股权转让给孙晓玲；黄晓峰将其</w:t>
      </w:r>
      <w:r>
        <w:rPr>
          <w:rFonts w:ascii="宋体" w:hAnsi="宋体" w:cs="宋体" w:eastAsia="宋体" w:hint="default"/>
          <w:spacing w:val="-2"/>
        </w:rPr>
        <w:t>0.259%</w:t>
      </w:r>
      <w:r>
        <w:rPr>
          <w:spacing w:val="-2"/>
        </w:rPr>
        <w:t>的股权转让给吴文</w:t>
      </w:r>
      <w:r>
        <w:rPr>
          <w:spacing w:val="-28"/>
        </w:rPr>
        <w:t> </w:t>
      </w:r>
      <w:r>
        <w:rPr>
          <w:spacing w:val="-28"/>
        </w:rPr>
      </w:r>
      <w:r>
        <w:rPr>
          <w:spacing w:val="-2"/>
        </w:rPr>
        <w:t>峰；陈克让将其</w:t>
      </w:r>
      <w:r>
        <w:rPr>
          <w:rFonts w:ascii="宋体" w:hAnsi="宋体" w:cs="宋体" w:eastAsia="宋体" w:hint="default"/>
          <w:spacing w:val="-2"/>
        </w:rPr>
        <w:t>3.472%</w:t>
      </w:r>
      <w:r>
        <w:rPr>
          <w:spacing w:val="-2"/>
        </w:rPr>
        <w:t>的股权转让给杨颖；并同意深圳市戈尔登投资有限公司以货币资金人民币</w:t>
      </w:r>
      <w:r>
        <w:rPr>
          <w:rFonts w:ascii="宋体" w:hAnsi="宋体" w:cs="宋体" w:eastAsia="宋体" w:hint="default"/>
          <w:spacing w:val="-2"/>
        </w:rPr>
        <w:t>232.00</w:t>
      </w:r>
      <w:r>
        <w:rPr>
          <w:spacing w:val="-2"/>
        </w:rPr>
        <w:t>万</w:t>
      </w:r>
      <w:r>
        <w:rPr>
          <w:spacing w:val="-37"/>
        </w:rPr>
        <w:t> </w:t>
      </w:r>
      <w:r>
        <w:rPr>
          <w:spacing w:val="-4"/>
        </w:rPr>
        <w:t>元对本公司进行增资。其中，</w:t>
      </w:r>
      <w:r>
        <w:rPr>
          <w:rFonts w:ascii="宋体" w:hAnsi="宋体" w:cs="宋体" w:eastAsia="宋体" w:hint="default"/>
          <w:spacing w:val="-4"/>
        </w:rPr>
        <w:t>55.53</w:t>
      </w:r>
      <w:r>
        <w:rPr>
          <w:spacing w:val="-4"/>
        </w:rPr>
        <w:t>万元为新增注册资本，其余部分</w:t>
      </w:r>
      <w:r>
        <w:rPr>
          <w:rFonts w:ascii="宋体" w:hAnsi="宋体" w:cs="宋体" w:eastAsia="宋体" w:hint="default"/>
          <w:spacing w:val="-4"/>
        </w:rPr>
        <w:t>176.47</w:t>
      </w:r>
      <w:r>
        <w:rPr>
          <w:spacing w:val="-4"/>
        </w:rPr>
        <w:t>万元为资本公积。深圳国际高新</w:t>
      </w:r>
      <w:r>
        <w:rPr>
          <w:spacing w:val="-40"/>
        </w:rPr>
        <w:t> </w:t>
      </w:r>
      <w:r>
        <w:rPr>
          <w:spacing w:val="-40"/>
        </w:rPr>
      </w:r>
      <w:r>
        <w:rPr>
          <w:spacing w:val="-4"/>
        </w:rPr>
        <w:t>技术产权交易所分别于</w:t>
      </w:r>
      <w:r>
        <w:rPr>
          <w:rFonts w:ascii="宋体" w:hAnsi="宋体" w:cs="宋体" w:eastAsia="宋体" w:hint="default"/>
          <w:spacing w:val="-4"/>
        </w:rPr>
        <w:t>2009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30</w:t>
      </w:r>
      <w:r>
        <w:rPr>
          <w:spacing w:val="-4"/>
        </w:rPr>
        <w:t>日、</w:t>
      </w:r>
      <w:r>
        <w:rPr>
          <w:rFonts w:ascii="宋体" w:hAnsi="宋体" w:cs="宋体" w:eastAsia="宋体" w:hint="default"/>
          <w:spacing w:val="-4"/>
        </w:rPr>
        <w:t>2009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18</w:t>
      </w:r>
      <w:r>
        <w:rPr>
          <w:spacing w:val="-4"/>
        </w:rPr>
        <w:t>日出具深高交所见（</w:t>
      </w:r>
      <w:r>
        <w:rPr>
          <w:rFonts w:ascii="宋体" w:hAnsi="宋体" w:cs="宋体" w:eastAsia="宋体" w:hint="default"/>
          <w:spacing w:val="-4"/>
        </w:rPr>
        <w:t>2009</w:t>
      </w:r>
      <w:r>
        <w:rPr>
          <w:spacing w:val="-4"/>
        </w:rPr>
        <w:t>）字第</w:t>
      </w:r>
      <w:r>
        <w:rPr>
          <w:rFonts w:ascii="宋体" w:hAnsi="宋体" w:cs="宋体" w:eastAsia="宋体" w:hint="default"/>
          <w:spacing w:val="-4"/>
        </w:rPr>
        <w:t>03381</w:t>
      </w:r>
      <w:r>
        <w:rPr>
          <w:spacing w:val="-4"/>
        </w:rPr>
        <w:t>号和深高交所见</w:t>
      </w:r>
    </w:p>
    <w:p>
      <w:pPr>
        <w:pStyle w:val="BodyText"/>
        <w:spacing w:line="408" w:lineRule="auto"/>
        <w:ind w:right="210"/>
        <w:jc w:val="both"/>
      </w:pPr>
      <w:r>
        <w:rPr>
          <w:spacing w:val="-2"/>
        </w:rPr>
        <w:t>（</w:t>
      </w:r>
      <w:r>
        <w:rPr>
          <w:rFonts w:ascii="宋体" w:hAnsi="宋体" w:cs="宋体" w:eastAsia="宋体" w:hint="default"/>
          <w:spacing w:val="-2"/>
        </w:rPr>
        <w:t>2009</w:t>
      </w:r>
      <w:r>
        <w:rPr>
          <w:spacing w:val="-2"/>
        </w:rPr>
        <w:t>）字第</w:t>
      </w:r>
      <w:r>
        <w:rPr>
          <w:rFonts w:ascii="宋体" w:hAnsi="宋体" w:cs="宋体" w:eastAsia="宋体" w:hint="default"/>
          <w:spacing w:val="-2"/>
        </w:rPr>
        <w:t>03912</w:t>
      </w:r>
      <w:r>
        <w:rPr>
          <w:spacing w:val="-2"/>
        </w:rPr>
        <w:t>号《股权转让见证书》，对上述股权转让事宜予以见证。本公司于</w:t>
      </w:r>
      <w:r>
        <w:rPr>
          <w:rFonts w:ascii="宋体" w:hAnsi="宋体" w:cs="宋体" w:eastAsia="宋体" w:hint="default"/>
          <w:spacing w:val="-2"/>
        </w:rPr>
        <w:t>2009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日完成</w:t>
      </w:r>
      <w:r>
        <w:rPr>
          <w:spacing w:val="-35"/>
        </w:rPr>
        <w:t> </w:t>
      </w:r>
      <w:r>
        <w:rPr>
          <w:spacing w:val="-2"/>
        </w:rPr>
        <w:t>工商变更登记</w:t>
      </w:r>
      <w:r>
        <w:rPr>
          <w:rFonts w:ascii="宋体" w:hAnsi="宋体" w:cs="宋体" w:eastAsia="宋体" w:hint="default"/>
          <w:spacing w:val="-2"/>
        </w:rPr>
        <w:t>,</w:t>
      </w:r>
      <w:r>
        <w:rPr>
          <w:spacing w:val="-2"/>
        </w:rPr>
        <w:t>变更后黄元忠持股</w:t>
      </w:r>
      <w:r>
        <w:rPr>
          <w:rFonts w:ascii="宋体" w:hAnsi="宋体" w:cs="宋体" w:eastAsia="宋体" w:hint="default"/>
          <w:spacing w:val="-2"/>
        </w:rPr>
        <w:t>30.20%</w:t>
      </w:r>
      <w:r>
        <w:rPr>
          <w:spacing w:val="-2"/>
        </w:rPr>
        <w:t>，黄晓峰持股</w:t>
      </w:r>
      <w:r>
        <w:rPr>
          <w:rFonts w:ascii="宋体" w:hAnsi="宋体" w:cs="宋体" w:eastAsia="宋体" w:hint="default"/>
          <w:spacing w:val="-2"/>
        </w:rPr>
        <w:t>26.75%</w:t>
      </w:r>
      <w:r>
        <w:rPr>
          <w:spacing w:val="-2"/>
        </w:rPr>
        <w:t>，陈克让持股</w:t>
      </w:r>
      <w:r>
        <w:rPr>
          <w:rFonts w:ascii="宋体" w:hAnsi="宋体" w:cs="宋体" w:eastAsia="宋体" w:hint="default"/>
          <w:spacing w:val="-2"/>
        </w:rPr>
        <w:t>26.75%</w:t>
      </w:r>
      <w:r>
        <w:rPr>
          <w:spacing w:val="-2"/>
        </w:rPr>
        <w:t>，孙晓玲持股</w:t>
      </w:r>
      <w:r>
        <w:rPr>
          <w:rFonts w:ascii="宋体" w:hAnsi="宋体" w:cs="宋体" w:eastAsia="宋体" w:hint="default"/>
          <w:spacing w:val="-2"/>
        </w:rPr>
        <w:t>3.44%</w:t>
      </w:r>
      <w:r>
        <w:rPr>
          <w:spacing w:val="-2"/>
        </w:rPr>
        <w:t>，张</w:t>
      </w:r>
      <w:r>
        <w:rPr>
          <w:spacing w:val="-36"/>
        </w:rPr>
        <w:t> </w:t>
      </w:r>
      <w:r>
        <w:rPr/>
        <w:t>文凯持股</w:t>
      </w:r>
      <w:r>
        <w:rPr>
          <w:rFonts w:ascii="宋体" w:hAnsi="宋体" w:cs="宋体" w:eastAsia="宋体" w:hint="default"/>
        </w:rPr>
        <w:t>2.72%</w:t>
      </w:r>
      <w:r>
        <w:rPr/>
        <w:t>，杨颖持股</w:t>
      </w:r>
      <w:r>
        <w:rPr>
          <w:rFonts w:ascii="宋体" w:hAnsi="宋体" w:cs="宋体" w:eastAsia="宋体" w:hint="default"/>
        </w:rPr>
        <w:t>3.21%</w:t>
      </w:r>
      <w:r>
        <w:rPr/>
        <w:t>，吴文峰持股</w:t>
      </w:r>
      <w:r>
        <w:rPr>
          <w:rFonts w:ascii="宋体" w:hAnsi="宋体" w:cs="宋体" w:eastAsia="宋体" w:hint="default"/>
        </w:rPr>
        <w:t>0.49%</w:t>
      </w:r>
      <w:r>
        <w:rPr/>
        <w:t>，深圳市戈尔登投资有限公司持股</w:t>
      </w:r>
      <w:r>
        <w:rPr>
          <w:rFonts w:ascii="宋体" w:hAnsi="宋体" w:cs="宋体" w:eastAsia="宋体" w:hint="default"/>
        </w:rPr>
        <w:t>6.44%</w:t>
      </w:r>
      <w:r>
        <w:rPr/>
        <w:t>。</w:t>
      </w:r>
    </w:p>
    <w:p>
      <w:pPr>
        <w:pStyle w:val="BodyText"/>
        <w:spacing w:line="408" w:lineRule="auto"/>
        <w:ind w:right="208" w:firstLine="439"/>
        <w:jc w:val="both"/>
      </w:pPr>
      <w:r>
        <w:rPr>
          <w:rFonts w:ascii="宋体" w:hAnsi="宋体" w:cs="宋体" w:eastAsia="宋体" w:hint="default"/>
          <w:spacing w:val="-3"/>
        </w:rPr>
        <w:t>2009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日，黄元忠等</w:t>
      </w:r>
      <w:r>
        <w:rPr>
          <w:rFonts w:ascii="宋体" w:hAnsi="宋体" w:cs="宋体" w:eastAsia="宋体" w:hint="default"/>
          <w:spacing w:val="-3"/>
        </w:rPr>
        <w:t>7</w:t>
      </w:r>
      <w:r>
        <w:rPr>
          <w:spacing w:val="-3"/>
        </w:rPr>
        <w:t>位自然人和深圳市戈尔登投资有限公司签署发起人协议，本公司由有限责</w:t>
      </w:r>
      <w:r>
        <w:rPr>
          <w:w w:val="100"/>
        </w:rPr>
        <w:t> </w:t>
      </w:r>
      <w:r>
        <w:rPr/>
        <w:t>任公司整体变更为股份有限公司。本公司根据截止</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31</w:t>
      </w:r>
      <w:r>
        <w:rPr/>
        <w:t>日经审计的净资产折股，注册资本变更为</w:t>
      </w:r>
      <w:r>
        <w:rPr>
          <w:spacing w:val="-27"/>
        </w:rPr>
        <w:t> </w:t>
      </w:r>
      <w:r>
        <w:rPr>
          <w:spacing w:val="-27"/>
        </w:rPr>
      </w:r>
      <w:r>
        <w:rPr>
          <w:rFonts w:ascii="宋体" w:hAnsi="宋体" w:cs="宋体" w:eastAsia="宋体" w:hint="default"/>
        </w:rPr>
        <w:t>3,300.00</w:t>
      </w:r>
      <w:r>
        <w:rPr/>
        <w:t>万元。本公司于</w:t>
      </w: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24</w:t>
      </w:r>
      <w:r>
        <w:rPr/>
        <w:t>日完成工商变更登记。</w:t>
      </w:r>
    </w:p>
    <w:p>
      <w:pPr>
        <w:pStyle w:val="BodyText"/>
        <w:spacing w:line="408" w:lineRule="auto"/>
        <w:ind w:right="206" w:firstLine="439"/>
        <w:jc w:val="both"/>
      </w:pP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26</w:t>
      </w:r>
      <w:r>
        <w:rPr/>
        <w:t>日，本公司</w:t>
      </w:r>
      <w:r>
        <w:rPr>
          <w:rFonts w:ascii="宋体" w:hAnsi="宋体" w:cs="宋体" w:eastAsia="宋体" w:hint="default"/>
        </w:rPr>
        <w:t>2010</w:t>
      </w:r>
      <w:r>
        <w:rPr/>
        <w:t>年第二次临时股东大会决议通过，同意黄晓峰将其</w:t>
      </w:r>
      <w:r>
        <w:rPr>
          <w:rFonts w:ascii="宋体" w:hAnsi="宋体" w:cs="宋体" w:eastAsia="宋体" w:hint="default"/>
        </w:rPr>
        <w:t>5%</w:t>
      </w:r>
      <w:r>
        <w:rPr/>
        <w:t>的股权转让给平安</w:t>
      </w:r>
      <w:r>
        <w:rPr>
          <w:w w:val="100"/>
        </w:rPr>
        <w:t> </w:t>
      </w:r>
      <w:r>
        <w:rPr>
          <w:spacing w:val="-2"/>
        </w:rPr>
        <w:t>财智投资管理有限公司；陈克让将其</w:t>
      </w:r>
      <w:r>
        <w:rPr>
          <w:rFonts w:ascii="宋体" w:hAnsi="宋体" w:cs="宋体" w:eastAsia="宋体" w:hint="default"/>
          <w:spacing w:val="-2"/>
        </w:rPr>
        <w:t>5%</w:t>
      </w:r>
      <w:r>
        <w:rPr>
          <w:spacing w:val="-2"/>
        </w:rPr>
        <w:t>的股权转让给深圳市融元创业投资有限责任公司。本公司于</w:t>
      </w:r>
      <w:r>
        <w:rPr>
          <w:rFonts w:ascii="宋体" w:hAnsi="宋体" w:cs="宋体" w:eastAsia="宋体" w:hint="default"/>
          <w:spacing w:val="-2"/>
        </w:rPr>
        <w:t>2010</w:t>
      </w:r>
      <w:r>
        <w:rPr>
          <w:spacing w:val="-2"/>
        </w:rPr>
        <w:t>年</w:t>
      </w:r>
      <w:r>
        <w:rPr>
          <w:spacing w:val="-38"/>
        </w:rPr>
        <w:t> </w:t>
      </w:r>
      <w:r>
        <w:rPr>
          <w:rFonts w:ascii="宋体" w:hAnsi="宋体" w:cs="宋体" w:eastAsia="宋体" w:hint="default"/>
          <w:spacing w:val="-2"/>
        </w:rPr>
        <w:t>8</w:t>
      </w:r>
      <w:r>
        <w:rPr>
          <w:spacing w:val="-2"/>
        </w:rPr>
        <w:t>月</w:t>
      </w:r>
      <w:r>
        <w:rPr>
          <w:rFonts w:ascii="宋体" w:hAnsi="宋体" w:cs="宋体" w:eastAsia="宋体" w:hint="default"/>
          <w:spacing w:val="-2"/>
        </w:rPr>
        <w:t>30</w:t>
      </w:r>
      <w:r>
        <w:rPr>
          <w:spacing w:val="-2"/>
        </w:rPr>
        <w:t>日完成工商变更登记</w:t>
      </w:r>
      <w:r>
        <w:rPr>
          <w:rFonts w:ascii="宋体" w:hAnsi="宋体" w:cs="宋体" w:eastAsia="宋体" w:hint="default"/>
          <w:spacing w:val="-2"/>
        </w:rPr>
        <w:t>,</w:t>
      </w:r>
      <w:r>
        <w:rPr>
          <w:spacing w:val="-2"/>
        </w:rPr>
        <w:t>变更后黄元忠持股</w:t>
      </w:r>
      <w:r>
        <w:rPr>
          <w:rFonts w:ascii="宋体" w:hAnsi="宋体" w:cs="宋体" w:eastAsia="宋体" w:hint="default"/>
          <w:spacing w:val="-2"/>
        </w:rPr>
        <w:t>30.20%</w:t>
      </w:r>
      <w:r>
        <w:rPr>
          <w:spacing w:val="-2"/>
        </w:rPr>
        <w:t>、黄晓峰持股</w:t>
      </w:r>
      <w:r>
        <w:rPr>
          <w:rFonts w:ascii="宋体" w:hAnsi="宋体" w:cs="宋体" w:eastAsia="宋体" w:hint="default"/>
          <w:spacing w:val="-2"/>
        </w:rPr>
        <w:t>21.75%</w:t>
      </w:r>
      <w:r>
        <w:rPr>
          <w:spacing w:val="-2"/>
        </w:rPr>
        <w:t>、陈克让持股</w:t>
      </w:r>
      <w:r>
        <w:rPr>
          <w:rFonts w:ascii="宋体" w:hAnsi="宋体" w:cs="宋体" w:eastAsia="宋体" w:hint="default"/>
          <w:spacing w:val="-2"/>
        </w:rPr>
        <w:t>21.75%</w:t>
      </w:r>
      <w:r>
        <w:rPr>
          <w:spacing w:val="-2"/>
        </w:rPr>
        <w:t>、孙晓玲持</w:t>
      </w:r>
      <w:r>
        <w:rPr>
          <w:spacing w:val="-30"/>
        </w:rPr>
        <w:t> </w:t>
      </w:r>
      <w:r>
        <w:rPr>
          <w:spacing w:val="-30"/>
        </w:rPr>
      </w:r>
      <w:r>
        <w:rPr>
          <w:spacing w:val="-4"/>
        </w:rPr>
        <w:t>股</w:t>
      </w:r>
      <w:r>
        <w:rPr>
          <w:rFonts w:ascii="宋体" w:hAnsi="宋体" w:cs="宋体" w:eastAsia="宋体" w:hint="default"/>
          <w:spacing w:val="-4"/>
        </w:rPr>
        <w:t>3.44%</w:t>
      </w:r>
      <w:r>
        <w:rPr>
          <w:spacing w:val="-4"/>
        </w:rPr>
        <w:t>、张文凯持股</w:t>
      </w:r>
      <w:r>
        <w:rPr>
          <w:rFonts w:ascii="宋体" w:hAnsi="宋体" w:cs="宋体" w:eastAsia="宋体" w:hint="default"/>
          <w:spacing w:val="-4"/>
        </w:rPr>
        <w:t>2.72%</w:t>
      </w:r>
      <w:r>
        <w:rPr>
          <w:spacing w:val="-4"/>
        </w:rPr>
        <w:t>、杨颖持股</w:t>
      </w:r>
      <w:r>
        <w:rPr>
          <w:rFonts w:ascii="宋体" w:hAnsi="宋体" w:cs="宋体" w:eastAsia="宋体" w:hint="default"/>
          <w:spacing w:val="-4"/>
        </w:rPr>
        <w:t>3.21%</w:t>
      </w:r>
      <w:r>
        <w:rPr>
          <w:spacing w:val="-4"/>
        </w:rPr>
        <w:t>、吴文峰持股</w:t>
      </w:r>
      <w:r>
        <w:rPr>
          <w:rFonts w:ascii="宋体" w:hAnsi="宋体" w:cs="宋体" w:eastAsia="宋体" w:hint="default"/>
          <w:spacing w:val="-4"/>
        </w:rPr>
        <w:t>0.49%</w:t>
      </w:r>
      <w:r>
        <w:rPr>
          <w:spacing w:val="-4"/>
        </w:rPr>
        <w:t>、深圳市戈尔登投资有限公司持股</w:t>
      </w:r>
      <w:r>
        <w:rPr>
          <w:rFonts w:ascii="宋体" w:hAnsi="宋体" w:cs="宋体" w:eastAsia="宋体" w:hint="default"/>
          <w:spacing w:val="-4"/>
        </w:rPr>
        <w:t>6.44%</w:t>
      </w:r>
      <w:r>
        <w:rPr>
          <w:spacing w:val="-4"/>
        </w:rPr>
        <w:t>、</w:t>
      </w:r>
      <w:r>
        <w:rPr>
          <w:spacing w:val="-14"/>
        </w:rPr>
        <w:t> </w:t>
      </w:r>
      <w:r>
        <w:rPr/>
        <w:t>平安财智投资管理有限公司持股</w:t>
      </w:r>
      <w:r>
        <w:rPr>
          <w:rFonts w:ascii="宋体" w:hAnsi="宋体" w:cs="宋体" w:eastAsia="宋体" w:hint="default"/>
        </w:rPr>
        <w:t>5.00%</w:t>
      </w:r>
      <w:r>
        <w:rPr/>
        <w:t>、深圳市融元创业投资有限责任公司持股</w:t>
      </w:r>
      <w:r>
        <w:rPr>
          <w:rFonts w:ascii="宋体" w:hAnsi="宋体" w:cs="宋体" w:eastAsia="宋体" w:hint="default"/>
        </w:rPr>
        <w:t>5.00%</w:t>
      </w:r>
      <w:r>
        <w:rPr/>
        <w:t>。</w:t>
      </w:r>
    </w:p>
    <w:p>
      <w:pPr>
        <w:pStyle w:val="BodyText"/>
        <w:spacing w:line="408" w:lineRule="auto"/>
        <w:ind w:right="182" w:firstLine="439"/>
        <w:jc w:val="both"/>
      </w:pPr>
      <w:r>
        <w:rPr/>
        <w:t>经中国证券监督管理委员会证监许可</w:t>
      </w:r>
      <w:r>
        <w:rPr>
          <w:rFonts w:ascii="宋体" w:hAnsi="宋体" w:cs="宋体" w:eastAsia="宋体" w:hint="default"/>
        </w:rPr>
        <w:t>[2011]901</w:t>
      </w:r>
      <w:r>
        <w:rPr/>
        <w:t>号文核准，并经深圳证券交易所同意，</w:t>
      </w:r>
      <w:r>
        <w:rPr>
          <w:spacing w:val="-41"/>
        </w:rPr>
        <w:t> </w:t>
      </w:r>
      <w:r>
        <w:rPr/>
        <w:t>本公司由主承</w:t>
      </w:r>
      <w:r>
        <w:rPr>
          <w:w w:val="100"/>
        </w:rPr>
        <w:t> </w:t>
      </w:r>
      <w:r>
        <w:rPr/>
        <w:t>销商平安证券有限责任公司于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20</w:t>
      </w:r>
      <w:r>
        <w:rPr/>
        <w:t>日向社会公众公开发行普通股</w:t>
      </w:r>
      <w:r>
        <w:rPr>
          <w:rFonts w:ascii="宋体" w:hAnsi="宋体" w:cs="宋体" w:eastAsia="宋体" w:hint="default"/>
        </w:rPr>
        <w:t>(A </w:t>
      </w:r>
      <w:r>
        <w:rPr>
          <w:spacing w:val="-3"/>
        </w:rPr>
        <w:t>股</w:t>
      </w:r>
      <w:r>
        <w:rPr>
          <w:rFonts w:ascii="宋体" w:hAnsi="宋体" w:cs="宋体" w:eastAsia="宋体" w:hint="default"/>
          <w:spacing w:val="-3"/>
        </w:rPr>
        <w:t>)</w:t>
      </w:r>
      <w:r>
        <w:rPr>
          <w:spacing w:val="-3"/>
        </w:rPr>
        <w:t>股票</w:t>
      </w:r>
      <w:r>
        <w:rPr>
          <w:rFonts w:ascii="宋体" w:hAnsi="宋体" w:cs="宋体" w:eastAsia="宋体" w:hint="default"/>
          <w:spacing w:val="-3"/>
        </w:rPr>
        <w:t>1,100</w:t>
      </w:r>
      <w:r>
        <w:rPr>
          <w:spacing w:val="-3"/>
        </w:rPr>
        <w:t>万股，每股面值</w:t>
      </w:r>
      <w:r>
        <w:rPr>
          <w:spacing w:val="-93"/>
        </w:rPr>
        <w:t> </w:t>
      </w:r>
      <w:r>
        <w:rPr>
          <w:spacing w:val="-93"/>
        </w:rPr>
      </w:r>
      <w:r>
        <w:rPr>
          <w:rFonts w:ascii="宋体" w:hAnsi="宋体" w:cs="宋体" w:eastAsia="宋体" w:hint="default"/>
        </w:rPr>
        <w:t>1.00</w:t>
      </w:r>
      <w:r>
        <w:rPr>
          <w:rFonts w:ascii="宋体" w:hAnsi="宋体" w:cs="宋体" w:eastAsia="宋体" w:hint="default"/>
          <w:spacing w:val="-66"/>
        </w:rPr>
        <w:t> </w:t>
      </w:r>
      <w:r>
        <w:rPr>
          <w:spacing w:val="24"/>
        </w:rPr>
        <w:t>元，每股发行价人民币</w:t>
      </w:r>
      <w:r>
        <w:rPr>
          <w:spacing w:val="-62"/>
        </w:rPr>
        <w:t> </w:t>
      </w:r>
      <w:r>
        <w:rPr>
          <w:rFonts w:ascii="宋体" w:hAnsi="宋体" w:cs="宋体" w:eastAsia="宋体" w:hint="default"/>
        </w:rPr>
        <w:t>19.60</w:t>
      </w:r>
      <w:r>
        <w:rPr>
          <w:rFonts w:ascii="宋体" w:hAnsi="宋体" w:cs="宋体" w:eastAsia="宋体" w:hint="default"/>
          <w:spacing w:val="-66"/>
        </w:rPr>
        <w:t> </w:t>
      </w:r>
      <w:r>
        <w:rPr>
          <w:spacing w:val="24"/>
        </w:rPr>
        <w:t>元。此次公开发行共</w:t>
      </w:r>
      <w:r>
        <w:rPr>
          <w:spacing w:val="-63"/>
        </w:rPr>
        <w:t> </w:t>
      </w:r>
      <w:r>
        <w:rPr>
          <w:spacing w:val="20"/>
        </w:rPr>
        <w:t>募集资金</w:t>
      </w:r>
      <w:r>
        <w:rPr>
          <w:spacing w:val="-62"/>
        </w:rPr>
        <w:t> </w:t>
      </w:r>
      <w:r>
        <w:rPr>
          <w:rFonts w:ascii="宋体" w:hAnsi="宋体" w:cs="宋体" w:eastAsia="宋体" w:hint="default"/>
        </w:rPr>
        <w:t>21,560.00</w:t>
      </w:r>
      <w:r>
        <w:rPr>
          <w:rFonts w:ascii="宋体" w:hAnsi="宋体" w:cs="宋体" w:eastAsia="宋体" w:hint="default"/>
          <w:spacing w:val="-65"/>
        </w:rPr>
        <w:t> </w:t>
      </w:r>
      <w:r>
        <w:rPr>
          <w:spacing w:val="24"/>
        </w:rPr>
        <w:t>万元，扣除发行费用</w:t>
      </w:r>
      <w:r>
        <w:rPr>
          <w:spacing w:val="-77"/>
        </w:rPr>
        <w:t> </w:t>
      </w:r>
      <w:r>
        <w:rPr/>
      </w:r>
    </w:p>
    <w:p>
      <w:pPr>
        <w:pStyle w:val="BodyText"/>
        <w:spacing w:line="408" w:lineRule="auto"/>
        <w:ind w:right="208"/>
        <w:jc w:val="both"/>
      </w:pPr>
      <w:r>
        <w:rPr>
          <w:rFonts w:ascii="宋体" w:hAnsi="宋体" w:cs="宋体" w:eastAsia="宋体" w:hint="default"/>
          <w:spacing w:val="-3"/>
        </w:rPr>
        <w:t>29,967,169.30</w:t>
      </w:r>
      <w:r>
        <w:rPr>
          <w:spacing w:val="-3"/>
        </w:rPr>
        <w:t>元，募集资金净额</w:t>
      </w:r>
      <w:r>
        <w:rPr>
          <w:rFonts w:ascii="宋体" w:hAnsi="宋体" w:cs="宋体" w:eastAsia="宋体" w:hint="default"/>
          <w:spacing w:val="-3"/>
        </w:rPr>
        <w:t>185,632,830.70</w:t>
      </w:r>
      <w:r>
        <w:rPr>
          <w:spacing w:val="-3"/>
        </w:rPr>
        <w:t>元，经此次发行，注册资本变更为人民币</w:t>
      </w:r>
      <w:r>
        <w:rPr>
          <w:rFonts w:ascii="宋体" w:hAnsi="宋体" w:cs="宋体" w:eastAsia="宋体" w:hint="default"/>
          <w:spacing w:val="-3"/>
        </w:rPr>
        <w:t>4,400.00</w:t>
      </w:r>
      <w:r>
        <w:rPr>
          <w:spacing w:val="-3"/>
        </w:rPr>
        <w:t>万元，</w:t>
      </w:r>
      <w:r>
        <w:rPr>
          <w:spacing w:val="-50"/>
        </w:rPr>
        <w:t> </w:t>
      </w:r>
      <w:r>
        <w:rPr>
          <w:spacing w:val="-50"/>
        </w:rPr>
      </w:r>
      <w:r>
        <w:rPr/>
        <w:t>此次增资业经立信大华会计师事务所有限公司“立信大华验字</w:t>
      </w:r>
      <w:r>
        <w:rPr>
          <w:rFonts w:ascii="宋体" w:hAnsi="宋体" w:cs="宋体" w:eastAsia="宋体" w:hint="default"/>
        </w:rPr>
        <w:t>[2011]178</w:t>
      </w:r>
      <w:r>
        <w:rPr/>
        <w:t>号”验资报告验证。</w:t>
      </w:r>
    </w:p>
    <w:p>
      <w:pPr>
        <w:pStyle w:val="BodyText"/>
        <w:spacing w:line="408" w:lineRule="auto"/>
        <w:ind w:right="0" w:firstLine="439"/>
        <w:jc w:val="left"/>
      </w:pPr>
      <w:r>
        <w:rPr/>
        <w:t>经</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20</w:t>
      </w:r>
      <w:r>
        <w:rPr/>
        <w:t>日</w:t>
      </w:r>
      <w:r>
        <w:rPr>
          <w:rFonts w:ascii="宋体" w:hAnsi="宋体" w:cs="宋体" w:eastAsia="宋体" w:hint="default"/>
        </w:rPr>
        <w:t>2012</w:t>
      </w:r>
      <w:r>
        <w:rPr/>
        <w:t>年第一届董事会第二十次会议诀议、</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30</w:t>
      </w:r>
      <w:r>
        <w:rPr/>
        <w:t>日股东大会审议通过《关于</w:t>
      </w:r>
      <w:r>
        <w:rPr>
          <w:w w:val="100"/>
        </w:rPr>
        <w:t> </w:t>
      </w:r>
      <w:r>
        <w:rPr>
          <w:rFonts w:ascii="宋体" w:hAnsi="宋体" w:cs="宋体" w:eastAsia="宋体" w:hint="default"/>
          <w:spacing w:val="-4"/>
        </w:rPr>
        <w:t>2011</w:t>
      </w:r>
      <w:r>
        <w:rPr>
          <w:spacing w:val="-4"/>
        </w:rPr>
        <w:t>年度利润分配及资本公积转增股本预案的议案》，以</w:t>
      </w:r>
      <w:r>
        <w:rPr>
          <w:rFonts w:ascii="宋体" w:hAnsi="宋体" w:cs="宋体" w:eastAsia="宋体" w:hint="default"/>
          <w:spacing w:val="-4"/>
        </w:rPr>
        <w:t>2011</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日公司总股本</w:t>
      </w:r>
      <w:r>
        <w:rPr>
          <w:rFonts w:ascii="宋体" w:hAnsi="宋体" w:cs="宋体" w:eastAsia="宋体" w:hint="default"/>
          <w:spacing w:val="-4"/>
        </w:rPr>
        <w:t>4,400</w:t>
      </w:r>
      <w:r>
        <w:rPr>
          <w:spacing w:val="-4"/>
        </w:rPr>
        <w:t>万股为基数，以</w:t>
      </w:r>
      <w:r>
        <w:rPr>
          <w:spacing w:val="-23"/>
        </w:rPr>
        <w:t> </w:t>
      </w:r>
      <w:r>
        <w:rPr>
          <w:spacing w:val="-23"/>
        </w:rPr>
      </w:r>
      <w:r>
        <w:rPr>
          <w:spacing w:val="-2"/>
        </w:rPr>
        <w:t>资本公积转增股本，向全体股东每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股，共计转增</w:t>
      </w:r>
      <w:r>
        <w:rPr>
          <w:rFonts w:ascii="宋体" w:hAnsi="宋体" w:cs="宋体" w:eastAsia="宋体" w:hint="default"/>
          <w:spacing w:val="-2"/>
        </w:rPr>
        <w:t>4,400</w:t>
      </w:r>
      <w:r>
        <w:rPr>
          <w:spacing w:val="-2"/>
        </w:rPr>
        <w:t>万股，转增后公司总股本将增加至</w:t>
      </w:r>
      <w:r>
        <w:rPr>
          <w:rFonts w:ascii="宋体" w:hAnsi="宋体" w:cs="宋体" w:eastAsia="宋体" w:hint="default"/>
          <w:spacing w:val="-2"/>
        </w:rPr>
        <w:t>8,800</w:t>
      </w:r>
      <w:r>
        <w:rPr>
          <w:rFonts w:ascii="宋体" w:hAnsi="宋体" w:cs="宋体" w:eastAsia="宋体" w:hint="default"/>
          <w:spacing w:val="-33"/>
        </w:rPr>
        <w:t> </w:t>
      </w:r>
      <w:r>
        <w:rPr>
          <w:rFonts w:ascii="宋体" w:hAnsi="宋体" w:cs="宋体" w:eastAsia="宋体" w:hint="default"/>
          <w:spacing w:val="-33"/>
        </w:rPr>
      </w:r>
      <w:r>
        <w:rPr>
          <w:spacing w:val="-4"/>
        </w:rPr>
        <w:t>万股，注册资本变更为人民币</w:t>
      </w:r>
      <w:r>
        <w:rPr>
          <w:rFonts w:ascii="宋体" w:hAnsi="宋体" w:cs="宋体" w:eastAsia="宋体" w:hint="default"/>
          <w:spacing w:val="-4"/>
        </w:rPr>
        <w:t>8,800.00</w:t>
      </w:r>
      <w:r>
        <w:rPr>
          <w:spacing w:val="-4"/>
        </w:rPr>
        <w:t>万元，此次增资业经深圳嘉达信会计师事务所“深嘉达信验字</w:t>
      </w:r>
      <w:r>
        <w:rPr>
          <w:rFonts w:ascii="宋体" w:hAnsi="宋体" w:cs="宋体" w:eastAsia="宋体" w:hint="default"/>
          <w:spacing w:val="-4"/>
        </w:rPr>
        <w:t>[2012]</w:t>
      </w:r>
      <w:r>
        <w:rPr>
          <w:rFonts w:ascii="宋体" w:hAnsi="宋体" w:cs="宋体" w:eastAsia="宋体" w:hint="default"/>
          <w:spacing w:val="-30"/>
        </w:rPr>
        <w:t> </w:t>
      </w:r>
      <w:r>
        <w:rPr>
          <w:rFonts w:ascii="宋体" w:hAnsi="宋体" w:cs="宋体" w:eastAsia="宋体" w:hint="default"/>
          <w:spacing w:val="-30"/>
        </w:rPr>
      </w:r>
      <w:r>
        <w:rPr/>
        <w:t>第</w:t>
      </w:r>
      <w:r>
        <w:rPr>
          <w:rFonts w:ascii="宋体" w:hAnsi="宋体" w:cs="宋体" w:eastAsia="宋体" w:hint="default"/>
        </w:rPr>
        <w:t>079</w:t>
      </w:r>
      <w:r>
        <w:rPr/>
        <w:t>号”验资报告验证。</w:t>
      </w:r>
    </w:p>
    <w:p>
      <w:pPr>
        <w:pStyle w:val="BodyText"/>
        <w:spacing w:line="408" w:lineRule="auto"/>
        <w:ind w:right="0" w:firstLine="439"/>
        <w:jc w:val="left"/>
      </w:pPr>
      <w:r>
        <w:rPr>
          <w:spacing w:val="-4"/>
        </w:rPr>
        <w:t>经</w:t>
      </w:r>
      <w:r>
        <w:rPr>
          <w:rFonts w:ascii="宋体" w:hAnsi="宋体" w:cs="宋体" w:eastAsia="宋体" w:hint="default"/>
          <w:spacing w:val="-4"/>
        </w:rPr>
        <w:t>2014</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11</w:t>
      </w:r>
      <w:r>
        <w:rPr>
          <w:spacing w:val="-4"/>
        </w:rPr>
        <w:t>日</w:t>
      </w:r>
      <w:r>
        <w:rPr>
          <w:rFonts w:ascii="宋体" w:hAnsi="宋体" w:cs="宋体" w:eastAsia="宋体" w:hint="default"/>
          <w:spacing w:val="-4"/>
        </w:rPr>
        <w:t>2014</w:t>
      </w:r>
      <w:r>
        <w:rPr>
          <w:spacing w:val="-4"/>
        </w:rPr>
        <w:t>年第二届董事会第十一次会议诀议、</w:t>
      </w:r>
      <w:r>
        <w:rPr>
          <w:rFonts w:ascii="宋体" w:hAnsi="宋体" w:cs="宋体" w:eastAsia="宋体" w:hint="default"/>
          <w:spacing w:val="-4"/>
        </w:rPr>
        <w:t>2014</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6</w:t>
      </w:r>
      <w:r>
        <w:rPr>
          <w:spacing w:val="-4"/>
        </w:rPr>
        <w:t>日股东大会审议通过《关于</w:t>
      </w:r>
      <w:r>
        <w:rPr>
          <w:rFonts w:ascii="宋体" w:hAnsi="宋体" w:cs="宋体" w:eastAsia="宋体" w:hint="default"/>
          <w:spacing w:val="-4"/>
        </w:rPr>
        <w:t>2013</w:t>
      </w:r>
      <w:r>
        <w:rPr>
          <w:rFonts w:ascii="宋体" w:hAnsi="宋体" w:cs="宋体" w:eastAsia="宋体" w:hint="default"/>
          <w:w w:val="100"/>
        </w:rPr>
        <w:t> </w:t>
      </w:r>
      <w:r>
        <w:rPr>
          <w:spacing w:val="-4"/>
        </w:rPr>
        <w:t>年度利润分配及资本公积转增股本预案的议案》，以</w:t>
      </w:r>
      <w:r>
        <w:rPr>
          <w:rFonts w:ascii="宋体" w:hAnsi="宋体" w:cs="宋体" w:eastAsia="宋体" w:hint="default"/>
          <w:spacing w:val="-4"/>
        </w:rPr>
        <w:t>2013</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日公司总股本</w:t>
      </w:r>
      <w:r>
        <w:rPr>
          <w:rFonts w:ascii="宋体" w:hAnsi="宋体" w:cs="宋体" w:eastAsia="宋体" w:hint="default"/>
          <w:spacing w:val="-4"/>
        </w:rPr>
        <w:t>8,800</w:t>
      </w:r>
      <w:r>
        <w:rPr>
          <w:spacing w:val="-4"/>
        </w:rPr>
        <w:t>万股为基数，以资本</w:t>
      </w:r>
      <w:r>
        <w:rPr>
          <w:spacing w:val="-30"/>
        </w:rPr>
        <w:t> </w:t>
      </w:r>
      <w:r>
        <w:rPr>
          <w:spacing w:val="-30"/>
        </w:rPr>
      </w:r>
      <w:r>
        <w:rPr/>
        <w:t>公积转增股本，向全体股东每</w:t>
      </w:r>
      <w:r>
        <w:rPr>
          <w:rFonts w:ascii="宋体" w:hAnsi="宋体" w:cs="宋体" w:eastAsia="宋体" w:hint="default"/>
        </w:rPr>
        <w:t>10</w:t>
      </w:r>
      <w:r>
        <w:rPr/>
        <w:t>股转增</w:t>
      </w:r>
      <w:r>
        <w:rPr>
          <w:rFonts w:ascii="宋体" w:hAnsi="宋体" w:cs="宋体" w:eastAsia="宋体" w:hint="default"/>
        </w:rPr>
        <w:t>8</w:t>
      </w:r>
      <w:r>
        <w:rPr/>
        <w:t>股，共计转增</w:t>
      </w:r>
      <w:r>
        <w:rPr>
          <w:rFonts w:ascii="宋体" w:hAnsi="宋体" w:cs="宋体" w:eastAsia="宋体" w:hint="default"/>
        </w:rPr>
        <w:t>7,040</w:t>
      </w:r>
      <w:r>
        <w:rPr/>
        <w:t>万股，转增后公司总股本增加至</w:t>
      </w:r>
      <w:r>
        <w:rPr>
          <w:rFonts w:ascii="宋体" w:hAnsi="宋体" w:cs="宋体" w:eastAsia="宋体" w:hint="default"/>
        </w:rPr>
        <w:t>15,840</w:t>
      </w:r>
      <w:r>
        <w:rPr/>
        <w:t>万股，</w:t>
      </w:r>
      <w:r>
        <w:rPr>
          <w:spacing w:val="-22"/>
        </w:rPr>
        <w:t> </w:t>
      </w:r>
      <w:r>
        <w:rPr>
          <w:spacing w:val="-22"/>
        </w:rPr>
      </w:r>
      <w:r>
        <w:rPr>
          <w:spacing w:val="-2"/>
        </w:rPr>
        <w:t>注册资本变更为</w:t>
      </w:r>
      <w:r>
        <w:rPr>
          <w:rFonts w:ascii="宋体" w:hAnsi="宋体" w:cs="宋体" w:eastAsia="宋体" w:hint="default"/>
          <w:spacing w:val="-2"/>
        </w:rPr>
        <w:t>15,840</w:t>
      </w:r>
      <w:r>
        <w:rPr>
          <w:spacing w:val="-2"/>
        </w:rPr>
        <w:t>万元，此次增资业经深圳平海会计师事务所（普通合伙）“深平海验报字</w:t>
      </w:r>
      <w:r>
        <w:rPr>
          <w:rFonts w:ascii="宋体" w:hAnsi="宋体" w:cs="宋体" w:eastAsia="宋体" w:hint="default"/>
          <w:spacing w:val="-2"/>
        </w:rPr>
        <w:t>[2014]</w:t>
      </w:r>
      <w:r>
        <w:rPr>
          <w:spacing w:val="-2"/>
        </w:rPr>
        <w:t>第</w:t>
      </w:r>
    </w:p>
    <w:p>
      <w:pPr>
        <w:spacing w:after="0" w:line="408" w:lineRule="auto"/>
        <w:jc w:val="left"/>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left="592" w:right="0" w:hanging="440"/>
        <w:jc w:val="left"/>
      </w:pPr>
      <w:r>
        <w:rPr>
          <w:rFonts w:ascii="宋体" w:hAnsi="宋体" w:cs="宋体" w:eastAsia="宋体" w:hint="default"/>
        </w:rPr>
        <w:t>15</w:t>
      </w:r>
      <w:r>
        <w:rPr/>
        <w:t>号”验资报告验证。</w:t>
      </w:r>
      <w:r>
        <w:rPr>
          <w:w w:val="100"/>
        </w:rPr>
        <w:t> </w:t>
      </w:r>
      <w:r>
        <w:rPr>
          <w:spacing w:val="-3"/>
        </w:rPr>
        <w:t>经中国证券监督管理委员会证监许可</w:t>
      </w:r>
      <w:r>
        <w:rPr>
          <w:rFonts w:ascii="宋体" w:hAnsi="宋体" w:cs="宋体" w:eastAsia="宋体" w:hint="default"/>
          <w:spacing w:val="-3"/>
        </w:rPr>
        <w:t>[2017]56</w:t>
      </w:r>
      <w:r>
        <w:rPr>
          <w:spacing w:val="-3"/>
        </w:rPr>
        <w:t>号文核准，并经深圳证券交易所同意，本公司由主承销</w:t>
      </w:r>
    </w:p>
    <w:p>
      <w:pPr>
        <w:pStyle w:val="BodyText"/>
        <w:spacing w:line="408" w:lineRule="auto"/>
        <w:ind w:right="0"/>
        <w:jc w:val="left"/>
      </w:pPr>
      <w:r>
        <w:rPr>
          <w:spacing w:val="-2"/>
        </w:rPr>
        <w:t>商平安证券有限责任公司于</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8</w:t>
      </w:r>
      <w:r>
        <w:rPr>
          <w:spacing w:val="-2"/>
        </w:rPr>
        <w:t>日向北京嘉豪伟业投资中心（有限合伙）和前海开源基金管理有限</w:t>
      </w:r>
      <w:r>
        <w:rPr>
          <w:spacing w:val="-37"/>
        </w:rPr>
        <w:t> </w:t>
      </w:r>
      <w:r>
        <w:rPr>
          <w:spacing w:val="-37"/>
        </w:rPr>
      </w:r>
      <w:r>
        <w:rPr>
          <w:spacing w:val="-4"/>
        </w:rPr>
        <w:t>公司定向增发普通股</w:t>
      </w:r>
      <w:r>
        <w:rPr>
          <w:rFonts w:ascii="宋体" w:hAnsi="宋体" w:cs="宋体" w:eastAsia="宋体" w:hint="default"/>
          <w:spacing w:val="-4"/>
        </w:rPr>
        <w:t>(A</w:t>
      </w:r>
      <w:r>
        <w:rPr>
          <w:spacing w:val="-4"/>
        </w:rPr>
        <w:t>股</w:t>
      </w:r>
      <w:r>
        <w:rPr>
          <w:rFonts w:ascii="宋体" w:hAnsi="宋体" w:cs="宋体" w:eastAsia="宋体" w:hint="default"/>
          <w:spacing w:val="-4"/>
        </w:rPr>
        <w:t>)</w:t>
      </w:r>
      <w:r>
        <w:rPr>
          <w:spacing w:val="-4"/>
        </w:rPr>
        <w:t>股票</w:t>
      </w:r>
      <w:r>
        <w:rPr>
          <w:rFonts w:ascii="宋体" w:hAnsi="宋体" w:cs="宋体" w:eastAsia="宋体" w:hint="default"/>
          <w:spacing w:val="-4"/>
        </w:rPr>
        <w:t>9,431,090</w:t>
      </w:r>
      <w:r>
        <w:rPr>
          <w:spacing w:val="-4"/>
        </w:rPr>
        <w:t>股，每股面值</w:t>
      </w:r>
      <w:r>
        <w:rPr>
          <w:rFonts w:ascii="宋体" w:hAnsi="宋体" w:cs="宋体" w:eastAsia="宋体" w:hint="default"/>
          <w:spacing w:val="-4"/>
        </w:rPr>
        <w:t>1.00</w:t>
      </w:r>
      <w:r>
        <w:rPr>
          <w:spacing w:val="-4"/>
        </w:rPr>
        <w:t>元，每股发行价人民币</w:t>
      </w:r>
      <w:r>
        <w:rPr>
          <w:rFonts w:ascii="宋体" w:hAnsi="宋体" w:cs="宋体" w:eastAsia="宋体" w:hint="default"/>
          <w:spacing w:val="-4"/>
        </w:rPr>
        <w:t>25.30</w:t>
      </w:r>
      <w:r>
        <w:rPr>
          <w:spacing w:val="-4"/>
        </w:rPr>
        <w:t>元，其中北京嘉豪</w:t>
      </w:r>
      <w:r>
        <w:rPr>
          <w:spacing w:val="-14"/>
        </w:rPr>
        <w:t> </w:t>
      </w:r>
      <w:r>
        <w:rPr>
          <w:spacing w:val="-14"/>
        </w:rPr>
      </w:r>
      <w:r>
        <w:rPr>
          <w:spacing w:val="-2"/>
        </w:rPr>
        <w:t>伟业投资中心（有限合伙）</w:t>
      </w:r>
      <w:r>
        <w:rPr>
          <w:rFonts w:ascii="宋体" w:hAnsi="宋体" w:cs="宋体" w:eastAsia="宋体" w:hint="default"/>
          <w:spacing w:val="-2"/>
        </w:rPr>
        <w:t>7,905,138</w:t>
      </w:r>
      <w:r>
        <w:rPr>
          <w:spacing w:val="-2"/>
        </w:rPr>
        <w:t>股，前海开源基金管理有限公司</w:t>
      </w:r>
      <w:r>
        <w:rPr>
          <w:rFonts w:ascii="宋体" w:hAnsi="宋体" w:cs="宋体" w:eastAsia="宋体" w:hint="default"/>
          <w:spacing w:val="-2"/>
        </w:rPr>
        <w:t>1,525,952</w:t>
      </w:r>
      <w:r>
        <w:rPr>
          <w:spacing w:val="-2"/>
        </w:rPr>
        <w:t>股。此次非公开发行共募</w:t>
      </w:r>
      <w:r>
        <w:rPr>
          <w:spacing w:val="-34"/>
        </w:rPr>
        <w:t> </w:t>
      </w:r>
      <w:r>
        <w:rPr>
          <w:spacing w:val="-34"/>
        </w:rPr>
      </w:r>
      <w:r>
        <w:rPr>
          <w:spacing w:val="-5"/>
        </w:rPr>
        <w:t>集资金</w:t>
      </w:r>
      <w:r>
        <w:rPr>
          <w:rFonts w:ascii="宋体" w:hAnsi="宋体" w:cs="宋体" w:eastAsia="宋体" w:hint="default"/>
          <w:spacing w:val="-5"/>
        </w:rPr>
        <w:t>238,606,577.00</w:t>
      </w:r>
      <w:r>
        <w:rPr>
          <w:spacing w:val="-5"/>
        </w:rPr>
        <w:t>元，扣除发行费用</w:t>
      </w:r>
      <w:r>
        <w:rPr>
          <w:rFonts w:ascii="宋体" w:hAnsi="宋体" w:cs="宋体" w:eastAsia="宋体" w:hint="default"/>
          <w:spacing w:val="-5"/>
        </w:rPr>
        <w:t>10,609,431.09</w:t>
      </w:r>
      <w:r>
        <w:rPr>
          <w:spacing w:val="-5"/>
        </w:rPr>
        <w:t>元，募集资金净额</w:t>
      </w:r>
      <w:r>
        <w:rPr>
          <w:rFonts w:ascii="宋体" w:hAnsi="宋体" w:cs="宋体" w:eastAsia="宋体" w:hint="default"/>
          <w:spacing w:val="-5"/>
        </w:rPr>
        <w:t>227,997,145.91</w:t>
      </w:r>
      <w:r>
        <w:rPr>
          <w:spacing w:val="-5"/>
        </w:rPr>
        <w:t>元，经此次发行，</w:t>
      </w:r>
      <w:r>
        <w:rPr>
          <w:spacing w:val="-10"/>
        </w:rPr>
        <w:t> </w:t>
      </w:r>
      <w:r>
        <w:rPr>
          <w:spacing w:val="-10"/>
        </w:rPr>
      </w:r>
      <w:r>
        <w:rPr>
          <w:spacing w:val="-2"/>
        </w:rPr>
        <w:t>注册资本变更为人民币</w:t>
      </w:r>
      <w:r>
        <w:rPr>
          <w:rFonts w:ascii="宋体" w:hAnsi="宋体" w:cs="宋体" w:eastAsia="宋体" w:hint="default"/>
          <w:spacing w:val="-2"/>
        </w:rPr>
        <w:t>167,831,090.00</w:t>
      </w:r>
      <w:r>
        <w:rPr>
          <w:spacing w:val="-2"/>
        </w:rPr>
        <w:t>元，此次增资业经大华会计师事务所（特殊普通合伙）“大华验字</w:t>
      </w:r>
      <w:r>
        <w:rPr>
          <w:spacing w:val="-35"/>
        </w:rPr>
        <w:t> </w:t>
      </w:r>
      <w:r>
        <w:rPr>
          <w:spacing w:val="-35"/>
        </w:rPr>
      </w:r>
      <w:r>
        <w:rPr>
          <w:rFonts w:ascii="宋体" w:hAnsi="宋体" w:cs="宋体" w:eastAsia="宋体" w:hint="default"/>
        </w:rPr>
        <w:t>[2017]000151</w:t>
      </w:r>
      <w:r>
        <w:rPr/>
        <w:t>号”验资报告验证。</w:t>
      </w:r>
    </w:p>
    <w:p>
      <w:pPr>
        <w:pStyle w:val="Heading5"/>
        <w:spacing w:line="345" w:lineRule="exact"/>
        <w:ind w:left="573" w:right="6954"/>
        <w:jc w:val="left"/>
        <w:rPr>
          <w:b w:val="0"/>
          <w:bCs w:val="0"/>
        </w:rPr>
      </w:pPr>
      <w:r>
        <w:rPr>
          <w:rFonts w:ascii="Arial" w:hAnsi="Arial" w:cs="Arial" w:eastAsia="Arial" w:hint="default"/>
        </w:rPr>
        <w:t>2</w:t>
      </w:r>
      <w:r>
        <w:rPr/>
        <w:t>、经营范围</w:t>
      </w:r>
      <w:r>
        <w:rPr>
          <w:b w:val="0"/>
          <w:bCs w:val="0"/>
        </w:rPr>
      </w:r>
    </w:p>
    <w:p>
      <w:pPr>
        <w:pStyle w:val="BodyText"/>
        <w:spacing w:line="408" w:lineRule="auto" w:before="169"/>
        <w:ind w:right="206" w:firstLine="420"/>
        <w:jc w:val="both"/>
      </w:pPr>
      <w:r>
        <w:rPr>
          <w:spacing w:val="-2"/>
        </w:rPr>
        <w:t>本公司主要的经营业务包括：计算机软、硬件、网络及教育软件和教学资源的开发、销售、咨询及其</w:t>
      </w:r>
      <w:r>
        <w:rPr>
          <w:w w:val="100"/>
        </w:rPr>
        <w:t> </w:t>
      </w:r>
      <w:r>
        <w:rPr>
          <w:spacing w:val="-2"/>
        </w:rPr>
        <w:t>技术服务；电子产品的开发、销售（不含二、三类医疗器械等需许可项目）；经营进出口业务（法律、行</w:t>
      </w:r>
      <w:r>
        <w:rPr>
          <w:spacing w:val="-50"/>
        </w:rPr>
        <w:t> </w:t>
      </w:r>
      <w:r>
        <w:rPr>
          <w:spacing w:val="-50"/>
        </w:rPr>
      </w:r>
      <w:r>
        <w:rPr>
          <w:spacing w:val="-2"/>
        </w:rPr>
        <w:t>政法规、国务院决定禁止的项目除外，限制的项目须取得许可后方可经营）；投资兴办实业（具体项目另</w:t>
      </w:r>
      <w:r>
        <w:rPr>
          <w:spacing w:val="-43"/>
        </w:rPr>
        <w:t> </w:t>
      </w:r>
      <w:r>
        <w:rPr>
          <w:spacing w:val="-43"/>
        </w:rPr>
      </w:r>
      <w:r>
        <w:rPr>
          <w:spacing w:val="-2"/>
        </w:rPr>
        <w:t>行申报）；房屋租赁；出版物零售；第二类增值电信业务中的信息服务业务（仅限互联网信息服务）（凭</w:t>
      </w:r>
      <w:r>
        <w:rPr>
          <w:spacing w:val="-44"/>
        </w:rPr>
        <w:t> </w:t>
      </w:r>
      <w:r>
        <w:rPr>
          <w:spacing w:val="-44"/>
        </w:rPr>
      </w:r>
      <w:r>
        <w:rPr/>
        <w:t>“中华人民共和国增值电信业务经营许可证粤</w:t>
      </w:r>
      <w:r>
        <w:rPr>
          <w:rFonts w:ascii="宋体" w:hAnsi="宋体" w:cs="宋体" w:eastAsia="宋体" w:hint="default"/>
        </w:rPr>
        <w:t>B2-20110094</w:t>
      </w:r>
      <w:r>
        <w:rPr/>
        <w:t>经营）。</w:t>
      </w:r>
    </w:p>
    <w:p>
      <w:pPr>
        <w:pStyle w:val="Heading5"/>
        <w:spacing w:line="345" w:lineRule="exact"/>
        <w:ind w:left="573" w:right="6954"/>
        <w:jc w:val="left"/>
        <w:rPr>
          <w:b w:val="0"/>
          <w:bCs w:val="0"/>
        </w:rPr>
      </w:pPr>
      <w:r>
        <w:rPr>
          <w:rFonts w:ascii="Arial" w:hAnsi="Arial" w:cs="Arial" w:eastAsia="Arial" w:hint="default"/>
        </w:rPr>
        <w:t>3</w:t>
      </w:r>
      <w:r>
        <w:rPr/>
        <w:t>、财务报表的批准报出</w:t>
      </w:r>
      <w:r>
        <w:rPr>
          <w:b w:val="0"/>
          <w:bCs w:val="0"/>
        </w:rPr>
      </w:r>
    </w:p>
    <w:p>
      <w:pPr>
        <w:pStyle w:val="BodyText"/>
        <w:spacing w:line="614" w:lineRule="auto" w:before="169"/>
        <w:ind w:left="573" w:right="0"/>
        <w:jc w:val="left"/>
      </w:pPr>
      <w:r>
        <w:rPr/>
        <w:pict>
          <v:shape style="position:absolute;margin-left:84.264pt;margin-top:59.713661pt;width:427.2pt;height:51.8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05"/>
                    <w:gridCol w:w="1263"/>
                    <w:gridCol w:w="730"/>
                    <w:gridCol w:w="1515"/>
                    <w:gridCol w:w="1517"/>
                  </w:tblGrid>
                  <w:tr>
                    <w:trPr>
                      <w:trHeight w:val="34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深圳市连邦信息技术有限公司</w:t>
                        </w:r>
                        <w:r>
                          <w:rPr>
                            <w:rFonts w:ascii="Times New Roman" w:hAnsi="Times New Roman" w:cs="Times New Roman" w:eastAsia="Times New Roman" w:hint="default"/>
                            <w:sz w:val="18"/>
                            <w:szCs w:val="18"/>
                          </w:rPr>
                          <w:t>*</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7"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徐州金太阳教育科技有限公司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55</w:t>
                        </w:r>
                      </w:p>
                    </w:tc>
                  </w:tr>
                </w:tbl>
                <w:p>
                  <w:pPr/>
                </w:p>
              </w:txbxContent>
            </v:textbox>
            <w10:wrap type="none"/>
          </v:shape>
        </w:pict>
      </w:r>
      <w:r>
        <w:rPr>
          <w:spacing w:val="-2"/>
        </w:rPr>
        <w:t>本财务报表业经公司董事会于</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日批准报出。</w:t>
      </w:r>
      <w:r>
        <w:rPr>
          <w:spacing w:val="-54"/>
        </w:rPr>
        <w:t> </w:t>
      </w:r>
      <w:r>
        <w:rPr>
          <w:spacing w:val="-54"/>
        </w:rPr>
      </w:r>
      <w:r>
        <w:rPr/>
        <w:t>本期纳入合并财务报表范围的主体共两户，具体包括：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2"/>
        <w:ind w:left="419" w:right="0"/>
        <w:jc w:val="left"/>
      </w:pPr>
      <w:r>
        <w:rPr/>
        <w:t>本期纳入合并财务报表范围的主体较上期相比无增加。</w:t>
      </w:r>
    </w:p>
    <w:p>
      <w:pPr>
        <w:spacing w:line="240" w:lineRule="auto" w:before="9"/>
        <w:rPr>
          <w:rFonts w:ascii="宋体" w:hAnsi="宋体" w:cs="宋体" w:eastAsia="宋体" w:hint="default"/>
          <w:sz w:val="17"/>
          <w:szCs w:val="17"/>
        </w:rPr>
      </w:pPr>
    </w:p>
    <w:p>
      <w:pPr>
        <w:pStyle w:val="Heading3"/>
        <w:spacing w:line="240" w:lineRule="auto"/>
        <w:ind w:right="6954"/>
        <w:jc w:val="left"/>
        <w:rPr>
          <w:b w:val="0"/>
          <w:bCs w:val="0"/>
        </w:rPr>
      </w:pPr>
      <w:r>
        <w:rPr/>
        <w:t>四、财务报表的编制基础</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5"/>
        <w:spacing w:line="240" w:lineRule="auto"/>
        <w:ind w:right="695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right="206" w:firstLine="439"/>
        <w:jc w:val="both"/>
      </w:pPr>
      <w:r>
        <w:rPr>
          <w:spacing w:val="-3"/>
        </w:rPr>
        <w:t>本公司根据实际发生的交易和事项，按照财政部颁布的《企业会计准则——基本准则》和具体企业会</w:t>
      </w:r>
      <w:r>
        <w:rPr>
          <w:w w:val="100"/>
        </w:rPr>
        <w:t> </w:t>
      </w:r>
      <w:r>
        <w:rPr>
          <w:spacing w:val="-2"/>
        </w:rPr>
        <w:t>计准则、企业会计准则应用指南、企业会计准则解释及其他相关规定（以下合称“企业会计准则”）进行</w:t>
      </w:r>
      <w:r>
        <w:rPr>
          <w:spacing w:val="-50"/>
        </w:rPr>
        <w:t> </w:t>
      </w:r>
      <w:r>
        <w:rPr>
          <w:spacing w:val="-50"/>
        </w:rPr>
      </w:r>
      <w:r>
        <w:rPr>
          <w:spacing w:val="-2"/>
        </w:rPr>
        <w:t>确认和计量，在此基础上，结合中国证券监督管理委员会《公开发行证券的公司信息披露编报规则第</w:t>
      </w:r>
      <w:r>
        <w:rPr>
          <w:rFonts w:ascii="宋体" w:hAnsi="宋体" w:cs="宋体" w:eastAsia="宋体" w:hint="default"/>
          <w:spacing w:val="-2"/>
        </w:rPr>
        <w:t>15</w:t>
      </w:r>
      <w:r>
        <w:rPr>
          <w:spacing w:val="-2"/>
        </w:rPr>
        <w:t>号</w:t>
      </w:r>
    </w:p>
    <w:p>
      <w:pPr>
        <w:pStyle w:val="BodyText"/>
        <w:spacing w:line="240" w:lineRule="auto"/>
        <w:ind w:right="0"/>
        <w:jc w:val="left"/>
      </w:pPr>
      <w:r>
        <w:rPr/>
        <w:t>——财务报告的一般规定》（</w:t>
      </w:r>
      <w:r>
        <w:rPr>
          <w:rFonts w:ascii="宋体" w:hAnsi="宋体" w:cs="宋体" w:eastAsia="宋体" w:hint="default"/>
        </w:rPr>
        <w:t>2014</w:t>
      </w:r>
      <w:r>
        <w:rPr/>
        <w:t>年修订）的规定，编制财务报表。</w:t>
      </w:r>
    </w:p>
    <w:p>
      <w:pPr>
        <w:spacing w:after="0" w:line="240" w:lineRule="auto"/>
        <w:jc w:val="left"/>
        <w:sectPr>
          <w:pgSz w:w="11910" w:h="16840"/>
          <w:pgMar w:header="880" w:footer="979" w:top="1100" w:bottom="1160" w:left="980" w:right="92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right="0" w:firstLine="439"/>
        <w:jc w:val="left"/>
      </w:pPr>
      <w:r>
        <w:rPr>
          <w:spacing w:val="-3"/>
        </w:rPr>
        <w:t>本公司对报告期末起</w:t>
      </w:r>
      <w:r>
        <w:rPr>
          <w:rFonts w:ascii="宋体" w:hAnsi="宋体" w:cs="宋体" w:eastAsia="宋体" w:hint="default"/>
          <w:spacing w:val="-3"/>
        </w:rPr>
        <w:t>12</w:t>
      </w:r>
      <w:r>
        <w:rPr>
          <w:spacing w:val="-3"/>
        </w:rPr>
        <w:t>个月的持续经营能力进行了评价，未发现对持续经营能力产生重大怀疑的事项</w:t>
      </w:r>
      <w:r>
        <w:rPr>
          <w:w w:val="100"/>
        </w:rPr>
        <w:t> </w:t>
      </w:r>
      <w:r>
        <w:rPr/>
        <w:t>或情况。因此，本财务报表系在持续经营假设的基础上编制。</w:t>
      </w:r>
    </w:p>
    <w:p>
      <w:pPr>
        <w:pStyle w:val="Heading3"/>
        <w:spacing w:line="240" w:lineRule="auto" w:before="167"/>
        <w:ind w:right="0"/>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line="360"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60" w:lineRule="auto" w:before="25"/>
        <w:ind w:left="153" w:right="713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无</w:t>
      </w:r>
    </w:p>
    <w:p>
      <w:pPr>
        <w:spacing w:line="240" w:lineRule="auto" w:before="3"/>
        <w:rPr>
          <w:rFonts w:ascii="宋体" w:hAnsi="宋体" w:cs="宋体" w:eastAsia="宋体" w:hint="default"/>
          <w:sz w:val="15"/>
          <w:szCs w:val="15"/>
        </w:rPr>
      </w:pPr>
    </w:p>
    <w:p>
      <w:pPr>
        <w:spacing w:line="496" w:lineRule="auto" w:before="0"/>
        <w:ind w:left="592" w:right="0" w:hanging="44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3"/>
          <w:sz w:val="21"/>
          <w:szCs w:val="21"/>
        </w:rPr>
        <w:t>本公司编制的财务报表符合企业会计准则的要求，真实、完整地反映了本公司的财务状况、经营成果</w:t>
      </w:r>
    </w:p>
    <w:p>
      <w:pPr>
        <w:pStyle w:val="BodyText"/>
        <w:spacing w:line="243" w:lineRule="exact" w:before="0"/>
        <w:ind w:right="0"/>
        <w:jc w:val="left"/>
      </w:pPr>
      <w:r>
        <w:rPr/>
        <w:t>和现金流量等有关信息。</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240" w:lineRule="auto" w:before="0"/>
        <w:ind w:left="592"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92" w:right="0"/>
        <w:jc w:val="left"/>
      </w:pPr>
      <w:r>
        <w:rPr/>
        <w:t>本公司营业周期为</w:t>
      </w:r>
      <w:r>
        <w:rPr>
          <w:rFonts w:ascii="宋体" w:hAnsi="宋体" w:cs="宋体" w:eastAsia="宋体" w:hint="default"/>
        </w:rPr>
        <w:t>12</w:t>
      </w:r>
      <w:r>
        <w:rPr/>
        <w:t>个月，并以营业周期作为资产和负债的流动性划分标准。</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240" w:lineRule="auto" w:before="0"/>
        <w:ind w:left="592" w:right="0"/>
        <w:jc w:val="left"/>
      </w:pPr>
      <w:r>
        <w:rPr/>
        <w:t>采用人民币为记账本位币。</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right="0" w:firstLine="439"/>
        <w:jc w:val="left"/>
      </w:pPr>
      <w:r>
        <w:rPr/>
        <w:t>（</w:t>
      </w:r>
      <w:r>
        <w:rPr>
          <w:rFonts w:ascii="宋体" w:hAnsi="宋体" w:cs="宋体" w:eastAsia="宋体" w:hint="default"/>
        </w:rPr>
        <w:t>1</w:t>
      </w:r>
      <w:r>
        <w:rPr/>
        <w:t>）分步实现企业合并过程中的各项交易的条款、条件以及经济影响符合以下一种或多种情况，将</w:t>
      </w:r>
      <w:r>
        <w:rPr>
          <w:w w:val="100"/>
        </w:rPr>
        <w:t> </w:t>
      </w:r>
      <w:r>
        <w:rPr/>
        <w:t>多次交易事项作为一揽子交易进行会计处理</w:t>
      </w:r>
    </w:p>
    <w:p>
      <w:pPr>
        <w:pStyle w:val="BodyText"/>
        <w:spacing w:line="240" w:lineRule="auto"/>
        <w:ind w:left="592" w:right="0"/>
        <w:jc w:val="left"/>
      </w:pPr>
      <w:r>
        <w:rPr>
          <w:rFonts w:ascii="宋体" w:hAnsi="宋体" w:cs="宋体" w:eastAsia="宋体" w:hint="default"/>
        </w:rPr>
        <w:t>1</w:t>
      </w:r>
      <w:r>
        <w:rPr/>
        <w:t>）这些交易是同时或者在考虑了彼此影响的情况下订立的；</w:t>
      </w:r>
    </w:p>
    <w:p>
      <w:pPr>
        <w:spacing w:line="240" w:lineRule="auto" w:before="10"/>
        <w:rPr>
          <w:rFonts w:ascii="宋体" w:hAnsi="宋体" w:cs="宋体" w:eastAsia="宋体" w:hint="default"/>
          <w:sz w:val="14"/>
          <w:szCs w:val="14"/>
        </w:rPr>
      </w:pPr>
    </w:p>
    <w:p>
      <w:pPr>
        <w:pStyle w:val="BodyText"/>
        <w:spacing w:line="240" w:lineRule="auto" w:before="0"/>
        <w:ind w:left="592" w:right="0"/>
        <w:jc w:val="left"/>
      </w:pP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left="592" w:right="0"/>
        <w:jc w:val="left"/>
      </w:pP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240" w:lineRule="auto" w:before="0"/>
        <w:ind w:left="592" w:right="0"/>
        <w:jc w:val="left"/>
      </w:pPr>
      <w:r>
        <w:rPr>
          <w:rFonts w:ascii="宋体" w:hAnsi="宋体" w:cs="宋体" w:eastAsia="宋体" w:hint="default"/>
        </w:rPr>
        <w:t>4</w:t>
      </w:r>
      <w:r>
        <w:rPr/>
        <w:t>）一项交易单独看是不经济的，但是和其他交易一并考虑时是经济的。</w:t>
      </w:r>
    </w:p>
    <w:p>
      <w:pPr>
        <w:spacing w:line="240" w:lineRule="auto" w:before="10"/>
        <w:rPr>
          <w:rFonts w:ascii="宋体" w:hAnsi="宋体" w:cs="宋体" w:eastAsia="宋体" w:hint="default"/>
          <w:sz w:val="14"/>
          <w:szCs w:val="14"/>
        </w:rPr>
      </w:pPr>
    </w:p>
    <w:p>
      <w:pPr>
        <w:pStyle w:val="BodyText"/>
        <w:spacing w:line="240" w:lineRule="auto" w:before="0"/>
        <w:ind w:left="592" w:right="0"/>
        <w:jc w:val="left"/>
      </w:pPr>
      <w:r>
        <w:rPr/>
        <w:t>（</w:t>
      </w:r>
      <w:r>
        <w:rPr>
          <w:rFonts w:ascii="宋体" w:hAnsi="宋体" w:cs="宋体" w:eastAsia="宋体" w:hint="default"/>
        </w:rPr>
        <w:t>2</w:t>
      </w:r>
      <w:r>
        <w:rPr/>
        <w:t>）同一控制下的企业合并</w:t>
      </w:r>
    </w:p>
    <w:p>
      <w:pPr>
        <w:spacing w:after="0" w:line="240" w:lineRule="auto"/>
        <w:jc w:val="left"/>
        <w:sectPr>
          <w:pgSz w:w="11910" w:h="16840"/>
          <w:pgMar w:header="880" w:footer="979" w:top="1100" w:bottom="1160" w:left="980" w:right="980"/>
        </w:sectPr>
      </w:pPr>
    </w:p>
    <w:p>
      <w:pPr>
        <w:spacing w:line="240" w:lineRule="auto" w:before="12"/>
        <w:rPr>
          <w:rFonts w:ascii="宋体" w:hAnsi="宋体" w:cs="宋体" w:eastAsia="宋体" w:hint="default"/>
          <w:sz w:val="26"/>
          <w:szCs w:val="26"/>
        </w:rPr>
      </w:pPr>
    </w:p>
    <w:p>
      <w:pPr>
        <w:pStyle w:val="BodyText"/>
        <w:spacing w:line="408" w:lineRule="auto" w:before="36"/>
        <w:ind w:right="326" w:firstLine="439"/>
        <w:jc w:val="both"/>
      </w:pPr>
      <w:r>
        <w:rPr>
          <w:spacing w:val="-3"/>
        </w:rPr>
        <w:t>本公司在企业合并中取得的资产和负债，按照合并日在被合并方资产、负债（包括最终控制方收购被</w:t>
      </w:r>
      <w:r>
        <w:rPr>
          <w:w w:val="100"/>
        </w:rPr>
        <w:t> </w:t>
      </w:r>
      <w:r>
        <w:rPr>
          <w:spacing w:val="-2"/>
        </w:rPr>
        <w:t>合并方而形成的商誉）在最终控制方合并财务报表中的账面价值计量。在合并中取得的净资产账面价值与</w:t>
      </w:r>
      <w:r>
        <w:rPr>
          <w:spacing w:val="-43"/>
        </w:rPr>
        <w:t> </w:t>
      </w:r>
      <w:r>
        <w:rPr>
          <w:spacing w:val="-43"/>
        </w:rPr>
      </w:r>
      <w:r>
        <w:rPr>
          <w:spacing w:val="-2"/>
        </w:rPr>
        <w:t>支付的合并对价账面价值（或发行股份面值总额）的差额，调整资本公积中的股本溢价，资本公积中的股</w:t>
      </w:r>
      <w:r>
        <w:rPr>
          <w:spacing w:val="-47"/>
        </w:rPr>
        <w:t> </w:t>
      </w:r>
      <w:r>
        <w:rPr>
          <w:spacing w:val="-47"/>
        </w:rPr>
      </w:r>
      <w:r>
        <w:rPr/>
        <w:t>本溢价不足冲减的，调整留存收益。</w:t>
      </w:r>
    </w:p>
    <w:p>
      <w:pPr>
        <w:pStyle w:val="BodyText"/>
        <w:spacing w:line="408" w:lineRule="auto"/>
        <w:ind w:right="5" w:firstLine="439"/>
        <w:jc w:val="left"/>
      </w:pPr>
      <w:r>
        <w:rPr>
          <w:spacing w:val="-3"/>
        </w:rPr>
        <w:t>如果存在或有对价并需要确认预计负债或资产，该预计负债或资产金额与后续或有对价结算金额的差</w:t>
      </w:r>
      <w:r>
        <w:rPr>
          <w:w w:val="100"/>
        </w:rPr>
        <w:t> </w:t>
      </w:r>
      <w:r>
        <w:rPr/>
        <w:t>额，调整资本公积（资本溢价或股本溢价），资本公积不足的，调整留存收益。</w:t>
      </w:r>
    </w:p>
    <w:p>
      <w:pPr>
        <w:pStyle w:val="BodyText"/>
        <w:spacing w:line="408" w:lineRule="auto"/>
        <w:ind w:right="5" w:firstLine="439"/>
        <w:jc w:val="left"/>
      </w:pPr>
      <w:r>
        <w:rPr>
          <w:spacing w:val="-3"/>
        </w:rPr>
        <w:t>对于通过多次交易最终实现企业合并的，属于一揽子交易的，将各项交易作为一项取得控制权的交易</w:t>
      </w:r>
      <w:r>
        <w:rPr>
          <w:w w:val="100"/>
        </w:rPr>
        <w:t> </w:t>
      </w:r>
      <w:r>
        <w:rPr>
          <w:spacing w:val="-2"/>
        </w:rPr>
        <w:t>进行会计处理；不属于一揽子交易的，在取得控制权日，长期股权投资初始投资成本，与达到合并前的长</w:t>
      </w:r>
      <w:r>
        <w:rPr>
          <w:spacing w:val="-50"/>
        </w:rPr>
        <w:t> </w:t>
      </w:r>
      <w:r>
        <w:rPr>
          <w:spacing w:val="-50"/>
        </w:rPr>
      </w:r>
      <w:r>
        <w:rPr>
          <w:spacing w:val="-2"/>
        </w:rPr>
        <w:t>期股权投资账面价值加上合并日进一步取得股份新支付对价的账面价值之和的差额，调整资本公积；资本</w:t>
      </w:r>
      <w:r>
        <w:rPr>
          <w:spacing w:val="-43"/>
        </w:rPr>
        <w:t> </w:t>
      </w:r>
      <w:r>
        <w:rPr>
          <w:spacing w:val="-43"/>
        </w:rPr>
      </w:r>
      <w:r>
        <w:rPr>
          <w:spacing w:val="-2"/>
        </w:rPr>
        <w:t>公积不足冲减的，调整留存收益。对于合并日之前持有的股权投资，因采用权益法核算或金融工具确认和</w:t>
      </w:r>
      <w:r>
        <w:rPr>
          <w:spacing w:val="-44"/>
        </w:rPr>
        <w:t> </w:t>
      </w:r>
      <w:r>
        <w:rPr>
          <w:spacing w:val="-44"/>
        </w:rPr>
      </w:r>
      <w:r>
        <w:rPr>
          <w:spacing w:val="-2"/>
        </w:rPr>
        <w:t>计量准则核算而确认的其他综合收益，暂不进行会计处理，直至处置该项投资时采用与被投资单位直接处</w:t>
      </w:r>
      <w:r>
        <w:rPr>
          <w:spacing w:val="-44"/>
        </w:rPr>
        <w:t> </w:t>
      </w:r>
      <w:r>
        <w:rPr>
          <w:spacing w:val="-44"/>
        </w:rPr>
      </w:r>
      <w:r>
        <w:rPr/>
        <w:t>置相关资产或负债相同的基础进行会计处理；因采用权益法核算而确认的被投资单位净资产中除净损益、</w:t>
      </w:r>
      <w:r>
        <w:rPr>
          <w:spacing w:val="-24"/>
        </w:rPr>
        <w:t> </w:t>
      </w:r>
      <w:r>
        <w:rPr>
          <w:spacing w:val="-24"/>
        </w:rPr>
      </w:r>
      <w:r>
        <w:rPr>
          <w:spacing w:val="-2"/>
        </w:rPr>
        <w:t>其他综合收益和利润分配以外的所有者权益其他变动，暂不进行会计处理，直至处置该项投资时转入当期</w:t>
      </w:r>
      <w:r>
        <w:rPr>
          <w:spacing w:val="-43"/>
        </w:rPr>
        <w:t> </w:t>
      </w:r>
      <w:r>
        <w:rPr>
          <w:spacing w:val="-43"/>
        </w:rPr>
      </w:r>
      <w:r>
        <w:rPr/>
        <w:t>损益。</w:t>
      </w:r>
    </w:p>
    <w:p>
      <w:pPr>
        <w:pStyle w:val="BodyText"/>
        <w:spacing w:line="408" w:lineRule="auto"/>
        <w:ind w:left="592" w:right="5"/>
        <w:jc w:val="left"/>
      </w:pPr>
      <w:r>
        <w:rPr/>
        <w:t>（</w:t>
      </w:r>
      <w:r>
        <w:rPr>
          <w:rFonts w:ascii="宋体" w:hAnsi="宋体" w:cs="宋体" w:eastAsia="宋体" w:hint="default"/>
        </w:rPr>
        <w:t>3</w:t>
      </w:r>
      <w:r>
        <w:rPr/>
        <w:t>）非同一控制下的企业合并</w:t>
      </w:r>
      <w:r>
        <w:rPr>
          <w:w w:val="100"/>
        </w:rPr>
        <w:t> </w:t>
      </w:r>
      <w:r>
        <w:rPr>
          <w:spacing w:val="-3"/>
        </w:rPr>
        <w:t>本公司在购买日对作为企业合并对价付出的资产、发生或承担的负债按照公允价值计量，公允价值与</w:t>
      </w:r>
    </w:p>
    <w:p>
      <w:pPr>
        <w:pStyle w:val="BodyText"/>
        <w:spacing w:line="408" w:lineRule="auto"/>
        <w:ind w:left="592" w:right="5" w:hanging="440"/>
        <w:jc w:val="left"/>
      </w:pPr>
      <w:r>
        <w:rPr/>
        <w:t>其账面价值的差额，计入当期损益。</w:t>
      </w:r>
      <w:r>
        <w:rPr>
          <w:w w:val="100"/>
        </w:rPr>
        <w:t> </w:t>
      </w:r>
      <w:r>
        <w:rPr>
          <w:spacing w:val="-3"/>
        </w:rPr>
        <w:t>本公司对合并成本大于合并中取得的被购买方可辨认净资产公允价值份额的差额，确认为商誉；合并</w:t>
      </w:r>
    </w:p>
    <w:p>
      <w:pPr>
        <w:pStyle w:val="BodyText"/>
        <w:spacing w:line="408" w:lineRule="auto"/>
        <w:ind w:left="592" w:right="5" w:hanging="440"/>
        <w:jc w:val="left"/>
      </w:pPr>
      <w:r>
        <w:rPr/>
        <w:t>成本小于合并中取得的被购买方可辨认净资产公允价值份额的差额，经复核后，计入当期损益。</w:t>
      </w:r>
      <w:r>
        <w:rPr>
          <w:w w:val="100"/>
        </w:rPr>
        <w:t> </w:t>
      </w:r>
      <w:r>
        <w:rPr>
          <w:spacing w:val="-3"/>
        </w:rPr>
        <w:t>通过多次交换交易分步实现的非同一控制下企业合并，属于一揽子交易的，将各项交易作为一项取得</w:t>
      </w:r>
    </w:p>
    <w:p>
      <w:pPr>
        <w:pStyle w:val="BodyText"/>
        <w:spacing w:line="408" w:lineRule="auto"/>
        <w:ind w:right="5"/>
        <w:jc w:val="left"/>
      </w:pPr>
      <w:r>
        <w:rPr/>
        <w:t>控制权的交易进行会计处理；不属于一揽子交易的，合并日之前持有的股权投资采用权益法核算的，以购</w:t>
      </w:r>
      <w:r>
        <w:rPr>
          <w:w w:val="100"/>
        </w:rPr>
        <w:t> </w:t>
      </w:r>
      <w:r>
        <w:rPr>
          <w:spacing w:val="-2"/>
        </w:rPr>
        <w:t>买日之前所持被购买方的股权投资的账面价值与购买日新增投资成本之和，作为该项投资的初始投资成本；</w:t>
      </w:r>
      <w:r>
        <w:rPr>
          <w:spacing w:val="-43"/>
        </w:rPr>
        <w:t> </w:t>
      </w:r>
      <w:r>
        <w:rPr>
          <w:spacing w:val="-43"/>
        </w:rPr>
      </w:r>
      <w:r>
        <w:rPr/>
        <w:t>购买日之前持有的股权投资因采用权益法核算而确认的其他综合收益，在处置该项投资时采用与被投资单</w:t>
      </w:r>
      <w:r>
        <w:rPr>
          <w:w w:val="100"/>
        </w:rPr>
        <w:t> </w:t>
      </w:r>
      <w:r>
        <w:rPr/>
        <w:t>位直接处置相关资产或负债相同的基础进行会计处理。合并日之前持有的股权投资采用金融工具确认和计</w:t>
      </w:r>
      <w:r>
        <w:rPr>
          <w:w w:val="100"/>
        </w:rPr>
        <w:t> </w:t>
      </w:r>
      <w:r>
        <w:rPr/>
        <w:t>量准则核算的，以该股权投资在合并日的公允价值加上新增投资成本之和，作为合并日的初始投资成本。</w:t>
      </w:r>
      <w:r>
        <w:rPr>
          <w:spacing w:val="-24"/>
        </w:rPr>
        <w:t> </w:t>
      </w:r>
      <w:r>
        <w:rPr>
          <w:spacing w:val="-24"/>
        </w:rPr>
      </w:r>
      <w:r>
        <w:rPr>
          <w:spacing w:val="2"/>
        </w:rPr>
        <w:t>原持有股权的公允价值与账面价值之间的差额以及原计入其他综合收益的累计公允价值变动应全部转入</w:t>
      </w:r>
      <w:r>
        <w:rPr>
          <w:spacing w:val="-30"/>
        </w:rPr>
        <w:t> </w:t>
      </w:r>
      <w:r>
        <w:rPr>
          <w:spacing w:val="-30"/>
        </w:rPr>
      </w:r>
      <w:r>
        <w:rPr/>
        <w:t>合并日当期的投资收益。</w:t>
      </w:r>
    </w:p>
    <w:p>
      <w:pPr>
        <w:pStyle w:val="BodyText"/>
        <w:spacing w:line="408" w:lineRule="auto"/>
        <w:ind w:left="592" w:right="5"/>
        <w:jc w:val="left"/>
      </w:pPr>
      <w:r>
        <w:rPr/>
        <w:t>（</w:t>
      </w:r>
      <w:r>
        <w:rPr>
          <w:rFonts w:ascii="宋体" w:hAnsi="宋体" w:cs="宋体" w:eastAsia="宋体" w:hint="default"/>
        </w:rPr>
        <w:t>4</w:t>
      </w:r>
      <w:r>
        <w:rPr/>
        <w:t>）为合并发生的相关费用</w:t>
      </w:r>
      <w:r>
        <w:rPr>
          <w:w w:val="100"/>
        </w:rPr>
        <w:t> </w:t>
      </w:r>
      <w:r>
        <w:rPr>
          <w:spacing w:val="-3"/>
        </w:rPr>
        <w:t>为企业合并发生的审计、法律服务、评估咨询等中介费用以及其他直接相关费用，于发生时计入当期</w:t>
      </w:r>
    </w:p>
    <w:p>
      <w:pPr>
        <w:pStyle w:val="BodyText"/>
        <w:spacing w:line="240" w:lineRule="auto"/>
        <w:ind w:right="5"/>
        <w:jc w:val="left"/>
      </w:pPr>
      <w:r>
        <w:rPr/>
        <w:t>损益；为企业合并而发行权益性证券的交易费用，可直接归属于权益性交易的从权益中扣减。</w:t>
      </w:r>
    </w:p>
    <w:p>
      <w:pPr>
        <w:spacing w:after="0" w:line="240" w:lineRule="auto"/>
        <w:jc w:val="left"/>
        <w:sectPr>
          <w:pgSz w:w="11910" w:h="16840"/>
          <w:pgMar w:header="880" w:footer="979" w:top="1100" w:bottom="1160" w:left="980" w:right="80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355" w:lineRule="auto" w:before="0"/>
        <w:ind w:left="592" w:right="0" w:firstLine="2"/>
        <w:jc w:val="left"/>
      </w:pPr>
      <w:r>
        <w:rPr>
          <w:rFonts w:ascii="宋体" w:hAnsi="宋体" w:cs="宋体" w:eastAsia="宋体" w:hint="default"/>
        </w:rPr>
        <w:t>(1)</w:t>
      </w:r>
      <w:r>
        <w:rPr/>
        <w:t>合并范围</w:t>
      </w:r>
      <w:r>
        <w:rPr>
          <w:w w:val="100"/>
        </w:rPr>
        <w:t> </w:t>
      </w:r>
      <w:r>
        <w:rPr>
          <w:spacing w:val="-3"/>
        </w:rPr>
        <w:t>本公司合并财务报表的合并范围以控制为基础确定，所有子公司（包括本公司所控制的单独主体）均</w:t>
      </w:r>
    </w:p>
    <w:p>
      <w:pPr>
        <w:pStyle w:val="BodyText"/>
        <w:spacing w:line="355" w:lineRule="auto" w:before="32"/>
        <w:ind w:left="594" w:right="7893" w:hanging="442"/>
        <w:jc w:val="left"/>
      </w:pPr>
      <w:r>
        <w:rPr>
          <w:spacing w:val="-1"/>
        </w:rPr>
        <w:t>纳入合并财务报表。</w:t>
      </w:r>
      <w:r>
        <w:rPr>
          <w:spacing w:val="-95"/>
        </w:rPr>
        <w:t> </w:t>
      </w:r>
      <w:r>
        <w:rPr>
          <w:spacing w:val="-95"/>
        </w:rPr>
      </w:r>
      <w:r>
        <w:rPr>
          <w:rFonts w:ascii="宋体" w:hAnsi="宋体" w:cs="宋体" w:eastAsia="宋体" w:hint="default"/>
        </w:rPr>
        <w:t>(2)</w:t>
      </w:r>
      <w:r>
        <w:rPr/>
        <w:t>合并程序</w:t>
      </w:r>
    </w:p>
    <w:p>
      <w:pPr>
        <w:pStyle w:val="BodyText"/>
        <w:spacing w:line="357" w:lineRule="auto" w:before="32"/>
        <w:ind w:right="146" w:firstLine="439"/>
        <w:jc w:val="both"/>
      </w:pPr>
      <w:r>
        <w:rPr>
          <w:spacing w:val="-3"/>
        </w:rPr>
        <w:t>本公司以自身和各子公司的财务报表为基础，根据其他有关资料，编制合并财务报表。本公司编制合</w:t>
      </w:r>
      <w:r>
        <w:rPr>
          <w:w w:val="100"/>
        </w:rPr>
        <w:t> </w:t>
      </w: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357" w:lineRule="auto" w:before="30"/>
        <w:ind w:right="146" w:firstLine="439"/>
        <w:jc w:val="both"/>
      </w:pPr>
      <w:r>
        <w:rPr>
          <w:spacing w:val="-3"/>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t>必要的调整。</w:t>
      </w:r>
    </w:p>
    <w:p>
      <w:pPr>
        <w:pStyle w:val="BodyText"/>
        <w:spacing w:line="355" w:lineRule="auto" w:before="32"/>
        <w:ind w:right="146" w:firstLine="439"/>
        <w:jc w:val="both"/>
      </w:pPr>
      <w:r>
        <w:rPr>
          <w:spacing w:val="-3"/>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利润表、合并现金流量表、合并股东权益变动表的影响。如果站在企业集团合并财务报表角度与以本公司</w:t>
      </w:r>
      <w:r>
        <w:rPr>
          <w:spacing w:val="-44"/>
        </w:rPr>
        <w:t> </w:t>
      </w:r>
      <w:r>
        <w:rPr>
          <w:spacing w:val="-44"/>
        </w:rPr>
      </w:r>
      <w:r>
        <w:rPr/>
        <w:t>或子公司为会计主体对同一交易的认定不同时，从企业集团的角度对该交易予以调整。</w:t>
      </w:r>
    </w:p>
    <w:p>
      <w:pPr>
        <w:pStyle w:val="BodyText"/>
        <w:spacing w:line="357" w:lineRule="auto" w:before="32"/>
        <w:ind w:right="146" w:firstLine="439"/>
        <w:jc w:val="both"/>
      </w:pPr>
      <w:r>
        <w:rPr>
          <w:spacing w:val="-3"/>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355" w:lineRule="auto" w:before="30"/>
        <w:ind w:right="146" w:firstLine="439"/>
        <w:jc w:val="both"/>
      </w:pPr>
      <w:r>
        <w:rPr>
          <w:spacing w:val="-3"/>
        </w:rPr>
        <w:t>对于同一控制下企业合并取得的子公司，以其资产、负债（包括最终控制方收购该子公司而形成的商</w:t>
      </w:r>
      <w:r>
        <w:rPr>
          <w:w w:val="100"/>
        </w:rPr>
        <w:t> </w:t>
      </w:r>
      <w:r>
        <w:rPr/>
        <w:t>誉）在最终控制方财务报表中的账面价值为基础对其财务报表进行调整。</w:t>
      </w:r>
    </w:p>
    <w:p>
      <w:pPr>
        <w:pStyle w:val="BodyText"/>
        <w:spacing w:line="240" w:lineRule="auto" w:before="32"/>
        <w:ind w:left="592" w:right="0"/>
        <w:jc w:val="left"/>
      </w:pPr>
      <w:r>
        <w:rPr>
          <w:spacing w:val="-3"/>
        </w:rPr>
        <w:t>对于非同一控制下企业合并取得的子公司，以购买日可辨认净资产公允价值为基础对其财务报表进行</w:t>
      </w:r>
    </w:p>
    <w:p>
      <w:pPr>
        <w:pStyle w:val="BodyText"/>
        <w:spacing w:line="240" w:lineRule="auto" w:before="135"/>
        <w:ind w:right="0"/>
        <w:jc w:val="left"/>
      </w:pPr>
      <w:r>
        <w:rPr/>
        <w:t>调整</w:t>
      </w:r>
    </w:p>
    <w:p>
      <w:pPr>
        <w:pStyle w:val="BodyText"/>
        <w:spacing w:line="355" w:lineRule="auto" w:before="133"/>
        <w:ind w:left="592" w:right="0"/>
        <w:jc w:val="left"/>
      </w:pPr>
      <w:r>
        <w:rPr>
          <w:rFonts w:ascii="宋体" w:hAnsi="宋体" w:cs="宋体" w:eastAsia="宋体" w:hint="default"/>
        </w:rPr>
        <w:t>1</w:t>
      </w:r>
      <w:r>
        <w:rPr/>
        <w:t>）增加子公司或业务</w:t>
      </w:r>
      <w:r>
        <w:rPr>
          <w:w w:val="100"/>
        </w:rPr>
        <w:t> </w:t>
      </w:r>
      <w:r>
        <w:rPr>
          <w:spacing w:val="-3"/>
        </w:rPr>
        <w:t>在报告期内，若因同一控制下企业合并增加子公司或业务的，则调整合并资产负债表的期初数；将子</w:t>
      </w:r>
    </w:p>
    <w:p>
      <w:pPr>
        <w:pStyle w:val="BodyText"/>
        <w:spacing w:line="357" w:lineRule="auto" w:before="32"/>
        <w:ind w:right="14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357" w:lineRule="auto" w:before="31"/>
        <w:ind w:right="146" w:firstLine="439"/>
        <w:jc w:val="both"/>
      </w:pPr>
      <w:r>
        <w:rPr>
          <w:spacing w:val="-3"/>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355" w:lineRule="auto" w:before="30"/>
        <w:ind w:right="146" w:firstLine="439"/>
        <w:jc w:val="both"/>
      </w:pPr>
      <w:r>
        <w:rPr>
          <w:spacing w:val="-3"/>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spacing w:after="0" w:line="355" w:lineRule="auto"/>
        <w:jc w:val="both"/>
        <w:sectPr>
          <w:pgSz w:w="11910" w:h="16840"/>
          <w:pgMar w:header="880" w:footer="979" w:top="1100" w:bottom="1160" w:left="980" w:right="980"/>
        </w:sectPr>
      </w:pPr>
    </w:p>
    <w:p>
      <w:pPr>
        <w:spacing w:line="240" w:lineRule="auto" w:before="3"/>
        <w:rPr>
          <w:rFonts w:ascii="宋体" w:hAnsi="宋体" w:cs="宋体" w:eastAsia="宋体" w:hint="default"/>
          <w:sz w:val="19"/>
          <w:szCs w:val="19"/>
        </w:rPr>
      </w:pPr>
    </w:p>
    <w:p>
      <w:pPr>
        <w:pStyle w:val="BodyText"/>
        <w:spacing w:line="357" w:lineRule="auto" w:before="36"/>
        <w:ind w:right="146" w:firstLine="439"/>
        <w:jc w:val="both"/>
      </w:pPr>
      <w:r>
        <w:rPr>
          <w:spacing w:val="-3"/>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BodyText"/>
        <w:spacing w:line="355" w:lineRule="auto" w:before="30"/>
        <w:ind w:left="592" w:right="6713"/>
        <w:jc w:val="left"/>
      </w:pPr>
      <w:r>
        <w:rPr>
          <w:rFonts w:ascii="宋体" w:hAnsi="宋体" w:cs="宋体" w:eastAsia="宋体" w:hint="default"/>
          <w:spacing w:val="-2"/>
        </w:rPr>
        <w:t>2</w:t>
      </w:r>
      <w:r>
        <w:rPr>
          <w:spacing w:val="-2"/>
        </w:rPr>
        <w:t>）处置子公司或业务</w:t>
      </w:r>
      <w:r>
        <w:rPr>
          <w:spacing w:val="-86"/>
        </w:rPr>
        <w:t> </w:t>
      </w:r>
      <w:r>
        <w:rPr>
          <w:spacing w:val="-86"/>
        </w:rPr>
      </w:r>
      <w:r>
        <w:rPr>
          <w:rFonts w:ascii="宋体" w:hAnsi="宋体" w:cs="宋体" w:eastAsia="宋体" w:hint="default"/>
        </w:rPr>
        <w:t>A.</w:t>
      </w:r>
      <w:r>
        <w:rPr/>
        <w:t>一般处理方法</w:t>
      </w:r>
    </w:p>
    <w:p>
      <w:pPr>
        <w:pStyle w:val="BodyText"/>
        <w:spacing w:line="355" w:lineRule="auto" w:before="34"/>
        <w:ind w:right="148" w:firstLine="439"/>
        <w:jc w:val="both"/>
      </w:pPr>
      <w:r>
        <w:rPr>
          <w:spacing w:val="-3"/>
        </w:rPr>
        <w:t>在报告期内，本公司处置子公司或业务，则该子公司或业务期初至处置日的收入、费用、利润纳入合</w:t>
      </w:r>
      <w:r>
        <w:rPr>
          <w:w w:val="100"/>
        </w:rPr>
        <w:t> </w:t>
      </w:r>
      <w:r>
        <w:rPr/>
        <w:t>并利润表；该子公司或业务期初至处置日的现金流量纳入合并现金流量表。</w:t>
      </w:r>
    </w:p>
    <w:p>
      <w:pPr>
        <w:pStyle w:val="BodyText"/>
        <w:spacing w:line="357" w:lineRule="auto" w:before="33"/>
        <w:ind w:right="146" w:firstLine="439"/>
        <w:jc w:val="both"/>
      </w:pPr>
      <w:r>
        <w:rPr>
          <w:spacing w:val="-3"/>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355" w:lineRule="auto" w:before="30"/>
        <w:ind w:left="592" w:right="0"/>
        <w:jc w:val="left"/>
      </w:pPr>
      <w:r>
        <w:rPr>
          <w:rFonts w:ascii="宋体" w:hAnsi="宋体" w:cs="宋体" w:eastAsia="宋体" w:hint="default"/>
        </w:rPr>
        <w:t>B.</w:t>
      </w:r>
      <w:r>
        <w:rPr/>
        <w:t>分步处置子公司</w:t>
      </w:r>
      <w:r>
        <w:rPr>
          <w:w w:val="100"/>
        </w:rPr>
        <w:t> </w:t>
      </w:r>
      <w:r>
        <w:rPr>
          <w:spacing w:val="-3"/>
        </w:rPr>
        <w:t>通过多次交易分步处置对子公司股权投资直至丧失控制权的，处置对子公司股权投资的各项交易的条</w:t>
      </w:r>
    </w:p>
    <w:p>
      <w:pPr>
        <w:pStyle w:val="BodyText"/>
        <w:spacing w:line="357" w:lineRule="auto" w:before="34"/>
        <w:ind w:right="0"/>
        <w:jc w:val="left"/>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spacing w:line="357" w:lineRule="auto" w:before="30"/>
        <w:ind w:left="592" w:right="156"/>
        <w:jc w:val="left"/>
      </w:pPr>
      <w:r>
        <w:rPr>
          <w:rFonts w:ascii="宋体" w:hAnsi="宋体" w:cs="宋体" w:eastAsia="宋体" w:hint="default"/>
        </w:rPr>
        <w:t>a.</w:t>
      </w:r>
      <w:r>
        <w:rPr/>
        <w:t>这些交易是同时或者在考虑了彼此影响的情况下订立的；</w:t>
      </w:r>
      <w:r>
        <w:rPr>
          <w:w w:val="100"/>
        </w:rPr>
        <w:t> </w:t>
      </w:r>
      <w:r>
        <w:rPr>
          <w:rFonts w:ascii="宋体" w:hAnsi="宋体" w:cs="宋体" w:eastAsia="宋体" w:hint="default"/>
        </w:rPr>
        <w:t>b.</w:t>
      </w:r>
      <w:r>
        <w:rPr/>
        <w:t>这些交易整体才能达成一项完整的商业结果；</w:t>
      </w:r>
      <w:r>
        <w:rPr>
          <w:w w:val="100"/>
        </w:rPr>
        <w:t> </w:t>
      </w:r>
      <w:r>
        <w:rPr>
          <w:rFonts w:ascii="宋体" w:hAnsi="宋体" w:cs="宋体" w:eastAsia="宋体" w:hint="default"/>
        </w:rPr>
        <w:t>c.</w:t>
      </w:r>
      <w:r>
        <w:rPr/>
        <w:t>一项交易的发生取决于其他至少一项交易的发生；</w:t>
      </w:r>
      <w:r>
        <w:rPr>
          <w:w w:val="100"/>
        </w:rPr>
        <w:t> </w:t>
      </w:r>
      <w:r>
        <w:rPr>
          <w:rFonts w:ascii="宋体" w:hAnsi="宋体" w:cs="宋体" w:eastAsia="宋体" w:hint="default"/>
        </w:rPr>
        <w:t>d.</w:t>
      </w:r>
      <w:r>
        <w:rPr/>
        <w:t>一项交易单独看是不经济的，但是和其他交易一并考虑时是经济的。</w:t>
      </w:r>
      <w:r>
        <w:rPr>
          <w:w w:val="100"/>
        </w:rPr>
        <w:t> </w:t>
      </w:r>
      <w:r>
        <w:rPr>
          <w:spacing w:val="-3"/>
        </w:rPr>
        <w:t>处置对子公司股权投资直至丧失控制权的各项交易属于一揽子交易的，本公司将各项交易作为一项处</w:t>
      </w:r>
    </w:p>
    <w:p>
      <w:pPr>
        <w:pStyle w:val="BodyText"/>
        <w:spacing w:line="357" w:lineRule="auto" w:before="30"/>
        <w:ind w:right="14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355" w:lineRule="auto" w:before="30"/>
        <w:ind w:right="146" w:firstLine="439"/>
        <w:jc w:val="both"/>
      </w:pPr>
      <w:r>
        <w:rPr>
          <w:spacing w:val="-3"/>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357" w:lineRule="auto" w:before="32"/>
        <w:ind w:left="592" w:right="0"/>
        <w:jc w:val="left"/>
      </w:pPr>
      <w:r>
        <w:rPr>
          <w:rFonts w:ascii="宋体" w:hAnsi="宋体" w:cs="宋体" w:eastAsia="宋体" w:hint="default"/>
        </w:rPr>
        <w:t>3</w:t>
      </w:r>
      <w:r>
        <w:rPr/>
        <w:t>）购买子公司少数股权</w:t>
      </w:r>
      <w:r>
        <w:rPr>
          <w:w w:val="100"/>
        </w:rPr>
        <w:t> </w:t>
      </w:r>
      <w:r>
        <w:rPr>
          <w:spacing w:val="-3"/>
        </w:rPr>
        <w:t>本公司因购买少数股权新取得的长期股权投资与按照新增持股比例计算应享有子公司自购买日（或合</w:t>
      </w:r>
    </w:p>
    <w:p>
      <w:pPr>
        <w:pStyle w:val="BodyText"/>
        <w:spacing w:line="355" w:lineRule="auto" w:before="30"/>
        <w:ind w:right="146"/>
        <w:jc w:val="both"/>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spacing w:after="0" w:line="355" w:lineRule="auto"/>
        <w:jc w:val="both"/>
        <w:sectPr>
          <w:footerReference w:type="default" r:id="rId53"/>
          <w:pgSz w:w="11910" w:h="16840"/>
          <w:pgMar w:footer="979" w:header="880" w:top="1100" w:bottom="1160" w:left="980" w:right="980"/>
        </w:sectPr>
      </w:pPr>
    </w:p>
    <w:p>
      <w:pPr>
        <w:spacing w:line="240" w:lineRule="auto" w:before="3"/>
        <w:rPr>
          <w:rFonts w:ascii="宋体" w:hAnsi="宋体" w:cs="宋体" w:eastAsia="宋体" w:hint="default"/>
          <w:sz w:val="19"/>
          <w:szCs w:val="19"/>
        </w:rPr>
      </w:pPr>
    </w:p>
    <w:p>
      <w:pPr>
        <w:pStyle w:val="BodyText"/>
        <w:spacing w:line="357" w:lineRule="auto" w:before="36"/>
        <w:ind w:left="592" w:right="0"/>
        <w:jc w:val="left"/>
      </w:pPr>
      <w:r>
        <w:rPr>
          <w:rFonts w:ascii="宋体" w:hAnsi="宋体" w:cs="宋体" w:eastAsia="宋体"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357" w:lineRule="auto" w:before="30"/>
        <w:ind w:right="0"/>
        <w:jc w:val="left"/>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13"/>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32" w:lineRule="auto" w:before="0"/>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在编制现金流量表时，将本公司库存现金以及可以随时用于支付的存款确认为现金。将同时具备期</w:t>
      </w:r>
    </w:p>
    <w:p>
      <w:pPr>
        <w:pStyle w:val="BodyText"/>
        <w:spacing w:line="240" w:lineRule="exact" w:before="0"/>
        <w:ind w:right="0"/>
        <w:jc w:val="both"/>
      </w:pPr>
      <w:r>
        <w:rPr/>
        <w:t>限短（一般从购买日起三个月内到期）、流动性强、易于转换为已知金额的现金、价值变动风险很小四</w:t>
      </w:r>
    </w:p>
    <w:p>
      <w:pPr>
        <w:pStyle w:val="BodyText"/>
        <w:spacing w:line="240" w:lineRule="auto" w:before="133"/>
        <w:ind w:right="0"/>
        <w:jc w:val="both"/>
      </w:pPr>
      <w:r>
        <w:rPr/>
        <w:t>个条件的投资，确定为现金等价物。</w:t>
      </w:r>
    </w:p>
    <w:p>
      <w:pPr>
        <w:spacing w:line="240" w:lineRule="auto" w:before="0"/>
        <w:rPr>
          <w:rFonts w:ascii="宋体" w:hAnsi="宋体" w:cs="宋体" w:eastAsia="宋体" w:hint="default"/>
          <w:sz w:val="20"/>
          <w:szCs w:val="20"/>
        </w:rPr>
      </w:pPr>
    </w:p>
    <w:p>
      <w:pPr>
        <w:pStyle w:val="Heading5"/>
        <w:spacing w:line="240" w:lineRule="auto" w:before="131"/>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355" w:lineRule="auto" w:before="0"/>
        <w:ind w:left="573" w:right="0"/>
        <w:jc w:val="left"/>
      </w:pPr>
      <w:r>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资产负债表日，外币货币性项目按资产负债表日即期汇率折算，由此产生的汇兑差额，除属于与购</w:t>
      </w:r>
    </w:p>
    <w:p>
      <w:pPr>
        <w:pStyle w:val="BodyText"/>
        <w:spacing w:line="355" w:lineRule="auto" w:before="34"/>
        <w:ind w:right="333"/>
        <w:jc w:val="both"/>
      </w:pPr>
      <w:r>
        <w:rPr>
          <w:spacing w:val="-2"/>
        </w:rPr>
        <w:t>建符合资本化条件的资产相关的外币专门借款产生的汇兑差额按照借款费用资本化的原则处理外，均计</w:t>
      </w:r>
      <w:r>
        <w:rPr>
          <w:spacing w:val="-21"/>
        </w:rPr>
        <w:t> </w:t>
      </w:r>
      <w:r>
        <w:rPr>
          <w:spacing w:val="-21"/>
        </w:rPr>
      </w:r>
      <w:r>
        <w:rPr>
          <w:spacing w:val="-2"/>
        </w:rPr>
        <w:t>入当期损益。以历史成本计量的外币非货币性项目，仍采用交易发生日的即期汇率折算，不改变其记账</w:t>
      </w:r>
      <w:r>
        <w:rPr>
          <w:spacing w:val="-21"/>
        </w:rPr>
        <w:t> </w:t>
      </w:r>
      <w:r>
        <w:rPr>
          <w:spacing w:val="-21"/>
        </w:rPr>
      </w:r>
      <w:r>
        <w:rPr/>
        <w:t>本位币金额。</w:t>
      </w:r>
    </w:p>
    <w:p>
      <w:pPr>
        <w:pStyle w:val="BodyText"/>
        <w:spacing w:line="357" w:lineRule="auto" w:before="32"/>
        <w:ind w:right="333" w:firstLine="420"/>
        <w:jc w:val="both"/>
      </w:pPr>
      <w:r>
        <w:rPr>
          <w:spacing w:val="-2"/>
        </w:rPr>
        <w:t>以公允价值计量的外币非货币性项目，采用公允价值确定日的即期汇率折算，由此产生的汇兑差额</w:t>
      </w:r>
      <w:r>
        <w:rPr>
          <w:w w:val="100"/>
        </w:rPr>
        <w:t> </w:t>
      </w:r>
      <w:r>
        <w:rPr>
          <w:spacing w:val="-2"/>
        </w:rPr>
        <w:t>作为公允价值变动损益计入当期损益。如属于可供出售外币非货币性项目的，形成的汇兑差额计入其他</w:t>
      </w:r>
      <w:r>
        <w:rPr>
          <w:spacing w:val="-21"/>
        </w:rPr>
        <w:t> </w:t>
      </w:r>
      <w:r>
        <w:rPr>
          <w:spacing w:val="-21"/>
        </w:rPr>
      </w:r>
      <w:r>
        <w:rPr/>
        <w:t>综合收益。</w:t>
      </w:r>
    </w:p>
    <w:p>
      <w:pPr>
        <w:spacing w:line="240" w:lineRule="auto" w:before="13"/>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0"/>
        <w:ind w:left="592" w:right="0"/>
        <w:jc w:val="left"/>
      </w:pPr>
      <w:r>
        <w:rPr/>
        <w:t>金融工具包括金融资产、金融负债和权益工具。</w:t>
      </w:r>
    </w:p>
    <w:p>
      <w:pPr>
        <w:pStyle w:val="BodyText"/>
        <w:spacing w:line="355" w:lineRule="auto" w:before="135"/>
        <w:ind w:left="592" w:right="0" w:firstLine="2"/>
        <w:jc w:val="left"/>
      </w:pPr>
      <w:r>
        <w:rPr/>
        <w:t>（</w:t>
      </w:r>
      <w:r>
        <w:rPr>
          <w:rFonts w:ascii="宋体" w:hAnsi="宋体" w:cs="宋体" w:eastAsia="宋体" w:hint="default"/>
        </w:rPr>
        <w:t>1</w:t>
      </w:r>
      <w:r>
        <w:rPr/>
        <w:t>）金融工具的分类</w:t>
      </w:r>
      <w:r>
        <w:rPr>
          <w:w w:val="100"/>
        </w:rPr>
        <w:t> </w:t>
      </w:r>
      <w:r>
        <w:rPr>
          <w:spacing w:val="-3"/>
        </w:rPr>
        <w:t>本公司根据所发行金融工具的合同条款及其所反映的经济实质而非仅以法律形式，结合取得持有金融</w:t>
      </w:r>
    </w:p>
    <w:p>
      <w:pPr>
        <w:pStyle w:val="BodyText"/>
        <w:spacing w:line="355" w:lineRule="auto" w:before="33"/>
        <w:ind w:right="146"/>
        <w:jc w:val="both"/>
      </w:pPr>
      <w:r>
        <w:rPr>
          <w:spacing w:val="-2"/>
        </w:rPr>
        <w:t>资产和承担金融负债的目的，在初始确认时将金融资产和金融负债分为不同类别：以公允价值计量且其变</w:t>
      </w:r>
      <w:r>
        <w:rPr>
          <w:spacing w:val="-43"/>
        </w:rPr>
        <w:t> </w:t>
      </w:r>
      <w:r>
        <w:rPr>
          <w:spacing w:val="-43"/>
        </w:rPr>
      </w:r>
      <w:r>
        <w:rPr>
          <w:spacing w:val="-2"/>
        </w:rPr>
        <w:t>动计入当期损益的金融资产（或金融负债）；持有至到期投资；应收款项；可供出售金融资产；其他金融</w:t>
      </w:r>
      <w:r>
        <w:rPr>
          <w:spacing w:val="-42"/>
        </w:rPr>
        <w:t> </w:t>
      </w:r>
      <w:r>
        <w:rPr>
          <w:spacing w:val="-42"/>
        </w:rPr>
      </w:r>
      <w:r>
        <w:rPr/>
        <w:t>负债等。</w:t>
      </w:r>
    </w:p>
    <w:p>
      <w:pPr>
        <w:pStyle w:val="BodyText"/>
        <w:spacing w:line="355" w:lineRule="auto" w:before="34"/>
        <w:ind w:left="592" w:right="0" w:hanging="34"/>
        <w:jc w:val="left"/>
      </w:pPr>
      <w:r>
        <w:rPr/>
        <w:t>（</w:t>
      </w:r>
      <w:r>
        <w:rPr>
          <w:rFonts w:ascii="宋体" w:hAnsi="宋体" w:cs="宋体" w:eastAsia="宋体" w:hint="default"/>
        </w:rPr>
        <w:t>2</w:t>
      </w:r>
      <w:r>
        <w:rPr/>
        <w:t>）金融工具的确认依据和计量方法</w:t>
      </w:r>
      <w:r>
        <w:rPr>
          <w:w w:val="100"/>
        </w:rPr>
        <w:t> </w:t>
      </w:r>
      <w:r>
        <w:rPr>
          <w:rFonts w:ascii="宋体" w:hAnsi="宋体" w:cs="宋体" w:eastAsia="宋体" w:hint="default"/>
        </w:rPr>
        <w:t>1</w:t>
      </w:r>
      <w:r>
        <w:rPr/>
        <w:t>）以公允价值计量且其变动计入当期损益的金融资产（金融负债）</w:t>
      </w:r>
      <w:r>
        <w:rPr>
          <w:w w:val="100"/>
        </w:rPr>
        <w:t> </w:t>
      </w:r>
      <w:r>
        <w:rPr>
          <w:spacing w:val="-3"/>
        </w:rPr>
        <w:t>以公允价值计量且其变动计入当期损益的金融资产或金融负债，包括交易性金融资产或金融负债和直</w:t>
      </w:r>
    </w:p>
    <w:p>
      <w:pPr>
        <w:pStyle w:val="BodyText"/>
        <w:spacing w:line="357" w:lineRule="auto" w:before="32"/>
        <w:ind w:left="592" w:right="0" w:hanging="440"/>
        <w:jc w:val="left"/>
      </w:pPr>
      <w:r>
        <w:rPr/>
        <w:t>接指定为以公允价值计量且其变动计入当期损益的金融资产或金融负债。</w:t>
      </w:r>
      <w:r>
        <w:rPr>
          <w:w w:val="100"/>
        </w:rPr>
        <w:t> </w:t>
      </w:r>
      <w:r>
        <w:rPr>
          <w:spacing w:val="-2"/>
        </w:rPr>
        <w:t>交易性金融资产或金融负债是指满足下列条件之一的金融资产或金融负债：</w:t>
      </w:r>
    </w:p>
    <w:p>
      <w:pPr>
        <w:spacing w:after="0" w:line="357" w:lineRule="auto"/>
        <w:jc w:val="left"/>
        <w:sectPr>
          <w:footerReference w:type="default" r:id="rId54"/>
          <w:pgSz w:w="11910" w:h="16840"/>
          <w:pgMar w:footer="979" w:header="880" w:top="1100" w:bottom="1160" w:left="980" w:right="980"/>
        </w:sectPr>
      </w:pPr>
    </w:p>
    <w:p>
      <w:pPr>
        <w:spacing w:line="240" w:lineRule="auto" w:before="3"/>
        <w:rPr>
          <w:rFonts w:ascii="宋体" w:hAnsi="宋体" w:cs="宋体" w:eastAsia="宋体" w:hint="default"/>
          <w:sz w:val="19"/>
          <w:szCs w:val="19"/>
        </w:rPr>
      </w:pPr>
    </w:p>
    <w:p>
      <w:pPr>
        <w:pStyle w:val="BodyText"/>
        <w:spacing w:line="357" w:lineRule="auto" w:before="36"/>
        <w:ind w:left="592" w:right="5"/>
        <w:jc w:val="left"/>
      </w:pPr>
      <w:r>
        <w:rPr>
          <w:rFonts w:ascii="宋体" w:hAnsi="宋体" w:cs="宋体" w:eastAsia="宋体" w:hint="default"/>
        </w:rPr>
        <w:t>A.</w:t>
      </w:r>
      <w:r>
        <w:rPr/>
        <w:t>取得该金融资产或金融负债的目的是为了在短期内出售、回购或赎回；</w:t>
      </w:r>
      <w:r>
        <w:rPr>
          <w:w w:val="100"/>
        </w:rPr>
        <w:t> </w:t>
      </w:r>
      <w:r>
        <w:rPr>
          <w:rFonts w:ascii="宋体" w:hAnsi="宋体" w:cs="宋体" w:eastAsia="宋体" w:hint="default"/>
          <w:spacing w:val="-3"/>
        </w:rPr>
        <w:t>B.</w:t>
      </w:r>
      <w:r>
        <w:rPr>
          <w:spacing w:val="-3"/>
        </w:rPr>
        <w:t>属于进行集中管理的可辨认金融工具组合的一部分，且有客观证据表明本公司近期采用短期获利方</w:t>
      </w:r>
    </w:p>
    <w:p>
      <w:pPr>
        <w:pStyle w:val="BodyText"/>
        <w:spacing w:line="357" w:lineRule="auto" w:before="30"/>
        <w:ind w:left="592" w:right="5" w:hanging="440"/>
        <w:jc w:val="left"/>
      </w:pPr>
      <w:r>
        <w:rPr/>
        <w:t>式对该组合进行管理；</w:t>
      </w:r>
      <w:r>
        <w:rPr>
          <w:w w:val="100"/>
        </w:rPr>
        <w:t> </w:t>
      </w:r>
      <w:r>
        <w:rPr>
          <w:rFonts w:ascii="宋体" w:hAnsi="宋体" w:cs="宋体" w:eastAsia="宋体" w:hint="default"/>
          <w:spacing w:val="-3"/>
        </w:rPr>
        <w:t>C.</w:t>
      </w:r>
      <w:r>
        <w:rPr>
          <w:spacing w:val="-3"/>
        </w:rPr>
        <w:t>属于衍生金融工具，但是被指定为有效套期工具的衍生工具、属于财务担保合同的衍生工具、与在</w:t>
      </w:r>
    </w:p>
    <w:p>
      <w:pPr>
        <w:pStyle w:val="BodyText"/>
        <w:spacing w:line="355" w:lineRule="auto" w:before="30"/>
        <w:ind w:right="5"/>
        <w:jc w:val="left"/>
      </w:pPr>
      <w:r>
        <w:rPr>
          <w:spacing w:val="2"/>
        </w:rPr>
        <w:t>活跃市场中没有报价且其公允价值不能可靠计量的权益工具投资挂钩并须通过交付该权益工具结算的衍</w:t>
      </w:r>
      <w:r>
        <w:rPr>
          <w:spacing w:val="-30"/>
        </w:rPr>
        <w:t> </w:t>
      </w:r>
      <w:r>
        <w:rPr>
          <w:spacing w:val="-30"/>
        </w:rPr>
      </w:r>
      <w:r>
        <w:rPr/>
        <w:t>生工具除外。</w:t>
      </w:r>
    </w:p>
    <w:p>
      <w:pPr>
        <w:pStyle w:val="BodyText"/>
        <w:spacing w:line="357" w:lineRule="auto" w:before="32"/>
        <w:ind w:right="5" w:firstLine="439"/>
        <w:jc w:val="left"/>
      </w:pPr>
      <w:r>
        <w:rPr>
          <w:spacing w:val="-3"/>
        </w:rPr>
        <w:t>只有符合以下条件之一，金融资产或金融负债才可在初始计量时指定为以公允价值计量且其变动计入</w:t>
      </w:r>
      <w:r>
        <w:rPr>
          <w:w w:val="100"/>
        </w:rPr>
        <w:t> </w:t>
      </w:r>
      <w:r>
        <w:rPr/>
        <w:t>损益的金融资产或金融负债：</w:t>
      </w:r>
    </w:p>
    <w:p>
      <w:pPr>
        <w:pStyle w:val="BodyText"/>
        <w:spacing w:line="357" w:lineRule="auto" w:before="30"/>
        <w:ind w:right="5" w:firstLine="439"/>
        <w:jc w:val="left"/>
      </w:pPr>
      <w:r>
        <w:rPr>
          <w:rFonts w:ascii="宋体" w:hAnsi="宋体" w:cs="宋体" w:eastAsia="宋体" w:hint="default"/>
          <w:spacing w:val="2"/>
        </w:rPr>
        <w:t>A.</w:t>
      </w:r>
      <w:r>
        <w:rPr>
          <w:spacing w:val="2"/>
        </w:rPr>
        <w:t>该项指定可以消除或明显减少由于金融资产或金融负债的计量基础不同所导致的相关利得或损失</w:t>
      </w:r>
      <w:r>
        <w:rPr>
          <w:w w:val="100"/>
        </w:rPr>
        <w:t> </w:t>
      </w:r>
      <w:r>
        <w:rPr/>
        <w:t>在确认或计量方面不一致的情况；</w:t>
      </w:r>
    </w:p>
    <w:p>
      <w:pPr>
        <w:pStyle w:val="BodyText"/>
        <w:spacing w:line="355" w:lineRule="auto" w:before="30"/>
        <w:ind w:right="5" w:firstLine="439"/>
        <w:jc w:val="left"/>
      </w:pPr>
      <w:r>
        <w:rPr>
          <w:rFonts w:ascii="宋体" w:hAnsi="宋体" w:cs="宋体" w:eastAsia="宋体" w:hint="default"/>
          <w:spacing w:val="-3"/>
        </w:rPr>
        <w:t>B.</w:t>
      </w:r>
      <w:r>
        <w:rPr>
          <w:spacing w:val="-3"/>
        </w:rPr>
        <w:t>风险管理或投资策略的正式书面文件已载明，该金融资产组合、该金融负债组合、或该金融资产和</w:t>
      </w:r>
      <w:r>
        <w:rPr>
          <w:w w:val="100"/>
        </w:rPr>
        <w:t> </w:t>
      </w:r>
      <w:r>
        <w:rPr/>
        <w:t>金融负债组合，以公允价值为基础进行管理、评价并向关键管理人员报告；</w:t>
      </w:r>
    </w:p>
    <w:p>
      <w:pPr>
        <w:pStyle w:val="BodyText"/>
        <w:spacing w:line="355" w:lineRule="auto" w:before="34"/>
        <w:ind w:right="5" w:firstLine="439"/>
        <w:jc w:val="left"/>
      </w:pPr>
      <w:r>
        <w:rPr>
          <w:rFonts w:ascii="宋体" w:hAnsi="宋体" w:cs="宋体" w:eastAsia="宋体" w:hint="default"/>
          <w:spacing w:val="-3"/>
        </w:rPr>
        <w:t>C.</w:t>
      </w:r>
      <w:r>
        <w:rPr>
          <w:spacing w:val="-3"/>
        </w:rPr>
        <w:t>包含一项或多项嵌入衍生工具的混合工具，除非嵌入衍生工具对混合工具的现金流量没有重大改变，</w:t>
      </w:r>
      <w:r>
        <w:rPr>
          <w:w w:val="100"/>
        </w:rPr>
        <w:t> </w:t>
      </w:r>
      <w:r>
        <w:rPr/>
        <w:t>或所嵌入的衍生工具明显不应当从相关混合工具中分拆；</w:t>
      </w:r>
    </w:p>
    <w:p>
      <w:pPr>
        <w:pStyle w:val="BodyText"/>
        <w:spacing w:line="240" w:lineRule="auto" w:before="32"/>
        <w:ind w:left="592" w:right="5"/>
        <w:jc w:val="left"/>
      </w:pPr>
      <w:r>
        <w:rPr>
          <w:rFonts w:ascii="宋体" w:hAnsi="宋体" w:cs="宋体" w:eastAsia="宋体" w:hint="default"/>
          <w:spacing w:val="2"/>
        </w:rPr>
        <w:t>D.</w:t>
      </w:r>
      <w:r>
        <w:rPr>
          <w:spacing w:val="2"/>
        </w:rPr>
        <w:t>包含需要分拆但无法在取得时或后续的资产负债表日对其进行单独计量的嵌入衍生工具的混合工</w:t>
      </w:r>
    </w:p>
    <w:p>
      <w:pPr>
        <w:pStyle w:val="BodyText"/>
        <w:spacing w:line="240" w:lineRule="auto" w:before="133"/>
        <w:ind w:right="5"/>
        <w:jc w:val="left"/>
      </w:pPr>
      <w:r>
        <w:rPr/>
        <w:t>具。</w:t>
      </w:r>
    </w:p>
    <w:p>
      <w:pPr>
        <w:pStyle w:val="BodyText"/>
        <w:spacing w:line="240" w:lineRule="auto" w:before="133"/>
        <w:ind w:left="592" w:right="5"/>
        <w:jc w:val="left"/>
      </w:pPr>
      <w:r>
        <w:rPr>
          <w:spacing w:val="-3"/>
        </w:rPr>
        <w:t>本公司对以公允价值计量且其变动计入当期损益的金融资产或金融负债，在取得时以公允价值（扣除</w:t>
      </w:r>
    </w:p>
    <w:p>
      <w:pPr>
        <w:pStyle w:val="BodyText"/>
        <w:spacing w:line="357" w:lineRule="auto" w:before="135"/>
        <w:ind w:right="5"/>
        <w:jc w:val="left"/>
      </w:pPr>
      <w:r>
        <w:rPr>
          <w:spacing w:val="-2"/>
        </w:rPr>
        <w:t>已宣告但尚未发放的现金股利或已到付息期但尚未领取的债券利息）作为初始确认金额，相关的交易费用</w:t>
      </w:r>
      <w:r>
        <w:rPr>
          <w:spacing w:val="-44"/>
        </w:rPr>
        <w:t> </w:t>
      </w:r>
      <w:r>
        <w:rPr>
          <w:spacing w:val="-44"/>
        </w:rPr>
      </w:r>
      <w:r>
        <w:rPr/>
        <w:t>计入当期损益。持有期间将取得的利息或现金股利确认为投资收益，期末将公允价值变动计入当期损益。</w:t>
      </w:r>
      <w:r>
        <w:rPr>
          <w:spacing w:val="-24"/>
        </w:rPr>
        <w:t> </w:t>
      </w:r>
      <w:r>
        <w:rPr>
          <w:spacing w:val="-24"/>
        </w:rPr>
      </w:r>
      <w:r>
        <w:rPr/>
        <w:t>处置时，其公允价值与初始入账金额之间的差额确认为投资收益，同时调整公允价值变动损益。</w:t>
      </w:r>
    </w:p>
    <w:p>
      <w:pPr>
        <w:pStyle w:val="BodyText"/>
        <w:spacing w:line="357" w:lineRule="auto" w:before="30"/>
        <w:ind w:left="592" w:right="1016"/>
        <w:jc w:val="left"/>
      </w:pPr>
      <w:r>
        <w:rPr>
          <w:rFonts w:ascii="宋体" w:hAnsi="宋体" w:cs="宋体" w:eastAsia="宋体" w:hint="default"/>
        </w:rPr>
        <w:t>2)</w:t>
      </w:r>
      <w:r>
        <w:rPr/>
        <w:t>应收款项</w:t>
      </w:r>
      <w:r>
        <w:rPr>
          <w:spacing w:val="-102"/>
        </w:rPr>
        <w:t> </w:t>
      </w:r>
      <w:r>
        <w:rPr>
          <w:spacing w:val="-102"/>
        </w:rPr>
      </w:r>
      <w:r>
        <w:rPr>
          <w:spacing w:val="-2"/>
        </w:rPr>
        <w:t>应收款项是指在活跃市场中没有报价、回收金额固定或可确定的非衍生金融资产。</w:t>
      </w:r>
    </w:p>
    <w:p>
      <w:pPr>
        <w:pStyle w:val="BodyText"/>
        <w:spacing w:line="355" w:lineRule="auto" w:before="30"/>
        <w:ind w:right="326" w:firstLine="439"/>
        <w:jc w:val="both"/>
      </w:pPr>
      <w:r>
        <w:rPr>
          <w:spacing w:val="-3"/>
        </w:rPr>
        <w:t>本公司对外销售商品或提供劳务形成的应收债权，以及公司持有的其他企业的不包括在活跃市场上有</w:t>
      </w:r>
      <w:r>
        <w:rPr>
          <w:w w:val="100"/>
        </w:rPr>
        <w:t> </w:t>
      </w:r>
      <w:r>
        <w:rPr>
          <w:spacing w:val="-2"/>
        </w:rPr>
        <w:t>报价的债务工具的债权，包括应收账款、其他应收款、预付账款等，以向购货方应收的合同或协议价款作</w:t>
      </w:r>
      <w:r>
        <w:rPr>
          <w:spacing w:val="-47"/>
        </w:rPr>
        <w:t> </w:t>
      </w:r>
      <w:r>
        <w:rPr>
          <w:spacing w:val="-47"/>
        </w:rPr>
      </w:r>
      <w:r>
        <w:rPr/>
        <w:t>为初始确认金额；具有融资性质的，按其现值进行初始确认。</w:t>
      </w:r>
    </w:p>
    <w:p>
      <w:pPr>
        <w:pStyle w:val="BodyText"/>
        <w:spacing w:line="360" w:lineRule="auto" w:before="32"/>
        <w:ind w:left="592" w:right="1016"/>
        <w:jc w:val="left"/>
      </w:pPr>
      <w:r>
        <w:rPr>
          <w:spacing w:val="-2"/>
        </w:rPr>
        <w:t>收回或处置时，将取得的价款与该应收款项账面价值之间的差额计入当期损益。</w:t>
      </w:r>
      <w:r>
        <w:rPr>
          <w:spacing w:val="-38"/>
        </w:rPr>
        <w:t> </w:t>
      </w:r>
      <w:r>
        <w:rPr>
          <w:spacing w:val="-38"/>
        </w:rPr>
      </w:r>
      <w:r>
        <w:rPr>
          <w:rFonts w:ascii="宋体" w:hAnsi="宋体" w:cs="宋体" w:eastAsia="宋体" w:hint="default"/>
        </w:rPr>
        <w:t>3)</w:t>
      </w:r>
      <w:r>
        <w:rPr/>
        <w:t>持有至到期投资</w:t>
      </w:r>
    </w:p>
    <w:p>
      <w:pPr>
        <w:pStyle w:val="BodyText"/>
        <w:spacing w:line="355" w:lineRule="auto" w:before="28"/>
        <w:ind w:right="326" w:firstLine="439"/>
        <w:jc w:val="both"/>
      </w:pPr>
      <w:r>
        <w:rPr>
          <w:spacing w:val="-3"/>
        </w:rPr>
        <w:t>持有至到期投资是指到期日固定、回收金额固定或可确定，且本公司有明确意图和能力持有至到期的</w:t>
      </w:r>
      <w:r>
        <w:rPr>
          <w:w w:val="100"/>
        </w:rPr>
        <w:t> </w:t>
      </w:r>
      <w:r>
        <w:rPr/>
        <w:t>非衍生性金融资产。</w:t>
      </w:r>
    </w:p>
    <w:p>
      <w:pPr>
        <w:pStyle w:val="BodyText"/>
        <w:spacing w:line="357" w:lineRule="auto" w:before="32"/>
        <w:ind w:right="326" w:firstLine="439"/>
        <w:jc w:val="both"/>
      </w:pPr>
      <w:r>
        <w:rPr>
          <w:spacing w:val="-3"/>
        </w:rPr>
        <w:t>本公司对持有至到期投资，在取得时按公允价值（扣除已到付息期但尚未领取的债券利息）和相关交</w:t>
      </w:r>
      <w:r>
        <w:rPr>
          <w:w w:val="100"/>
        </w:rPr>
        <w:t> </w:t>
      </w:r>
      <w:r>
        <w:rPr>
          <w:spacing w:val="-2"/>
        </w:rPr>
        <w:t>易费用之和作为初始确认金额。持有期间按照摊余成本和实际利率计算确认利息收入，计入投资收益。实</w:t>
      </w:r>
      <w:r>
        <w:rPr>
          <w:spacing w:val="-44"/>
        </w:rPr>
        <w:t> </w:t>
      </w:r>
      <w:r>
        <w:rPr>
          <w:spacing w:val="-44"/>
        </w:rPr>
      </w:r>
      <w:r>
        <w:rPr>
          <w:spacing w:val="-2"/>
        </w:rPr>
        <w:t>际利率在取得时确定，在该预期存续期间或适用的更短期间内保持不变。处置时，将所取得价款与该投资</w:t>
      </w:r>
      <w:r>
        <w:rPr>
          <w:spacing w:val="-45"/>
        </w:rPr>
        <w:t> </w:t>
      </w:r>
      <w:r>
        <w:rPr>
          <w:spacing w:val="-45"/>
        </w:rPr>
      </w:r>
      <w:r>
        <w:rPr/>
        <w:t>账面价值之间的差额计入投资收益。</w:t>
      </w:r>
    </w:p>
    <w:p>
      <w:pPr>
        <w:pStyle w:val="BodyText"/>
        <w:spacing w:line="240" w:lineRule="auto" w:before="30"/>
        <w:ind w:left="592" w:right="5"/>
        <w:jc w:val="left"/>
      </w:pPr>
      <w:r>
        <w:rPr>
          <w:spacing w:val="-3"/>
        </w:rPr>
        <w:t>如果持有至到期投资处置或重分类为其他类金融资产的金额，相对于本公司全部持有至到期投资在出</w:t>
      </w:r>
    </w:p>
    <w:p>
      <w:pPr>
        <w:spacing w:after="0" w:line="240" w:lineRule="auto"/>
        <w:jc w:val="left"/>
        <w:sectPr>
          <w:footerReference w:type="default" r:id="rId55"/>
          <w:pgSz w:w="11910" w:h="16840"/>
          <w:pgMar w:footer="979" w:header="880" w:top="1100" w:bottom="1160" w:left="980" w:right="800"/>
          <w:pgNumType w:start="2"/>
        </w:sectPr>
      </w:pPr>
    </w:p>
    <w:p>
      <w:pPr>
        <w:spacing w:line="240" w:lineRule="auto" w:before="3"/>
        <w:rPr>
          <w:rFonts w:ascii="宋体" w:hAnsi="宋体" w:cs="宋体" w:eastAsia="宋体" w:hint="default"/>
          <w:sz w:val="19"/>
          <w:szCs w:val="19"/>
        </w:rPr>
      </w:pPr>
    </w:p>
    <w:p>
      <w:pPr>
        <w:pStyle w:val="BodyText"/>
        <w:spacing w:line="357" w:lineRule="auto" w:before="36"/>
        <w:ind w:right="146"/>
        <w:jc w:val="both"/>
      </w:pPr>
      <w:r>
        <w:rPr>
          <w:spacing w:val="-2"/>
        </w:rPr>
        <w:t>售或重分类前的总额较大，在处置或重分类后应立即将其剩余的持有至到期投资重分类为可供出售金融资</w:t>
      </w:r>
      <w:r>
        <w:rPr>
          <w:spacing w:val="-43"/>
        </w:rPr>
        <w:t> </w:t>
      </w:r>
      <w:r>
        <w:rPr>
          <w:spacing w:val="-43"/>
        </w:rPr>
      </w:r>
      <w:r>
        <w:rPr>
          <w:spacing w:val="-2"/>
        </w:rPr>
        <w:t>产；重分类日，该投资的账面价值与其公允价值之间的差额计入其他综合收益，在该可供出售金融资产发</w:t>
      </w:r>
      <w:r>
        <w:rPr>
          <w:spacing w:val="-43"/>
        </w:rPr>
        <w:t> </w:t>
      </w:r>
      <w:r>
        <w:rPr>
          <w:spacing w:val="-43"/>
        </w:rPr>
      </w:r>
      <w:r>
        <w:rPr/>
        <w:t>生减值或终止确认时转出，计入当期损益。但是，遇到下列情况可以除外：</w:t>
      </w:r>
    </w:p>
    <w:p>
      <w:pPr>
        <w:pStyle w:val="BodyText"/>
        <w:spacing w:line="355" w:lineRule="auto" w:before="32"/>
        <w:ind w:right="0" w:firstLine="439"/>
        <w:jc w:val="left"/>
      </w:pPr>
      <w:r>
        <w:rPr>
          <w:rFonts w:ascii="宋体" w:hAnsi="宋体" w:cs="宋体" w:eastAsia="宋体" w:hint="default"/>
          <w:spacing w:val="-3"/>
        </w:rPr>
        <w:t>A.</w:t>
      </w:r>
      <w:r>
        <w:rPr>
          <w:spacing w:val="-3"/>
        </w:rPr>
        <w:t>出售日或重分类日距离该项投资到期日或赎回日较近</w:t>
      </w:r>
      <w:r>
        <w:rPr>
          <w:rFonts w:ascii="宋体" w:hAnsi="宋体" w:cs="宋体" w:eastAsia="宋体" w:hint="default"/>
          <w:spacing w:val="-3"/>
        </w:rPr>
        <w:t>(</w:t>
      </w:r>
      <w:r>
        <w:rPr>
          <w:spacing w:val="-3"/>
        </w:rPr>
        <w:t>如到期前三个月内</w:t>
      </w:r>
      <w:r>
        <w:rPr>
          <w:rFonts w:ascii="宋体" w:hAnsi="宋体" w:cs="宋体" w:eastAsia="宋体" w:hint="default"/>
          <w:spacing w:val="-3"/>
        </w:rPr>
        <w:t>)</w:t>
      </w:r>
      <w:r>
        <w:rPr>
          <w:spacing w:val="-3"/>
        </w:rPr>
        <w:t>，且市场利率变化对该项</w:t>
      </w:r>
      <w:r>
        <w:rPr>
          <w:w w:val="100"/>
        </w:rPr>
        <w:t> </w:t>
      </w:r>
      <w:r>
        <w:rPr/>
        <w:t>投资的公允价值没有显著影响。</w:t>
      </w:r>
    </w:p>
    <w:p>
      <w:pPr>
        <w:pStyle w:val="BodyText"/>
        <w:spacing w:line="357" w:lineRule="auto" w:before="32"/>
        <w:ind w:left="592" w:right="0"/>
        <w:jc w:val="left"/>
      </w:pPr>
      <w:r>
        <w:rPr>
          <w:rFonts w:ascii="宋体" w:hAnsi="宋体" w:cs="宋体" w:eastAsia="宋体" w:hint="default"/>
        </w:rPr>
        <w:t>B.</w:t>
      </w:r>
      <w:r>
        <w:rPr/>
        <w:t>根据合同约定的偿付方式，企业已收回几乎所有初始本金。</w:t>
      </w:r>
      <w:r>
        <w:rPr>
          <w:w w:val="100"/>
        </w:rPr>
        <w:t> </w:t>
      </w:r>
      <w:r>
        <w:rPr>
          <w:rFonts w:ascii="宋体" w:hAnsi="宋体" w:cs="宋体" w:eastAsia="宋体" w:hint="default"/>
        </w:rPr>
        <w:t>C.</w:t>
      </w:r>
      <w:r>
        <w:rPr/>
        <w:t>出售或重分类是由于企业无法控制、预期不会重复发生且难以合理预计的独立事件所引起。</w:t>
      </w:r>
      <w:r>
        <w:rPr>
          <w:w w:val="100"/>
        </w:rPr>
        <w:t> </w:t>
      </w:r>
      <w:r>
        <w:rPr>
          <w:rFonts w:ascii="宋体" w:hAnsi="宋体" w:cs="宋体" w:eastAsia="宋体" w:hint="default"/>
        </w:rPr>
        <w:t>4)</w:t>
      </w:r>
      <w:r>
        <w:rPr/>
        <w:t>可供出售金融资产</w:t>
      </w:r>
      <w:r>
        <w:rPr>
          <w:w w:val="100"/>
        </w:rPr>
        <w:t> </w:t>
      </w:r>
      <w:r>
        <w:rPr>
          <w:spacing w:val="-3"/>
        </w:rPr>
        <w:t>可供出售金融资产，是指初始确认时即指定为可供出售的非衍生金融资产，以及除其他金融资产类别</w:t>
      </w:r>
    </w:p>
    <w:p>
      <w:pPr>
        <w:pStyle w:val="BodyText"/>
        <w:spacing w:line="355" w:lineRule="auto" w:before="31"/>
        <w:ind w:left="592" w:right="0" w:hanging="440"/>
        <w:jc w:val="left"/>
      </w:pPr>
      <w:r>
        <w:rPr/>
        <w:t>以外的金融资产。</w:t>
      </w:r>
      <w:r>
        <w:rPr>
          <w:w w:val="100"/>
        </w:rPr>
        <w:t> </w:t>
      </w:r>
      <w:r>
        <w:rPr>
          <w:spacing w:val="-3"/>
        </w:rPr>
        <w:t>本公司对可供出售金融资产，在取得时按公允价值（扣除已宣告但尚未发放的现金股利或已到付息期</w:t>
      </w:r>
    </w:p>
    <w:p>
      <w:pPr>
        <w:pStyle w:val="BodyText"/>
        <w:spacing w:line="357" w:lineRule="auto" w:before="32"/>
        <w:ind w:right="146"/>
        <w:jc w:val="both"/>
      </w:pPr>
      <w:r>
        <w:rPr>
          <w:spacing w:val="-2"/>
        </w:rPr>
        <w:t>但尚未领取的债券利息）和相关交易费用之和作为初始确认金额。持有期间将取得的利息或现金股利确认</w:t>
      </w:r>
      <w:r>
        <w:rPr>
          <w:spacing w:val="-43"/>
        </w:rPr>
        <w:t> </w:t>
      </w:r>
      <w:r>
        <w:rPr>
          <w:spacing w:val="-43"/>
        </w:rPr>
      </w:r>
      <w:r>
        <w:rPr>
          <w:spacing w:val="-2"/>
        </w:rPr>
        <w:t>为投资收益。可供出售金融资产的公允价值变动形成的利得或损失，除减值损失和外币货币性金融资产形</w:t>
      </w:r>
      <w:r>
        <w:rPr>
          <w:spacing w:val="-44"/>
        </w:rPr>
        <w:t> </w:t>
      </w:r>
      <w:r>
        <w:rPr>
          <w:spacing w:val="-44"/>
        </w:rPr>
      </w:r>
      <w:r>
        <w:rPr>
          <w:spacing w:val="-2"/>
        </w:rPr>
        <w:t>成的汇兑差额外，直接计入其他综合收益。处置可供出售金融资产时，将取得的价款与该金融资产账面价</w:t>
      </w:r>
      <w:r>
        <w:rPr>
          <w:spacing w:val="-44"/>
        </w:rPr>
        <w:t> </w:t>
      </w:r>
      <w:r>
        <w:rPr>
          <w:spacing w:val="-44"/>
        </w:rPr>
      </w:r>
      <w:r>
        <w:rPr>
          <w:spacing w:val="-2"/>
        </w:rPr>
        <w:t>值之间的差额，计入投资损益；同时，将原直接计入其他综合收益的公允价值变动累计额对应处置部分的</w:t>
      </w:r>
      <w:r>
        <w:rPr>
          <w:spacing w:val="-44"/>
        </w:rPr>
        <w:t> </w:t>
      </w:r>
      <w:r>
        <w:rPr>
          <w:spacing w:val="-44"/>
        </w:rPr>
      </w:r>
      <w:r>
        <w:rPr/>
        <w:t>金额转出，计入投资损益。</w:t>
      </w:r>
    </w:p>
    <w:p>
      <w:pPr>
        <w:pStyle w:val="BodyText"/>
        <w:spacing w:line="357" w:lineRule="auto" w:before="30"/>
        <w:ind w:right="0" w:firstLine="439"/>
        <w:jc w:val="left"/>
      </w:pPr>
      <w:r>
        <w:rPr>
          <w:spacing w:val="-3"/>
        </w:rPr>
        <w:t>本公司对在活跃市场中没有报价且其公允价值不能可靠计量的权益工具投资，以及与该权益工具挂钩</w:t>
      </w:r>
      <w:r>
        <w:rPr>
          <w:w w:val="100"/>
        </w:rPr>
        <w:t> </w:t>
      </w:r>
      <w:r>
        <w:rPr/>
        <w:t>并须通过交付该权益工具结算的衍生金融资产，按照成本计量。</w:t>
      </w:r>
    </w:p>
    <w:p>
      <w:pPr>
        <w:pStyle w:val="BodyText"/>
        <w:spacing w:line="355" w:lineRule="auto" w:before="30"/>
        <w:ind w:left="592" w:right="230"/>
        <w:jc w:val="left"/>
      </w:pPr>
      <w:r>
        <w:rPr>
          <w:rFonts w:ascii="宋体" w:hAnsi="宋体" w:cs="宋体" w:eastAsia="宋体" w:hint="default"/>
        </w:rPr>
        <w:t>5)</w:t>
      </w:r>
      <w:r>
        <w:rPr/>
        <w:t>其他金融负债</w:t>
      </w:r>
      <w:r>
        <w:rPr>
          <w:w w:val="100"/>
        </w:rPr>
        <w:t> </w:t>
      </w:r>
      <w:r>
        <w:rPr>
          <w:spacing w:val="-2"/>
        </w:rPr>
        <w:t>按其公允价值和相关交易费用之和作为初始确认金额。采用摊余成本进行后续计量。</w:t>
      </w:r>
    </w:p>
    <w:p>
      <w:pPr>
        <w:pStyle w:val="BodyText"/>
        <w:spacing w:line="357" w:lineRule="auto" w:before="32"/>
        <w:ind w:left="592" w:right="0" w:firstLine="2"/>
        <w:jc w:val="left"/>
      </w:pPr>
      <w:r>
        <w:rPr/>
        <w:t>（</w:t>
      </w:r>
      <w:r>
        <w:rPr>
          <w:rFonts w:ascii="宋体" w:hAnsi="宋体" w:cs="宋体" w:eastAsia="宋体" w:hint="default"/>
        </w:rPr>
        <w:t>3</w:t>
      </w:r>
      <w:r>
        <w:rPr/>
        <w:t>）金融资产转移的确认依据和计量方法</w:t>
      </w:r>
      <w:r>
        <w:rPr>
          <w:w w:val="100"/>
        </w:rPr>
        <w:t> </w:t>
      </w:r>
      <w:r>
        <w:rPr>
          <w:spacing w:val="-3"/>
        </w:rPr>
        <w:t>公司发生金融资产转移时，如已将金融资产所有权上几乎所有的风险和报酬转移给转入方，则终止确</w:t>
      </w:r>
    </w:p>
    <w:p>
      <w:pPr>
        <w:pStyle w:val="BodyText"/>
        <w:spacing w:line="355" w:lineRule="auto" w:before="30"/>
        <w:ind w:left="592" w:right="0" w:hanging="440"/>
        <w:jc w:val="left"/>
      </w:pPr>
      <w:r>
        <w:rPr/>
        <w:t>认该金融资产；如保留了金融资产所有权上几乎所有的风险和报酬的，则不终止确认该金融资产。</w:t>
      </w:r>
      <w:r>
        <w:rPr>
          <w:w w:val="100"/>
        </w:rPr>
        <w:t> </w:t>
      </w:r>
      <w:r>
        <w:rPr>
          <w:spacing w:val="-3"/>
        </w:rPr>
        <w:t>在判断金融资产转移是否满足上述金融资产终止确认条件时，采用实质重于形式的原则。公司将金融</w:t>
      </w:r>
    </w:p>
    <w:p>
      <w:pPr>
        <w:pStyle w:val="BodyText"/>
        <w:spacing w:line="355" w:lineRule="auto" w:before="32"/>
        <w:ind w:right="146"/>
        <w:jc w:val="both"/>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before="35"/>
        <w:ind w:left="592" w:right="0"/>
        <w:jc w:val="left"/>
      </w:pPr>
      <w:r>
        <w:rPr>
          <w:rFonts w:ascii="宋体" w:hAnsi="宋体" w:cs="宋体" w:eastAsia="宋体" w:hint="default"/>
        </w:rPr>
        <w:t>1</w:t>
      </w:r>
      <w:r>
        <w:rPr/>
        <w:t>）所转移金融资产的账面价值；</w:t>
      </w:r>
    </w:p>
    <w:p>
      <w:pPr>
        <w:pStyle w:val="BodyText"/>
        <w:spacing w:line="355" w:lineRule="auto" w:before="133"/>
        <w:ind w:right="0" w:firstLine="439"/>
        <w:jc w:val="left"/>
      </w:pPr>
      <w:r>
        <w:rPr>
          <w:rFonts w:ascii="宋体" w:hAnsi="宋体" w:cs="宋体" w:eastAsia="宋体" w:hint="default"/>
        </w:rPr>
        <w:t>2</w:t>
      </w:r>
      <w:r>
        <w:rPr/>
        <w:t>）因转移而收到的对价，与原直接计入所有者权益的公允价值变动累计额（涉及转移的金融资产为</w:t>
      </w:r>
      <w:r>
        <w:rPr>
          <w:w w:val="100"/>
        </w:rPr>
        <w:t> </w:t>
      </w:r>
      <w:r>
        <w:rPr/>
        <w:t>可供出售金融资产的情形）之和。</w:t>
      </w:r>
    </w:p>
    <w:p>
      <w:pPr>
        <w:pStyle w:val="BodyText"/>
        <w:spacing w:line="355" w:lineRule="auto" w:before="32"/>
        <w:ind w:right="0" w:firstLine="439"/>
        <w:jc w:val="left"/>
      </w:pPr>
      <w:r>
        <w:rPr>
          <w:spacing w:val="-3"/>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before="34"/>
        <w:ind w:left="592" w:right="0"/>
        <w:jc w:val="left"/>
      </w:pPr>
      <w:r>
        <w:rPr>
          <w:rFonts w:ascii="宋体" w:hAnsi="宋体" w:cs="宋体" w:eastAsia="宋体" w:hint="default"/>
        </w:rPr>
        <w:t>1</w:t>
      </w:r>
      <w:r>
        <w:rPr/>
        <w:t>）终止确认部分的账面价值；</w:t>
      </w:r>
    </w:p>
    <w:p>
      <w:pPr>
        <w:pStyle w:val="BodyText"/>
        <w:spacing w:line="355" w:lineRule="auto" w:before="133"/>
        <w:ind w:right="0" w:firstLine="439"/>
        <w:jc w:val="left"/>
      </w:pPr>
      <w:r>
        <w:rPr>
          <w:rFonts w:ascii="宋体" w:hAnsi="宋体" w:cs="宋体" w:eastAsia="宋体" w:hint="default"/>
        </w:rPr>
        <w:t>2</w:t>
      </w:r>
      <w:r>
        <w:rPr/>
        <w:t>）终止确认部分的对价，与原直接计入所有者权益的公允价值变动累计额中对应终止确认部分的金</w:t>
      </w:r>
      <w:r>
        <w:rPr>
          <w:w w:val="100"/>
        </w:rPr>
        <w:t> </w:t>
      </w:r>
      <w:r>
        <w:rPr/>
        <w:t>额（涉及转移的金融资产为可供出售金融资产的情形）之和。</w:t>
      </w:r>
    </w:p>
    <w:p>
      <w:pPr>
        <w:spacing w:after="0" w:line="355" w:lineRule="auto"/>
        <w:jc w:val="left"/>
        <w:sectPr>
          <w:pgSz w:w="11910" w:h="16840"/>
          <w:pgMar w:header="880" w:footer="979" w:top="1100" w:bottom="1160" w:left="980" w:right="980"/>
        </w:sectPr>
      </w:pPr>
    </w:p>
    <w:p>
      <w:pPr>
        <w:spacing w:line="240" w:lineRule="auto" w:before="3"/>
        <w:rPr>
          <w:rFonts w:ascii="宋体" w:hAnsi="宋体" w:cs="宋体" w:eastAsia="宋体" w:hint="default"/>
          <w:sz w:val="19"/>
          <w:szCs w:val="19"/>
        </w:rPr>
      </w:pPr>
    </w:p>
    <w:p>
      <w:pPr>
        <w:pStyle w:val="BodyText"/>
        <w:spacing w:line="240" w:lineRule="auto" w:before="36"/>
        <w:ind w:left="592" w:right="0"/>
        <w:jc w:val="left"/>
      </w:pPr>
      <w:r>
        <w:rPr/>
        <w:t>金融资产转移不满足终止确认条件的，继续确认该金融资产，所收到的对价确认为一项金融负债。</w:t>
      </w:r>
    </w:p>
    <w:p>
      <w:pPr>
        <w:pStyle w:val="BodyText"/>
        <w:spacing w:line="355" w:lineRule="auto" w:before="133"/>
        <w:ind w:left="592" w:right="0" w:firstLine="2"/>
        <w:jc w:val="left"/>
      </w:pPr>
      <w:r>
        <w:rPr/>
        <w:t>（</w:t>
      </w:r>
      <w:r>
        <w:rPr>
          <w:rFonts w:ascii="宋体" w:hAnsi="宋体" w:cs="宋体" w:eastAsia="宋体" w:hint="default"/>
        </w:rPr>
        <w:t>4</w:t>
      </w:r>
      <w:r>
        <w:rPr/>
        <w:t>）金融负债终止确认条件</w:t>
      </w:r>
      <w:r>
        <w:rPr>
          <w:w w:val="100"/>
        </w:rPr>
        <w:t> </w:t>
      </w:r>
      <w:r>
        <w:rPr>
          <w:spacing w:val="-3"/>
        </w:rPr>
        <w:t>金融负债的现时义务全部或部分已经解除的，则终止确认该金融负债或其一部分；本公司若与债权人</w:t>
      </w:r>
    </w:p>
    <w:p>
      <w:pPr>
        <w:pStyle w:val="BodyText"/>
        <w:spacing w:line="355" w:lineRule="auto" w:before="34"/>
        <w:ind w:right="146"/>
        <w:jc w:val="both"/>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355" w:lineRule="auto" w:before="32"/>
        <w:ind w:right="146" w:firstLine="439"/>
        <w:jc w:val="both"/>
      </w:pPr>
      <w:r>
        <w:rPr>
          <w:spacing w:val="-3"/>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355" w:lineRule="auto" w:before="34"/>
        <w:ind w:right="146" w:firstLine="439"/>
        <w:jc w:val="both"/>
      </w:pPr>
      <w:r>
        <w:rPr>
          <w:spacing w:val="-3"/>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355" w:lineRule="auto" w:before="33"/>
        <w:ind w:right="146" w:firstLine="439"/>
        <w:jc w:val="both"/>
      </w:pPr>
      <w:r>
        <w:rPr>
          <w:spacing w:val="-3"/>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pStyle w:val="BodyText"/>
        <w:spacing w:line="355" w:lineRule="auto" w:before="34"/>
        <w:ind w:left="592" w:right="0" w:firstLine="2"/>
        <w:jc w:val="left"/>
      </w:pPr>
      <w:r>
        <w:rPr/>
        <w:t>（</w:t>
      </w:r>
      <w:r>
        <w:rPr>
          <w:rFonts w:ascii="宋体" w:hAnsi="宋体" w:cs="宋体" w:eastAsia="宋体" w:hint="default"/>
        </w:rPr>
        <w:t>5</w:t>
      </w:r>
      <w:r>
        <w:rPr/>
        <w:t>）金融资产和金融负债公允价值的确定方法</w:t>
      </w:r>
      <w:r>
        <w:rPr>
          <w:w w:val="100"/>
        </w:rPr>
        <w:t> </w:t>
      </w:r>
      <w:r>
        <w:rPr>
          <w:spacing w:val="-3"/>
        </w:rPr>
        <w:t>存在活跃市场的金融资产或金融负债，以活跃市场的报价确定其公允价值；活跃市场的报价包括易于</w:t>
      </w:r>
    </w:p>
    <w:p>
      <w:pPr>
        <w:pStyle w:val="BodyText"/>
        <w:spacing w:line="355" w:lineRule="auto" w:before="32"/>
        <w:ind w:right="146"/>
        <w:jc w:val="both"/>
      </w:pPr>
      <w:r>
        <w:rPr>
          <w:spacing w:val="-2"/>
        </w:rPr>
        <w:t>且可定期从交易所、交易商、经纪人、行业集团、定价机构或监管机构等获得相关资产或负债的报价，且</w:t>
      </w:r>
      <w:r>
        <w:rPr>
          <w:spacing w:val="-42"/>
        </w:rPr>
        <w:t> </w:t>
      </w:r>
      <w:r>
        <w:rPr>
          <w:spacing w:val="-42"/>
        </w:rPr>
      </w:r>
      <w:r>
        <w:rPr/>
        <w:t>能代表在公平交易基础上实际并经常发生的市场交易。</w:t>
      </w:r>
    </w:p>
    <w:p>
      <w:pPr>
        <w:pStyle w:val="BodyText"/>
        <w:spacing w:line="357" w:lineRule="auto" w:before="32"/>
        <w:ind w:left="592" w:right="0"/>
        <w:jc w:val="left"/>
      </w:pPr>
      <w:r>
        <w:rPr/>
        <w:t>初始取得或衍生的金融资产或承担的金融负债，以市场交易价格作为确定其公允价值的基础。</w:t>
      </w:r>
      <w:r>
        <w:rPr>
          <w:w w:val="100"/>
        </w:rPr>
        <w:t> </w:t>
      </w:r>
      <w:r>
        <w:rPr>
          <w:spacing w:val="-3"/>
        </w:rPr>
        <w:t>不存在活跃市场的金融资产或金融负债，采用估值技术确定其公允价值。在估值时，本公司采用在当</w:t>
      </w:r>
    </w:p>
    <w:p>
      <w:pPr>
        <w:pStyle w:val="BodyText"/>
        <w:spacing w:line="355" w:lineRule="auto" w:before="30"/>
        <w:ind w:right="146"/>
        <w:jc w:val="both"/>
      </w:pPr>
      <w:r>
        <w:rPr>
          <w:spacing w:val="-2"/>
        </w:rPr>
        <w:t>前情况下适用并且有足够可利用数据和其他信息支持的估值技术，选择与市场参与者在相关资产或负债的</w:t>
      </w:r>
      <w:r>
        <w:rPr>
          <w:spacing w:val="-43"/>
        </w:rPr>
        <w:t> </w:t>
      </w:r>
      <w:r>
        <w:rPr>
          <w:spacing w:val="-43"/>
        </w:rPr>
      </w:r>
      <w:r>
        <w:rPr>
          <w:spacing w:val="-2"/>
        </w:rPr>
        <w:t>交易中所考虑的资产或负债特征相一致的输入值，并尽可能优先使用相关可观察输入值。在相关可观察输</w:t>
      </w:r>
      <w:r>
        <w:rPr>
          <w:spacing w:val="-43"/>
        </w:rPr>
        <w:t> </w:t>
      </w:r>
      <w:r>
        <w:rPr>
          <w:spacing w:val="-43"/>
        </w:rPr>
      </w:r>
      <w:r>
        <w:rPr/>
        <w:t>入值无法取得或取得不切实可行的情况下，使用不可观察输入值。</w:t>
      </w:r>
    </w:p>
    <w:p>
      <w:pPr>
        <w:pStyle w:val="BodyText"/>
        <w:spacing w:line="355" w:lineRule="auto" w:before="34"/>
        <w:ind w:left="592" w:right="0" w:firstLine="2"/>
        <w:jc w:val="left"/>
      </w:pPr>
      <w:r>
        <w:rPr/>
        <w:t>（</w:t>
      </w:r>
      <w:r>
        <w:rPr>
          <w:rFonts w:ascii="宋体" w:hAnsi="宋体" w:cs="宋体" w:eastAsia="宋体" w:hint="default"/>
        </w:rPr>
        <w:t>6</w:t>
      </w:r>
      <w:r>
        <w:rPr/>
        <w:t>）金融资产（不含应收款项）减值准备计提</w:t>
      </w:r>
      <w:r>
        <w:rPr>
          <w:w w:val="100"/>
        </w:rPr>
        <w:t> </w:t>
      </w:r>
      <w:r>
        <w:rPr>
          <w:spacing w:val="2"/>
        </w:rPr>
        <w:t>资产负债表日对以公允价值计量且其变动计入当期损益的金融资产以外的金融资产的账面价值进行</w:t>
      </w:r>
    </w:p>
    <w:p>
      <w:pPr>
        <w:pStyle w:val="BodyText"/>
        <w:spacing w:line="355" w:lineRule="auto" w:before="32"/>
        <w:ind w:left="592" w:right="1673" w:hanging="440"/>
        <w:jc w:val="left"/>
      </w:pPr>
      <w:r>
        <w:rPr>
          <w:spacing w:val="-2"/>
        </w:rPr>
        <w:t>检查，如有客观证据表明该金融资产发生减值的，计提减值准备。</w:t>
      </w:r>
      <w:r>
        <w:rPr>
          <w:spacing w:val="-49"/>
        </w:rPr>
        <w:t> </w:t>
      </w:r>
      <w:r>
        <w:rPr>
          <w:spacing w:val="-49"/>
        </w:rPr>
      </w:r>
      <w:r>
        <w:rPr/>
        <w:t>金融资产发生减值的客观证据，包括但不限于：</w:t>
      </w:r>
      <w:r>
        <w:rPr>
          <w:w w:val="100"/>
        </w:rPr>
        <w:t> </w:t>
      </w:r>
      <w:r>
        <w:rPr>
          <w:rFonts w:ascii="宋体" w:hAnsi="宋体" w:cs="宋体" w:eastAsia="宋体" w:hint="default"/>
        </w:rPr>
        <w:t>1)</w:t>
      </w:r>
      <w:r>
        <w:rPr/>
        <w:t>发行方或债务人发生严重财务困难；</w:t>
      </w:r>
    </w:p>
    <w:p>
      <w:pPr>
        <w:pStyle w:val="BodyText"/>
        <w:spacing w:line="240" w:lineRule="auto" w:before="35"/>
        <w:ind w:left="592" w:right="0"/>
        <w:jc w:val="left"/>
      </w:pPr>
      <w:r>
        <w:rPr>
          <w:rFonts w:ascii="宋体" w:hAnsi="宋体" w:cs="宋体" w:eastAsia="宋体" w:hint="default"/>
        </w:rPr>
        <w:t>2)</w:t>
      </w:r>
      <w:r>
        <w:rPr/>
        <w:t>债务人违反了合同条款，如偿付利息或本金发生违约或逾期等；</w:t>
      </w:r>
    </w:p>
    <w:p>
      <w:pPr>
        <w:pStyle w:val="BodyText"/>
        <w:spacing w:line="240" w:lineRule="auto" w:before="133"/>
        <w:ind w:left="592" w:right="0"/>
        <w:jc w:val="left"/>
      </w:pPr>
      <w:r>
        <w:rPr>
          <w:rFonts w:ascii="宋体" w:hAnsi="宋体" w:cs="宋体" w:eastAsia="宋体" w:hint="default"/>
        </w:rPr>
        <w:t>3)</w:t>
      </w:r>
      <w:r>
        <w:rPr/>
        <w:t>债权人出于经济或法律等方面因素的考虑，对发生财务困难的债务人作出让步；</w:t>
      </w:r>
    </w:p>
    <w:p>
      <w:pPr>
        <w:pStyle w:val="BodyText"/>
        <w:spacing w:line="240" w:lineRule="auto" w:before="133"/>
        <w:ind w:left="592" w:right="0"/>
        <w:jc w:val="left"/>
      </w:pPr>
      <w:r>
        <w:rPr>
          <w:rFonts w:ascii="宋体" w:hAnsi="宋体" w:cs="宋体" w:eastAsia="宋体" w:hint="default"/>
        </w:rPr>
        <w:t>4)</w:t>
      </w:r>
      <w:r>
        <w:rPr/>
        <w:t>债务人很可能倒闭或进行其他财务重组；</w:t>
      </w:r>
    </w:p>
    <w:p>
      <w:pPr>
        <w:pStyle w:val="BodyText"/>
        <w:spacing w:line="240" w:lineRule="auto" w:before="133"/>
        <w:ind w:left="592" w:right="0"/>
        <w:jc w:val="left"/>
      </w:pPr>
      <w:r>
        <w:rPr>
          <w:rFonts w:ascii="宋体" w:hAnsi="宋体" w:cs="宋体" w:eastAsia="宋体" w:hint="default"/>
        </w:rPr>
        <w:t>5)</w:t>
      </w:r>
      <w:r>
        <w:rPr/>
        <w:t>因发行方发生重大财务困难，该金融资产无法在活跃市场继续交易；</w:t>
      </w:r>
    </w:p>
    <w:p>
      <w:pPr>
        <w:pStyle w:val="BodyText"/>
        <w:spacing w:line="357" w:lineRule="auto" w:before="133"/>
        <w:ind w:right="146" w:firstLine="439"/>
        <w:jc w:val="both"/>
      </w:pPr>
      <w:r>
        <w:rPr>
          <w:rFonts w:ascii="宋体" w:hAnsi="宋体" w:cs="宋体" w:eastAsia="宋体" w:hint="default"/>
          <w:spacing w:val="-3"/>
        </w:rPr>
        <w:t>6)</w:t>
      </w:r>
      <w:r>
        <w:rPr>
          <w:spacing w:val="-3"/>
        </w:rPr>
        <w:t>无法辨认一组金融资产中的某项资产的现金流量是否已经减少，但根据公开的数据对其进行总体评</w:t>
      </w:r>
      <w:r>
        <w:rPr>
          <w:w w:val="100"/>
        </w:rPr>
        <w:t> </w:t>
      </w:r>
      <w:r>
        <w:rPr>
          <w:spacing w:val="-2"/>
        </w:rPr>
        <w:t>价后发现，该组金融资产自初始确认以来的预计未来现金流量确已减少且可计量，如该组金融资产的债务</w:t>
      </w:r>
      <w:r>
        <w:rPr>
          <w:spacing w:val="-42"/>
        </w:rPr>
        <w:t> </w:t>
      </w:r>
      <w:r>
        <w:rPr>
          <w:spacing w:val="-42"/>
        </w:rPr>
      </w:r>
      <w:r>
        <w:rPr>
          <w:spacing w:val="-2"/>
        </w:rPr>
        <w:t>人支付能力逐步恶化，或债务人所在国家或地区失业率提高、担保物在其所在地区的价格明显下降、所处</w:t>
      </w:r>
      <w:r>
        <w:rPr>
          <w:spacing w:val="-44"/>
        </w:rPr>
        <w:t> </w:t>
      </w:r>
      <w:r>
        <w:rPr>
          <w:spacing w:val="-44"/>
        </w:rPr>
      </w:r>
      <w:r>
        <w:rPr/>
        <w:t>行业不景气等；</w:t>
      </w:r>
    </w:p>
    <w:p>
      <w:pPr>
        <w:spacing w:after="0" w:line="357" w:lineRule="auto"/>
        <w:jc w:val="both"/>
        <w:sectPr>
          <w:pgSz w:w="11910" w:h="16840"/>
          <w:pgMar w:header="880" w:footer="979" w:top="1100" w:bottom="1160" w:left="980" w:right="980"/>
        </w:sectPr>
      </w:pPr>
    </w:p>
    <w:p>
      <w:pPr>
        <w:spacing w:line="240" w:lineRule="auto" w:before="3"/>
        <w:rPr>
          <w:rFonts w:ascii="宋体" w:hAnsi="宋体" w:cs="宋体" w:eastAsia="宋体" w:hint="default"/>
          <w:sz w:val="19"/>
          <w:szCs w:val="19"/>
        </w:rPr>
      </w:pPr>
    </w:p>
    <w:p>
      <w:pPr>
        <w:pStyle w:val="BodyText"/>
        <w:spacing w:line="357" w:lineRule="auto" w:before="36"/>
        <w:ind w:right="146" w:firstLine="439"/>
        <w:jc w:val="both"/>
      </w:pPr>
      <w:r>
        <w:rPr>
          <w:rFonts w:ascii="宋体" w:hAnsi="宋体" w:cs="宋体" w:eastAsia="宋体" w:hint="default"/>
          <w:spacing w:val="-3"/>
        </w:rPr>
        <w:t>7)</w:t>
      </w:r>
      <w:r>
        <w:rPr>
          <w:spacing w:val="-3"/>
        </w:rPr>
        <w:t>权益工具发行方经营所处的技术、市场、经济或法律环境等发生重大不利变化，使权益工具投资人</w:t>
      </w:r>
      <w:r>
        <w:rPr>
          <w:w w:val="100"/>
        </w:rPr>
        <w:t> </w:t>
      </w:r>
      <w:r>
        <w:rPr/>
        <w:t>可能无法收回投资成本；</w:t>
      </w:r>
    </w:p>
    <w:p>
      <w:pPr>
        <w:pStyle w:val="BodyText"/>
        <w:spacing w:line="357" w:lineRule="auto" w:before="30"/>
        <w:ind w:left="592" w:right="4013"/>
        <w:jc w:val="left"/>
      </w:pPr>
      <w:r>
        <w:rPr>
          <w:rFonts w:ascii="宋体" w:hAnsi="宋体" w:cs="宋体" w:eastAsia="宋体" w:hint="default"/>
          <w:spacing w:val="-2"/>
        </w:rPr>
        <w:t>8)</w:t>
      </w:r>
      <w:r>
        <w:rPr>
          <w:spacing w:val="-2"/>
        </w:rPr>
        <w:t>权益工具投资的公允价值发生严重或非暂时性下跌；</w:t>
      </w:r>
      <w:r>
        <w:rPr>
          <w:spacing w:val="-57"/>
        </w:rPr>
        <w:t> </w:t>
      </w:r>
      <w:r>
        <w:rPr>
          <w:spacing w:val="-57"/>
        </w:rPr>
      </w:r>
      <w:r>
        <w:rPr/>
        <w:t>金融资产的具体减值方法如下：</w:t>
      </w:r>
      <w:r>
        <w:rPr>
          <w:w w:val="100"/>
        </w:rPr>
        <w:t> </w:t>
      </w:r>
      <w:r>
        <w:rPr>
          <w:rFonts w:ascii="宋体" w:hAnsi="宋体" w:cs="宋体" w:eastAsia="宋体" w:hint="default"/>
        </w:rPr>
        <w:t>A.</w:t>
      </w:r>
      <w:r>
        <w:rPr/>
        <w:t>可供出售金融资产减值准备</w:t>
      </w:r>
    </w:p>
    <w:p>
      <w:pPr>
        <w:pStyle w:val="BodyText"/>
        <w:spacing w:line="357" w:lineRule="auto" w:before="30"/>
        <w:ind w:right="146" w:firstLine="439"/>
        <w:jc w:val="both"/>
      </w:pPr>
      <w:r>
        <w:rPr>
          <w:spacing w:val="-3"/>
        </w:rPr>
        <w:t>本公司于资产负债表日对各项可供出售权益工具投资单独进行检查，若该权益工具投资于资产负债表</w:t>
      </w:r>
      <w:r>
        <w:rPr>
          <w:w w:val="100"/>
        </w:rPr>
        <w:t> </w:t>
      </w:r>
      <w:r>
        <w:rPr>
          <w:spacing w:val="-2"/>
        </w:rPr>
        <w:t>日的公允价值低于其成本超过</w:t>
      </w:r>
      <w:r>
        <w:rPr>
          <w:rFonts w:ascii="宋体" w:hAnsi="宋体" w:cs="宋体" w:eastAsia="宋体" w:hint="default"/>
          <w:spacing w:val="-2"/>
        </w:rPr>
        <w:t>50%</w:t>
      </w:r>
      <w:r>
        <w:rPr>
          <w:spacing w:val="-2"/>
        </w:rPr>
        <w:t>（含</w:t>
      </w:r>
      <w:r>
        <w:rPr>
          <w:rFonts w:ascii="宋体" w:hAnsi="宋体" w:cs="宋体" w:eastAsia="宋体" w:hint="default"/>
          <w:spacing w:val="-2"/>
        </w:rPr>
        <w:t>50%</w:t>
      </w:r>
      <w:r>
        <w:rPr>
          <w:spacing w:val="-2"/>
        </w:rPr>
        <w:t>）或低于其成本持续时间超过一年（含一年）的，则表明其发生</w:t>
      </w:r>
      <w:r>
        <w:rPr>
          <w:spacing w:val="-37"/>
        </w:rPr>
        <w:t> </w:t>
      </w:r>
      <w:r>
        <w:rPr>
          <w:spacing w:val="-37"/>
        </w:rPr>
      </w:r>
      <w:r>
        <w:rPr>
          <w:spacing w:val="-4"/>
        </w:rPr>
        <w:t>减值；若该权益工具投资于资产负债表日的公允价值低于其成本超过</w:t>
      </w:r>
      <w:r>
        <w:rPr>
          <w:rFonts w:ascii="宋体" w:hAnsi="宋体" w:cs="宋体" w:eastAsia="宋体" w:hint="default"/>
          <w:spacing w:val="-4"/>
        </w:rPr>
        <w:t>20%</w:t>
      </w:r>
      <w:r>
        <w:rPr>
          <w:spacing w:val="-4"/>
        </w:rPr>
        <w:t>（含</w:t>
      </w:r>
      <w:r>
        <w:rPr>
          <w:rFonts w:ascii="宋体" w:hAnsi="宋体" w:cs="宋体" w:eastAsia="宋体" w:hint="default"/>
          <w:spacing w:val="-4"/>
        </w:rPr>
        <w:t>20%</w:t>
      </w:r>
      <w:r>
        <w:rPr>
          <w:spacing w:val="-4"/>
        </w:rPr>
        <w:t>）但尚未达到</w:t>
      </w:r>
      <w:r>
        <w:rPr>
          <w:rFonts w:ascii="宋体" w:hAnsi="宋体" w:cs="宋体" w:eastAsia="宋体" w:hint="default"/>
          <w:spacing w:val="-4"/>
        </w:rPr>
        <w:t>50%</w:t>
      </w:r>
      <w:r>
        <w:rPr>
          <w:spacing w:val="-4"/>
        </w:rPr>
        <w:t>的，本公</w:t>
      </w:r>
      <w:r>
        <w:rPr>
          <w:spacing w:val="-41"/>
        </w:rPr>
        <w:t> </w:t>
      </w:r>
      <w:r>
        <w:rPr>
          <w:spacing w:val="-41"/>
        </w:rPr>
      </w:r>
      <w:r>
        <w:rPr/>
        <w:t>司会综合考虑其他相关因素诸如价格波动率等，判断该权益工具投资是否发生减值。</w:t>
      </w:r>
    </w:p>
    <w:p>
      <w:pPr>
        <w:pStyle w:val="BodyText"/>
        <w:spacing w:line="357" w:lineRule="auto" w:before="31"/>
        <w:ind w:right="146" w:firstLine="439"/>
        <w:jc w:val="both"/>
      </w:pPr>
      <w:r>
        <w:rPr>
          <w:spacing w:val="-3"/>
        </w:rPr>
        <w:t>上段所述成本按照可供出售权益工具投资的初始取得成本扣除已收回本金和已摊销金额、原已计入损</w:t>
      </w:r>
      <w:r>
        <w:rPr>
          <w:w w:val="100"/>
        </w:rPr>
        <w:t> </w:t>
      </w:r>
      <w:r>
        <w:rPr>
          <w:spacing w:val="-2"/>
        </w:rPr>
        <w:t>益的减值损失确定；不存在活跃市场的可供出售权益工具投资的公允价值，按照类似金融资产当时市场收</w:t>
      </w:r>
      <w:r>
        <w:rPr>
          <w:spacing w:val="-42"/>
        </w:rPr>
        <w:t> </w:t>
      </w:r>
      <w:r>
        <w:rPr>
          <w:spacing w:val="-42"/>
        </w:rPr>
      </w:r>
      <w:r>
        <w:rPr>
          <w:spacing w:val="-2"/>
        </w:rPr>
        <w:t>益率对未来现金流量折现确定的现值确定；在活跃市场有报价的可供出售权益工具投资的公允价值根据证</w:t>
      </w:r>
      <w:r>
        <w:rPr>
          <w:spacing w:val="-43"/>
        </w:rPr>
        <w:t> </w:t>
      </w:r>
      <w:r>
        <w:rPr>
          <w:spacing w:val="-43"/>
        </w:rPr>
      </w:r>
      <w:r>
        <w:rPr>
          <w:spacing w:val="-2"/>
        </w:rPr>
        <w:t>券交易所期末收盘价确定，除非该项可供出售权益工具投资存在限售期。对于存在限售期的可供出售权益</w:t>
      </w:r>
      <w:r>
        <w:rPr>
          <w:spacing w:val="-44"/>
        </w:rPr>
        <w:t> </w:t>
      </w:r>
      <w:r>
        <w:rPr>
          <w:spacing w:val="-44"/>
        </w:rPr>
      </w:r>
      <w:r>
        <w:rPr>
          <w:spacing w:val="-2"/>
        </w:rPr>
        <w:t>工具投资，按照证券交易所期末收盘价扣除市场参与者因承担指定期间内无法在公开市场上出售该权益工</w:t>
      </w:r>
      <w:r>
        <w:rPr>
          <w:spacing w:val="-43"/>
        </w:rPr>
        <w:t> </w:t>
      </w:r>
      <w:r>
        <w:rPr>
          <w:spacing w:val="-43"/>
        </w:rPr>
      </w:r>
      <w:r>
        <w:rPr/>
        <w:t>具的风险而要求获得的补偿金额后确定。</w:t>
      </w:r>
    </w:p>
    <w:p>
      <w:pPr>
        <w:pStyle w:val="BodyText"/>
        <w:spacing w:line="357" w:lineRule="auto" w:before="30"/>
        <w:ind w:right="146" w:firstLine="439"/>
        <w:jc w:val="both"/>
      </w:pPr>
      <w:r>
        <w:rPr>
          <w:spacing w:val="-3"/>
        </w:rPr>
        <w:t>可供出售金融资产发生减值时，即使该金融资产没有终止确认，本公司将原直接计入其他综合收益的</w:t>
      </w:r>
      <w:r>
        <w:rPr>
          <w:w w:val="100"/>
        </w:rPr>
        <w:t> </w:t>
      </w:r>
      <w:r>
        <w:rPr>
          <w:spacing w:val="-2"/>
        </w:rPr>
        <w:t>因公允价值下降形成的累计损失从其他综合收益转出，计入当期损益。该转出的累计损失，等于可供出售</w:t>
      </w:r>
      <w:r>
        <w:rPr>
          <w:spacing w:val="-44"/>
        </w:rPr>
        <w:t> </w:t>
      </w:r>
      <w:r>
        <w:rPr>
          <w:spacing w:val="-44"/>
        </w:rPr>
      </w:r>
      <w:r>
        <w:rPr>
          <w:spacing w:val="-2"/>
        </w:rPr>
        <w:t>金融资产的初始取得成本扣除已收回本金和已摊余金额、当前公允价值和原已计入损益的减值损失后的余</w:t>
      </w:r>
      <w:r>
        <w:rPr>
          <w:spacing w:val="-43"/>
        </w:rPr>
        <w:t> </w:t>
      </w:r>
      <w:r>
        <w:rPr>
          <w:spacing w:val="-43"/>
        </w:rPr>
      </w:r>
      <w:r>
        <w:rPr/>
        <w:t>额。</w:t>
      </w:r>
    </w:p>
    <w:p>
      <w:pPr>
        <w:pStyle w:val="BodyText"/>
        <w:spacing w:line="357" w:lineRule="auto" w:before="30"/>
        <w:ind w:right="146" w:firstLine="439"/>
        <w:jc w:val="both"/>
      </w:pPr>
      <w:r>
        <w:rPr>
          <w:spacing w:val="-3"/>
        </w:rPr>
        <w:t>对于已确认减值损失的可供出售债务工具，在随后的会计期间公允价值已上升且客观上与确认原减值</w:t>
      </w:r>
      <w:r>
        <w:rPr>
          <w:w w:val="100"/>
        </w:rPr>
        <w:t> </w:t>
      </w:r>
      <w:r>
        <w:rPr>
          <w:spacing w:val="-2"/>
        </w:rPr>
        <w:t>损失后发生的事项有关的，原确认的减值损失予以转回计入当期损益；对于可供出售权益工具投资发生的</w:t>
      </w:r>
      <w:r>
        <w:rPr>
          <w:spacing w:val="-43"/>
        </w:rPr>
        <w:t> </w:t>
      </w:r>
      <w:r>
        <w:rPr>
          <w:spacing w:val="-43"/>
        </w:rPr>
      </w:r>
      <w:r>
        <w:rPr>
          <w:spacing w:val="-2"/>
        </w:rPr>
        <w:t>减值损失，在该权益工具价值回升时通过权益转回；但在活跃市场中没有报价且其公允价值不能可靠计量</w:t>
      </w:r>
      <w:r>
        <w:rPr>
          <w:spacing w:val="-42"/>
        </w:rPr>
        <w:t> </w:t>
      </w:r>
      <w:r>
        <w:rPr>
          <w:spacing w:val="-42"/>
        </w:rPr>
      </w:r>
      <w:r>
        <w:rPr>
          <w:spacing w:val="-2"/>
        </w:rPr>
        <w:t>的权益工具投资，或与该权益工具挂钩并须通过交付该权益工具结算的衍生金融资产发生的减值损失，不</w:t>
      </w:r>
      <w:r>
        <w:rPr>
          <w:spacing w:val="-44"/>
        </w:rPr>
        <w:t> </w:t>
      </w:r>
      <w:r>
        <w:rPr>
          <w:spacing w:val="-44"/>
        </w:rPr>
      </w:r>
      <w:r>
        <w:rPr/>
        <w:t>得转回。</w:t>
      </w:r>
    </w:p>
    <w:p>
      <w:pPr>
        <w:pStyle w:val="BodyText"/>
        <w:spacing w:line="355" w:lineRule="auto" w:before="30"/>
        <w:ind w:left="592" w:right="0"/>
        <w:jc w:val="left"/>
      </w:pPr>
      <w:r>
        <w:rPr>
          <w:rFonts w:ascii="宋体" w:hAnsi="宋体" w:cs="宋体" w:eastAsia="宋体" w:hint="default"/>
        </w:rPr>
        <w:t>B.</w:t>
      </w:r>
      <w:r>
        <w:rPr/>
        <w:t>持有至到期投资减值准备</w:t>
      </w:r>
      <w:r>
        <w:rPr>
          <w:w w:val="100"/>
        </w:rPr>
        <w:t> </w:t>
      </w:r>
      <w:r>
        <w:rPr>
          <w:spacing w:val="-3"/>
        </w:rPr>
        <w:t>对于持有至到期投资，有客观证据表明其发生了减值的，根据其账面价值与预计未来现金流量现值之</w:t>
      </w:r>
    </w:p>
    <w:p>
      <w:pPr>
        <w:pStyle w:val="BodyText"/>
        <w:spacing w:line="355" w:lineRule="auto" w:before="35"/>
        <w:ind w:right="0"/>
        <w:jc w:val="left"/>
      </w:pPr>
      <w:r>
        <w:rPr>
          <w:spacing w:val="-2"/>
        </w:rPr>
        <w:t>间差额计算确认减值损失；计提后如有证据表明其价值已恢复，原确认的减值损失可予以转回，记入当期</w:t>
      </w:r>
      <w:r>
        <w:rPr>
          <w:spacing w:val="-43"/>
        </w:rPr>
        <w:t> </w:t>
      </w:r>
      <w:r>
        <w:rPr>
          <w:spacing w:val="-43"/>
        </w:rPr>
      </w:r>
      <w:r>
        <w:rPr/>
        <w:t>损益，但该转回的账面价值不超过假定不计提减值准备情况下该金融资产在转回日的摊余成本。</w:t>
      </w:r>
    </w:p>
    <w:p>
      <w:pPr>
        <w:pStyle w:val="BodyText"/>
        <w:spacing w:line="355" w:lineRule="auto" w:before="32"/>
        <w:ind w:left="592" w:right="0" w:firstLine="2"/>
        <w:jc w:val="left"/>
      </w:pPr>
      <w:r>
        <w:rPr/>
        <w:t>（</w:t>
      </w:r>
      <w:r>
        <w:rPr>
          <w:rFonts w:ascii="宋体" w:hAnsi="宋体" w:cs="宋体" w:eastAsia="宋体" w:hint="default"/>
        </w:rPr>
        <w:t>7</w:t>
      </w:r>
      <w:r>
        <w:rPr/>
        <w:t>）金融资产及金融负债的抵销</w:t>
      </w:r>
      <w:r>
        <w:rPr>
          <w:w w:val="100"/>
        </w:rPr>
        <w:t> </w:t>
      </w:r>
      <w:r>
        <w:rPr>
          <w:spacing w:val="-3"/>
        </w:rPr>
        <w:t>金融资产和金融负债在资产负债表内分别列示，没有相互抵销。但是，同时满足下列条件的，以相互</w:t>
      </w:r>
    </w:p>
    <w:p>
      <w:pPr>
        <w:pStyle w:val="BodyText"/>
        <w:spacing w:line="357" w:lineRule="auto" w:before="32"/>
        <w:ind w:left="592" w:right="0" w:hanging="440"/>
        <w:jc w:val="left"/>
      </w:pPr>
      <w:r>
        <w:rPr/>
        <w:t>抵销后的净额在资产负债表内列示：</w:t>
      </w:r>
      <w:r>
        <w:rPr>
          <w:w w:val="100"/>
        </w:rPr>
        <w:t> </w:t>
      </w:r>
      <w:r>
        <w:rPr>
          <w:rFonts w:ascii="宋体" w:hAnsi="宋体" w:cs="宋体" w:eastAsia="宋体" w:hint="default"/>
          <w:spacing w:val="-2"/>
        </w:rPr>
        <w:t>1</w:t>
      </w:r>
      <w:r>
        <w:rPr>
          <w:spacing w:val="-2"/>
        </w:rPr>
        <w:t>）本公司具有抵销已确认金额的法定权利，且该种法定权利是当前可执行的；</w:t>
      </w:r>
    </w:p>
    <w:p>
      <w:pPr>
        <w:pStyle w:val="BodyText"/>
        <w:spacing w:line="240" w:lineRule="auto" w:before="30"/>
        <w:ind w:left="592" w:right="0"/>
        <w:jc w:val="left"/>
      </w:pPr>
      <w:r>
        <w:rPr>
          <w:rFonts w:ascii="宋体" w:hAnsi="宋体" w:cs="宋体" w:eastAsia="宋体" w:hint="default"/>
        </w:rPr>
        <w:t>2</w:t>
      </w:r>
      <w:r>
        <w:rPr/>
        <w:t>）本公司计划以净额结算，或同时变现该金融资产和清偿该金融负债。</w:t>
      </w:r>
    </w:p>
    <w:p>
      <w:pPr>
        <w:spacing w:after="0" w:line="24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5"/>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5"/>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宋体" w:hAnsi="宋体" w:cs="宋体" w:eastAsia="宋体" w:hint="default"/>
                <w:spacing w:val="-3"/>
                <w:sz w:val="18"/>
                <w:szCs w:val="18"/>
              </w:rPr>
              <w:t>（</w:t>
            </w: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2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8"/>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10"/>
        <w:rPr>
          <w:rFonts w:ascii="Microsoft JhengHei" w:hAnsi="Microsoft JhengHei" w:cs="Microsoft JhengHei" w:eastAsia="Microsoft JhengHei" w:hint="default"/>
          <w:b/>
          <w:bCs/>
          <w:sz w:val="14"/>
          <w:szCs w:val="14"/>
        </w:rPr>
      </w:pPr>
    </w:p>
    <w:p>
      <w:pPr>
        <w:pStyle w:val="Heading5"/>
        <w:spacing w:line="335" w:lineRule="exact"/>
        <w:ind w:right="5"/>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3" w:right="5"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9"/>
        <w:ind w:left="153" w:right="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3" w:right="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7"/>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3" w:right="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5"/>
        <w:spacing w:line="240" w:lineRule="auto"/>
        <w:ind w:right="5"/>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68"/>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10"/>
        <w:rPr>
          <w:rFonts w:ascii="Microsoft JhengHei" w:hAnsi="Microsoft JhengHei" w:cs="Microsoft JhengHei" w:eastAsia="Microsoft JhengHei" w:hint="default"/>
          <w:b/>
          <w:bCs/>
          <w:sz w:val="14"/>
          <w:szCs w:val="14"/>
        </w:rPr>
      </w:pPr>
    </w:p>
    <w:p>
      <w:pPr>
        <w:pStyle w:val="Heading5"/>
        <w:spacing w:line="335" w:lineRule="exact"/>
        <w:ind w:right="5"/>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68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1"/>
        <w:ind w:left="592" w:right="5" w:firstLine="2"/>
        <w:jc w:val="left"/>
      </w:pPr>
      <w:r>
        <w:rPr/>
        <w:t>（</w:t>
      </w:r>
      <w:r>
        <w:rPr>
          <w:rFonts w:ascii="宋体" w:hAnsi="宋体" w:cs="宋体" w:eastAsia="宋体" w:hint="default"/>
        </w:rPr>
        <w:t>1</w:t>
      </w:r>
      <w:r>
        <w:rPr/>
        <w:t>）存货的分类</w:t>
      </w:r>
      <w:r>
        <w:rPr>
          <w:w w:val="100"/>
        </w:rPr>
        <w:t> </w:t>
      </w:r>
      <w:r>
        <w:rPr>
          <w:spacing w:val="-3"/>
        </w:rPr>
        <w:t>存货是指本公司在日常活动中持有以备出售的商品、已发送至客户但不符合收入确认条件的发出商品、</w:t>
      </w:r>
    </w:p>
    <w:p>
      <w:pPr>
        <w:spacing w:after="0" w:line="408" w:lineRule="auto"/>
        <w:jc w:val="left"/>
        <w:sectPr>
          <w:pgSz w:w="11910" w:h="16840"/>
          <w:pgMar w:header="880" w:footer="979" w:top="1100" w:bottom="1160" w:left="980" w:right="800"/>
        </w:sectPr>
      </w:pPr>
    </w:p>
    <w:p>
      <w:pPr>
        <w:spacing w:line="240" w:lineRule="auto" w:before="12"/>
        <w:rPr>
          <w:rFonts w:ascii="宋体" w:hAnsi="宋体" w:cs="宋体" w:eastAsia="宋体" w:hint="default"/>
          <w:sz w:val="26"/>
          <w:szCs w:val="26"/>
        </w:rPr>
      </w:pPr>
    </w:p>
    <w:p>
      <w:pPr>
        <w:pStyle w:val="BodyText"/>
        <w:spacing w:line="240" w:lineRule="auto" w:before="36"/>
        <w:ind w:right="0"/>
        <w:jc w:val="both"/>
      </w:pPr>
      <w:r>
        <w:rPr/>
        <w:t>在生产过程或提供劳务过程中耗用的材料和物料等。主要包括原材料、库存商品等。</w:t>
      </w:r>
    </w:p>
    <w:p>
      <w:pPr>
        <w:spacing w:line="240" w:lineRule="auto" w:before="10"/>
        <w:rPr>
          <w:rFonts w:ascii="宋体" w:hAnsi="宋体" w:cs="宋体" w:eastAsia="宋体" w:hint="default"/>
          <w:sz w:val="14"/>
          <w:szCs w:val="14"/>
        </w:rPr>
      </w:pPr>
    </w:p>
    <w:p>
      <w:pPr>
        <w:pStyle w:val="BodyText"/>
        <w:spacing w:line="408" w:lineRule="auto" w:before="0"/>
        <w:ind w:left="592" w:right="0" w:firstLine="2"/>
        <w:jc w:val="left"/>
      </w:pPr>
      <w:r>
        <w:rPr/>
        <w:t>（</w:t>
      </w:r>
      <w:r>
        <w:rPr>
          <w:rFonts w:ascii="宋体" w:hAnsi="宋体" w:cs="宋体" w:eastAsia="宋体" w:hint="default"/>
        </w:rPr>
        <w:t>2</w:t>
      </w:r>
      <w:r>
        <w:rPr/>
        <w:t>）存货的计价方法</w:t>
      </w:r>
      <w:r>
        <w:rPr>
          <w:w w:val="100"/>
        </w:rPr>
        <w:t> </w:t>
      </w:r>
      <w:r>
        <w:rPr>
          <w:spacing w:val="-3"/>
        </w:rPr>
        <w:t>存货在取得时，按成本进行初始计量，包括采购成本、加工成本和其他成本。存货发出时按移动加权</w:t>
      </w:r>
    </w:p>
    <w:p>
      <w:pPr>
        <w:pStyle w:val="BodyText"/>
        <w:spacing w:line="240" w:lineRule="auto"/>
        <w:ind w:right="0"/>
        <w:jc w:val="both"/>
      </w:pPr>
      <w:r>
        <w:rPr/>
        <w:t>平均法计价。</w:t>
      </w:r>
    </w:p>
    <w:p>
      <w:pPr>
        <w:spacing w:line="240" w:lineRule="auto" w:before="10"/>
        <w:rPr>
          <w:rFonts w:ascii="宋体" w:hAnsi="宋体" w:cs="宋体" w:eastAsia="宋体" w:hint="default"/>
          <w:sz w:val="14"/>
          <w:szCs w:val="14"/>
        </w:rPr>
      </w:pPr>
    </w:p>
    <w:p>
      <w:pPr>
        <w:pStyle w:val="BodyText"/>
        <w:spacing w:line="408" w:lineRule="auto" w:before="0"/>
        <w:ind w:left="592" w:right="0" w:firstLine="2"/>
        <w:jc w:val="left"/>
      </w:pPr>
      <w:r>
        <w:rPr/>
        <w:t>（</w:t>
      </w:r>
      <w:r>
        <w:rPr>
          <w:rFonts w:ascii="宋体" w:hAnsi="宋体" w:cs="宋体" w:eastAsia="宋体" w:hint="default"/>
        </w:rPr>
        <w:t>3</w:t>
      </w:r>
      <w:r>
        <w:rPr/>
        <w:t>）存货可变现净值的确定依据及存货跌价准备的计提方法</w:t>
      </w:r>
      <w:r>
        <w:rPr>
          <w:w w:val="100"/>
        </w:rPr>
        <w:t> </w:t>
      </w:r>
      <w:r>
        <w:rPr>
          <w:spacing w:val="-3"/>
        </w:rPr>
        <w:t>期末对存货进行全面清查后，按存货的成本与可变现净值孰低提取或调整存货跌价准备。库存商品和</w:t>
      </w:r>
    </w:p>
    <w:p>
      <w:pPr>
        <w:pStyle w:val="BodyText"/>
        <w:spacing w:line="408" w:lineRule="auto"/>
        <w:ind w:right="146"/>
        <w:jc w:val="both"/>
      </w:pPr>
      <w:r>
        <w:rPr>
          <w:spacing w:val="-2"/>
        </w:rPr>
        <w:t>用于出售的材料等直接用于出售的商品存货，在正常生产经营过程中，以该存货的估计售价减去估计的销</w:t>
      </w:r>
      <w:r>
        <w:rPr>
          <w:spacing w:val="-42"/>
        </w:rPr>
        <w:t> </w:t>
      </w:r>
      <w:r>
        <w:rPr>
          <w:spacing w:val="-42"/>
        </w:rPr>
      </w:r>
      <w:r>
        <w:rPr>
          <w:spacing w:val="-2"/>
        </w:rPr>
        <w:t>售费用和相关税费后的金额，确定其可变现净值；需要经过加工的材料存货，在正常生产经营过程中，以</w:t>
      </w:r>
      <w:r>
        <w:rPr>
          <w:spacing w:val="-44"/>
        </w:rPr>
        <w:t> </w:t>
      </w:r>
      <w:r>
        <w:rPr>
          <w:spacing w:val="-44"/>
        </w:rPr>
      </w:r>
      <w:r>
        <w:rPr>
          <w:spacing w:val="-2"/>
        </w:rPr>
        <w:t>所生产的产成品的估计售价减去至完工时估计将要发生的成本、估计的销售费用和相关税费后的金额，确</w:t>
      </w:r>
      <w:r>
        <w:rPr>
          <w:spacing w:val="-44"/>
        </w:rPr>
        <w:t> </w:t>
      </w:r>
      <w:r>
        <w:rPr>
          <w:spacing w:val="-44"/>
        </w:rPr>
      </w:r>
      <w:r>
        <w:rPr>
          <w:spacing w:val="-2"/>
        </w:rPr>
        <w:t>定其可变现净值；为执行销售合同或者劳务合同而持有的存货，其可变现净值以合同价格为基础计算，若</w:t>
      </w:r>
      <w:r>
        <w:rPr>
          <w:spacing w:val="-43"/>
        </w:rPr>
        <w:t> </w:t>
      </w:r>
      <w:r>
        <w:rPr>
          <w:spacing w:val="-43"/>
        </w:rPr>
      </w:r>
      <w:r>
        <w:rPr/>
        <w:t>持有存货的数量多于销售合同订购数量的，超出部分的存货的可变现净值以一般销售价格为基础计算。</w:t>
      </w:r>
    </w:p>
    <w:p>
      <w:pPr>
        <w:pStyle w:val="BodyText"/>
        <w:spacing w:line="408" w:lineRule="auto"/>
        <w:ind w:right="146" w:firstLine="439"/>
        <w:jc w:val="both"/>
      </w:pPr>
      <w:r>
        <w:rPr>
          <w:spacing w:val="-3"/>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408" w:lineRule="auto"/>
        <w:ind w:right="146" w:firstLine="439"/>
        <w:jc w:val="both"/>
      </w:pPr>
      <w:r>
        <w:rPr>
          <w:spacing w:val="-3"/>
        </w:rPr>
        <w:t>以前减记存货价值的影响因素已经消失的，减记的金额予以恢复，并在原已计提的存货跌价准备金额</w:t>
      </w:r>
      <w:r>
        <w:rPr>
          <w:w w:val="100"/>
        </w:rPr>
        <w:t> </w:t>
      </w:r>
      <w:r>
        <w:rPr/>
        <w:t>内转回，转回的金额计入当期损益。</w:t>
      </w:r>
    </w:p>
    <w:p>
      <w:pPr>
        <w:pStyle w:val="BodyText"/>
        <w:spacing w:line="408" w:lineRule="auto"/>
        <w:ind w:left="592" w:right="6713" w:firstLine="2"/>
        <w:jc w:val="left"/>
      </w:pPr>
      <w:r>
        <w:rPr>
          <w:spacing w:val="-2"/>
        </w:rPr>
        <w:t>（</w:t>
      </w:r>
      <w:r>
        <w:rPr>
          <w:rFonts w:ascii="宋体" w:hAnsi="宋体" w:cs="宋体" w:eastAsia="宋体" w:hint="default"/>
          <w:spacing w:val="-2"/>
        </w:rPr>
        <w:t>4</w:t>
      </w:r>
      <w:r>
        <w:rPr>
          <w:spacing w:val="-2"/>
        </w:rPr>
        <w:t>）存货的盘存制度</w:t>
      </w:r>
      <w:r>
        <w:rPr>
          <w:spacing w:val="-88"/>
        </w:rPr>
        <w:t> </w:t>
      </w:r>
      <w:r>
        <w:rPr>
          <w:spacing w:val="-88"/>
        </w:rPr>
      </w:r>
      <w:r>
        <w:rPr/>
        <w:t>采用永续盘存制。</w:t>
      </w:r>
    </w:p>
    <w:p>
      <w:pPr>
        <w:pStyle w:val="BodyText"/>
        <w:spacing w:line="408" w:lineRule="auto"/>
        <w:ind w:left="592" w:right="5493" w:firstLine="2"/>
        <w:jc w:val="left"/>
      </w:pPr>
      <w:r>
        <w:rPr>
          <w:spacing w:val="-2"/>
        </w:rPr>
        <w:t>（</w:t>
      </w:r>
      <w:r>
        <w:rPr>
          <w:rFonts w:ascii="宋体" w:hAnsi="宋体" w:cs="宋体" w:eastAsia="宋体" w:hint="default"/>
          <w:spacing w:val="-2"/>
        </w:rPr>
        <w:t>5</w:t>
      </w:r>
      <w:r>
        <w:rPr>
          <w:spacing w:val="-2"/>
        </w:rPr>
        <w:t>）低值易耗品和包装物的摊销方法</w:t>
      </w:r>
      <w:r>
        <w:rPr>
          <w:spacing w:val="-75"/>
        </w:rPr>
        <w:t> </w:t>
      </w:r>
      <w:r>
        <w:rPr>
          <w:spacing w:val="-75"/>
        </w:rPr>
      </w:r>
      <w:r>
        <w:rPr>
          <w:rFonts w:ascii="宋体" w:hAnsi="宋体" w:cs="宋体" w:eastAsia="宋体" w:hint="default"/>
        </w:rPr>
        <w:t>1</w:t>
      </w:r>
      <w:r>
        <w:rPr/>
        <w:t>）低值易耗品采用一次转销法；</w:t>
      </w:r>
    </w:p>
    <w:p>
      <w:pPr>
        <w:pStyle w:val="BodyText"/>
        <w:spacing w:line="240" w:lineRule="auto"/>
        <w:ind w:left="592" w:right="0"/>
        <w:jc w:val="left"/>
      </w:pPr>
      <w:r>
        <w:rPr>
          <w:rFonts w:ascii="宋体" w:hAnsi="宋体" w:cs="宋体" w:eastAsia="宋体" w:hint="default"/>
        </w:rPr>
        <w:t>2</w:t>
      </w:r>
      <w:r>
        <w:rPr/>
        <w:t>）包装物采用一次转销法；</w:t>
      </w:r>
    </w:p>
    <w:p>
      <w:pPr>
        <w:spacing w:line="240" w:lineRule="auto" w:before="10"/>
        <w:rPr>
          <w:rFonts w:ascii="宋体" w:hAnsi="宋体" w:cs="宋体" w:eastAsia="宋体" w:hint="default"/>
          <w:sz w:val="14"/>
          <w:szCs w:val="14"/>
        </w:rPr>
      </w:pPr>
    </w:p>
    <w:p>
      <w:pPr>
        <w:pStyle w:val="BodyText"/>
        <w:spacing w:line="240" w:lineRule="auto" w:before="0"/>
        <w:ind w:left="592" w:right="0"/>
        <w:jc w:val="left"/>
      </w:pPr>
      <w:r>
        <w:rPr>
          <w:rFonts w:ascii="宋体" w:hAnsi="宋体" w:cs="宋体" w:eastAsia="宋体" w:hint="default"/>
        </w:rPr>
        <w:t>3</w:t>
      </w:r>
      <w:r>
        <w:rPr/>
        <w:t>）其他周转材料采用一次转销法摊销。</w:t>
      </w:r>
    </w:p>
    <w:p>
      <w:pPr>
        <w:spacing w:line="240" w:lineRule="auto" w:before="10"/>
        <w:rPr>
          <w:rFonts w:ascii="宋体" w:hAnsi="宋体" w:cs="宋体" w:eastAsia="宋体" w:hint="default"/>
          <w:sz w:val="26"/>
          <w:szCs w:val="26"/>
        </w:rPr>
      </w:pPr>
    </w:p>
    <w:p>
      <w:pPr>
        <w:pStyle w:val="BodyText"/>
        <w:spacing w:line="496" w:lineRule="auto" w:before="0"/>
        <w:ind w:left="594" w:right="0" w:hanging="442"/>
        <w:jc w:val="left"/>
      </w:pPr>
      <w:r>
        <w:rPr>
          <w:rFonts w:ascii="Times New Roman" w:hAnsi="Times New Roman" w:cs="Times New Roman" w:eastAsia="Times New Roman" w:hint="default"/>
          <w:b/>
          <w:bCs/>
        </w:rPr>
        <w:t>13</w:t>
      </w:r>
      <w:r>
        <w:rPr>
          <w:rFonts w:ascii="Microsoft JhengHei" w:hAnsi="Microsoft JhengHei" w:cs="Microsoft JhengHei" w:eastAsia="Microsoft JhengHei" w:hint="default"/>
          <w:b/>
          <w:bCs/>
        </w:rPr>
        <w:t>、持有待售资产</w:t>
      </w:r>
      <w:r>
        <w:rPr>
          <w:rFonts w:ascii="Microsoft JhengHei" w:hAnsi="Microsoft JhengHei" w:cs="Microsoft JhengHei" w:eastAsia="Microsoft JhengHei" w:hint="default"/>
          <w:b/>
          <w:bCs/>
          <w:spacing w:val="-46"/>
        </w:rPr>
        <w:t> </w:t>
      </w:r>
      <w:r>
        <w:rPr>
          <w:rFonts w:ascii="宋体" w:hAnsi="宋体" w:cs="宋体" w:eastAsia="宋体" w:hint="default"/>
          <w:spacing w:val="-3"/>
        </w:rPr>
        <w:t>(1)</w:t>
      </w:r>
      <w:r>
        <w:rPr>
          <w:spacing w:val="-3"/>
        </w:rPr>
        <w:t>本公司将同时符合下列条件的非流动资产或处置组划分为持有待售：</w:t>
      </w:r>
      <w:r>
        <w:rPr>
          <w:rFonts w:ascii="宋体" w:hAnsi="宋体" w:cs="宋体" w:eastAsia="宋体" w:hint="default"/>
          <w:spacing w:val="-3"/>
        </w:rPr>
        <w:t>1</w:t>
      </w:r>
      <w:r>
        <w:rPr>
          <w:spacing w:val="-3"/>
        </w:rPr>
        <w:t>）根据类似交易中出售此类</w:t>
      </w:r>
    </w:p>
    <w:p>
      <w:pPr>
        <w:pStyle w:val="BodyText"/>
        <w:spacing w:line="243" w:lineRule="exact" w:before="0"/>
        <w:ind w:right="0"/>
        <w:jc w:val="both"/>
      </w:pPr>
      <w:r>
        <w:rPr>
          <w:spacing w:val="-5"/>
        </w:rPr>
        <w:t>资产或处置组的惯例，在当前状况下即可立即出售；</w:t>
      </w:r>
      <w:r>
        <w:rPr>
          <w:rFonts w:ascii="宋体" w:hAnsi="宋体" w:cs="宋体" w:eastAsia="宋体" w:hint="default"/>
          <w:spacing w:val="-5"/>
        </w:rPr>
        <w:t>2</w:t>
      </w:r>
      <w:r>
        <w:rPr>
          <w:spacing w:val="-5"/>
        </w:rPr>
        <w:t>）出售极可能发生，即已经就一项出售计划作出决议</w:t>
      </w:r>
    </w:p>
    <w:p>
      <w:pPr>
        <w:spacing w:line="240" w:lineRule="auto" w:before="10"/>
        <w:rPr>
          <w:rFonts w:ascii="宋体" w:hAnsi="宋体" w:cs="宋体" w:eastAsia="宋体" w:hint="default"/>
          <w:sz w:val="14"/>
          <w:szCs w:val="14"/>
        </w:rPr>
      </w:pPr>
    </w:p>
    <w:p>
      <w:pPr>
        <w:pStyle w:val="BodyText"/>
        <w:spacing w:line="408" w:lineRule="auto" w:before="0"/>
        <w:ind w:right="146"/>
        <w:jc w:val="both"/>
      </w:pPr>
      <w:r>
        <w:rPr>
          <w:spacing w:val="-2"/>
        </w:rPr>
        <w:t>且获得确定的购买承诺，预计出售将在一年内完成。有关规定要求相关权力机构或者监管部门批准后方可</w:t>
      </w:r>
      <w:r>
        <w:rPr>
          <w:spacing w:val="-43"/>
        </w:rPr>
        <w:t> </w:t>
      </w:r>
      <w:r>
        <w:rPr>
          <w:spacing w:val="-43"/>
        </w:rPr>
      </w:r>
      <w:r>
        <w:rPr>
          <w:spacing w:val="-2"/>
        </w:rPr>
        <w:t>出售的需要获得相关批准。本公司将非流动资产或处置组首次划分为持有待售类别前，按照相关会计准则</w:t>
      </w:r>
      <w:r>
        <w:rPr>
          <w:spacing w:val="-43"/>
        </w:rPr>
        <w:t> </w:t>
      </w:r>
      <w:r>
        <w:rPr>
          <w:spacing w:val="-43"/>
        </w:rPr>
      </w:r>
      <w:r>
        <w:rPr>
          <w:spacing w:val="-2"/>
        </w:rPr>
        <w:t>规定计量非流动资产或处置组中各项资产和负债的账面价值。初始计量或在资产负债表日重新计量持有待</w:t>
      </w:r>
      <w:r>
        <w:rPr>
          <w:spacing w:val="-43"/>
        </w:rPr>
        <w:t> </w:t>
      </w:r>
      <w:r>
        <w:rPr>
          <w:spacing w:val="-43"/>
        </w:rPr>
      </w:r>
      <w:r>
        <w:rPr>
          <w:spacing w:val="-2"/>
        </w:rPr>
        <w:t>售的非流动资产或处置组时，其账面价值高于公允价值减去出售费用后的净额的，将账面价值减记至公允</w:t>
      </w:r>
    </w:p>
    <w:p>
      <w:pPr>
        <w:spacing w:after="0" w:line="408" w:lineRule="auto"/>
        <w:jc w:val="both"/>
        <w:sectPr>
          <w:pgSz w:w="11910" w:h="16840"/>
          <w:pgMar w:header="880" w:footer="979" w:top="1100" w:bottom="1160" w:left="980" w:right="980"/>
        </w:sectPr>
      </w:pPr>
    </w:p>
    <w:p>
      <w:pPr>
        <w:spacing w:line="240" w:lineRule="auto" w:before="12"/>
        <w:rPr>
          <w:rFonts w:ascii="宋体" w:hAnsi="宋体" w:cs="宋体" w:eastAsia="宋体" w:hint="default"/>
          <w:sz w:val="26"/>
          <w:szCs w:val="26"/>
        </w:rPr>
      </w:pPr>
    </w:p>
    <w:p>
      <w:pPr>
        <w:pStyle w:val="BodyText"/>
        <w:spacing w:line="408" w:lineRule="auto" w:before="36"/>
        <w:ind w:right="0"/>
        <w:jc w:val="left"/>
      </w:pPr>
      <w:r>
        <w:rPr>
          <w:spacing w:val="-2"/>
        </w:rPr>
        <w:t>价值减去出售费用后的净额，减记的金额确认为资产减值损失，计入当期损益，同时计提持有待售资产减</w:t>
      </w:r>
      <w:r>
        <w:rPr>
          <w:spacing w:val="-42"/>
        </w:rPr>
        <w:t> </w:t>
      </w:r>
      <w:r>
        <w:rPr>
          <w:spacing w:val="-42"/>
        </w:rPr>
      </w:r>
      <w:r>
        <w:rPr/>
        <w:t>值准备。</w:t>
      </w:r>
    </w:p>
    <w:p>
      <w:pPr>
        <w:pStyle w:val="BodyText"/>
        <w:spacing w:line="408" w:lineRule="auto"/>
        <w:ind w:right="206" w:firstLine="441"/>
        <w:jc w:val="both"/>
      </w:pPr>
      <w:r>
        <w:rPr>
          <w:rFonts w:ascii="宋体" w:hAnsi="宋体" w:cs="宋体" w:eastAsia="宋体" w:hint="default"/>
        </w:rPr>
        <w:t>(2)</w:t>
      </w:r>
      <w:r>
        <w:rPr/>
        <w:t>本公司专为转售而取得的非流动资产或处置组，在取得日满足“预计出售将在一年内完成”的规</w:t>
      </w:r>
      <w:r>
        <w:rPr>
          <w:spacing w:val="2"/>
          <w:w w:val="100"/>
        </w:rPr>
        <w:t> </w:t>
      </w:r>
      <w:r>
        <w:rPr>
          <w:spacing w:val="-5"/>
        </w:rPr>
        <w:t>定条件，且短期（通常为</w:t>
      </w:r>
      <w:r>
        <w:rPr>
          <w:rFonts w:ascii="宋体" w:hAnsi="宋体" w:cs="宋体" w:eastAsia="宋体" w:hint="default"/>
          <w:spacing w:val="-5"/>
        </w:rPr>
        <w:t>3</w:t>
      </w:r>
      <w:r>
        <w:rPr>
          <w:spacing w:val="-5"/>
        </w:rPr>
        <w:t>个月）内很可能满足持有待售类别的其他划分条件的，在取得日将其划分为持有</w:t>
      </w:r>
      <w:r>
        <w:rPr>
          <w:spacing w:val="-9"/>
        </w:rPr>
        <w:t> </w:t>
      </w:r>
      <w:r>
        <w:rPr>
          <w:spacing w:val="-9"/>
        </w:rPr>
      </w:r>
      <w:r>
        <w:rPr>
          <w:spacing w:val="-2"/>
        </w:rPr>
        <w:t>待售类别。在初始计量时，比较假定其不划分为持有待售类别情况下的初始计量金额和公允价值减去出售</w:t>
      </w:r>
      <w:r>
        <w:rPr>
          <w:spacing w:val="-43"/>
        </w:rPr>
        <w:t> </w:t>
      </w:r>
      <w:r>
        <w:rPr>
          <w:spacing w:val="-43"/>
        </w:rPr>
      </w:r>
      <w:r>
        <w:rPr>
          <w:spacing w:val="-2"/>
        </w:rPr>
        <w:t>费用后的净额，以两者孰低计量。除企业合并中取得的非流动资产或处置组外，由非流动资产或处置组以</w:t>
      </w:r>
      <w:r>
        <w:rPr>
          <w:spacing w:val="-44"/>
        </w:rPr>
        <w:t> </w:t>
      </w:r>
      <w:r>
        <w:rPr>
          <w:spacing w:val="-44"/>
        </w:rPr>
      </w:r>
      <w:r>
        <w:rPr/>
        <w:t>公允价值减去出售费用后的净额作为初始计量金额而产生的差额，计入当期损益。</w:t>
      </w:r>
    </w:p>
    <w:p>
      <w:pPr>
        <w:pStyle w:val="BodyText"/>
        <w:spacing w:line="408" w:lineRule="auto"/>
        <w:ind w:right="206" w:firstLine="441"/>
        <w:jc w:val="both"/>
      </w:pPr>
      <w:r>
        <w:rPr>
          <w:rFonts w:ascii="宋体" w:hAnsi="宋体" w:cs="宋体" w:eastAsia="宋体" w:hint="default"/>
        </w:rPr>
        <w:t>(3)</w:t>
      </w:r>
      <w:r>
        <w:rPr/>
        <w:t>本公司因出售对子公司的投资等原因导致丧失对子公司控制权的，无论出售后本公司是否保留部</w:t>
      </w:r>
      <w:r>
        <w:rPr>
          <w:w w:val="100"/>
        </w:rPr>
        <w:t> </w:t>
      </w:r>
      <w:r>
        <w:rPr>
          <w:spacing w:val="-2"/>
        </w:rPr>
        <w:t>分权益性投资，在拟出售的对子公司投资满足持有待售类别划分条件时，在母公司个别财务报表中将对子</w:t>
      </w:r>
      <w:r>
        <w:rPr>
          <w:spacing w:val="-43"/>
        </w:rPr>
        <w:t> </w:t>
      </w:r>
      <w:r>
        <w:rPr>
          <w:spacing w:val="-43"/>
        </w:rPr>
      </w:r>
      <w:r>
        <w:rPr/>
        <w:t>公司投资整体划分为持有待售类别，在合并财务报表中将子公司所有资产和负债划分为持有待售类别。</w:t>
      </w:r>
    </w:p>
    <w:p>
      <w:pPr>
        <w:pStyle w:val="BodyText"/>
        <w:spacing w:line="408" w:lineRule="auto"/>
        <w:ind w:right="0" w:firstLine="441"/>
        <w:jc w:val="left"/>
      </w:pPr>
      <w:r>
        <w:rPr>
          <w:rFonts w:ascii="宋体" w:hAnsi="宋体" w:cs="宋体" w:eastAsia="宋体" w:hint="default"/>
        </w:rPr>
        <w:t>(4)</w:t>
      </w:r>
      <w:r>
        <w:rPr/>
        <w:t>后续资产负债表日持有待售的非流动资产公允价值减去出售费用后的净额增加的，以前减记的金</w:t>
      </w:r>
      <w:r>
        <w:rPr>
          <w:w w:val="100"/>
        </w:rPr>
        <w:t> </w:t>
      </w:r>
      <w:r>
        <w:rPr/>
        <w:t>额应当予以恢复，并在划分为持有待售类别后确认的资产减值损失金额内转回，转回金额计入当期损益。</w:t>
      </w:r>
      <w:r>
        <w:rPr>
          <w:spacing w:val="-24"/>
        </w:rPr>
        <w:t> </w:t>
      </w:r>
      <w:r>
        <w:rPr>
          <w:spacing w:val="-24"/>
        </w:rPr>
      </w:r>
      <w:r>
        <w:rPr/>
        <w:t>划分为持有待售类别前确认的资产减值损失不得转回。</w:t>
      </w:r>
    </w:p>
    <w:p>
      <w:pPr>
        <w:pStyle w:val="BodyText"/>
        <w:spacing w:line="408" w:lineRule="auto"/>
        <w:ind w:right="211" w:firstLine="441"/>
        <w:jc w:val="both"/>
      </w:pPr>
      <w:r>
        <w:rPr>
          <w:rFonts w:ascii="宋体" w:hAnsi="宋体" w:cs="宋体" w:eastAsia="宋体" w:hint="default"/>
        </w:rPr>
        <w:t>(5)</w:t>
      </w:r>
      <w:r>
        <w:rPr/>
        <w:t>对于持有待售的处置组确认的资产减值损失金额，先抵减处置组中商誉的账面价值，再根据各项</w:t>
      </w:r>
      <w:r>
        <w:rPr>
          <w:w w:val="100"/>
        </w:rPr>
        <w:t> </w:t>
      </w:r>
      <w:r>
        <w:rPr/>
        <w:t>非流动资产账面价值所占比重，按比例抵减其账面价值。</w:t>
      </w:r>
    </w:p>
    <w:p>
      <w:pPr>
        <w:pStyle w:val="BodyText"/>
        <w:spacing w:line="408" w:lineRule="auto"/>
        <w:ind w:right="206" w:firstLine="441"/>
        <w:jc w:val="both"/>
      </w:pPr>
      <w:r>
        <w:rPr>
          <w:spacing w:val="-3"/>
        </w:rPr>
        <w:t>后续资产负债表日持有待售的处置组公允价值减去出售费用后的净额增加的，以前减记的金额应当予</w:t>
      </w:r>
      <w:r>
        <w:rPr>
          <w:w w:val="100"/>
        </w:rPr>
        <w:t> </w:t>
      </w:r>
      <w:r>
        <w:rPr>
          <w:spacing w:val="-2"/>
        </w:rPr>
        <w:t>以恢复，并在划分为持有待售类别后适用相关计量规定的非流动资产确认的资产减值损失金额内转回，转</w:t>
      </w:r>
      <w:r>
        <w:rPr>
          <w:spacing w:val="-44"/>
        </w:rPr>
        <w:t> </w:t>
      </w:r>
      <w:r>
        <w:rPr>
          <w:spacing w:val="-44"/>
        </w:rPr>
      </w:r>
      <w:r>
        <w:rPr>
          <w:spacing w:val="-2"/>
        </w:rPr>
        <w:t>回金额计入当期损益。已抵减的商誉账面价值，以及非流动资产在划分为持有待售类别前确认的资产减值</w:t>
      </w:r>
      <w:r>
        <w:rPr>
          <w:spacing w:val="-44"/>
        </w:rPr>
        <w:t> </w:t>
      </w:r>
      <w:r>
        <w:rPr>
          <w:spacing w:val="-44"/>
        </w:rPr>
      </w:r>
      <w:r>
        <w:rPr/>
        <w:t>损失不得转回。</w:t>
      </w:r>
    </w:p>
    <w:p>
      <w:pPr>
        <w:pStyle w:val="BodyText"/>
        <w:spacing w:line="408" w:lineRule="auto"/>
        <w:ind w:right="209" w:firstLine="441"/>
        <w:jc w:val="both"/>
      </w:pPr>
      <w:r>
        <w:rPr>
          <w:spacing w:val="-3"/>
        </w:rPr>
        <w:t>持有待售的处置组确认的资产减值损失后续转回金额，根据处置组中除商誉外，各项非流动资产账面</w:t>
      </w:r>
      <w:r>
        <w:rPr>
          <w:w w:val="100"/>
        </w:rPr>
        <w:t> </w:t>
      </w:r>
      <w:r>
        <w:rPr/>
        <w:t>价值所占比重，按比例增加其账面价值。</w:t>
      </w:r>
    </w:p>
    <w:p>
      <w:pPr>
        <w:pStyle w:val="BodyText"/>
        <w:spacing w:line="408" w:lineRule="auto"/>
        <w:ind w:right="211" w:firstLine="441"/>
        <w:jc w:val="both"/>
      </w:pPr>
      <w:r>
        <w:rPr>
          <w:rFonts w:ascii="宋体" w:hAnsi="宋体" w:cs="宋体" w:eastAsia="宋体" w:hint="default"/>
        </w:rPr>
        <w:t>(6)</w:t>
      </w:r>
      <w:r>
        <w:rPr/>
        <w:t>持有待售的非流动资产或处置组中的非流动资产不计提折旧或摊销，持有待售的处置组中负债的</w:t>
      </w:r>
      <w:r>
        <w:rPr>
          <w:w w:val="100"/>
        </w:rPr>
        <w:t> </w:t>
      </w:r>
      <w:r>
        <w:rPr/>
        <w:t>利息和其他费用继续予以确认。</w:t>
      </w:r>
    </w:p>
    <w:p>
      <w:pPr>
        <w:pStyle w:val="BodyText"/>
        <w:spacing w:line="408" w:lineRule="auto"/>
        <w:ind w:right="108" w:firstLine="441"/>
        <w:jc w:val="both"/>
      </w:pPr>
      <w:r>
        <w:rPr>
          <w:rFonts w:ascii="宋体" w:hAnsi="宋体" w:cs="宋体" w:eastAsia="宋体" w:hint="default"/>
        </w:rPr>
        <w:t>(7)</w:t>
      </w:r>
      <w:r>
        <w:rPr/>
        <w:t>持有待售的非流动资产或处置组因不再满足持有待售类别的划分条件，而不再继续划分为持有待</w:t>
      </w:r>
      <w:r>
        <w:rPr>
          <w:w w:val="100"/>
        </w:rPr>
        <w:t> </w:t>
      </w:r>
      <w:r>
        <w:rPr>
          <w:spacing w:val="-5"/>
        </w:rPr>
        <w:t>售类别或非流动资产从持有待售的处置组中移除时，按照以下两者孰低计量：（</w:t>
      </w:r>
      <w:r>
        <w:rPr>
          <w:rFonts w:ascii="宋体" w:hAnsi="宋体" w:cs="宋体" w:eastAsia="宋体" w:hint="default"/>
          <w:spacing w:val="-5"/>
        </w:rPr>
        <w:t>1</w:t>
      </w:r>
      <w:r>
        <w:rPr>
          <w:spacing w:val="-5"/>
        </w:rPr>
        <w:t>）划分为持有待售类别前</w:t>
      </w:r>
      <w:r>
        <w:rPr>
          <w:spacing w:val="-6"/>
        </w:rPr>
        <w:t> </w:t>
      </w:r>
      <w:r>
        <w:rPr>
          <w:spacing w:val="-6"/>
        </w:rPr>
      </w:r>
      <w:r>
        <w:rPr/>
        <w:t>的账面价值，按照假定不划分为持有待售类别情况下本应确认的折旧、摊销或减值等进行调整后的金额；</w:t>
      </w:r>
    </w:p>
    <w:p>
      <w:pPr>
        <w:pStyle w:val="BodyText"/>
        <w:spacing w:line="408" w:lineRule="auto"/>
        <w:ind w:left="594" w:right="0" w:hanging="442"/>
        <w:jc w:val="left"/>
      </w:pPr>
      <w:r>
        <w:rPr/>
        <w:t>（</w:t>
      </w:r>
      <w:r>
        <w:rPr>
          <w:rFonts w:ascii="宋体" w:hAnsi="宋体" w:cs="宋体" w:eastAsia="宋体" w:hint="default"/>
        </w:rPr>
        <w:t>2</w:t>
      </w:r>
      <w:r>
        <w:rPr/>
        <w:t>） 可收回金额。</w:t>
      </w:r>
      <w:r>
        <w:rPr>
          <w:spacing w:val="-103"/>
        </w:rPr>
        <w:t> </w:t>
      </w:r>
      <w:r>
        <w:rPr>
          <w:spacing w:val="-103"/>
        </w:rPr>
      </w:r>
      <w:r>
        <w:rPr>
          <w:rFonts w:ascii="宋体" w:hAnsi="宋体" w:cs="宋体" w:eastAsia="宋体" w:hint="default"/>
          <w:spacing w:val="-2"/>
        </w:rPr>
        <w:t>(8)</w:t>
      </w:r>
      <w:r>
        <w:rPr>
          <w:spacing w:val="-2"/>
        </w:rPr>
        <w:t>终止确认持有待售的非流动资产或处置组时，将尚未确认的利得或损失计入当期损益。</w:t>
      </w:r>
    </w:p>
    <w:p>
      <w:pPr>
        <w:spacing w:after="0" w:line="408" w:lineRule="auto"/>
        <w:jc w:val="left"/>
        <w:sectPr>
          <w:pgSz w:w="11910" w:h="16840"/>
          <w:pgMar w:header="880" w:footer="979" w:top="1100" w:bottom="1160" w:left="980" w:right="920"/>
        </w:sectPr>
      </w:pPr>
    </w:p>
    <w:p>
      <w:pPr>
        <w:spacing w:line="240" w:lineRule="auto" w:before="0"/>
        <w:rPr>
          <w:rFonts w:ascii="宋体" w:hAnsi="宋体" w:cs="宋体" w:eastAsia="宋体" w:hint="default"/>
          <w:sz w:val="21"/>
          <w:szCs w:val="21"/>
        </w:rPr>
      </w:pPr>
    </w:p>
    <w:p>
      <w:pPr>
        <w:pStyle w:val="Heading5"/>
        <w:spacing w:line="335" w:lineRule="exact"/>
        <w:ind w:right="5"/>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left="592" w:right="5" w:firstLine="2"/>
        <w:jc w:val="left"/>
      </w:pPr>
      <w:r>
        <w:rPr/>
        <w:t>（</w:t>
      </w:r>
      <w:r>
        <w:rPr>
          <w:rFonts w:ascii="宋体" w:hAnsi="宋体" w:cs="宋体" w:eastAsia="宋体" w:hint="default"/>
        </w:rPr>
        <w:t>1</w:t>
      </w:r>
      <w:r>
        <w:rPr/>
        <w:t>）初始投资成本的确定</w:t>
      </w:r>
      <w:r>
        <w:rPr>
          <w:w w:val="100"/>
        </w:rPr>
        <w:t> </w:t>
      </w:r>
      <w:r>
        <w:rPr>
          <w:rFonts w:ascii="宋体" w:hAnsi="宋体" w:cs="宋体" w:eastAsia="宋体" w:hint="default"/>
          <w:spacing w:val="-5"/>
        </w:rPr>
        <w:t>1</w:t>
      </w:r>
      <w:r>
        <w:rPr>
          <w:spacing w:val="-5"/>
        </w:rPr>
        <w:t>）企业合并形成的长期股权投资，具体会计政策详见本附注四、（四）同一控制下和非同一控制下企</w:t>
      </w:r>
    </w:p>
    <w:p>
      <w:pPr>
        <w:pStyle w:val="BodyText"/>
        <w:spacing w:line="408" w:lineRule="auto"/>
        <w:ind w:left="592" w:right="6216" w:hanging="440"/>
        <w:jc w:val="left"/>
      </w:pPr>
      <w:r>
        <w:rPr/>
        <w:t>业合并的会计处理方法</w:t>
      </w:r>
      <w:r>
        <w:rPr>
          <w:w w:val="100"/>
        </w:rPr>
        <w:t> </w:t>
      </w:r>
      <w:r>
        <w:rPr>
          <w:rFonts w:ascii="宋体" w:hAnsi="宋体" w:cs="宋体" w:eastAsia="宋体" w:hint="default"/>
          <w:spacing w:val="-2"/>
        </w:rPr>
        <w:t>2</w:t>
      </w:r>
      <w:r>
        <w:rPr>
          <w:spacing w:val="-2"/>
        </w:rPr>
        <w:t>）其他方式取得的长期股权投资</w:t>
      </w:r>
    </w:p>
    <w:p>
      <w:pPr>
        <w:pStyle w:val="BodyText"/>
        <w:spacing w:line="408" w:lineRule="auto"/>
        <w:ind w:right="326" w:firstLine="439"/>
        <w:jc w:val="both"/>
      </w:pPr>
      <w:r>
        <w:rPr>
          <w:spacing w:val="-3"/>
        </w:rPr>
        <w:t>以支付现金方式取得的长期股权投资，按照实际支付的购买价款作为初始投资成本。初始投资成本包</w:t>
      </w:r>
      <w:r>
        <w:rPr>
          <w:w w:val="100"/>
        </w:rPr>
        <w:t> </w:t>
      </w:r>
      <w:r>
        <w:rPr/>
        <w:t>括与取得长期股权投资直接相关的费用、税金及其他必要支出。</w:t>
      </w:r>
    </w:p>
    <w:p>
      <w:pPr>
        <w:pStyle w:val="BodyText"/>
        <w:spacing w:line="410" w:lineRule="auto"/>
        <w:ind w:right="326" w:firstLine="439"/>
        <w:jc w:val="both"/>
      </w:pPr>
      <w:r>
        <w:rPr>
          <w:spacing w:val="-3"/>
        </w:rPr>
        <w:t>以发行权益性证券取得的长期股权投资，按照发行权益性证券的公允价值作为初始投资成本；发行或</w:t>
      </w:r>
      <w:r>
        <w:rPr>
          <w:w w:val="100"/>
        </w:rPr>
        <w:t> </w:t>
      </w:r>
      <w:r>
        <w:rPr/>
        <w:t>取得自身权益工具时发生的交易费用，可直接归属于权益性交易的从权益中扣减。</w:t>
      </w:r>
    </w:p>
    <w:p>
      <w:pPr>
        <w:pStyle w:val="BodyText"/>
        <w:spacing w:line="408" w:lineRule="auto" w:before="44"/>
        <w:ind w:right="326" w:firstLine="439"/>
        <w:jc w:val="both"/>
      </w:pPr>
      <w:r>
        <w:rPr>
          <w:spacing w:val="-3"/>
        </w:rPr>
        <w:t>在非货币性资产交换具备商业实质和换入资产或换出资产的公允价值能够可靠计量的前提下，非货币</w:t>
      </w:r>
      <w:r>
        <w:rPr>
          <w:w w:val="100"/>
        </w:rPr>
        <w:t> </w:t>
      </w: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pStyle w:val="BodyText"/>
        <w:spacing w:line="240" w:lineRule="auto"/>
        <w:ind w:left="592" w:right="5"/>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408" w:lineRule="auto" w:before="0"/>
        <w:ind w:left="592" w:right="6216" w:firstLine="2"/>
        <w:jc w:val="left"/>
      </w:pPr>
      <w:r>
        <w:rPr>
          <w:spacing w:val="-2"/>
        </w:rPr>
        <w:t>（</w:t>
      </w:r>
      <w:r>
        <w:rPr>
          <w:rFonts w:ascii="宋体" w:hAnsi="宋体" w:cs="宋体" w:eastAsia="宋体" w:hint="default"/>
          <w:spacing w:val="-2"/>
        </w:rPr>
        <w:t>2</w:t>
      </w:r>
      <w:r>
        <w:rPr>
          <w:spacing w:val="-2"/>
        </w:rPr>
        <w:t>）后续计量及损益确认</w:t>
      </w:r>
      <w:r>
        <w:rPr>
          <w:spacing w:val="-85"/>
        </w:rPr>
        <w:t> </w:t>
      </w:r>
      <w:r>
        <w:rPr>
          <w:spacing w:val="-85"/>
        </w:rPr>
      </w:r>
      <w:r>
        <w:rPr>
          <w:rFonts w:ascii="宋体" w:hAnsi="宋体" w:cs="宋体" w:eastAsia="宋体" w:hint="default"/>
        </w:rPr>
        <w:t>1</w:t>
      </w:r>
      <w:r>
        <w:rPr/>
        <w:t>）成本法</w:t>
      </w:r>
    </w:p>
    <w:p>
      <w:pPr>
        <w:pStyle w:val="BodyText"/>
        <w:spacing w:line="408" w:lineRule="auto" w:before="43"/>
        <w:ind w:right="326" w:firstLine="439"/>
        <w:jc w:val="both"/>
      </w:pPr>
      <w:r>
        <w:rPr>
          <w:spacing w:val="-3"/>
        </w:rPr>
        <w:t>本公司能够对被投资单位实施控制的长期股权投资采用成本法核算，并按照初始投资成本计价，追加</w:t>
      </w:r>
      <w:r>
        <w:rPr>
          <w:w w:val="100"/>
        </w:rPr>
        <w:t> </w:t>
      </w:r>
      <w:r>
        <w:rPr/>
        <w:t>或收回投资调整长期股权投资的成本。</w:t>
      </w:r>
    </w:p>
    <w:p>
      <w:pPr>
        <w:pStyle w:val="BodyText"/>
        <w:spacing w:line="408" w:lineRule="auto"/>
        <w:ind w:right="326" w:firstLine="439"/>
        <w:jc w:val="both"/>
      </w:pPr>
      <w:r>
        <w:rPr>
          <w:spacing w:val="-3"/>
        </w:rPr>
        <w:t>除取得投资时实际支付的价款或对价中包含的已宣告但尚未发放的现金股利或利润外，本公司按照享</w:t>
      </w:r>
      <w:r>
        <w:rPr>
          <w:w w:val="100"/>
        </w:rPr>
        <w:t> </w:t>
      </w:r>
      <w:r>
        <w:rPr/>
        <w:t>有被投资单位宣告分派的现金股利或利润确认为当期投资收益。</w:t>
      </w:r>
    </w:p>
    <w:p>
      <w:pPr>
        <w:pStyle w:val="BodyText"/>
        <w:spacing w:line="408" w:lineRule="auto"/>
        <w:ind w:left="592" w:right="5"/>
        <w:jc w:val="left"/>
      </w:pPr>
      <w:r>
        <w:rPr>
          <w:rFonts w:ascii="宋体" w:hAnsi="宋体" w:cs="宋体" w:eastAsia="宋体" w:hint="default"/>
        </w:rPr>
        <w:t>2</w:t>
      </w:r>
      <w:r>
        <w:rPr/>
        <w:t>）权益法</w:t>
      </w:r>
      <w:r>
        <w:rPr>
          <w:spacing w:val="-103"/>
        </w:rPr>
        <w:t> </w:t>
      </w:r>
      <w:r>
        <w:rPr>
          <w:spacing w:val="-103"/>
        </w:rPr>
      </w:r>
      <w:r>
        <w:rPr/>
        <w:t>本公司对联营企业和合营企业的长期股权投资采用权益法核算；对于其中一部分通过风险投资机构、</w:t>
      </w:r>
    </w:p>
    <w:p>
      <w:pPr>
        <w:pStyle w:val="BodyText"/>
        <w:spacing w:line="410" w:lineRule="auto"/>
        <w:ind w:right="5"/>
        <w:jc w:val="left"/>
      </w:pPr>
      <w:r>
        <w:rPr>
          <w:spacing w:val="-2"/>
        </w:rPr>
        <w:t>共同基金、信托公司或包括投连险基金在内的类似主体间接持有的联营企业的权益性投资，采用公允价值</w:t>
      </w:r>
      <w:r>
        <w:rPr>
          <w:spacing w:val="-42"/>
        </w:rPr>
        <w:t> </w:t>
      </w:r>
      <w:r>
        <w:rPr>
          <w:spacing w:val="-42"/>
        </w:rPr>
      </w:r>
      <w:r>
        <w:rPr/>
        <w:t>计量且其变动计入损益。</w:t>
      </w:r>
    </w:p>
    <w:p>
      <w:pPr>
        <w:pStyle w:val="BodyText"/>
        <w:spacing w:line="408" w:lineRule="auto" w:before="44"/>
        <w:ind w:right="326" w:firstLine="439"/>
        <w:jc w:val="both"/>
      </w:pPr>
      <w:r>
        <w:rPr>
          <w:spacing w:val="-3"/>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pStyle w:val="BodyText"/>
        <w:spacing w:line="408" w:lineRule="auto"/>
        <w:ind w:right="5" w:firstLine="439"/>
        <w:jc w:val="left"/>
      </w:pPr>
      <w:r>
        <w:rPr>
          <w:spacing w:val="-3"/>
        </w:rPr>
        <w:t>本公司取得长期股权投资后，按照应享有或应分担的被投资单位实现的净损益和其他综合收益的份额，</w:t>
      </w:r>
      <w:r>
        <w:rPr>
          <w:w w:val="100"/>
        </w:rPr>
        <w:t> </w:t>
      </w:r>
      <w:r>
        <w:rPr/>
        <w:t>分别确认投资收益和其他综合收益，同时调整长期股权投资的账面价值；并按照被投资单位宣告分派的利</w:t>
      </w:r>
    </w:p>
    <w:p>
      <w:pPr>
        <w:spacing w:after="0" w:line="408" w:lineRule="auto"/>
        <w:jc w:val="left"/>
        <w:sectPr>
          <w:pgSz w:w="11910" w:h="16840"/>
          <w:pgMar w:header="880" w:footer="979" w:top="1100" w:bottom="1160" w:left="980" w:right="800"/>
        </w:sectPr>
      </w:pPr>
    </w:p>
    <w:p>
      <w:pPr>
        <w:spacing w:line="240" w:lineRule="auto" w:before="12"/>
        <w:rPr>
          <w:rFonts w:ascii="宋体" w:hAnsi="宋体" w:cs="宋体" w:eastAsia="宋体" w:hint="default"/>
          <w:sz w:val="26"/>
          <w:szCs w:val="26"/>
        </w:rPr>
      </w:pPr>
    </w:p>
    <w:p>
      <w:pPr>
        <w:pStyle w:val="BodyText"/>
        <w:spacing w:line="408" w:lineRule="auto" w:before="36"/>
        <w:ind w:right="326"/>
        <w:jc w:val="both"/>
      </w:pPr>
      <w:r>
        <w:rPr>
          <w:spacing w:val="-2"/>
        </w:rPr>
        <w:t>润或现金股利计算应享有的部分，相应减少长期股权投资的账面价值；对于被投资单位除净损益、其他综</w:t>
      </w:r>
      <w:r>
        <w:rPr>
          <w:spacing w:val="-43"/>
        </w:rPr>
        <w:t> </w:t>
      </w:r>
      <w:r>
        <w:rPr>
          <w:spacing w:val="-43"/>
        </w:rPr>
      </w:r>
      <w:r>
        <w:rPr/>
        <w:t>合收益和利润分配以外所有者权益的其他变动，调整长期股权投资的账面价值并计入所有者权益。</w:t>
      </w:r>
    </w:p>
    <w:p>
      <w:pPr>
        <w:pStyle w:val="BodyText"/>
        <w:spacing w:line="408" w:lineRule="auto"/>
        <w:ind w:right="326" w:firstLine="439"/>
        <w:jc w:val="both"/>
      </w:pPr>
      <w:r>
        <w:rPr>
          <w:spacing w:val="-3"/>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42"/>
        </w:rPr>
        <w:t> </w:t>
      </w:r>
      <w:r>
        <w:rPr>
          <w:spacing w:val="-42"/>
        </w:rPr>
      </w:r>
      <w:r>
        <w:rPr/>
        <w:t>部交易损益按照应享有的比例计算归属于本公司的部分予以抵销，在此基础上确认投资损益。</w:t>
      </w:r>
    </w:p>
    <w:p>
      <w:pPr>
        <w:pStyle w:val="BodyText"/>
        <w:spacing w:line="408" w:lineRule="auto"/>
        <w:ind w:right="326" w:firstLine="439"/>
        <w:jc w:val="both"/>
      </w:pPr>
      <w:r>
        <w:rPr>
          <w:spacing w:val="-3"/>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408" w:lineRule="auto"/>
        <w:ind w:right="326" w:firstLine="439"/>
        <w:jc w:val="both"/>
      </w:pPr>
      <w:r>
        <w:rPr>
          <w:spacing w:val="-3"/>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面价值后，恢复确认投资收益。</w:t>
      </w:r>
    </w:p>
    <w:p>
      <w:pPr>
        <w:pStyle w:val="BodyText"/>
        <w:spacing w:line="408" w:lineRule="auto"/>
        <w:ind w:left="592" w:right="6216" w:firstLine="2"/>
        <w:jc w:val="left"/>
      </w:pPr>
      <w:r>
        <w:rPr>
          <w:spacing w:val="-2"/>
        </w:rPr>
        <w:t>（</w:t>
      </w:r>
      <w:r>
        <w:rPr>
          <w:rFonts w:ascii="宋体" w:hAnsi="宋体" w:cs="宋体" w:eastAsia="宋体" w:hint="default"/>
          <w:spacing w:val="-2"/>
        </w:rPr>
        <w:t>3</w:t>
      </w:r>
      <w:r>
        <w:rPr>
          <w:spacing w:val="-2"/>
        </w:rPr>
        <w:t>）长期股权投资核算方法的转换</w:t>
      </w:r>
      <w:r>
        <w:rPr>
          <w:spacing w:val="-78"/>
        </w:rPr>
        <w:t> </w:t>
      </w:r>
      <w:r>
        <w:rPr>
          <w:spacing w:val="-78"/>
        </w:rPr>
      </w:r>
      <w:r>
        <w:rPr>
          <w:rFonts w:ascii="宋体" w:hAnsi="宋体" w:cs="宋体" w:eastAsia="宋体" w:hint="default"/>
        </w:rPr>
        <w:t>1</w:t>
      </w:r>
      <w:r>
        <w:rPr/>
        <w:t>）公允价值计量转权益法核算</w:t>
      </w:r>
    </w:p>
    <w:p>
      <w:pPr>
        <w:pStyle w:val="BodyText"/>
        <w:spacing w:line="408" w:lineRule="auto"/>
        <w:ind w:right="5" w:firstLine="439"/>
        <w:jc w:val="left"/>
      </w:pPr>
      <w:r>
        <w:rPr>
          <w:spacing w:val="-3"/>
        </w:rPr>
        <w:t>本公司原持有的对被投资单位不具有控制、共同控制或重大影响的按金融工具确认和计量准则进行会</w:t>
      </w:r>
      <w:r>
        <w:rPr>
          <w:w w:val="100"/>
        </w:rPr>
        <w:t> </w:t>
      </w:r>
      <w:r>
        <w:rPr>
          <w:spacing w:val="-2"/>
        </w:rPr>
        <w:t>计处理的权益性投资，因追加投资等原因能够对被投资单位施加重大影响或实施共同控制但不构成控制的，</w:t>
      </w:r>
      <w:r>
        <w:rPr>
          <w:spacing w:val="-43"/>
        </w:rPr>
        <w:t> </w:t>
      </w:r>
      <w:r>
        <w:rPr>
          <w:spacing w:val="-43"/>
        </w:rPr>
      </w:r>
      <w:r>
        <w:rPr/>
        <w:t>按照《企业会计准则第</w:t>
      </w:r>
      <w:r>
        <w:rPr>
          <w:rFonts w:ascii="宋体" w:hAnsi="宋体" w:cs="宋体" w:eastAsia="宋体" w:hint="default"/>
        </w:rPr>
        <w:t>22</w:t>
      </w:r>
      <w:r>
        <w:rPr/>
        <w:t>号——金融工具确认和计量》确定的原持有的股权投资的公允价值加上新增投资</w:t>
      </w:r>
      <w:r>
        <w:rPr>
          <w:w w:val="100"/>
        </w:rPr>
        <w:t> </w:t>
      </w:r>
      <w:r>
        <w:rPr/>
        <w:t>成本之和，作为改按权益法核算的初始投资成本。</w:t>
      </w:r>
    </w:p>
    <w:p>
      <w:pPr>
        <w:pStyle w:val="BodyText"/>
        <w:spacing w:line="408" w:lineRule="auto"/>
        <w:ind w:right="326" w:firstLine="439"/>
        <w:jc w:val="both"/>
      </w:pPr>
      <w:r>
        <w:rPr>
          <w:spacing w:val="-3"/>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408" w:lineRule="auto"/>
        <w:ind w:right="326" w:firstLine="439"/>
        <w:jc w:val="both"/>
      </w:pPr>
      <w:r>
        <w:rPr>
          <w:spacing w:val="2"/>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BodyText"/>
        <w:spacing w:line="408" w:lineRule="auto"/>
        <w:ind w:left="592" w:right="5"/>
        <w:jc w:val="left"/>
      </w:pPr>
      <w:r>
        <w:rPr>
          <w:rFonts w:ascii="宋体" w:hAnsi="宋体" w:cs="宋体" w:eastAsia="宋体" w:hint="default"/>
        </w:rPr>
        <w:t>2</w:t>
      </w:r>
      <w:r>
        <w:rPr/>
        <w:t>）公允价值计量或权益法核算转成本法核算</w:t>
      </w:r>
      <w:r>
        <w:rPr>
          <w:w w:val="100"/>
        </w:rPr>
        <w:t> </w:t>
      </w:r>
      <w:r>
        <w:rPr>
          <w:spacing w:val="-3"/>
        </w:rPr>
        <w:t>本公司原持有的对被投资单位不具有控制、共同控制或重大影响的按金融工具确认和计量准则进行会</w:t>
      </w:r>
    </w:p>
    <w:p>
      <w:pPr>
        <w:pStyle w:val="BodyText"/>
        <w:spacing w:line="408" w:lineRule="auto"/>
        <w:ind w:right="326"/>
        <w:jc w:val="both"/>
      </w:pPr>
      <w:r>
        <w:rPr>
          <w:spacing w:val="-2"/>
        </w:rPr>
        <w:t>计处理的权益性投资，或原持有对联营企业、合营企业的长期股权投资，因追加投资等原因能够对非同一</w:t>
      </w:r>
      <w:r>
        <w:rPr>
          <w:spacing w:val="-44"/>
        </w:rPr>
        <w:t> </w:t>
      </w:r>
      <w:r>
        <w:rPr>
          <w:spacing w:val="-44"/>
        </w:rPr>
      </w:r>
      <w:r>
        <w:rPr>
          <w:spacing w:val="-2"/>
        </w:rPr>
        <w:t>控制下的被投资单位实施控制的，在编制个别财务报表时，按照原持有的股权投资账面价值加上新增投资</w:t>
      </w:r>
      <w:r>
        <w:rPr>
          <w:spacing w:val="-44"/>
        </w:rPr>
        <w:t> </w:t>
      </w:r>
      <w:r>
        <w:rPr>
          <w:spacing w:val="-44"/>
        </w:rPr>
      </w:r>
      <w:r>
        <w:rPr/>
        <w:t>成本之和，作为改按成本法核算的初始投资成本。</w:t>
      </w:r>
    </w:p>
    <w:p>
      <w:pPr>
        <w:pStyle w:val="BodyText"/>
        <w:spacing w:line="408" w:lineRule="auto"/>
        <w:ind w:right="326" w:firstLine="439"/>
        <w:jc w:val="both"/>
      </w:pPr>
      <w:r>
        <w:rPr>
          <w:spacing w:val="-3"/>
        </w:rPr>
        <w:t>购买日之前持有的股权投资因采用权益法核算而确认的其他综合收益，在处置该项投资时采用与被投</w:t>
      </w:r>
      <w:r>
        <w:rPr>
          <w:w w:val="100"/>
        </w:rPr>
        <w:t> </w:t>
      </w:r>
      <w:r>
        <w:rPr/>
        <w:t>资单位直接处置相关资产或负债相同的基础进行会计处理。</w:t>
      </w:r>
    </w:p>
    <w:p>
      <w:pPr>
        <w:spacing w:after="0" w:line="408" w:lineRule="auto"/>
        <w:jc w:val="both"/>
        <w:sectPr>
          <w:footerReference w:type="default" r:id="rId56"/>
          <w:pgSz w:w="11910" w:h="16840"/>
          <w:pgMar w:footer="979" w:header="880" w:top="1100" w:bottom="1160" w:left="980" w:right="800"/>
        </w:sectPr>
      </w:pPr>
    </w:p>
    <w:p>
      <w:pPr>
        <w:spacing w:line="240" w:lineRule="auto" w:before="12"/>
        <w:rPr>
          <w:rFonts w:ascii="宋体" w:hAnsi="宋体" w:cs="宋体" w:eastAsia="宋体" w:hint="default"/>
          <w:sz w:val="26"/>
          <w:szCs w:val="26"/>
        </w:rPr>
      </w:pPr>
    </w:p>
    <w:p>
      <w:pPr>
        <w:pStyle w:val="BodyText"/>
        <w:spacing w:line="408" w:lineRule="auto" w:before="36"/>
        <w:ind w:right="0" w:firstLine="439"/>
        <w:jc w:val="left"/>
      </w:pPr>
      <w:r>
        <w:rPr>
          <w:spacing w:val="-3"/>
        </w:rPr>
        <w:t>购买日之前持有的股权投资按照《企业会计准则第</w:t>
      </w:r>
      <w:r>
        <w:rPr>
          <w:rFonts w:ascii="宋体" w:hAnsi="宋体" w:cs="宋体" w:eastAsia="宋体" w:hint="default"/>
          <w:spacing w:val="-3"/>
        </w:rPr>
        <w:t>22</w:t>
      </w:r>
      <w:r>
        <w:rPr>
          <w:spacing w:val="-3"/>
        </w:rPr>
        <w:t>号——金融工具确认和计量》的有关规定进行会</w:t>
      </w:r>
      <w:r>
        <w:rPr>
          <w:w w:val="100"/>
        </w:rPr>
        <w:t> </w:t>
      </w:r>
      <w:r>
        <w:rPr/>
        <w:t>计处理的，原计入其他综合收益的累计公允价值变动在改按成本法核算时转入当期损益。</w:t>
      </w:r>
    </w:p>
    <w:p>
      <w:pPr>
        <w:pStyle w:val="BodyText"/>
        <w:spacing w:line="408" w:lineRule="auto"/>
        <w:ind w:left="592" w:right="0"/>
        <w:jc w:val="left"/>
      </w:pPr>
      <w:r>
        <w:rPr>
          <w:rFonts w:ascii="宋体" w:hAnsi="宋体" w:cs="宋体" w:eastAsia="宋体" w:hint="default"/>
        </w:rPr>
        <w:t>3</w:t>
      </w:r>
      <w:r>
        <w:rPr/>
        <w:t>）权益法核算转公允价值计量</w:t>
      </w:r>
      <w:r>
        <w:rPr>
          <w:w w:val="100"/>
        </w:rPr>
        <w:t> </w:t>
      </w:r>
      <w:r>
        <w:rPr>
          <w:spacing w:val="-3"/>
        </w:rPr>
        <w:t>本公司因处置部分股权投资等原因丧失了对被投资单位的共同控制或重大影响的，处置后的剩余股权</w:t>
      </w:r>
    </w:p>
    <w:p>
      <w:pPr>
        <w:pStyle w:val="BodyText"/>
        <w:spacing w:line="408" w:lineRule="auto"/>
        <w:ind w:right="0"/>
        <w:jc w:val="left"/>
      </w:pPr>
      <w:r>
        <w:rPr>
          <w:spacing w:val="-2"/>
        </w:rPr>
        <w:t>改按《企业会计准则第</w:t>
      </w:r>
      <w:r>
        <w:rPr>
          <w:rFonts w:ascii="宋体" w:hAnsi="宋体" w:cs="宋体" w:eastAsia="宋体" w:hint="default"/>
          <w:spacing w:val="-2"/>
        </w:rPr>
        <w:t>22</w:t>
      </w:r>
      <w:r>
        <w:rPr>
          <w:spacing w:val="-2"/>
        </w:rPr>
        <w:t>号——金融工具确认和计量》核算，其在丧失共同控制或重大影响之日的公允价</w:t>
      </w:r>
      <w:r>
        <w:rPr>
          <w:spacing w:val="-41"/>
        </w:rPr>
        <w:t> </w:t>
      </w:r>
      <w:r>
        <w:rPr>
          <w:spacing w:val="-41"/>
        </w:rPr>
      </w:r>
      <w:r>
        <w:rPr/>
        <w:t>值与账面价值之间的差额计入当期损益。</w:t>
      </w:r>
    </w:p>
    <w:p>
      <w:pPr>
        <w:pStyle w:val="BodyText"/>
        <w:spacing w:line="408" w:lineRule="auto"/>
        <w:ind w:right="0" w:firstLine="439"/>
        <w:jc w:val="left"/>
      </w:pPr>
      <w:r>
        <w:rPr>
          <w:spacing w:val="-3"/>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408" w:lineRule="auto"/>
        <w:ind w:left="592" w:right="0"/>
        <w:jc w:val="left"/>
      </w:pPr>
      <w:r>
        <w:rPr>
          <w:rFonts w:ascii="宋体" w:hAnsi="宋体" w:cs="宋体" w:eastAsia="宋体" w:hint="default"/>
        </w:rPr>
        <w:t>4</w:t>
      </w:r>
      <w:r>
        <w:rPr/>
        <w:t>）成本法转权益法</w:t>
      </w:r>
      <w:r>
        <w:rPr>
          <w:w w:val="100"/>
        </w:rPr>
        <w:t> </w:t>
      </w:r>
      <w:r>
        <w:rPr>
          <w:spacing w:val="-3"/>
        </w:rPr>
        <w:t>本公司因处置部分权益性投资等原因丧失了对被投资单位的控制的，在编制个别财务报表时，处置后</w:t>
      </w:r>
    </w:p>
    <w:p>
      <w:pPr>
        <w:pStyle w:val="BodyText"/>
        <w:spacing w:line="408" w:lineRule="auto"/>
        <w:ind w:right="0"/>
        <w:jc w:val="left"/>
      </w:pPr>
      <w:r>
        <w:rPr>
          <w:spacing w:val="-2"/>
        </w:rPr>
        <w:t>的剩余股权能够对被投资单位实施共同控制或施加重大影响的，改按权益法核算，并对该剩余股权视同自</w:t>
      </w:r>
      <w:r>
        <w:rPr>
          <w:spacing w:val="-43"/>
        </w:rPr>
        <w:t> </w:t>
      </w:r>
      <w:r>
        <w:rPr>
          <w:spacing w:val="-43"/>
        </w:rPr>
      </w:r>
      <w:r>
        <w:rPr/>
        <w:t>取得时即采用权益法核算进行调整。</w:t>
      </w:r>
    </w:p>
    <w:p>
      <w:pPr>
        <w:pStyle w:val="BodyText"/>
        <w:spacing w:line="408" w:lineRule="auto"/>
        <w:ind w:left="592" w:right="0"/>
        <w:jc w:val="left"/>
      </w:pPr>
      <w:r>
        <w:rPr>
          <w:rFonts w:ascii="宋体" w:hAnsi="宋体" w:cs="宋体" w:eastAsia="宋体" w:hint="default"/>
        </w:rPr>
        <w:t>5</w:t>
      </w:r>
      <w:r>
        <w:rPr/>
        <w:t>）成本法转公允价值计量</w:t>
      </w:r>
      <w:r>
        <w:rPr>
          <w:w w:val="100"/>
        </w:rPr>
        <w:t> </w:t>
      </w:r>
      <w:r>
        <w:rPr>
          <w:spacing w:val="-3"/>
        </w:rPr>
        <w:t>本公司因处置部分权益性投资等原因丧失了对被投资单位的控制的，在编制个别财务报表时，处置后</w:t>
      </w:r>
    </w:p>
    <w:p>
      <w:pPr>
        <w:pStyle w:val="BodyText"/>
        <w:spacing w:line="408" w:lineRule="auto"/>
        <w:ind w:right="0"/>
        <w:jc w:val="left"/>
      </w:pPr>
      <w:r>
        <w:rPr>
          <w:spacing w:val="-2"/>
        </w:rPr>
        <w:t>的剩余股权不能对被投资单位实施共同控制或施加重大影响的，改按《企业会计准则第</w:t>
      </w:r>
      <w:r>
        <w:rPr>
          <w:rFonts w:ascii="宋体" w:hAnsi="宋体" w:cs="宋体" w:eastAsia="宋体" w:hint="default"/>
          <w:spacing w:val="-2"/>
        </w:rPr>
        <w:t>22</w:t>
      </w:r>
      <w:r>
        <w:rPr>
          <w:spacing w:val="-2"/>
        </w:rPr>
        <w:t>号——金融工具</w:t>
      </w:r>
      <w:r>
        <w:rPr>
          <w:spacing w:val="-41"/>
        </w:rPr>
        <w:t> </w:t>
      </w:r>
      <w:r>
        <w:rPr>
          <w:spacing w:val="-41"/>
        </w:rPr>
      </w:r>
      <w:r>
        <w:rPr>
          <w:spacing w:val="-5"/>
        </w:rPr>
        <w:t>确认和计量》的有关规定进行会计处理，其在丧失控制之日的公允价值与账面价值间的差额计入当期损益。</w:t>
      </w:r>
    </w:p>
    <w:p>
      <w:pPr>
        <w:pStyle w:val="BodyText"/>
        <w:spacing w:line="408" w:lineRule="auto"/>
        <w:ind w:left="592" w:right="0" w:firstLine="2"/>
        <w:jc w:val="left"/>
      </w:pPr>
      <w:r>
        <w:rPr/>
        <w:t>（</w:t>
      </w:r>
      <w:r>
        <w:rPr>
          <w:rFonts w:ascii="宋体" w:hAnsi="宋体" w:cs="宋体" w:eastAsia="宋体" w:hint="default"/>
        </w:rPr>
        <w:t>4</w:t>
      </w:r>
      <w:r>
        <w:rPr/>
        <w:t>）长期股权投资的处置</w:t>
      </w:r>
      <w:r>
        <w:rPr>
          <w:w w:val="100"/>
        </w:rPr>
        <w:t> </w:t>
      </w:r>
      <w:r>
        <w:rPr>
          <w:spacing w:val="-3"/>
        </w:rPr>
        <w:t>处置长期股权投资，其账面价值与实际取得价款之间的差额，应当计入当期损益。采用权益法核算的</w:t>
      </w:r>
    </w:p>
    <w:p>
      <w:pPr>
        <w:pStyle w:val="BodyText"/>
        <w:spacing w:line="408" w:lineRule="auto"/>
        <w:ind w:right="0"/>
        <w:jc w:val="left"/>
      </w:pPr>
      <w:r>
        <w:rPr>
          <w:spacing w:val="-2"/>
        </w:rPr>
        <w:t>长期股权投资，在处置该项投资时，采用与被投资单位直接处置相关资产或负债相同的基础，按相应比例</w:t>
      </w:r>
      <w:r>
        <w:rPr>
          <w:spacing w:val="-45"/>
        </w:rPr>
        <w:t> </w:t>
      </w:r>
      <w:r>
        <w:rPr>
          <w:spacing w:val="-45"/>
        </w:rPr>
      </w:r>
      <w:r>
        <w:rPr/>
        <w:t>对原计入其他综合收益的部分进行会计处理。</w:t>
      </w:r>
    </w:p>
    <w:p>
      <w:pPr>
        <w:pStyle w:val="BodyText"/>
        <w:spacing w:line="408" w:lineRule="auto"/>
        <w:ind w:right="0" w:firstLine="439"/>
        <w:jc w:val="left"/>
      </w:pPr>
      <w:r>
        <w:rPr>
          <w:spacing w:val="-3"/>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ind w:left="592" w:right="0"/>
        <w:jc w:val="left"/>
      </w:pPr>
      <w:r>
        <w:rPr>
          <w:rFonts w:ascii="宋体" w:hAnsi="宋体" w:cs="宋体" w:eastAsia="宋体" w:hint="default"/>
        </w:rPr>
        <w:t>1</w:t>
      </w:r>
      <w:r>
        <w:rPr/>
        <w:t>）这些交易是同时或者在考虑了彼此影响的情况下订立的；</w:t>
      </w:r>
    </w:p>
    <w:p>
      <w:pPr>
        <w:spacing w:line="240" w:lineRule="auto" w:before="11"/>
        <w:rPr>
          <w:rFonts w:ascii="宋体" w:hAnsi="宋体" w:cs="宋体" w:eastAsia="宋体" w:hint="default"/>
          <w:sz w:val="14"/>
          <w:szCs w:val="14"/>
        </w:rPr>
      </w:pPr>
    </w:p>
    <w:p>
      <w:pPr>
        <w:pStyle w:val="BodyText"/>
        <w:spacing w:line="240" w:lineRule="auto" w:before="0"/>
        <w:ind w:left="592" w:right="0"/>
        <w:jc w:val="left"/>
      </w:pP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left="592" w:right="0"/>
        <w:jc w:val="left"/>
      </w:pP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408" w:lineRule="auto" w:before="0"/>
        <w:ind w:left="592" w:right="0"/>
        <w:jc w:val="left"/>
      </w:pPr>
      <w:r>
        <w:rPr>
          <w:rFonts w:ascii="宋体" w:hAnsi="宋体" w:cs="宋体" w:eastAsia="宋体" w:hint="default"/>
        </w:rPr>
        <w:t>4</w:t>
      </w:r>
      <w:r>
        <w:rPr/>
        <w:t>）一项交易单独看是不经济的，但是和其他交易一并考虑时是经济的。</w:t>
      </w:r>
      <w:r>
        <w:rPr>
          <w:w w:val="100"/>
        </w:rPr>
        <w:t> </w:t>
      </w:r>
      <w:r>
        <w:rPr>
          <w:spacing w:val="-3"/>
        </w:rPr>
        <w:t>因处置部分股权投资或其他原因丧失了对原有子公司控制权的，不属于一揽子交易的，区分个别财务</w:t>
      </w:r>
    </w:p>
    <w:p>
      <w:pPr>
        <w:pStyle w:val="BodyText"/>
        <w:spacing w:line="408" w:lineRule="auto"/>
        <w:ind w:left="592" w:right="0" w:hanging="440"/>
        <w:jc w:val="left"/>
      </w:pPr>
      <w:r>
        <w:rPr/>
        <w:t>报表和合并财务报表进行相关会计处理：</w:t>
      </w:r>
      <w:r>
        <w:rPr>
          <w:w w:val="100"/>
        </w:rPr>
        <w:t> </w:t>
      </w:r>
      <w:r>
        <w:rPr>
          <w:rFonts w:ascii="宋体" w:hAnsi="宋体" w:cs="宋体" w:eastAsia="宋体" w:hint="default"/>
          <w:spacing w:val="-5"/>
        </w:rPr>
        <w:t>1</w:t>
      </w:r>
      <w:r>
        <w:rPr>
          <w:spacing w:val="-5"/>
        </w:rPr>
        <w:t>）在个别财务报表中，对于处置的股权，其账面价值与实际取得价款之间的差额计入当期损益。处置</w:t>
      </w:r>
    </w:p>
    <w:p>
      <w:pPr>
        <w:pStyle w:val="BodyText"/>
        <w:spacing w:line="240" w:lineRule="auto"/>
        <w:ind w:right="0"/>
        <w:jc w:val="left"/>
      </w:pPr>
      <w:r>
        <w:rPr/>
        <w:t>后的剩余股权能够对被投资单位实施共同控制或施加重大影响的，改按权益法核算，并对该剩余股权视同</w:t>
      </w:r>
    </w:p>
    <w:p>
      <w:pPr>
        <w:spacing w:after="0" w:line="240" w:lineRule="auto"/>
        <w:jc w:val="left"/>
        <w:sectPr>
          <w:footerReference w:type="default" r:id="rId57"/>
          <w:pgSz w:w="11910" w:h="16840"/>
          <w:pgMar w:footer="979" w:header="880" w:top="1100" w:bottom="1160" w:left="980" w:right="920"/>
          <w:pgNumType w:start="1"/>
        </w:sectPr>
      </w:pPr>
    </w:p>
    <w:p>
      <w:pPr>
        <w:spacing w:line="240" w:lineRule="auto" w:before="12"/>
        <w:rPr>
          <w:rFonts w:ascii="宋体" w:hAnsi="宋体" w:cs="宋体" w:eastAsia="宋体" w:hint="default"/>
          <w:sz w:val="26"/>
          <w:szCs w:val="26"/>
        </w:rPr>
      </w:pPr>
    </w:p>
    <w:p>
      <w:pPr>
        <w:pStyle w:val="BodyText"/>
        <w:spacing w:line="408" w:lineRule="auto" w:before="36"/>
        <w:ind w:right="146"/>
        <w:jc w:val="both"/>
      </w:pPr>
      <w:r>
        <w:rPr>
          <w:spacing w:val="-2"/>
        </w:rPr>
        <w:t>自取得时即采用权益法核算进行调整；处置后的剩余股权不能对被投资单位实施共同控制或施加重大影响</w:t>
      </w:r>
      <w:r>
        <w:rPr>
          <w:spacing w:val="-43"/>
        </w:rPr>
        <w:t> </w:t>
      </w:r>
      <w:r>
        <w:rPr>
          <w:spacing w:val="-43"/>
        </w:rPr>
      </w:r>
      <w:r>
        <w:rPr>
          <w:spacing w:val="-2"/>
        </w:rPr>
        <w:t>的，改按《企业会计准则第</w:t>
      </w:r>
      <w:r>
        <w:rPr>
          <w:rFonts w:ascii="宋体" w:hAnsi="宋体" w:cs="宋体" w:eastAsia="宋体" w:hint="default"/>
          <w:spacing w:val="-2"/>
        </w:rPr>
        <w:t>22</w:t>
      </w:r>
      <w:r>
        <w:rPr>
          <w:spacing w:val="-2"/>
        </w:rPr>
        <w:t>号——金融工具确认和计量》的有关规定进行会计处理，其在丧失控制之日</w:t>
      </w:r>
      <w:r>
        <w:rPr>
          <w:spacing w:val="-45"/>
        </w:rPr>
        <w:t> </w:t>
      </w:r>
      <w:r>
        <w:rPr>
          <w:spacing w:val="-45"/>
        </w:rPr>
      </w:r>
      <w:r>
        <w:rPr/>
        <w:t>的公允价值与账面价值间的差额计入当期损益。</w:t>
      </w:r>
    </w:p>
    <w:p>
      <w:pPr>
        <w:pStyle w:val="BodyText"/>
        <w:spacing w:line="408" w:lineRule="auto"/>
        <w:ind w:right="146" w:firstLine="439"/>
        <w:jc w:val="both"/>
      </w:pPr>
      <w:r>
        <w:rPr>
          <w:rFonts w:ascii="宋体" w:hAnsi="宋体" w:cs="宋体" w:eastAsia="宋体" w:hint="default"/>
        </w:rPr>
        <w:t>2</w:t>
      </w:r>
      <w:r>
        <w:rPr/>
        <w:t>）在合并财务报表中，对于在丧失对子公司控制权以前的各项交易，处置价款与处置长期股权投资</w:t>
      </w:r>
      <w:r>
        <w:rPr>
          <w:w w:val="100"/>
        </w:rPr>
        <w:t> </w:t>
      </w:r>
      <w:r>
        <w:rPr>
          <w:spacing w:val="-7"/>
        </w:rPr>
        <w:t>相应对享有子公司自购买日或合并日开始持续计算的净资产份额之间的差额，调整资本公积（股本溢价），</w:t>
      </w:r>
      <w:r>
        <w:rPr>
          <w:spacing w:val="-19"/>
        </w:rPr>
        <w:t> </w:t>
      </w:r>
      <w:r>
        <w:rPr>
          <w:spacing w:val="-19"/>
        </w:rPr>
      </w:r>
      <w:r>
        <w:rPr>
          <w:spacing w:val="-2"/>
        </w:rPr>
        <w:t>资本公积不足冲减的，调整留存收益；在丧失对子公司控制权时，对于剩余股权，按照其在丧失控制权日</w:t>
      </w:r>
      <w:r>
        <w:rPr>
          <w:spacing w:val="-50"/>
        </w:rPr>
        <w:t> </w:t>
      </w:r>
      <w:r>
        <w:rPr>
          <w:spacing w:val="-50"/>
        </w:rPr>
      </w:r>
      <w:r>
        <w:rPr>
          <w:spacing w:val="-2"/>
        </w:rPr>
        <w:t>的公允价值进行重新计量。处置股权取得的对价与剩余股权公允价值之和，减去按原持股比例计算应享有</w:t>
      </w:r>
      <w:r>
        <w:rPr>
          <w:spacing w:val="-43"/>
        </w:rPr>
        <w:t> </w:t>
      </w:r>
      <w:r>
        <w:rPr>
          <w:spacing w:val="-43"/>
        </w:rPr>
      </w:r>
      <w:r>
        <w:rPr>
          <w:spacing w:val="-2"/>
        </w:rPr>
        <w:t>原有子公司自购买日开始持续计算的净资产的份额之间的差额，计入丧失控制权当期的投资收益，同时冲</w:t>
      </w:r>
      <w:r>
        <w:rPr>
          <w:spacing w:val="-44"/>
        </w:rPr>
        <w:t> </w:t>
      </w:r>
      <w:r>
        <w:rPr>
          <w:spacing w:val="-44"/>
        </w:rPr>
      </w:r>
      <w:r>
        <w:rPr/>
        <w:t>减商誉。与原有子公司股权投资相关的其他综合收益等，在丧失控制权时转为当期投资收益。</w:t>
      </w:r>
    </w:p>
    <w:p>
      <w:pPr>
        <w:pStyle w:val="BodyText"/>
        <w:spacing w:line="408" w:lineRule="auto"/>
        <w:ind w:right="146" w:firstLine="439"/>
        <w:jc w:val="both"/>
      </w:pPr>
      <w:r>
        <w:rPr>
          <w:spacing w:val="-3"/>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408" w:lineRule="auto"/>
        <w:ind w:right="152" w:firstLine="439"/>
        <w:jc w:val="both"/>
      </w:pPr>
      <w:r>
        <w:rPr>
          <w:rFonts w:ascii="宋体" w:hAnsi="宋体" w:cs="宋体" w:eastAsia="宋体" w:hint="default"/>
        </w:rPr>
        <w:t>1</w:t>
      </w:r>
      <w:r>
        <w:rPr/>
        <w:t>）在个别财务报表中，在丧失控制权之前每一次处置价款与处置的股权对应的长期股权投资账面价</w:t>
      </w:r>
      <w:r>
        <w:rPr>
          <w:w w:val="100"/>
        </w:rPr>
        <w:t> </w:t>
      </w:r>
      <w:r>
        <w:rPr/>
        <w:t>值之间的差额，确认为其他综合收益，在丧失控制权时一并转入丧失控制权当期的损益。</w:t>
      </w:r>
    </w:p>
    <w:p>
      <w:pPr>
        <w:pStyle w:val="BodyText"/>
        <w:spacing w:line="408" w:lineRule="auto"/>
        <w:ind w:right="152" w:firstLine="439"/>
        <w:jc w:val="both"/>
      </w:pPr>
      <w:r>
        <w:rPr>
          <w:rFonts w:ascii="宋体" w:hAnsi="宋体" w:cs="宋体" w:eastAsia="宋体" w:hint="default"/>
        </w:rPr>
        <w:t>2</w:t>
      </w:r>
      <w:r>
        <w:rPr/>
        <w:t>）在合并财务报表中，在丧失控制权之前每一次处置价款与处置投资对应的享有该子公司净资产份</w:t>
      </w:r>
      <w:r>
        <w:rPr>
          <w:w w:val="100"/>
        </w:rPr>
        <w:t> </w:t>
      </w:r>
      <w:r>
        <w:rPr/>
        <w:t>额的差额，确认为其他综合收益，在丧失控制权时一并转入丧失控制权当期的损益。</w:t>
      </w:r>
    </w:p>
    <w:p>
      <w:pPr>
        <w:pStyle w:val="BodyText"/>
        <w:spacing w:line="408" w:lineRule="auto"/>
        <w:ind w:left="592" w:right="0" w:firstLine="2"/>
        <w:jc w:val="left"/>
      </w:pPr>
      <w:r>
        <w:rPr/>
        <w:t>（</w:t>
      </w:r>
      <w:r>
        <w:rPr>
          <w:rFonts w:ascii="宋体" w:hAnsi="宋体" w:cs="宋体" w:eastAsia="宋体" w:hint="default"/>
        </w:rPr>
        <w:t>5</w:t>
      </w:r>
      <w:r>
        <w:rPr/>
        <w:t>）共同控制、重大影响的判断标准</w:t>
      </w:r>
      <w:r>
        <w:rPr>
          <w:w w:val="100"/>
        </w:rPr>
        <w:t> </w:t>
      </w:r>
      <w:r>
        <w:rPr>
          <w:spacing w:val="-3"/>
        </w:rPr>
        <w:t>如果本公司按照相关约定与其他参与方集体控制某项安排，并且对该安排回报具有重大影响的活动决</w:t>
      </w:r>
    </w:p>
    <w:p>
      <w:pPr>
        <w:pStyle w:val="BodyText"/>
        <w:spacing w:line="408" w:lineRule="auto"/>
        <w:ind w:right="146"/>
        <w:jc w:val="both"/>
      </w:pPr>
      <w:r>
        <w:rPr>
          <w:spacing w:val="-2"/>
        </w:rPr>
        <w:t>策，需要经过分享控制权的参与方一致同意时才存在，则视为本公司与其他参与方共同控制某项安排，该</w:t>
      </w:r>
      <w:r>
        <w:rPr>
          <w:spacing w:val="-42"/>
        </w:rPr>
        <w:t> </w:t>
      </w:r>
      <w:r>
        <w:rPr>
          <w:spacing w:val="-42"/>
        </w:rPr>
      </w:r>
      <w:r>
        <w:rPr/>
        <w:t>安排即属于合营安排。</w:t>
      </w:r>
    </w:p>
    <w:p>
      <w:pPr>
        <w:pStyle w:val="BodyText"/>
        <w:spacing w:line="408" w:lineRule="auto"/>
        <w:ind w:right="146" w:firstLine="439"/>
        <w:jc w:val="both"/>
      </w:pPr>
      <w:r>
        <w:rPr>
          <w:spacing w:val="-3"/>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43"/>
        </w:rPr>
        <w:t> </w:t>
      </w:r>
      <w:r>
        <w:rPr>
          <w:spacing w:val="-43"/>
        </w:rPr>
      </w:r>
      <w:r>
        <w:rPr>
          <w:spacing w:val="-2"/>
        </w:rPr>
        <w:t>时，该单独主体作为共同经营，本公司确认与共同经营利益份额相关的项目，并按照相关企业会计准则的</w:t>
      </w:r>
      <w:r>
        <w:rPr>
          <w:spacing w:val="-44"/>
        </w:rPr>
        <w:t> </w:t>
      </w:r>
      <w:r>
        <w:rPr>
          <w:spacing w:val="-44"/>
        </w:rPr>
      </w:r>
      <w:r>
        <w:rPr/>
        <w:t>规定进行会计处理。</w:t>
      </w:r>
    </w:p>
    <w:p>
      <w:pPr>
        <w:pStyle w:val="BodyText"/>
        <w:spacing w:line="408" w:lineRule="auto"/>
        <w:ind w:right="146" w:firstLine="439"/>
        <w:jc w:val="both"/>
      </w:pPr>
      <w:r>
        <w:rPr>
          <w:spacing w:val="-3"/>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43"/>
        </w:rPr>
        <w:t> </w:t>
      </w:r>
      <w:r>
        <w:rPr>
          <w:spacing w:val="-43"/>
        </w:rPr>
      </w:r>
      <w:r>
        <w:rPr>
          <w:spacing w:val="-2"/>
        </w:rPr>
        <w:t>断对被投资单位具有重大影响。</w:t>
      </w:r>
      <w:r>
        <w:rPr>
          <w:rFonts w:ascii="宋体" w:hAnsi="宋体" w:cs="宋体" w:eastAsia="宋体" w:hint="default"/>
          <w:spacing w:val="-2"/>
        </w:rPr>
        <w:t>1</w:t>
      </w:r>
      <w:r>
        <w:rPr>
          <w:spacing w:val="-2"/>
        </w:rPr>
        <w:t>）在被投资单位的董事会或类似权力机构中派有代表；</w:t>
      </w:r>
      <w:r>
        <w:rPr>
          <w:rFonts w:ascii="宋体" w:hAnsi="宋体" w:cs="宋体" w:eastAsia="宋体" w:hint="default"/>
          <w:spacing w:val="-2"/>
        </w:rPr>
        <w:t>2</w:t>
      </w:r>
      <w:r>
        <w:rPr>
          <w:spacing w:val="-2"/>
        </w:rPr>
        <w:t>）参与被投资单</w:t>
      </w:r>
      <w:r>
        <w:rPr>
          <w:spacing w:val="-44"/>
        </w:rPr>
        <w:t> </w:t>
      </w:r>
      <w:r>
        <w:rPr>
          <w:spacing w:val="-44"/>
        </w:rPr>
      </w:r>
      <w:r>
        <w:rPr>
          <w:spacing w:val="-5"/>
        </w:rPr>
        <w:t>位财务和经营政策制定过程；</w:t>
      </w:r>
      <w:r>
        <w:rPr>
          <w:rFonts w:ascii="宋体" w:hAnsi="宋体" w:cs="宋体" w:eastAsia="宋体" w:hint="default"/>
          <w:spacing w:val="-5"/>
        </w:rPr>
        <w:t>3</w:t>
      </w:r>
      <w:r>
        <w:rPr>
          <w:spacing w:val="-5"/>
        </w:rPr>
        <w:t>）与被投资单位之间发生重要交易；</w:t>
      </w:r>
      <w:r>
        <w:rPr>
          <w:rFonts w:ascii="宋体" w:hAnsi="宋体" w:cs="宋体" w:eastAsia="宋体" w:hint="default"/>
          <w:spacing w:val="-5"/>
        </w:rPr>
        <w:t>4</w:t>
      </w:r>
      <w:r>
        <w:rPr>
          <w:spacing w:val="-5"/>
        </w:rPr>
        <w:t>）向被投资单位派出管理人员；</w:t>
      </w:r>
      <w:r>
        <w:rPr>
          <w:rFonts w:ascii="宋体" w:hAnsi="宋体" w:cs="宋体" w:eastAsia="宋体" w:hint="default"/>
          <w:spacing w:val="-5"/>
        </w:rPr>
        <w:t>5</w:t>
      </w:r>
      <w:r>
        <w:rPr>
          <w:spacing w:val="-5"/>
        </w:rPr>
        <w:t>）向</w:t>
      </w:r>
      <w:r>
        <w:rPr>
          <w:spacing w:val="-29"/>
        </w:rPr>
        <w:t> </w:t>
      </w:r>
      <w:r>
        <w:rPr/>
        <w:t>被投资单位提供关键技术资料。</w:t>
      </w:r>
    </w:p>
    <w:p>
      <w:pPr>
        <w:spacing w:after="0" w:line="408" w:lineRule="auto"/>
        <w:jc w:val="both"/>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797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408" w:lineRule="auto" w:before="0"/>
        <w:ind w:right="258" w:firstLine="482"/>
        <w:jc w:val="left"/>
      </w:pPr>
      <w:r>
        <w:rPr>
          <w:spacing w:val="-2"/>
        </w:rPr>
        <w:t>固定资产指为生产商品、提供劳务、出租或经营管理而持有，并且使用寿命超过一个会计年度的有</w:t>
      </w:r>
      <w:r>
        <w:rPr>
          <w:w w:val="100"/>
        </w:rPr>
        <w:t> </w:t>
      </w:r>
      <w:r>
        <w:rPr/>
        <w:t>形资产。固定资产在同时满足下列条件时予以确认：</w:t>
      </w:r>
      <w:r>
        <w:rPr>
          <w:w w:val="100"/>
        </w:rPr>
        <w:t> </w:t>
      </w:r>
      <w:r>
        <w:rPr>
          <w:rFonts w:ascii="宋体" w:hAnsi="宋体" w:cs="宋体" w:eastAsia="宋体" w:hint="default"/>
        </w:rPr>
        <w:t>1</w:t>
      </w:r>
      <w:r>
        <w:rPr/>
        <w:t>）与该固定资产有关的经济利益很可能流入企业；</w:t>
      </w:r>
    </w:p>
    <w:p>
      <w:pPr>
        <w:pStyle w:val="BodyText"/>
        <w:spacing w:line="240" w:lineRule="auto"/>
        <w:ind w:left="258" w:right="0"/>
        <w:jc w:val="left"/>
      </w:pPr>
      <w:r>
        <w:rPr>
          <w:rFonts w:ascii="宋体" w:hAnsi="宋体" w:cs="宋体" w:eastAsia="宋体" w:hint="default"/>
        </w:rPr>
        <w:t>2</w:t>
      </w:r>
      <w:r>
        <w:rPr/>
        <w:t>）该固定资产的成本能够可靠地计量。</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10"/>
        <w:rPr>
          <w:rFonts w:ascii="Microsoft JhengHei" w:hAnsi="Microsoft JhengHei" w:cs="Microsoft JhengHei" w:eastAsia="Microsoft JhengHei" w:hint="default"/>
          <w:b/>
          <w:bCs/>
          <w:sz w:val="14"/>
          <w:szCs w:val="14"/>
        </w:rPr>
      </w:pPr>
    </w:p>
    <w:p>
      <w:pPr>
        <w:pStyle w:val="Heading5"/>
        <w:spacing w:line="335" w:lineRule="exact"/>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left="573" w:right="0" w:firstLine="45"/>
        <w:jc w:val="left"/>
      </w:pPr>
      <w:r>
        <w:rPr>
          <w:spacing w:val="-2"/>
        </w:rPr>
        <w:t>当本公司租入的固定资产符合下列一项或数项标准时，确认为融资租入固定资产：</w:t>
      </w:r>
      <w:r>
        <w:rPr>
          <w:spacing w:val="-83"/>
        </w:rPr>
        <w:t> </w:t>
      </w:r>
      <w:r>
        <w:rPr>
          <w:spacing w:val="-83"/>
        </w:rPr>
      </w:r>
      <w:r>
        <w:rPr>
          <w:rFonts w:ascii="宋体" w:hAnsi="宋体" w:cs="宋体" w:eastAsia="宋体" w:hint="default"/>
        </w:rPr>
        <w:t>1</w:t>
      </w:r>
      <w:r>
        <w:rPr/>
        <w:t>）在租赁期届满时，租赁资产的所有权转移给本公司。</w:t>
      </w:r>
    </w:p>
    <w:p>
      <w:pPr>
        <w:pStyle w:val="BodyText"/>
        <w:spacing w:line="408" w:lineRule="auto"/>
        <w:ind w:right="0" w:firstLine="420"/>
        <w:jc w:val="left"/>
      </w:pPr>
      <w:r>
        <w:rPr>
          <w:rFonts w:ascii="宋体" w:hAnsi="宋体" w:cs="宋体" w:eastAsia="宋体" w:hint="default"/>
          <w:spacing w:val="-2"/>
        </w:rPr>
        <w:t>2</w:t>
      </w:r>
      <w:r>
        <w:rPr>
          <w:spacing w:val="-2"/>
        </w:rPr>
        <w:t>）本公司有购买租赁资产的选择权，所订立的购买价款预计将远低于行使选择权时租赁资产的公允</w:t>
      </w:r>
      <w:r>
        <w:rPr>
          <w:w w:val="100"/>
        </w:rPr>
        <w:t> </w:t>
      </w:r>
      <w:r>
        <w:rPr/>
        <w:t>价值，因而在租赁开始日就可以合理确定本公司将会行使这种选择权。</w:t>
      </w:r>
    </w:p>
    <w:p>
      <w:pPr>
        <w:pStyle w:val="BodyText"/>
        <w:spacing w:line="240" w:lineRule="auto"/>
        <w:ind w:left="573" w:right="0"/>
        <w:jc w:val="left"/>
      </w:pPr>
      <w:r>
        <w:rPr>
          <w:rFonts w:ascii="宋体" w:hAnsi="宋体" w:cs="宋体" w:eastAsia="宋体" w:hint="default"/>
        </w:rPr>
        <w:t>3</w:t>
      </w:r>
      <w:r>
        <w:rPr/>
        <w:t>）即使资产的所有权不转移，但租赁期占租赁资产使用寿命的大部分。</w:t>
      </w:r>
    </w:p>
    <w:p>
      <w:pPr>
        <w:spacing w:line="240" w:lineRule="auto" w:before="11"/>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4</w:t>
      </w:r>
      <w:r>
        <w:rPr/>
        <w:t>）本公司在租赁开始日的最低租赁付款额现值，几乎相当于租赁开始日租赁资产公允价值。</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rFonts w:ascii="宋体" w:hAnsi="宋体" w:cs="宋体" w:eastAsia="宋体" w:hint="default"/>
        </w:rPr>
        <w:t>5</w:t>
      </w:r>
      <w:r>
        <w:rPr/>
        <w:t>）租赁资产性质特殊，如果不作较大改造，只有本公司才能使用。</w:t>
      </w:r>
      <w:r>
        <w:rPr>
          <w:w w:val="100"/>
        </w:rPr>
        <w:t> </w:t>
      </w:r>
      <w:r>
        <w:rPr>
          <w:spacing w:val="-2"/>
        </w:rPr>
        <w:t>融资租赁租入的固定资产，按租赁开始日租赁资产公允价值与最低租赁付款额的现值两者中较低</w:t>
      </w:r>
    </w:p>
    <w:p>
      <w:pPr>
        <w:pStyle w:val="BodyText"/>
        <w:spacing w:line="408" w:lineRule="auto"/>
        <w:ind w:right="333"/>
        <w:jc w:val="both"/>
      </w:pPr>
      <w:r>
        <w:rPr>
          <w:spacing w:val="-2"/>
        </w:rPr>
        <w:t>者，作为入账价值。最低租赁付款额作为长期应付款的入账价值，其差额作为未确认融资费用。在租赁</w:t>
      </w:r>
      <w:r>
        <w:rPr>
          <w:spacing w:val="-21"/>
        </w:rPr>
        <w:t> </w:t>
      </w:r>
      <w:r>
        <w:rPr>
          <w:spacing w:val="-21"/>
        </w:rPr>
      </w:r>
      <w:r>
        <w:rPr>
          <w:spacing w:val="-2"/>
        </w:rPr>
        <w:t>谈判和签订租赁合同过程中发生的，可归属于租赁项目的手续费、律师费、差旅费、印花税等初始直接</w:t>
      </w:r>
      <w:r>
        <w:rPr>
          <w:spacing w:val="-21"/>
        </w:rPr>
        <w:t> </w:t>
      </w:r>
      <w:r>
        <w:rPr>
          <w:spacing w:val="-21"/>
        </w:rPr>
      </w:r>
      <w:r>
        <w:rPr/>
        <w:t>费用，计入租入资产价值。未确认融资费用在租赁期内各个期间采用实际利率法进行分摊。</w:t>
      </w:r>
    </w:p>
    <w:p>
      <w:pPr>
        <w:spacing w:after="0" w:line="408" w:lineRule="auto"/>
        <w:jc w:val="both"/>
        <w:sectPr>
          <w:pgSz w:w="11910" w:h="16840"/>
          <w:pgMar w:header="880" w:footer="979" w:top="1100" w:bottom="1160" w:left="980" w:right="980"/>
        </w:sectPr>
      </w:pPr>
    </w:p>
    <w:p>
      <w:pPr>
        <w:spacing w:line="240" w:lineRule="auto" w:before="12"/>
        <w:rPr>
          <w:rFonts w:ascii="宋体" w:hAnsi="宋体" w:cs="宋体" w:eastAsia="宋体" w:hint="default"/>
          <w:sz w:val="26"/>
          <w:szCs w:val="26"/>
        </w:rPr>
      </w:pPr>
    </w:p>
    <w:p>
      <w:pPr>
        <w:pStyle w:val="BodyText"/>
        <w:spacing w:line="408" w:lineRule="auto" w:before="36"/>
        <w:ind w:right="393" w:firstLine="420"/>
        <w:jc w:val="both"/>
      </w:pPr>
      <w:r>
        <w:rPr>
          <w:spacing w:val="-2"/>
        </w:rPr>
        <w:t>本公司采用与自有固定资产相一致的折旧政策计提融资租入固定资产折旧。能够合理确定租赁期届</w:t>
      </w:r>
      <w:r>
        <w:rPr>
          <w:w w:val="100"/>
        </w:rPr>
        <w:t> </w:t>
      </w:r>
      <w:r>
        <w:rPr>
          <w:spacing w:val="-2"/>
        </w:rPr>
        <w:t>满时取得租赁资产所有权的，在租赁资产使用寿命内计提折旧。无法合理确定租赁期届满时能够取得租</w:t>
      </w:r>
      <w:r>
        <w:rPr>
          <w:spacing w:val="-21"/>
        </w:rPr>
        <w:t> </w:t>
      </w:r>
      <w:r>
        <w:rPr>
          <w:spacing w:val="-21"/>
        </w:rPr>
      </w:r>
      <w:r>
        <w:rPr/>
        <w:t>赁资产所有权的，在租赁期与租赁资产使用寿命两者中较短的期间内计提折旧。</w:t>
      </w:r>
    </w:p>
    <w:p>
      <w:pPr>
        <w:spacing w:line="240" w:lineRule="auto" w:before="6"/>
        <w:rPr>
          <w:rFonts w:ascii="宋体" w:hAnsi="宋体" w:cs="宋体" w:eastAsia="宋体" w:hint="default"/>
          <w:sz w:val="15"/>
          <w:szCs w:val="15"/>
        </w:rPr>
      </w:pPr>
    </w:p>
    <w:p>
      <w:pPr>
        <w:pStyle w:val="Heading5"/>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677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5"/>
        <w:ind w:left="592" w:right="0" w:firstLine="2"/>
        <w:jc w:val="left"/>
      </w:pPr>
      <w:r>
        <w:rPr/>
        <w:t>（</w:t>
      </w:r>
      <w:r>
        <w:rPr>
          <w:rFonts w:ascii="宋体" w:hAnsi="宋体" w:cs="宋体" w:eastAsia="宋体" w:hint="default"/>
        </w:rPr>
        <w:t>1</w:t>
      </w:r>
      <w:r>
        <w:rPr/>
        <w:t>）在建工程初始计量</w:t>
      </w:r>
      <w:r>
        <w:rPr>
          <w:w w:val="100"/>
        </w:rPr>
        <w:t> </w:t>
      </w:r>
      <w:r>
        <w:rPr>
          <w:spacing w:val="-3"/>
        </w:rPr>
        <w:t>本公司自行建造的在建工程按实际成本计价，实际成本由建造该项资产达到预定可使用状态前所发生</w:t>
      </w:r>
    </w:p>
    <w:p>
      <w:pPr>
        <w:pStyle w:val="BodyText"/>
        <w:spacing w:line="408" w:lineRule="auto"/>
        <w:ind w:right="0"/>
        <w:jc w:val="left"/>
      </w:pPr>
      <w:r>
        <w:rPr>
          <w:spacing w:val="-2"/>
        </w:rPr>
        <w:t>的必要支出构成，包括工程用物资成本、人工成本、交纳的相关税费、应予资本化的借款费用以及应分摊</w:t>
      </w:r>
      <w:r>
        <w:rPr>
          <w:spacing w:val="-47"/>
        </w:rPr>
        <w:t> </w:t>
      </w:r>
      <w:r>
        <w:rPr>
          <w:spacing w:val="-47"/>
        </w:rPr>
      </w:r>
      <w:r>
        <w:rPr/>
        <w:t>的间接费用等。</w:t>
      </w:r>
    </w:p>
    <w:p>
      <w:pPr>
        <w:pStyle w:val="BodyText"/>
        <w:spacing w:line="408" w:lineRule="auto"/>
        <w:ind w:left="592" w:right="0" w:firstLine="2"/>
        <w:jc w:val="left"/>
      </w:pPr>
      <w:r>
        <w:rPr/>
        <w:t>（</w:t>
      </w:r>
      <w:r>
        <w:rPr>
          <w:rFonts w:ascii="宋体" w:hAnsi="宋体" w:cs="宋体" w:eastAsia="宋体" w:hint="default"/>
        </w:rPr>
        <w:t>2</w:t>
      </w:r>
      <w:r>
        <w:rPr/>
        <w:t>）在建工程结转为固定资产的标准和时点</w:t>
      </w:r>
      <w:r>
        <w:rPr>
          <w:w w:val="100"/>
        </w:rPr>
        <w:t> </w:t>
      </w:r>
      <w:r>
        <w:rPr/>
        <w:t>在建工程项目按建造该项资产达到预定可使用状态前所发生的全部支出，作为固定资产的入账价值。</w:t>
      </w:r>
    </w:p>
    <w:p>
      <w:pPr>
        <w:pStyle w:val="BodyText"/>
        <w:spacing w:line="408" w:lineRule="auto"/>
        <w:ind w:right="205"/>
        <w:jc w:val="both"/>
      </w:pPr>
      <w:r>
        <w:rPr>
          <w:spacing w:val="-2"/>
        </w:rPr>
        <w:t>所建造的在建工程已达到预定可使用状态，但尚未办理竣工决算的，自达到预定可使用状态之日起，根据</w:t>
      </w:r>
      <w:r>
        <w:rPr>
          <w:spacing w:val="-43"/>
        </w:rPr>
        <w:t> </w:t>
      </w:r>
      <w:r>
        <w:rPr>
          <w:spacing w:val="-43"/>
        </w:rPr>
      </w:r>
      <w:r>
        <w:rPr>
          <w:spacing w:val="-2"/>
        </w:rPr>
        <w:t>工程预算、造价或者工程实际成本等，按估计的价值转入固定资产，并按本公司固定资产折旧政策计提固</w:t>
      </w:r>
      <w:r>
        <w:rPr>
          <w:spacing w:val="-44"/>
        </w:rPr>
        <w:t> </w:t>
      </w:r>
      <w:r>
        <w:rPr>
          <w:spacing w:val="-44"/>
        </w:rPr>
      </w:r>
      <w:r>
        <w:rPr/>
        <w:t>定资产的折旧，待办理竣工决算后，再按实际成本调整原来的暂估价值，但不调整原已计提的折旧额。</w:t>
      </w:r>
    </w:p>
    <w:p>
      <w:pPr>
        <w:spacing w:line="240" w:lineRule="auto" w:before="7"/>
        <w:rPr>
          <w:rFonts w:ascii="宋体" w:hAnsi="宋体" w:cs="宋体" w:eastAsia="宋体" w:hint="default"/>
          <w:sz w:val="15"/>
          <w:szCs w:val="15"/>
        </w:rPr>
      </w:pPr>
    </w:p>
    <w:p>
      <w:pPr>
        <w:pStyle w:val="Heading5"/>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408" w:lineRule="auto" w:before="0"/>
        <w:ind w:left="592" w:right="0" w:firstLine="2"/>
        <w:jc w:val="left"/>
      </w:pPr>
      <w:r>
        <w:rPr/>
        <w:t>（</w:t>
      </w:r>
      <w:r>
        <w:rPr>
          <w:rFonts w:ascii="宋体" w:hAnsi="宋体" w:cs="宋体" w:eastAsia="宋体" w:hint="default"/>
        </w:rPr>
        <w:t>1</w:t>
      </w:r>
      <w:r>
        <w:rPr/>
        <w:t>）借款费用资本化的确认原则</w:t>
      </w:r>
      <w:r>
        <w:rPr>
          <w:w w:val="100"/>
        </w:rPr>
        <w:t> </w:t>
      </w:r>
      <w:r>
        <w:rPr>
          <w:spacing w:val="-3"/>
        </w:rPr>
        <w:t>公司发生的借款费用，可直接归属于符合资本化条件的资产的购建或者生产的，在符合资本化条件的</w:t>
      </w:r>
    </w:p>
    <w:p>
      <w:pPr>
        <w:pStyle w:val="BodyText"/>
        <w:spacing w:line="408" w:lineRule="auto"/>
        <w:ind w:right="0"/>
        <w:jc w:val="left"/>
      </w:pPr>
      <w:r>
        <w:rPr>
          <w:spacing w:val="-2"/>
        </w:rPr>
        <w:t>情况下开始资本化，计入相关资产成本；其他借款费用，在发生时根据其发生额确认为费用，计入当期损</w:t>
      </w:r>
      <w:r>
        <w:rPr>
          <w:spacing w:val="-50"/>
        </w:rPr>
        <w:t> </w:t>
      </w:r>
      <w:r>
        <w:rPr>
          <w:spacing w:val="-50"/>
        </w:rPr>
      </w:r>
      <w:r>
        <w:rPr/>
        <w:t>益。</w:t>
      </w:r>
    </w:p>
    <w:p>
      <w:pPr>
        <w:pStyle w:val="BodyText"/>
        <w:spacing w:line="408" w:lineRule="auto"/>
        <w:ind w:right="0" w:firstLine="439"/>
        <w:jc w:val="left"/>
      </w:pPr>
      <w:r>
        <w:rPr>
          <w:spacing w:val="-3"/>
        </w:rPr>
        <w:t>符合资本化条件的资产，是指需要经过相当长时间的购建或者生产活动才能达到预定可使用或者可销</w:t>
      </w:r>
      <w:r>
        <w:rPr>
          <w:w w:val="100"/>
        </w:rPr>
        <w:t> </w:t>
      </w:r>
      <w:r>
        <w:rPr/>
        <w:t>售状态的固定资产、投资性房地产和存货等资产。</w:t>
      </w:r>
    </w:p>
    <w:p>
      <w:pPr>
        <w:pStyle w:val="BodyText"/>
        <w:spacing w:line="408" w:lineRule="auto"/>
        <w:ind w:left="592" w:right="0"/>
        <w:jc w:val="left"/>
      </w:pPr>
      <w:r>
        <w:rPr/>
        <w:t>借款费用同时满足下列条件时开始资本化：</w:t>
      </w:r>
      <w:r>
        <w:rPr>
          <w:w w:val="100"/>
        </w:rPr>
        <w:t> </w:t>
      </w:r>
      <w:r>
        <w:rPr>
          <w:rFonts w:ascii="宋体" w:hAnsi="宋体" w:cs="宋体" w:eastAsia="宋体" w:hint="default"/>
        </w:rPr>
        <w:t>1</w:t>
      </w:r>
      <w:r>
        <w:rPr/>
        <w:t>）资产支出已经发生，资产支出包括为购建或者生产符合资本化条件的资产而以支付现金、转移非</w:t>
      </w:r>
    </w:p>
    <w:p>
      <w:pPr>
        <w:pStyle w:val="BodyText"/>
        <w:spacing w:line="408" w:lineRule="auto"/>
        <w:ind w:left="592" w:right="4101" w:hanging="440"/>
        <w:jc w:val="left"/>
      </w:pPr>
      <w:r>
        <w:rPr>
          <w:spacing w:val="-2"/>
        </w:rPr>
        <w:t>现金资产或者承担带息债务形式发生的支出；</w:t>
      </w:r>
      <w:r>
        <w:rPr>
          <w:spacing w:val="-65"/>
        </w:rPr>
        <w:t> </w:t>
      </w:r>
      <w:r>
        <w:rPr>
          <w:spacing w:val="-65"/>
        </w:rPr>
      </w:r>
      <w:r>
        <w:rPr>
          <w:rFonts w:ascii="宋体" w:hAnsi="宋体" w:cs="宋体" w:eastAsia="宋体" w:hint="default"/>
        </w:rPr>
        <w:t>2</w:t>
      </w:r>
      <w:r>
        <w:rPr/>
        <w:t>）借款费用已经发生；</w:t>
      </w:r>
    </w:p>
    <w:p>
      <w:pPr>
        <w:pStyle w:val="BodyText"/>
        <w:spacing w:line="240" w:lineRule="auto"/>
        <w:ind w:left="592" w:right="0"/>
        <w:jc w:val="left"/>
      </w:pPr>
      <w:r>
        <w:rPr>
          <w:rFonts w:ascii="宋体" w:hAnsi="宋体" w:cs="宋体" w:eastAsia="宋体" w:hint="default"/>
        </w:rPr>
        <w:t>3</w:t>
      </w:r>
      <w:r>
        <w:rPr/>
        <w:t>）为使资产达到预定可使用或者可销售状态所必要的购建或者生产活动已经开始。</w:t>
      </w:r>
    </w:p>
    <w:p>
      <w:pPr>
        <w:spacing w:line="240" w:lineRule="auto" w:before="10"/>
        <w:rPr>
          <w:rFonts w:ascii="宋体" w:hAnsi="宋体" w:cs="宋体" w:eastAsia="宋体" w:hint="default"/>
          <w:sz w:val="14"/>
          <w:szCs w:val="14"/>
        </w:rPr>
      </w:pPr>
    </w:p>
    <w:p>
      <w:pPr>
        <w:pStyle w:val="BodyText"/>
        <w:spacing w:line="240" w:lineRule="auto" w:before="0"/>
        <w:ind w:left="594" w:right="6954"/>
        <w:jc w:val="left"/>
      </w:pPr>
      <w:r>
        <w:rPr/>
        <w:t>（</w:t>
      </w:r>
      <w:r>
        <w:rPr>
          <w:rFonts w:ascii="宋体" w:hAnsi="宋体" w:cs="宋体" w:eastAsia="宋体" w:hint="default"/>
        </w:rPr>
        <w:t>2</w:t>
      </w:r>
      <w:r>
        <w:rPr/>
        <w:t>）借款费用资本化期间</w:t>
      </w:r>
    </w:p>
    <w:p>
      <w:pPr>
        <w:spacing w:after="0" w:line="240" w:lineRule="auto"/>
        <w:jc w:val="left"/>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right="0" w:firstLine="439"/>
        <w:jc w:val="left"/>
      </w:pPr>
      <w:r>
        <w:rPr>
          <w:spacing w:val="-3"/>
        </w:rPr>
        <w:t>资本化期间，指从借款费用开始资本化时点到停止资本化时点的期间，借款费用暂停资本化的期间不</w:t>
      </w:r>
      <w:r>
        <w:rPr>
          <w:w w:val="100"/>
        </w:rPr>
        <w:t> </w:t>
      </w:r>
      <w:r>
        <w:rPr/>
        <w:t>包括在内。</w:t>
      </w:r>
    </w:p>
    <w:p>
      <w:pPr>
        <w:pStyle w:val="BodyText"/>
        <w:spacing w:line="408" w:lineRule="auto"/>
        <w:ind w:left="592" w:right="0"/>
        <w:jc w:val="left"/>
      </w:pPr>
      <w:r>
        <w:rPr/>
        <w:t>当购建或者生产符合资本化条件的资产达到预定可使用或者可销售状态时，借款费用停止资本化。</w:t>
      </w:r>
      <w:r>
        <w:rPr>
          <w:w w:val="100"/>
        </w:rPr>
        <w:t> </w:t>
      </w:r>
      <w:r>
        <w:rPr>
          <w:spacing w:val="-3"/>
        </w:rPr>
        <w:t>当购建或者生产符合资本化条件的资产中部分项目分别完工且可单独使用时，该部分资产借款费用停</w:t>
      </w:r>
    </w:p>
    <w:p>
      <w:pPr>
        <w:pStyle w:val="BodyText"/>
        <w:spacing w:line="240" w:lineRule="auto"/>
        <w:ind w:right="0"/>
        <w:jc w:val="both"/>
      </w:pPr>
      <w:r>
        <w:rPr/>
        <w:t>止资本化。</w:t>
      </w:r>
    </w:p>
    <w:p>
      <w:pPr>
        <w:spacing w:line="240" w:lineRule="auto" w:before="10"/>
        <w:rPr>
          <w:rFonts w:ascii="宋体" w:hAnsi="宋体" w:cs="宋体" w:eastAsia="宋体" w:hint="default"/>
          <w:sz w:val="14"/>
          <w:szCs w:val="14"/>
        </w:rPr>
      </w:pPr>
    </w:p>
    <w:p>
      <w:pPr>
        <w:pStyle w:val="BodyText"/>
        <w:spacing w:line="408" w:lineRule="auto" w:before="0"/>
        <w:ind w:right="0" w:firstLine="439"/>
        <w:jc w:val="left"/>
      </w:pPr>
      <w:r>
        <w:rPr>
          <w:spacing w:val="-3"/>
        </w:rPr>
        <w:t>购建或者生产的资产的各部分分别完工，但必须等到整体完工后才可使用或可对外销售的，在该资产</w:t>
      </w:r>
      <w:r>
        <w:rPr>
          <w:w w:val="100"/>
        </w:rPr>
        <w:t> </w:t>
      </w:r>
      <w:r>
        <w:rPr/>
        <w:t>整体完工时停止借款费用资本化。</w:t>
      </w:r>
    </w:p>
    <w:p>
      <w:pPr>
        <w:pStyle w:val="BodyText"/>
        <w:spacing w:line="410" w:lineRule="auto"/>
        <w:ind w:left="592" w:right="0" w:firstLine="2"/>
        <w:jc w:val="left"/>
      </w:pPr>
      <w:r>
        <w:rPr/>
        <w:t>（</w:t>
      </w:r>
      <w:r>
        <w:rPr>
          <w:rFonts w:ascii="宋体" w:hAnsi="宋体" w:cs="宋体" w:eastAsia="宋体" w:hint="default"/>
        </w:rPr>
        <w:t>3</w:t>
      </w:r>
      <w:r>
        <w:rPr/>
        <w:t>）暂停资本化期间</w:t>
      </w:r>
      <w:r>
        <w:rPr>
          <w:w w:val="100"/>
        </w:rPr>
        <w:t> </w:t>
      </w:r>
      <w:r>
        <w:rPr/>
        <w:t>符合资本化条件的资产在购建或生产过程中发生的非正常中断、且中断时间连续超过</w:t>
      </w:r>
      <w:r>
        <w:rPr>
          <w:rFonts w:ascii="宋体" w:hAnsi="宋体" w:cs="宋体" w:eastAsia="宋体" w:hint="default"/>
        </w:rPr>
        <w:t>3</w:t>
      </w:r>
      <w:r>
        <w:rPr/>
        <w:t>个月的，则借</w:t>
      </w:r>
    </w:p>
    <w:p>
      <w:pPr>
        <w:pStyle w:val="BodyText"/>
        <w:spacing w:line="408" w:lineRule="auto" w:before="44"/>
        <w:ind w:right="20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pStyle w:val="BodyText"/>
        <w:spacing w:line="408" w:lineRule="auto"/>
        <w:ind w:left="592" w:right="0" w:firstLine="2"/>
        <w:jc w:val="left"/>
      </w:pPr>
      <w:r>
        <w:rPr/>
        <w:t>（</w:t>
      </w:r>
      <w:r>
        <w:rPr>
          <w:rFonts w:ascii="宋体" w:hAnsi="宋体" w:cs="宋体" w:eastAsia="宋体" w:hint="default"/>
        </w:rPr>
        <w:t>4</w:t>
      </w:r>
      <w:r>
        <w:rPr/>
        <w:t>）借款费用资本化金额的计算方法</w:t>
      </w:r>
      <w:r>
        <w:rPr>
          <w:w w:val="100"/>
        </w:rPr>
        <w:t> </w:t>
      </w:r>
      <w:r>
        <w:rPr>
          <w:spacing w:val="-3"/>
        </w:rPr>
        <w:t>专门借款的利息费用（扣除尚未动用的借款资金存入银行取得的利息收入或者进行暂时性投资取得的</w:t>
      </w:r>
    </w:p>
    <w:p>
      <w:pPr>
        <w:pStyle w:val="BodyText"/>
        <w:spacing w:line="408" w:lineRule="auto"/>
        <w:ind w:right="0"/>
        <w:jc w:val="left"/>
      </w:pPr>
      <w:r>
        <w:rPr/>
        <w:t>投资收益）及其辅助费用在所购建或者生产的符合资本化条件的资产达到预定可使用或者可销售状态前，</w:t>
      </w:r>
      <w:r>
        <w:rPr>
          <w:spacing w:val="-24"/>
        </w:rPr>
        <w:t> </w:t>
      </w:r>
      <w:r>
        <w:rPr>
          <w:spacing w:val="-24"/>
        </w:rPr>
      </w:r>
      <w:r>
        <w:rPr/>
        <w:t>予以资本化。</w:t>
      </w:r>
    </w:p>
    <w:p>
      <w:pPr>
        <w:pStyle w:val="BodyText"/>
        <w:spacing w:line="408" w:lineRule="auto"/>
        <w:ind w:right="0" w:firstLine="439"/>
        <w:jc w:val="left"/>
      </w:pPr>
      <w:r>
        <w:rPr>
          <w:spacing w:val="-3"/>
        </w:rPr>
        <w:t>根据累计资产支出超过专门借款部分的资产支出加权平均数以所占用一般借款的资本化率，计算确定</w:t>
      </w:r>
      <w:r>
        <w:rPr>
          <w:w w:val="100"/>
        </w:rPr>
        <w:t> </w:t>
      </w:r>
      <w:r>
        <w:rPr/>
        <w:t>一般借款应予资本化的利息金额。资本化率根据一般借款加权平均利率计算确定。</w:t>
      </w:r>
      <w:r>
        <w:rPr>
          <w:w w:val="100"/>
        </w:rPr>
        <w:t> </w:t>
      </w:r>
      <w:r>
        <w:rPr/>
        <w:t>借款存在折价或者溢价的，按照实际利率法确定每一会计期间应摊销的折价或者溢价金额，调整每期利</w:t>
      </w:r>
      <w:r>
        <w:rPr>
          <w:w w:val="100"/>
        </w:rPr>
        <w:t> </w:t>
      </w:r>
      <w:r>
        <w:rPr/>
        <w:t>息金额。</w:t>
      </w:r>
    </w:p>
    <w:p>
      <w:pPr>
        <w:spacing w:line="240" w:lineRule="auto" w:before="6"/>
        <w:rPr>
          <w:rFonts w:ascii="宋体" w:hAnsi="宋体" w:cs="宋体" w:eastAsia="宋体" w:hint="default"/>
          <w:sz w:val="15"/>
          <w:szCs w:val="15"/>
        </w:rPr>
      </w:pPr>
    </w:p>
    <w:p>
      <w:pPr>
        <w:pStyle w:val="Heading5"/>
        <w:spacing w:line="240" w:lineRule="auto"/>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60" w:lineRule="auto" w:before="0"/>
        <w:ind w:left="153" w:right="677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1"/>
        <w:ind w:left="592" w:right="0" w:firstLine="2"/>
        <w:jc w:val="left"/>
      </w:pPr>
      <w:r>
        <w:rPr/>
        <w:t>（</w:t>
      </w:r>
      <w:r>
        <w:rPr>
          <w:rFonts w:ascii="宋体" w:hAnsi="宋体" w:cs="宋体" w:eastAsia="宋体" w:hint="default"/>
        </w:rPr>
        <w:t>1</w:t>
      </w:r>
      <w:r>
        <w:rPr/>
        <w:t>）无形资产的初始计量</w:t>
      </w:r>
      <w:r>
        <w:rPr>
          <w:w w:val="100"/>
        </w:rPr>
        <w:t> </w:t>
      </w:r>
      <w:r>
        <w:rPr>
          <w:spacing w:val="-3"/>
        </w:rPr>
        <w:t>外购无形资产的成本，包括购买价款、相关税费以及直接归属于使该项资产达到预定用途所发生的其</w:t>
      </w:r>
    </w:p>
    <w:p>
      <w:pPr>
        <w:spacing w:after="0" w:line="408" w:lineRule="auto"/>
        <w:jc w:val="left"/>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right="0"/>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408" w:lineRule="auto"/>
        <w:ind w:right="206" w:firstLine="439"/>
        <w:jc w:val="both"/>
      </w:pPr>
      <w:r>
        <w:rPr>
          <w:spacing w:val="-3"/>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408" w:lineRule="auto"/>
        <w:ind w:right="205" w:firstLine="439"/>
        <w:jc w:val="both"/>
      </w:pPr>
      <w:r>
        <w:rPr>
          <w:spacing w:val="-3"/>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408" w:lineRule="auto"/>
        <w:ind w:right="206" w:firstLine="439"/>
        <w:jc w:val="both"/>
      </w:pPr>
      <w:r>
        <w:rPr>
          <w:spacing w:val="-3"/>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408" w:lineRule="auto"/>
        <w:ind w:right="206" w:firstLine="439"/>
        <w:jc w:val="both"/>
      </w:pPr>
      <w:r>
        <w:rPr>
          <w:spacing w:val="-3"/>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pStyle w:val="BodyText"/>
        <w:spacing w:line="408" w:lineRule="auto"/>
        <w:ind w:left="592" w:right="0" w:firstLine="2"/>
        <w:jc w:val="left"/>
      </w:pPr>
      <w:r>
        <w:rPr/>
        <w:t>（</w:t>
      </w:r>
      <w:r>
        <w:rPr>
          <w:rFonts w:ascii="宋体" w:hAnsi="宋体" w:cs="宋体" w:eastAsia="宋体" w:hint="default"/>
        </w:rPr>
        <w:t>2</w:t>
      </w:r>
      <w:r>
        <w:rPr/>
        <w:t>）无形资产的后续计量</w:t>
      </w:r>
      <w:r>
        <w:rPr>
          <w:w w:val="100"/>
        </w:rPr>
        <w:t> </w:t>
      </w:r>
      <w:r>
        <w:rPr/>
        <w:t>本公司在取得无形资产时分析判断其使用寿命，划分为使用寿命有限和使用寿命不确定的无形资产。</w:t>
      </w:r>
      <w:r>
        <w:rPr>
          <w:spacing w:val="-42"/>
        </w:rPr>
        <w:t> </w:t>
      </w:r>
      <w:r>
        <w:rPr>
          <w:spacing w:val="-42"/>
        </w:rPr>
      </w:r>
      <w:r>
        <w:rPr>
          <w:rFonts w:ascii="宋体" w:hAnsi="宋体" w:cs="宋体" w:eastAsia="宋体" w:hint="default"/>
        </w:rPr>
        <w:t>1</w:t>
      </w:r>
      <w:r>
        <w:rPr/>
        <w:t>）使用寿命有限的无形资产</w:t>
      </w:r>
      <w:r>
        <w:rPr>
          <w:w w:val="100"/>
        </w:rPr>
        <w:t> </w:t>
      </w:r>
      <w:r>
        <w:rPr>
          <w:spacing w:val="-3"/>
        </w:rPr>
        <w:t>对于使用寿命有限的无形资产，在为企业带来经济利益的期限内按直线法摊销。使用寿命有限的无形</w:t>
      </w:r>
    </w:p>
    <w:p>
      <w:pPr>
        <w:pStyle w:val="BodyText"/>
        <w:spacing w:line="240" w:lineRule="auto"/>
        <w:ind w:right="6954"/>
        <w:jc w:val="left"/>
      </w:pPr>
      <w:r>
        <w:rPr/>
        <w:t>资产预计寿命及依据如下：</w:t>
      </w:r>
    </w:p>
    <w:p>
      <w:pPr>
        <w:spacing w:line="240" w:lineRule="auto" w:before="9"/>
        <w:rPr>
          <w:rFonts w:ascii="宋体" w:hAnsi="宋体" w:cs="宋体" w:eastAsia="宋体" w:hint="default"/>
          <w:sz w:val="9"/>
          <w:szCs w:val="9"/>
        </w:rPr>
      </w:pPr>
    </w:p>
    <w:tbl>
      <w:tblPr>
        <w:tblW w:w="0" w:type="auto"/>
        <w:jc w:val="left"/>
        <w:tblInd w:w="501" w:type="dxa"/>
        <w:tblLayout w:type="fixed"/>
        <w:tblCellMar>
          <w:top w:w="0" w:type="dxa"/>
          <w:left w:w="0" w:type="dxa"/>
          <w:bottom w:w="0" w:type="dxa"/>
          <w:right w:w="0" w:type="dxa"/>
        </w:tblCellMar>
        <w:tblLook w:val="01E0"/>
      </w:tblPr>
      <w:tblGrid>
        <w:gridCol w:w="4463"/>
        <w:gridCol w:w="4472"/>
      </w:tblGrid>
      <w:tr>
        <w:trPr>
          <w:trHeight w:val="341" w:hRule="exact"/>
        </w:trPr>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预计使用寿命</w:t>
            </w:r>
            <w:r>
              <w:rPr>
                <w:rFonts w:ascii="Microsoft JhengHei" w:hAnsi="Microsoft JhengHei" w:cs="Microsoft JhengHei" w:eastAsia="Microsoft JhengHei" w:hint="default"/>
                <w:sz w:val="18"/>
                <w:szCs w:val="18"/>
              </w:rPr>
            </w:r>
          </w:p>
        </w:tc>
      </w:tr>
      <w:tr>
        <w:trPr>
          <w:trHeight w:val="343" w:hRule="exact"/>
        </w:trPr>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年或</w:t>
            </w: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r>
    </w:tbl>
    <w:p>
      <w:pPr>
        <w:pStyle w:val="BodyText"/>
        <w:spacing w:line="408" w:lineRule="auto" w:before="66"/>
        <w:ind w:right="0" w:firstLine="439"/>
        <w:jc w:val="left"/>
      </w:pPr>
      <w:r>
        <w:rPr/>
        <w:t>每期末，对使用寿命有限的无形资产的使用寿命及摊销方法进行复核，如与原先估计数存在差异的，</w:t>
      </w:r>
      <w:r>
        <w:rPr>
          <w:w w:val="100"/>
        </w:rPr>
        <w:t> </w:t>
      </w:r>
      <w:r>
        <w:rPr/>
        <w:t>进行相应的调整。</w:t>
      </w:r>
    </w:p>
    <w:p>
      <w:pPr>
        <w:pStyle w:val="BodyText"/>
        <w:spacing w:line="408" w:lineRule="auto"/>
        <w:ind w:left="592" w:right="0"/>
        <w:jc w:val="left"/>
      </w:pPr>
      <w:r>
        <w:rPr/>
        <w:t>经复核，本期期末无形资产的使用寿命及摊销方法与以前估计未有不同。</w:t>
      </w:r>
      <w:r>
        <w:rPr>
          <w:w w:val="100"/>
        </w:rPr>
        <w:t> </w:t>
      </w:r>
      <w:r>
        <w:rPr>
          <w:rFonts w:ascii="宋体" w:hAnsi="宋体" w:cs="宋体" w:eastAsia="宋体" w:hint="default"/>
        </w:rPr>
        <w:t>2</w:t>
      </w:r>
      <w:r>
        <w:rPr/>
        <w:t>）使用寿命不确定的无形资产</w:t>
      </w:r>
      <w:r>
        <w:rPr>
          <w:w w:val="100"/>
        </w:rPr>
        <w:t> </w:t>
      </w:r>
      <w:r>
        <w:rPr>
          <w:spacing w:val="-3"/>
        </w:rPr>
        <w:t>无法预见无形资产为企业带来经济利益期限的，视为使用寿命不确定的无形资产。对于使用寿命不确</w:t>
      </w:r>
    </w:p>
    <w:p>
      <w:pPr>
        <w:pStyle w:val="BodyText"/>
        <w:spacing w:line="408" w:lineRule="auto"/>
        <w:ind w:right="0"/>
        <w:jc w:val="left"/>
      </w:pPr>
      <w:r>
        <w:rPr>
          <w:spacing w:val="-2"/>
        </w:rPr>
        <w:t>定的无形资产，在持有期间内不摊销，每期末对无形资产的寿命进行复核。如果期末重新复核后仍为不确</w:t>
      </w:r>
      <w:r>
        <w:rPr>
          <w:spacing w:val="-43"/>
        </w:rPr>
        <w:t> </w:t>
      </w:r>
      <w:r>
        <w:rPr>
          <w:spacing w:val="-43"/>
        </w:rPr>
      </w:r>
      <w:r>
        <w:rPr/>
        <w:t>定的，在每个会计期间继续进行减值测试。</w:t>
      </w:r>
    </w:p>
    <w:p>
      <w:pPr>
        <w:pStyle w:val="BodyText"/>
        <w:spacing w:line="240" w:lineRule="auto"/>
        <w:ind w:left="592" w:right="0"/>
        <w:jc w:val="left"/>
      </w:pPr>
      <w:r>
        <w:rPr/>
        <w:t>本公司无使用寿命不确定的无形资产。</w:t>
      </w:r>
    </w:p>
    <w:p>
      <w:pPr>
        <w:spacing w:after="0" w:line="240" w:lineRule="auto"/>
        <w:jc w:val="left"/>
        <w:sectPr>
          <w:pgSz w:w="11910" w:h="16840"/>
          <w:pgMar w:header="880" w:footer="979" w:top="1100" w:bottom="1160" w:left="980" w:right="92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left="594" w:right="0"/>
        <w:jc w:val="left"/>
      </w:pPr>
      <w:r>
        <w:rPr/>
        <w:t>（</w:t>
      </w:r>
      <w:r>
        <w:rPr>
          <w:rFonts w:ascii="宋体" w:hAnsi="宋体" w:cs="宋体" w:eastAsia="宋体" w:hint="default"/>
        </w:rPr>
        <w:t>1</w:t>
      </w:r>
      <w:r>
        <w:rPr/>
        <w:t>）划分公司内部研究开发项目的研究阶段和开发阶段具体标准</w:t>
      </w:r>
      <w:r>
        <w:rPr>
          <w:w w:val="100"/>
        </w:rPr>
        <w:t> </w:t>
      </w:r>
      <w:r>
        <w:rPr/>
        <w:t>研究阶段：为获取并理解新的科学或技术知识等而进行的独创性的有计划调查、研究活动的阶段。</w:t>
      </w:r>
      <w:r>
        <w:rPr>
          <w:w w:val="100"/>
        </w:rPr>
        <w:t> </w:t>
      </w:r>
      <w:r>
        <w:rPr>
          <w:spacing w:val="-3"/>
        </w:rPr>
        <w:t>开发阶段：在进行商业性生产或使用前，将研究成果或其他知识应用于某项计划或设计，以生产出新</w:t>
      </w:r>
    </w:p>
    <w:p>
      <w:pPr>
        <w:pStyle w:val="BodyText"/>
        <w:spacing w:line="408" w:lineRule="auto"/>
        <w:ind w:left="594" w:right="0" w:hanging="442"/>
        <w:jc w:val="left"/>
      </w:pPr>
      <w:r>
        <w:rPr/>
        <w:t>的或具有实质性改进的材料、装置、产品等活动的阶段。</w:t>
      </w:r>
      <w:r>
        <w:rPr>
          <w:w w:val="100"/>
        </w:rPr>
        <w:t> </w:t>
      </w:r>
      <w:r>
        <w:rPr/>
        <w:t>内部研究开发项目研究阶段的支出，在发生时计入当期损益。</w:t>
      </w:r>
      <w:r>
        <w:rPr>
          <w:w w:val="100"/>
        </w:rPr>
        <w:t> </w:t>
      </w:r>
      <w:r>
        <w:rPr>
          <w:spacing w:val="-3"/>
        </w:rPr>
        <w:t>公司根据软件项目开发管理的流程，将开发项目划分研究阶段和开发阶段。其中，项目策划阶段与项</w:t>
      </w:r>
    </w:p>
    <w:p>
      <w:pPr>
        <w:pStyle w:val="BodyText"/>
        <w:spacing w:line="410" w:lineRule="auto"/>
        <w:ind w:left="594" w:right="0" w:hanging="442"/>
        <w:jc w:val="left"/>
      </w:pPr>
      <w:r>
        <w:rPr/>
        <w:t>目立项阶段作为研究阶段；项目计划阶段、项目实施与执行阶段和项目验收阶段作为开发阶段。</w:t>
      </w:r>
      <w:r>
        <w:rPr>
          <w:w w:val="100"/>
        </w:rPr>
        <w:t> </w:t>
      </w:r>
      <w:r>
        <w:rPr>
          <w:spacing w:val="-8"/>
          <w:w w:val="100"/>
        </w:rPr>
        <w:t>研究阶段起点为项目策划阶段，终点为立项评审通过，表明公司开发部、市场部判断该项目在技术上、</w:t>
      </w:r>
    </w:p>
    <w:p>
      <w:pPr>
        <w:pStyle w:val="BodyText"/>
        <w:spacing w:line="408" w:lineRule="auto" w:before="44"/>
        <w:ind w:right="0"/>
        <w:jc w:val="left"/>
      </w:pPr>
      <w:r>
        <w:rPr>
          <w:spacing w:val="-2"/>
        </w:rPr>
        <w:t>商业上等具有可行性；开发阶段的起点为项目开发立项，终点为项目相关测试完成后可进入商业运营。开</w:t>
      </w:r>
      <w:r>
        <w:rPr>
          <w:spacing w:val="-44"/>
        </w:rPr>
        <w:t> </w:t>
      </w:r>
      <w:r>
        <w:rPr>
          <w:spacing w:val="-44"/>
        </w:rPr>
      </w:r>
      <w:r>
        <w:rPr/>
        <w:t>发项目研究阶段的支出，在发生时计入当期损益。</w:t>
      </w:r>
    </w:p>
    <w:p>
      <w:pPr>
        <w:pStyle w:val="BodyText"/>
        <w:spacing w:line="408" w:lineRule="auto"/>
        <w:ind w:right="0" w:firstLine="441"/>
        <w:jc w:val="left"/>
      </w:pPr>
      <w:r>
        <w:rPr>
          <w:spacing w:val="-3"/>
        </w:rPr>
        <w:t>进入开发阶段的项目支出，则予以资本化，先在“开发支出”科目分项目进行明细核算，可商业运营</w:t>
      </w:r>
      <w:r>
        <w:rPr>
          <w:w w:val="100"/>
        </w:rPr>
        <w:t> </w:t>
      </w:r>
      <w:r>
        <w:rPr/>
        <w:t>时，再转入“无形资产”科目分项目进行明细核算。</w:t>
      </w:r>
    </w:p>
    <w:p>
      <w:pPr>
        <w:pStyle w:val="BodyText"/>
        <w:spacing w:line="408" w:lineRule="auto"/>
        <w:ind w:left="594" w:right="0"/>
        <w:jc w:val="left"/>
      </w:pPr>
      <w:r>
        <w:rPr/>
        <w:t>（</w:t>
      </w:r>
      <w:r>
        <w:rPr>
          <w:rFonts w:ascii="宋体" w:hAnsi="宋体" w:cs="宋体" w:eastAsia="宋体" w:hint="default"/>
        </w:rPr>
        <w:t>2</w:t>
      </w:r>
      <w:r>
        <w:rPr/>
        <w:t>）开发阶段支出符合资本化的具体标准</w:t>
      </w:r>
      <w:r>
        <w:rPr>
          <w:w w:val="100"/>
        </w:rPr>
        <w:t> </w:t>
      </w:r>
      <w:r>
        <w:rPr>
          <w:spacing w:val="-2"/>
        </w:rPr>
        <w:t>内部研究开发项目开发阶段的支出，同时满足下列条件时确认为无形资产：</w:t>
      </w:r>
      <w:r>
        <w:rPr>
          <w:spacing w:val="-42"/>
        </w:rPr>
        <w:t> </w:t>
      </w:r>
      <w:r>
        <w:rPr>
          <w:spacing w:val="-42"/>
        </w:rPr>
      </w:r>
      <w:r>
        <w:rPr>
          <w:rFonts w:ascii="宋体" w:hAnsi="宋体" w:cs="宋体" w:eastAsia="宋体" w:hint="default"/>
        </w:rPr>
        <w:t>1</w:t>
      </w:r>
      <w:r>
        <w:rPr/>
        <w:t>）完成该无形资产以使其能够使用或出售在技术上具有可行性；</w:t>
      </w:r>
    </w:p>
    <w:p>
      <w:pPr>
        <w:pStyle w:val="BodyText"/>
        <w:spacing w:line="240" w:lineRule="auto" w:before="43"/>
        <w:ind w:left="594" w:right="0"/>
        <w:jc w:val="left"/>
      </w:pPr>
      <w:r>
        <w:rPr>
          <w:rFonts w:ascii="宋体" w:hAnsi="宋体" w:cs="宋体" w:eastAsia="宋体" w:hint="default"/>
        </w:rPr>
        <w:t>2</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before="0"/>
        <w:ind w:right="0" w:firstLine="441"/>
        <w:jc w:val="left"/>
      </w:pPr>
      <w:r>
        <w:rPr>
          <w:rFonts w:ascii="宋体" w:hAnsi="宋体" w:cs="宋体" w:eastAsia="宋体" w:hint="default"/>
        </w:rPr>
        <w:t>3</w:t>
      </w:r>
      <w:r>
        <w:rPr/>
        <w:t>）无形资产产生经济利益的方式，包括能够证明运用该无形资产生产的产品存在市场或无形资产自</w:t>
      </w:r>
      <w:r>
        <w:rPr>
          <w:w w:val="100"/>
        </w:rPr>
        <w:t> </w:t>
      </w:r>
      <w:r>
        <w:rPr/>
        <w:t>身存在市场，无形资产将在内部使用的，能够证明其有用性；</w:t>
      </w:r>
    </w:p>
    <w:p>
      <w:pPr>
        <w:pStyle w:val="BodyText"/>
        <w:spacing w:line="408" w:lineRule="auto"/>
        <w:ind w:right="0" w:firstLine="441"/>
        <w:jc w:val="left"/>
      </w:pPr>
      <w:r>
        <w:rPr>
          <w:rFonts w:ascii="宋体" w:hAnsi="宋体" w:cs="宋体" w:eastAsia="宋体" w:hint="default"/>
          <w:spacing w:val="-5"/>
        </w:rPr>
        <w:t>4</w:t>
      </w:r>
      <w:r>
        <w:rPr>
          <w:spacing w:val="-5"/>
        </w:rPr>
        <w:t>）有足够的技术、财务资源和其他资源支持，以完成该无形资产的开发，并有能力使用或出售该无形</w:t>
      </w:r>
      <w:r>
        <w:rPr>
          <w:w w:val="100"/>
        </w:rPr>
        <w:t> </w:t>
      </w:r>
      <w:r>
        <w:rPr/>
        <w:t>资产；</w:t>
      </w:r>
    </w:p>
    <w:p>
      <w:pPr>
        <w:pStyle w:val="BodyText"/>
        <w:spacing w:line="408" w:lineRule="auto"/>
        <w:ind w:left="594" w:right="0"/>
        <w:jc w:val="left"/>
      </w:pPr>
      <w:r>
        <w:rPr>
          <w:rFonts w:ascii="宋体" w:hAnsi="宋体" w:cs="宋体" w:eastAsia="宋体" w:hint="default"/>
        </w:rPr>
        <w:t>5</w:t>
      </w:r>
      <w:r>
        <w:rPr/>
        <w:t>）归属于该无形资产开发阶段的支出能够可靠地计量。</w:t>
      </w:r>
      <w:r>
        <w:rPr>
          <w:w w:val="100"/>
        </w:rPr>
        <w:t> </w:t>
      </w:r>
      <w:r>
        <w:rPr>
          <w:spacing w:val="-3"/>
        </w:rPr>
        <w:t>不满足上述条件的开发阶段的支出，于发生时计入当期损益。以前期间已计入损益的开发支出不在以</w:t>
      </w:r>
    </w:p>
    <w:p>
      <w:pPr>
        <w:pStyle w:val="BodyText"/>
        <w:spacing w:line="408" w:lineRule="auto"/>
        <w:ind w:right="0"/>
        <w:jc w:val="left"/>
      </w:pPr>
      <w:r>
        <w:rPr>
          <w:spacing w:val="-2"/>
        </w:rPr>
        <w:t>后期间重新确认为资产。已资本化的开发阶段的支出在资产负债表上列示为开发支出，自该项目达到预定</w:t>
      </w:r>
      <w:r>
        <w:rPr>
          <w:spacing w:val="-42"/>
        </w:rPr>
        <w:t> </w:t>
      </w:r>
      <w:r>
        <w:rPr>
          <w:spacing w:val="-42"/>
        </w:rPr>
      </w:r>
      <w:r>
        <w:rPr/>
        <w:t>用途之日起转为无形资产。</w:t>
      </w:r>
    </w:p>
    <w:p>
      <w:pPr>
        <w:spacing w:line="240" w:lineRule="auto" w:before="6"/>
        <w:rPr>
          <w:rFonts w:ascii="宋体" w:hAnsi="宋体" w:cs="宋体" w:eastAsia="宋体" w:hint="default"/>
          <w:sz w:val="15"/>
          <w:szCs w:val="15"/>
        </w:rPr>
      </w:pPr>
    </w:p>
    <w:p>
      <w:pPr>
        <w:pStyle w:val="BodyText"/>
        <w:spacing w:line="496" w:lineRule="auto" w:before="0"/>
        <w:ind w:left="594" w:right="0" w:hanging="442"/>
        <w:jc w:val="left"/>
      </w:pPr>
      <w:r>
        <w:rPr>
          <w:rFonts w:ascii="Times New Roman" w:hAnsi="Times New Roman" w:cs="Times New Roman" w:eastAsia="Times New Roman" w:hint="default"/>
          <w:b/>
          <w:bCs/>
        </w:rPr>
        <w:t>22</w:t>
      </w:r>
      <w:r>
        <w:rPr>
          <w:rFonts w:ascii="Microsoft JhengHei" w:hAnsi="Microsoft JhengHei" w:cs="Microsoft JhengHei" w:eastAsia="Microsoft JhengHei" w:hint="default"/>
          <w:b/>
          <w:bCs/>
        </w:rPr>
        <w:t>、长期资产减值</w:t>
      </w:r>
      <w:r>
        <w:rPr>
          <w:rFonts w:ascii="Microsoft JhengHei" w:hAnsi="Microsoft JhengHei" w:cs="Microsoft JhengHei" w:eastAsia="Microsoft JhengHei" w:hint="default"/>
          <w:b/>
          <w:bCs/>
          <w:spacing w:val="-47"/>
        </w:rPr>
        <w:t> </w:t>
      </w:r>
      <w:r>
        <w:rPr>
          <w:rFonts w:ascii="Microsoft JhengHei" w:hAnsi="Microsoft JhengHei" w:cs="Microsoft JhengHei" w:eastAsia="Microsoft JhengHei" w:hint="default"/>
          <w:b/>
          <w:bCs/>
          <w:spacing w:val="-47"/>
        </w:rPr>
      </w:r>
      <w:r>
        <w:rPr/>
        <w:t>本公司在资产负债表日判断长期资产是否存在可能发生减值的迹象。如果长期资产存在减值迹象的，</w:t>
      </w:r>
    </w:p>
    <w:p>
      <w:pPr>
        <w:pStyle w:val="BodyText"/>
        <w:spacing w:line="243" w:lineRule="exact" w:before="0"/>
        <w:ind w:right="0"/>
        <w:jc w:val="left"/>
      </w:pPr>
      <w:r>
        <w:rPr/>
        <w:t>以单项资产为基础估计其可收回金额；难以对单项资产的可收回金额进行估计的，以该资产所属的资产组</w:t>
      </w:r>
    </w:p>
    <w:p>
      <w:pPr>
        <w:spacing w:after="0" w:line="243" w:lineRule="exact"/>
        <w:jc w:val="left"/>
        <w:sectPr>
          <w:pgSz w:w="11910" w:h="16840"/>
          <w:pgMar w:header="880" w:footer="979" w:top="1100" w:bottom="1160" w:left="980" w:right="920"/>
        </w:sectPr>
      </w:pPr>
    </w:p>
    <w:p>
      <w:pPr>
        <w:spacing w:line="240" w:lineRule="auto" w:before="12"/>
        <w:rPr>
          <w:rFonts w:ascii="宋体" w:hAnsi="宋体" w:cs="宋体" w:eastAsia="宋体" w:hint="default"/>
          <w:sz w:val="26"/>
          <w:szCs w:val="26"/>
        </w:rPr>
      </w:pPr>
    </w:p>
    <w:p>
      <w:pPr>
        <w:pStyle w:val="BodyText"/>
        <w:spacing w:line="408" w:lineRule="auto" w:before="36"/>
        <w:ind w:left="594" w:right="0" w:hanging="442"/>
        <w:jc w:val="left"/>
      </w:pPr>
      <w:r>
        <w:rPr/>
        <w:t>为基础确定资产组的可收回金额。</w:t>
      </w:r>
      <w:r>
        <w:rPr>
          <w:w w:val="100"/>
        </w:rPr>
        <w:t> </w:t>
      </w:r>
      <w:r>
        <w:rPr>
          <w:spacing w:val="-3"/>
        </w:rPr>
        <w:t>资产可收回金额的估计，根据其公允价值减去处置费用后的净额与资产预计未来现金流量的现值两者</w:t>
      </w:r>
    </w:p>
    <w:p>
      <w:pPr>
        <w:pStyle w:val="BodyText"/>
        <w:spacing w:line="408" w:lineRule="auto"/>
        <w:ind w:left="594" w:right="0" w:hanging="442"/>
        <w:jc w:val="left"/>
      </w:pPr>
      <w:r>
        <w:rPr/>
        <w:t>之间较高者确定。</w:t>
      </w:r>
      <w:r>
        <w:rPr>
          <w:w w:val="100"/>
        </w:rPr>
        <w:t> </w:t>
      </w:r>
      <w:r>
        <w:rPr>
          <w:spacing w:val="-3"/>
        </w:rPr>
        <w:t>可收回金额的计量结果表明，长期资产的可收回金额低于其账面价值的，将长期资产的账面价值减记</w:t>
      </w:r>
    </w:p>
    <w:p>
      <w:pPr>
        <w:pStyle w:val="BodyText"/>
        <w:spacing w:line="408" w:lineRule="auto"/>
        <w:ind w:right="0"/>
        <w:jc w:val="left"/>
      </w:pPr>
      <w:r>
        <w:rPr>
          <w:spacing w:val="-2"/>
        </w:rPr>
        <w:t>至可收回金额，减记的金额确认为资产减值损失，计入当期损益，同时计提相应的资产减值准备。资产减</w:t>
      </w:r>
      <w:r>
        <w:rPr>
          <w:spacing w:val="-50"/>
        </w:rPr>
        <w:t> </w:t>
      </w:r>
      <w:r>
        <w:rPr>
          <w:spacing w:val="-50"/>
        </w:rPr>
      </w:r>
      <w:r>
        <w:rPr/>
        <w:t>值损失一经确认，在以后会计期间不得转回。</w:t>
      </w:r>
    </w:p>
    <w:p>
      <w:pPr>
        <w:pStyle w:val="BodyText"/>
        <w:spacing w:line="408" w:lineRule="auto"/>
        <w:ind w:right="148" w:firstLine="441"/>
        <w:jc w:val="both"/>
      </w:pPr>
      <w:r>
        <w:rPr>
          <w:spacing w:val="-3"/>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BodyText"/>
        <w:spacing w:line="240" w:lineRule="auto"/>
        <w:ind w:left="594" w:right="0"/>
        <w:jc w:val="left"/>
      </w:pPr>
      <w:r>
        <w:rPr>
          <w:spacing w:val="-3"/>
        </w:rPr>
        <w:t>因企业合并所形成的商誉和使用寿命不确定的无形资产，无论是否存在减值迹象，每年都进行减值测</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试。</w:t>
      </w:r>
    </w:p>
    <w:p>
      <w:pPr>
        <w:spacing w:line="240" w:lineRule="auto" w:before="10"/>
        <w:rPr>
          <w:rFonts w:ascii="宋体" w:hAnsi="宋体" w:cs="宋体" w:eastAsia="宋体" w:hint="default"/>
          <w:sz w:val="14"/>
          <w:szCs w:val="14"/>
        </w:rPr>
      </w:pPr>
    </w:p>
    <w:p>
      <w:pPr>
        <w:pStyle w:val="BodyText"/>
        <w:spacing w:line="408" w:lineRule="auto" w:before="0"/>
        <w:ind w:right="146" w:firstLine="441"/>
        <w:jc w:val="both"/>
      </w:pPr>
      <w:r>
        <w:rPr>
          <w:spacing w:val="-3"/>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43"/>
        </w:rPr>
        <w:t> </w:t>
      </w:r>
      <w:r>
        <w:rPr>
          <w:spacing w:val="-43"/>
        </w:rPr>
      </w:r>
      <w:r>
        <w:rPr>
          <w:spacing w:val="-2"/>
        </w:rPr>
        <w:t>组组合存在减值迹象的，先对不包含商誉的资产组或者资产组组合进行减值测试，计算可收回金额，并与</w:t>
      </w:r>
      <w:r>
        <w:rPr>
          <w:spacing w:val="-44"/>
        </w:rPr>
        <w:t> </w:t>
      </w:r>
      <w:r>
        <w:rPr>
          <w:spacing w:val="-44"/>
        </w:rPr>
      </w:r>
      <w:r>
        <w:rPr>
          <w:spacing w:val="-2"/>
        </w:rPr>
        <w:t>相关账面价值相比较，确认相应的减值损失。再对包含商誉的资产组或者资产组组合进行减值测试，比较</w:t>
      </w:r>
      <w:r>
        <w:rPr>
          <w:spacing w:val="-43"/>
        </w:rPr>
        <w:t> </w:t>
      </w:r>
      <w:r>
        <w:rPr>
          <w:spacing w:val="-43"/>
        </w:rPr>
      </w:r>
      <w:r>
        <w:rPr>
          <w:spacing w:val="-2"/>
        </w:rPr>
        <w:t>这些相关资产组或者资产组组合的账面价值（包括所分摊的商誉的账面价值部分）与其可收回金额，如相</w:t>
      </w:r>
      <w:r>
        <w:rPr>
          <w:spacing w:val="-44"/>
        </w:rPr>
        <w:t> </w:t>
      </w:r>
      <w:r>
        <w:rPr>
          <w:spacing w:val="-44"/>
        </w:rPr>
      </w:r>
      <w:r>
        <w:rPr/>
        <w:t>关资产组或者资产组组合的可收回金额低于其账面价值的，确认商誉的减值损失。</w:t>
      </w:r>
    </w:p>
    <w:p>
      <w:pPr>
        <w:spacing w:line="240" w:lineRule="auto" w:before="6"/>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408" w:lineRule="auto" w:before="0"/>
        <w:ind w:left="592" w:right="0" w:firstLine="2"/>
        <w:jc w:val="left"/>
      </w:pPr>
      <w:r>
        <w:rPr/>
        <w:t>（</w:t>
      </w:r>
      <w:r>
        <w:rPr>
          <w:rFonts w:ascii="宋体" w:hAnsi="宋体" w:cs="宋体" w:eastAsia="宋体" w:hint="default"/>
        </w:rPr>
        <w:t>1</w:t>
      </w:r>
      <w:r>
        <w:rPr/>
        <w:t>）摊销方法</w:t>
      </w:r>
      <w:r>
        <w:rPr>
          <w:w w:val="100"/>
        </w:rPr>
        <w:t> </w:t>
      </w:r>
      <w:r>
        <w:rPr/>
        <w:t>长期待摊费用，是指本公司已经发生但应由本期和以后各期负担的分摊期限在</w:t>
      </w:r>
      <w:r>
        <w:rPr>
          <w:rFonts w:ascii="宋体" w:hAnsi="宋体" w:cs="宋体" w:eastAsia="宋体" w:hint="default"/>
        </w:rPr>
        <w:t>1</w:t>
      </w:r>
      <w:r>
        <w:rPr/>
        <w:t>年以上的各项费用。</w:t>
      </w:r>
    </w:p>
    <w:p>
      <w:pPr>
        <w:pStyle w:val="BodyText"/>
        <w:spacing w:line="240" w:lineRule="auto"/>
        <w:ind w:right="0"/>
        <w:jc w:val="left"/>
      </w:pPr>
      <w:r>
        <w:rPr/>
        <w:t>长期待摊费用在受益期内按直线法分期摊销。</w:t>
      </w:r>
    </w:p>
    <w:p>
      <w:pPr>
        <w:spacing w:line="240" w:lineRule="auto" w:before="10"/>
        <w:rPr>
          <w:rFonts w:ascii="宋体" w:hAnsi="宋体" w:cs="宋体" w:eastAsia="宋体" w:hint="default"/>
          <w:sz w:val="14"/>
          <w:szCs w:val="14"/>
        </w:rPr>
      </w:pPr>
    </w:p>
    <w:p>
      <w:pPr>
        <w:pStyle w:val="BodyText"/>
        <w:spacing w:line="240" w:lineRule="auto" w:before="0"/>
        <w:ind w:left="594" w:right="0"/>
        <w:jc w:val="left"/>
      </w:pPr>
      <w:r>
        <w:rPr/>
        <w:t>（</w:t>
      </w:r>
      <w:r>
        <w:rPr>
          <w:rFonts w:ascii="宋体" w:hAnsi="宋体" w:cs="宋体" w:eastAsia="宋体" w:hint="default"/>
        </w:rPr>
        <w:t>2</w:t>
      </w:r>
      <w:r>
        <w:rPr/>
        <w:t>）摊销年限</w:t>
      </w:r>
    </w:p>
    <w:p>
      <w:pPr>
        <w:spacing w:line="240" w:lineRule="auto" w:before="9"/>
        <w:rPr>
          <w:rFonts w:ascii="宋体" w:hAnsi="宋体" w:cs="宋体" w:eastAsia="宋体" w:hint="default"/>
          <w:sz w:val="9"/>
          <w:szCs w:val="9"/>
        </w:rPr>
      </w:pPr>
    </w:p>
    <w:tbl>
      <w:tblPr>
        <w:tblW w:w="0" w:type="auto"/>
        <w:jc w:val="left"/>
        <w:tblInd w:w="376" w:type="dxa"/>
        <w:tblLayout w:type="fixed"/>
        <w:tblCellMar>
          <w:top w:w="0" w:type="dxa"/>
          <w:left w:w="0" w:type="dxa"/>
          <w:bottom w:w="0" w:type="dxa"/>
          <w:right w:w="0" w:type="dxa"/>
        </w:tblCellMar>
        <w:tblLook w:val="01E0"/>
      </w:tblPr>
      <w:tblGrid>
        <w:gridCol w:w="3082"/>
        <w:gridCol w:w="3082"/>
        <w:gridCol w:w="3023"/>
      </w:tblGrid>
      <w:tr>
        <w:trPr>
          <w:trHeight w:val="34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摊销年限</w:t>
            </w:r>
            <w:r>
              <w:rPr>
                <w:rFonts w:ascii="Microsoft JhengHei" w:hAnsi="Microsoft JhengHei" w:cs="Microsoft JhengHei" w:eastAsia="Microsoft JhengHei" w:hint="default"/>
                <w:sz w:val="18"/>
                <w:szCs w:val="18"/>
              </w:rPr>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341"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仓库装修费</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c>
          <w:tcPr>
            <w:tcW w:w="302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z w:val="18"/>
                <w:szCs w:val="18"/>
              </w:rPr>
              <w:t>QQ</w:t>
            </w:r>
            <w:r>
              <w:rPr>
                <w:rFonts w:ascii="宋体" w:hAnsi="宋体" w:cs="宋体" w:eastAsia="宋体" w:hint="default"/>
                <w:sz w:val="18"/>
                <w:szCs w:val="18"/>
              </w:rPr>
              <w:t>服务费</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个月</w:t>
            </w:r>
          </w:p>
        </w:tc>
        <w:tc>
          <w:tcPr>
            <w:tcW w:w="30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布鲁精灵系列商品使用权</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c>
          <w:tcPr>
            <w:tcW w:w="302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云计算资源使用费</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c>
          <w:tcPr>
            <w:tcW w:w="30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line="429" w:lineRule="auto" w:before="0"/>
        <w:ind w:left="436" w:right="0" w:hanging="284"/>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短期薪酬是指本公司在职工提供相关服务的年度报告期间结束后十二个月内需要全部予以支付的职工</w:t>
      </w:r>
    </w:p>
    <w:p>
      <w:pPr>
        <w:pStyle w:val="BodyText"/>
        <w:spacing w:line="242" w:lineRule="exact" w:before="0"/>
        <w:ind w:right="0"/>
        <w:jc w:val="left"/>
      </w:pPr>
      <w:r>
        <w:rPr/>
        <w:t>薪酬，离职后福利和辞退福利除外。本公司在职工提供服务的会计期间，将应付的短期薪酬确认为负</w:t>
      </w:r>
    </w:p>
    <w:p>
      <w:pPr>
        <w:pStyle w:val="BodyText"/>
        <w:spacing w:line="240" w:lineRule="auto" w:before="135"/>
        <w:ind w:right="0"/>
        <w:jc w:val="left"/>
      </w:pPr>
      <w:r>
        <w:rPr/>
        <w:t>债，并根据职工提供服务的受益对象计入相关资产成本和费用。</w:t>
      </w:r>
    </w:p>
    <w:p>
      <w:pPr>
        <w:spacing w:line="240" w:lineRule="auto" w:before="11"/>
        <w:rPr>
          <w:rFonts w:ascii="宋体" w:hAnsi="宋体" w:cs="宋体" w:eastAsia="宋体" w:hint="default"/>
          <w:sz w:val="29"/>
          <w:szCs w:val="29"/>
        </w:rPr>
      </w:pPr>
    </w:p>
    <w:p>
      <w:pPr>
        <w:spacing w:line="429" w:lineRule="auto" w:before="0"/>
        <w:ind w:left="592" w:right="0" w:hanging="44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）离职后福利的会计处理方法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3"/>
          <w:sz w:val="21"/>
          <w:szCs w:val="21"/>
        </w:rPr>
        <w:t>离职后福利是指本公司为获得职工提供的服务而在职工退休或与企业解除劳动关系后，提供的各种形</w:t>
      </w:r>
    </w:p>
    <w:p>
      <w:pPr>
        <w:pStyle w:val="BodyText"/>
        <w:spacing w:line="243" w:lineRule="exact" w:before="0"/>
        <w:ind w:right="0"/>
        <w:jc w:val="left"/>
      </w:pPr>
      <w:r>
        <w:rPr/>
        <w:t>式的报酬和福利，短期薪酬和辞退福利除外。</w:t>
      </w:r>
    </w:p>
    <w:p>
      <w:pPr>
        <w:pStyle w:val="BodyText"/>
        <w:spacing w:line="355" w:lineRule="auto" w:before="135"/>
        <w:ind w:left="592" w:right="0"/>
        <w:jc w:val="left"/>
      </w:pPr>
      <w:r>
        <w:rPr/>
        <w:t>本公司的离职后福利计划全部为设定提存计划。</w:t>
      </w:r>
      <w:r>
        <w:rPr>
          <w:w w:val="100"/>
        </w:rPr>
        <w:t> </w:t>
      </w:r>
      <w:r>
        <w:rPr>
          <w:spacing w:val="-3"/>
        </w:rPr>
        <w:t>离职后福利设定提存计划主要为参加由各地劳动及社会保障机构组织实施的社会基本养老保险、失业</w:t>
      </w:r>
    </w:p>
    <w:p>
      <w:pPr>
        <w:pStyle w:val="BodyText"/>
        <w:spacing w:line="357" w:lineRule="auto" w:before="32"/>
        <w:ind w:right="156"/>
        <w:jc w:val="left"/>
      </w:pPr>
      <w:r>
        <w:rPr>
          <w:spacing w:val="-2"/>
        </w:rPr>
        <w:t>保险等；在职工为本公司提供服务的会计期间，将根据设定提存计划计算的应缴存金额确认为负债，并计</w:t>
      </w:r>
      <w:r>
        <w:rPr>
          <w:spacing w:val="-43"/>
        </w:rPr>
        <w:t> </w:t>
      </w:r>
      <w:r>
        <w:rPr>
          <w:spacing w:val="-43"/>
        </w:rPr>
      </w:r>
      <w:r>
        <w:rPr/>
        <w:t>入当期损益或相关资产成本。</w:t>
      </w:r>
      <w:r>
        <w:rPr>
          <w:w w:val="100"/>
        </w:rPr>
        <w:t> </w:t>
      </w:r>
      <w:r>
        <w:rPr/>
        <w:t>本公司按照国家规定的标准定期缴付上述款项后，不再有其他的支付义务。</w:t>
      </w:r>
    </w:p>
    <w:p>
      <w:pPr>
        <w:spacing w:line="240" w:lineRule="auto" w:before="13"/>
        <w:rPr>
          <w:rFonts w:ascii="宋体" w:hAnsi="宋体" w:cs="宋体" w:eastAsia="宋体" w:hint="default"/>
          <w:sz w:val="21"/>
          <w:szCs w:val="21"/>
        </w:rPr>
      </w:pPr>
    </w:p>
    <w:p>
      <w:pPr>
        <w:spacing w:line="429" w:lineRule="auto" w:before="0"/>
        <w:ind w:left="592" w:right="0" w:hanging="44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3"/>
          <w:sz w:val="21"/>
          <w:szCs w:val="21"/>
        </w:rPr>
        <w:t>辞退福利是指本公司在职工劳动合同到期之前解除与职工的劳动关系，或者为鼓励职工自愿接受裁减</w:t>
      </w:r>
    </w:p>
    <w:p>
      <w:pPr>
        <w:pStyle w:val="BodyText"/>
        <w:spacing w:line="244" w:lineRule="exact" w:before="0"/>
        <w:ind w:right="0"/>
        <w:jc w:val="left"/>
      </w:pPr>
      <w:r>
        <w:rPr/>
        <w:t>而给予职工的补偿，在本公司不能单方面撤回解除劳动关系计划或裁减建议时和确认与涉及支付辞退福利</w:t>
      </w:r>
    </w:p>
    <w:p>
      <w:pPr>
        <w:pStyle w:val="BodyText"/>
        <w:spacing w:line="355" w:lineRule="auto" w:before="133"/>
        <w:ind w:right="0"/>
        <w:jc w:val="left"/>
      </w:pPr>
      <w:r>
        <w:rPr>
          <w:spacing w:val="-2"/>
        </w:rPr>
        <w:t>的重组相关的成本费用时两者孰早日，确认因解除与职工的劳动关系给予补偿而产生的负债，同时计入当</w:t>
      </w:r>
      <w:r>
        <w:rPr>
          <w:spacing w:val="-44"/>
        </w:rPr>
        <w:t> </w:t>
      </w:r>
      <w:r>
        <w:rPr>
          <w:spacing w:val="-44"/>
        </w:rPr>
      </w:r>
      <w:r>
        <w:rPr/>
        <w:t>期损益。</w:t>
      </w:r>
    </w:p>
    <w:p>
      <w:pPr>
        <w:pStyle w:val="BodyText"/>
        <w:spacing w:line="357" w:lineRule="auto" w:before="32"/>
        <w:ind w:right="146" w:firstLine="439"/>
        <w:jc w:val="both"/>
      </w:pPr>
      <w:r>
        <w:rPr>
          <w:spacing w:val="-3"/>
        </w:rPr>
        <w:t>本公司向接受内部退休安排的职工提供内退福利。内退福利是指，向未达到国家规定的退休年龄、经</w:t>
      </w:r>
      <w:r>
        <w:rPr>
          <w:w w:val="100"/>
        </w:rPr>
        <w:t> </w:t>
      </w:r>
      <w:r>
        <w:rPr>
          <w:spacing w:val="-2"/>
        </w:rPr>
        <w:t>本公司管理层批准自愿退出工作岗位的职工支付的工资及为其缴纳的社会保险费等。本公司自内部退休安</w:t>
      </w:r>
      <w:r>
        <w:rPr>
          <w:spacing w:val="-43"/>
        </w:rPr>
        <w:t> </w:t>
      </w:r>
      <w:r>
        <w:rPr>
          <w:spacing w:val="-43"/>
        </w:rPr>
      </w:r>
      <w:r>
        <w:rPr>
          <w:spacing w:val="-2"/>
        </w:rPr>
        <w:t>排开始之日起至职工达到正常退休年龄止，向内退职工支付内部退养福利。对于内退福利，本公司比照辞</w:t>
      </w:r>
      <w:r>
        <w:rPr>
          <w:spacing w:val="-44"/>
        </w:rPr>
        <w:t> </w:t>
      </w:r>
      <w:r>
        <w:rPr>
          <w:spacing w:val="-44"/>
        </w:rPr>
      </w:r>
      <w:r>
        <w:rPr>
          <w:spacing w:val="-2"/>
        </w:rPr>
        <w:t>退福利进行会计处理，在符合辞退福利相关确认条件时，将自职工停止提供服务日至正常退休日期间拟支</w:t>
      </w:r>
      <w:r>
        <w:rPr>
          <w:spacing w:val="-43"/>
        </w:rPr>
        <w:t> </w:t>
      </w:r>
      <w:r>
        <w:rPr>
          <w:spacing w:val="-43"/>
        </w:rPr>
      </w:r>
      <w:r>
        <w:rPr>
          <w:spacing w:val="-2"/>
        </w:rPr>
        <w:t>付的内退职工工资和缴纳的社会保险费等，确认为负债，一次性计入当期损益。内退福利的精算假设变化</w:t>
      </w:r>
      <w:r>
        <w:rPr>
          <w:spacing w:val="-44"/>
        </w:rPr>
        <w:t> </w:t>
      </w:r>
      <w:r>
        <w:rPr>
          <w:spacing w:val="-44"/>
        </w:rPr>
      </w:r>
      <w:r>
        <w:rPr/>
        <w:t>及福利标准调整引起的差异于发生时计入当期损益。</w:t>
      </w:r>
    </w:p>
    <w:p>
      <w:pPr>
        <w:spacing w:line="240" w:lineRule="auto" w:before="13"/>
        <w:rPr>
          <w:rFonts w:ascii="宋体" w:hAnsi="宋体" w:cs="宋体" w:eastAsia="宋体" w:hint="default"/>
          <w:sz w:val="21"/>
          <w:szCs w:val="21"/>
        </w:rPr>
      </w:pPr>
    </w:p>
    <w:p>
      <w:pPr>
        <w:spacing w:line="432" w:lineRule="auto" w:before="0"/>
        <w:ind w:left="592" w:right="0" w:hanging="44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）其他长期职工福利的会计处理方法</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其他长期职工福利是指除短期薪酬、离职后福利、辞退福利之外的其他所有职工福利。</w:t>
      </w:r>
    </w:p>
    <w:p>
      <w:pPr>
        <w:pStyle w:val="BodyText"/>
        <w:spacing w:line="240" w:lineRule="exact" w:before="0"/>
        <w:ind w:right="0"/>
        <w:jc w:val="left"/>
      </w:pPr>
      <w:r>
        <w:rPr/>
        <w:t>对符合设定提存计划条件的其他长期职工福利，在职工为本公司提供服务的会计期间，将应缴存金额确</w:t>
      </w:r>
    </w:p>
    <w:p>
      <w:pPr>
        <w:pStyle w:val="BodyText"/>
        <w:spacing w:line="240" w:lineRule="auto" w:before="133"/>
        <w:ind w:right="0"/>
        <w:jc w:val="left"/>
      </w:pPr>
      <w:r>
        <w:rPr/>
        <w:t>认为负债，并计入当期损益或相关资产成本。</w:t>
      </w:r>
    </w:p>
    <w:p>
      <w:pPr>
        <w:spacing w:after="0" w:line="24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355" w:lineRule="auto" w:before="0"/>
        <w:ind w:left="592" w:right="2573" w:firstLine="2"/>
        <w:jc w:val="left"/>
      </w:pPr>
      <w:r>
        <w:rPr/>
        <w:t>（</w:t>
      </w:r>
      <w:r>
        <w:rPr>
          <w:rFonts w:ascii="宋体" w:hAnsi="宋体" w:cs="宋体" w:eastAsia="宋体" w:hint="default"/>
        </w:rPr>
        <w:t>1</w:t>
      </w:r>
      <w:r>
        <w:rPr/>
        <w:t>）预计负债的确认标准</w:t>
      </w:r>
      <w:r>
        <w:rPr>
          <w:w w:val="100"/>
        </w:rPr>
        <w:t> </w:t>
      </w: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355" w:lineRule="auto" w:before="34"/>
        <w:ind w:left="592" w:right="0" w:firstLine="2"/>
        <w:jc w:val="left"/>
      </w:pPr>
      <w:r>
        <w:rPr/>
        <w:t>（</w:t>
      </w:r>
      <w:r>
        <w:rPr>
          <w:rFonts w:ascii="宋体" w:hAnsi="宋体" w:cs="宋体" w:eastAsia="宋体" w:hint="default"/>
        </w:rPr>
        <w:t>2</w:t>
      </w:r>
      <w:r>
        <w:rPr/>
        <w:t>）预计负债的计量方法</w:t>
      </w:r>
      <w:r>
        <w:rPr>
          <w:w w:val="100"/>
        </w:rPr>
        <w:t> </w:t>
      </w:r>
      <w:r>
        <w:rPr/>
        <w:t>本公司预计负债按履行相关现时义务所需的支出的最佳估计数进行初始计量。</w:t>
      </w:r>
      <w:r>
        <w:rPr>
          <w:w w:val="100"/>
        </w:rPr>
        <w:t> </w:t>
      </w:r>
      <w:r>
        <w:rPr>
          <w:spacing w:val="-3"/>
        </w:rPr>
        <w:t>本公司在确定最佳估计数时，综合考虑与或有事项有关的风险、不确定性和货币时间价值等因素。对</w:t>
      </w:r>
    </w:p>
    <w:p>
      <w:pPr>
        <w:pStyle w:val="BodyText"/>
        <w:spacing w:line="357" w:lineRule="auto" w:before="33"/>
        <w:ind w:left="592" w:right="0" w:hanging="440"/>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3"/>
        </w:rPr>
        <w:t>所需支出存在一个连续范围（或区间），且该范围内各种结果发生的可能性相同的，则最佳估计数按</w:t>
      </w:r>
    </w:p>
    <w:p>
      <w:pPr>
        <w:pStyle w:val="BodyText"/>
        <w:spacing w:line="355" w:lineRule="auto" w:before="30"/>
        <w:ind w:left="592" w:right="0" w:hanging="440"/>
        <w:jc w:val="left"/>
      </w:pPr>
      <w:r>
        <w:rPr/>
        <w:t>照该范围的中间值即上下限金额的平均数确定。</w:t>
      </w:r>
      <w:r>
        <w:rPr>
          <w:w w:val="100"/>
        </w:rPr>
        <w:t> </w:t>
      </w:r>
      <w:r>
        <w:rPr>
          <w:spacing w:val="-3"/>
        </w:rPr>
        <w:t>所需支出不存在一个连续范围（或区间），或虽然存在一个连续范围但该范围内各种结果发生的可能</w:t>
      </w:r>
    </w:p>
    <w:p>
      <w:pPr>
        <w:pStyle w:val="BodyText"/>
        <w:spacing w:line="357" w:lineRule="auto" w:before="32"/>
        <w:ind w:right="0"/>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357" w:lineRule="auto" w:before="30"/>
        <w:ind w:right="0" w:firstLine="439"/>
        <w:jc w:val="left"/>
      </w:pPr>
      <w:r>
        <w:rPr>
          <w:spacing w:val="-3"/>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13"/>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9" w:lineRule="exact" w:before="0"/>
        <w:ind w:left="594" w:right="0"/>
        <w:jc w:val="left"/>
      </w:pPr>
      <w:r>
        <w:rPr/>
        <w:t>（</w:t>
      </w:r>
      <w:r>
        <w:rPr>
          <w:rFonts w:ascii="宋体" w:hAnsi="宋体" w:cs="宋体" w:eastAsia="宋体" w:hint="default"/>
        </w:rPr>
        <w:t>1</w:t>
      </w:r>
      <w:r>
        <w:rPr/>
        <w:t>）销售商品收入确认时间的具体判断标准</w:t>
      </w:r>
    </w:p>
    <w:p>
      <w:pPr>
        <w:pStyle w:val="BodyText"/>
        <w:spacing w:line="357" w:lineRule="auto" w:before="133"/>
        <w:ind w:right="146" w:firstLine="439"/>
        <w:jc w:val="both"/>
      </w:pPr>
      <w:r>
        <w:rPr>
          <w:spacing w:val="-3"/>
        </w:rPr>
        <w:t>公司已将商品所有权上的主要风险和报酬转移给购买方；公司既没有保留与所有权相联系的继续管理</w:t>
      </w:r>
      <w:r>
        <w:rPr>
          <w:w w:val="100"/>
        </w:rPr>
        <w:t> </w:t>
      </w:r>
      <w:r>
        <w:rPr>
          <w:spacing w:val="-7"/>
        </w:rPr>
        <w:t>权，也没有对已售出的商品实施有效控制；收入的金额能够可靠地计量；相关的经济利益很可能流入企业；</w:t>
      </w:r>
      <w:r>
        <w:rPr>
          <w:spacing w:val="-17"/>
        </w:rPr>
        <w:t> </w:t>
      </w:r>
      <w:r>
        <w:rPr>
          <w:spacing w:val="-17"/>
        </w:rPr>
      </w:r>
      <w:r>
        <w:rPr/>
        <w:t>相关的已发生或将发生的成本能够可靠地计量时，确认商品销售收入实现。</w:t>
      </w:r>
    </w:p>
    <w:p>
      <w:pPr>
        <w:pStyle w:val="BodyText"/>
        <w:spacing w:line="355" w:lineRule="auto" w:before="30"/>
        <w:ind w:left="592" w:right="1673"/>
        <w:jc w:val="left"/>
      </w:pPr>
      <w:r>
        <w:rPr>
          <w:spacing w:val="-2"/>
        </w:rPr>
        <w:t>结合公司产品销售的实际情况，制定的具体收入确认方法如下：</w:t>
      </w:r>
      <w:r>
        <w:rPr>
          <w:spacing w:val="-52"/>
        </w:rPr>
        <w:t> </w:t>
      </w:r>
      <w:r>
        <w:rPr>
          <w:spacing w:val="-52"/>
        </w:rPr>
      </w:r>
      <w:r>
        <w:rPr>
          <w:rFonts w:ascii="宋体" w:hAnsi="宋体" w:cs="宋体" w:eastAsia="宋体" w:hint="default"/>
        </w:rPr>
        <w:t>1</w:t>
      </w:r>
      <w:r>
        <w:rPr/>
        <w:t>）直接销售收入确认</w:t>
      </w:r>
    </w:p>
    <w:p>
      <w:pPr>
        <w:pStyle w:val="BodyText"/>
        <w:spacing w:line="357" w:lineRule="auto" w:before="32"/>
        <w:ind w:right="146" w:firstLine="439"/>
        <w:jc w:val="both"/>
      </w:pPr>
      <w:r>
        <w:rPr>
          <w:spacing w:val="-3"/>
        </w:rPr>
        <w:t>公司根据学生或家长的订单情况，通过第三方物流进行配送，由公司当地营销人员负责向中小学生或</w:t>
      </w:r>
      <w:r>
        <w:rPr>
          <w:w w:val="100"/>
        </w:rPr>
        <w:t> </w:t>
      </w:r>
      <w:r>
        <w:rPr/>
        <w:t>其家长发放，在与中小学生或其家长进行确认并收款后，直接确认销售收入。</w:t>
      </w:r>
    </w:p>
    <w:p>
      <w:pPr>
        <w:pStyle w:val="BodyText"/>
        <w:spacing w:line="240" w:lineRule="auto" w:before="30"/>
        <w:ind w:left="592" w:right="0"/>
        <w:jc w:val="left"/>
      </w:pPr>
      <w:r>
        <w:rPr>
          <w:rFonts w:ascii="宋体" w:hAnsi="宋体" w:cs="宋体" w:eastAsia="宋体" w:hint="default"/>
        </w:rPr>
        <w:t>2</w:t>
      </w:r>
      <w:r>
        <w:rPr/>
        <w:t>）教育系统征订销售渠道收入确认</w:t>
      </w:r>
    </w:p>
    <w:p>
      <w:pPr>
        <w:spacing w:after="0" w:line="240" w:lineRule="auto"/>
        <w:jc w:val="left"/>
        <w:sectPr>
          <w:footerReference w:type="default" r:id="rId58"/>
          <w:pgSz w:w="11910" w:h="16840"/>
          <w:pgMar w:footer="979" w:header="880" w:top="1100" w:bottom="1160" w:left="980" w:right="980"/>
        </w:sectPr>
      </w:pPr>
    </w:p>
    <w:p>
      <w:pPr>
        <w:spacing w:line="240" w:lineRule="auto" w:before="3"/>
        <w:rPr>
          <w:rFonts w:ascii="宋体" w:hAnsi="宋体" w:cs="宋体" w:eastAsia="宋体" w:hint="default"/>
          <w:sz w:val="19"/>
          <w:szCs w:val="19"/>
        </w:rPr>
      </w:pPr>
    </w:p>
    <w:p>
      <w:pPr>
        <w:pStyle w:val="BodyText"/>
        <w:spacing w:line="357" w:lineRule="auto" w:before="36"/>
        <w:ind w:right="146" w:firstLine="439"/>
        <w:jc w:val="both"/>
      </w:pPr>
      <w:r>
        <w:rPr>
          <w:spacing w:val="-3"/>
        </w:rPr>
        <w:t>根据订单规定的交货时间及送货地址由仓库根据商务开具的发货单明细配送发货；成品送至客户指定</w:t>
      </w:r>
      <w:r>
        <w:rPr>
          <w:w w:val="100"/>
        </w:rPr>
        <w:t> </w:t>
      </w:r>
      <w:r>
        <w:rPr>
          <w:spacing w:val="-2"/>
        </w:rPr>
        <w:t>收货点后，由收货单位于送货单上盖章签字确认；相关送货人员将客户盖章签字确认的送货单交财务部门</w:t>
      </w:r>
      <w:r>
        <w:rPr>
          <w:spacing w:val="-42"/>
        </w:rPr>
        <w:t> </w:t>
      </w:r>
      <w:r>
        <w:rPr>
          <w:spacing w:val="-42"/>
        </w:rPr>
      </w:r>
      <w:r>
        <w:rPr>
          <w:spacing w:val="-2"/>
        </w:rPr>
        <w:t>和销售部门各一联；由公司商务部根据客户确认的送货单与客户核对产品品种、数量，根据合同单价制作</w:t>
      </w:r>
      <w:r>
        <w:rPr>
          <w:spacing w:val="-43"/>
        </w:rPr>
        <w:t> </w:t>
      </w:r>
      <w:r>
        <w:rPr>
          <w:spacing w:val="-43"/>
        </w:rPr>
      </w:r>
      <w:r>
        <w:rPr/>
        <w:t>对账结算单并传真至客户，由其盖章确认后回传至公司；根据客户回传确认的对账结算单确认收入。</w:t>
      </w:r>
    </w:p>
    <w:p>
      <w:pPr>
        <w:pStyle w:val="BodyText"/>
        <w:spacing w:line="355" w:lineRule="auto" w:before="30"/>
        <w:ind w:left="592" w:right="0"/>
        <w:jc w:val="left"/>
      </w:pPr>
      <w:r>
        <w:rPr>
          <w:rFonts w:ascii="宋体" w:hAnsi="宋体" w:cs="宋体" w:eastAsia="宋体" w:hint="default"/>
        </w:rPr>
        <w:t>3</w:t>
      </w:r>
      <w:r>
        <w:rPr/>
        <w:t>）系统销售一般收入确认</w:t>
      </w:r>
      <w:r>
        <w:rPr>
          <w:w w:val="100"/>
        </w:rPr>
        <w:t> </w:t>
      </w:r>
      <w:r>
        <w:rPr>
          <w:spacing w:val="-3"/>
        </w:rPr>
        <w:t>在客户信用额度内的订货，由商务部门开具发货单通知库房配送产品；本地客户由相关送货人员送至</w:t>
      </w:r>
    </w:p>
    <w:p>
      <w:pPr>
        <w:pStyle w:val="BodyText"/>
        <w:spacing w:line="357" w:lineRule="auto" w:before="32"/>
        <w:ind w:right="146"/>
        <w:jc w:val="both"/>
      </w:pPr>
      <w:r>
        <w:rPr>
          <w:spacing w:val="-2"/>
        </w:rPr>
        <w:t>客户仓库，将客户盖章签字确认的送货单交财务部门和销售部门各一联。异地客户由客户收货员盖章签字</w:t>
      </w:r>
      <w:r>
        <w:rPr>
          <w:spacing w:val="-43"/>
        </w:rPr>
        <w:t> </w:t>
      </w:r>
      <w:r>
        <w:rPr>
          <w:spacing w:val="-43"/>
        </w:rPr>
      </w:r>
      <w:r>
        <w:rPr>
          <w:spacing w:val="-2"/>
        </w:rPr>
        <w:t>后传真给公司商务部门和财务部门留存；每月公司商务部门与书店系统代理进行对账确认。书店系统代理</w:t>
      </w:r>
      <w:r>
        <w:rPr>
          <w:spacing w:val="-42"/>
        </w:rPr>
        <w:t> </w:t>
      </w:r>
      <w:r>
        <w:rPr>
          <w:spacing w:val="-42"/>
        </w:rPr>
      </w:r>
      <w:r>
        <w:rPr/>
        <w:t>销售根据双方确认的对账结算单确认收入。</w:t>
      </w:r>
    </w:p>
    <w:p>
      <w:pPr>
        <w:pStyle w:val="BodyText"/>
        <w:spacing w:line="355" w:lineRule="auto" w:before="31"/>
        <w:ind w:left="592" w:right="0"/>
        <w:jc w:val="left"/>
      </w:pPr>
      <w:r>
        <w:rPr>
          <w:rFonts w:ascii="宋体" w:hAnsi="宋体" w:cs="宋体" w:eastAsia="宋体" w:hint="default"/>
        </w:rPr>
        <w:t>4</w:t>
      </w:r>
      <w:r>
        <w:rPr/>
        <w:t>）邮件系统、其他产品销售收入确认</w:t>
      </w:r>
      <w:r>
        <w:rPr>
          <w:w w:val="100"/>
        </w:rPr>
        <w:t> </w:t>
      </w:r>
      <w:r>
        <w:rPr>
          <w:spacing w:val="-3"/>
        </w:rPr>
        <w:t>邮件系统销售分产品销售与解决方案实施。大部分需进行二次开发、设备安装、上线试运行及验收等</w:t>
      </w:r>
    </w:p>
    <w:p>
      <w:pPr>
        <w:pStyle w:val="BodyText"/>
        <w:spacing w:line="357" w:lineRule="auto" w:before="32"/>
        <w:ind w:right="148"/>
        <w:jc w:val="both"/>
      </w:pPr>
      <w:r>
        <w:rPr>
          <w:spacing w:val="-2"/>
        </w:rPr>
        <w:t>程序；与货物相关的风险、所有权和责任，在验收合格后方转移到买方。公司在取得用户验收合格确认书</w:t>
      </w:r>
      <w:r>
        <w:rPr>
          <w:spacing w:val="-47"/>
        </w:rPr>
        <w:t> </w:t>
      </w:r>
      <w:r>
        <w:rPr>
          <w:spacing w:val="-47"/>
        </w:rPr>
      </w:r>
      <w:r>
        <w:rPr/>
        <w:t>时根据合同约定确认销售收入。</w:t>
      </w:r>
    </w:p>
    <w:p>
      <w:pPr>
        <w:pStyle w:val="BodyText"/>
        <w:spacing w:line="355" w:lineRule="auto" w:before="30"/>
        <w:ind w:left="592" w:right="0"/>
        <w:jc w:val="left"/>
      </w:pPr>
      <w:r>
        <w:rPr/>
        <w:t>（</w:t>
      </w:r>
      <w:r>
        <w:rPr>
          <w:rFonts w:ascii="宋体" w:hAnsi="宋体" w:cs="宋体" w:eastAsia="宋体" w:hint="default"/>
        </w:rPr>
        <w:t>2</w:t>
      </w:r>
      <w:r>
        <w:rPr/>
        <w:t>）确认让渡资产使用权收入的依据</w:t>
      </w:r>
      <w:r>
        <w:rPr>
          <w:w w:val="100"/>
        </w:rPr>
        <w:t> </w:t>
      </w:r>
      <w:r>
        <w:rPr>
          <w:spacing w:val="-3"/>
        </w:rPr>
        <w:t>与交易相关的经济利益很可能流入企业，收入的金额能够可靠地计量时，分别下列情况确定让渡资产</w:t>
      </w:r>
    </w:p>
    <w:p>
      <w:pPr>
        <w:pStyle w:val="BodyText"/>
        <w:spacing w:line="355" w:lineRule="auto" w:before="32"/>
        <w:ind w:left="592" w:right="1673" w:hanging="440"/>
        <w:jc w:val="left"/>
      </w:pPr>
      <w:r>
        <w:rPr/>
        <w:t>使用权收入金额：</w:t>
      </w:r>
      <w:r>
        <w:rPr>
          <w:w w:val="100"/>
        </w:rPr>
        <w:t> </w:t>
      </w:r>
      <w:r>
        <w:rPr>
          <w:rFonts w:ascii="宋体" w:hAnsi="宋体" w:cs="宋体" w:eastAsia="宋体" w:hint="default"/>
          <w:spacing w:val="-2"/>
        </w:rPr>
        <w:t>1</w:t>
      </w:r>
      <w:r>
        <w:rPr>
          <w:spacing w:val="-2"/>
        </w:rPr>
        <w:t>）利息收入金额，按照他人使用本企业货币资金的时间和实际利率计算确定。</w:t>
      </w:r>
    </w:p>
    <w:p>
      <w:pPr>
        <w:pStyle w:val="BodyText"/>
        <w:spacing w:line="240" w:lineRule="auto" w:before="34"/>
        <w:ind w:left="592" w:right="0"/>
        <w:jc w:val="left"/>
      </w:pPr>
      <w:r>
        <w:rPr>
          <w:rFonts w:ascii="宋体" w:hAnsi="宋体" w:cs="宋体" w:eastAsia="宋体" w:hint="default"/>
        </w:rPr>
        <w:t>2</w:t>
      </w:r>
      <w:r>
        <w:rPr/>
        <w:t>）使用费收入金额，按照有关合同或协议约定的收费时间和方法计算确定。</w:t>
      </w:r>
    </w:p>
    <w:p>
      <w:pPr>
        <w:pStyle w:val="BodyText"/>
        <w:spacing w:line="355" w:lineRule="auto" w:before="133"/>
        <w:ind w:left="592" w:right="0"/>
        <w:jc w:val="left"/>
      </w:pPr>
      <w:r>
        <w:rPr/>
        <w:t>（</w:t>
      </w:r>
      <w:r>
        <w:rPr>
          <w:rFonts w:ascii="宋体" w:hAnsi="宋体" w:cs="宋体" w:eastAsia="宋体" w:hint="default"/>
        </w:rPr>
        <w:t>3</w:t>
      </w:r>
      <w:r>
        <w:rPr/>
        <w:t>）按完工百分比法确认提供劳务的收入和建造合同收入时，确定合同完工进度的依据和方法</w:t>
      </w:r>
      <w:r>
        <w:rPr>
          <w:w w:val="100"/>
        </w:rPr>
        <w:t> </w:t>
      </w:r>
      <w:r>
        <w:rPr>
          <w:spacing w:val="-3"/>
        </w:rPr>
        <w:t>在资产负债表日提供劳务交易的结果能够可靠估计的，采用完工百分比法确认提供劳务收入。提供劳</w:t>
      </w:r>
    </w:p>
    <w:p>
      <w:pPr>
        <w:pStyle w:val="BodyText"/>
        <w:spacing w:line="357" w:lineRule="auto" w:before="32"/>
        <w:ind w:left="592" w:right="0" w:hanging="440"/>
        <w:jc w:val="left"/>
      </w:pPr>
      <w:r>
        <w:rPr/>
        <w:t>务交易的完工进度，依据已完工作的测量确定。</w:t>
      </w:r>
      <w:r>
        <w:rPr>
          <w:w w:val="100"/>
        </w:rPr>
        <w:t> </w:t>
      </w:r>
      <w:r>
        <w:rPr>
          <w:spacing w:val="-3"/>
        </w:rPr>
        <w:t>按照已收或应收的合同或协议价款确定提供劳务收入总额，但已收或应收的合同或协议价款不公允的</w:t>
      </w:r>
    </w:p>
    <w:p>
      <w:pPr>
        <w:pStyle w:val="BodyText"/>
        <w:spacing w:line="355" w:lineRule="auto" w:before="30"/>
        <w:ind w:right="14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BodyText"/>
        <w:spacing w:line="360" w:lineRule="auto" w:before="32"/>
        <w:ind w:left="592" w:right="0"/>
        <w:jc w:val="left"/>
      </w:pPr>
      <w:r>
        <w:rPr/>
        <w:t>在资产负债表日提供劳务交易结果不能够可靠估计的，分别下列情况处理：</w:t>
      </w:r>
      <w:r>
        <w:rPr>
          <w:w w:val="100"/>
        </w:rPr>
        <w:t> </w:t>
      </w:r>
      <w:r>
        <w:rPr>
          <w:rFonts w:ascii="宋体" w:hAnsi="宋体" w:cs="宋体" w:eastAsia="宋体" w:hint="default"/>
        </w:rPr>
        <w:t>1</w:t>
      </w:r>
      <w:r>
        <w:rPr/>
        <w:t>）已经发生的劳务成本预计能够得到补偿的，按照已经发生的劳务成本金额确认提供劳务收入，并</w:t>
      </w:r>
    </w:p>
    <w:p>
      <w:pPr>
        <w:pStyle w:val="BodyText"/>
        <w:spacing w:line="355" w:lineRule="auto" w:before="28"/>
        <w:ind w:left="592" w:right="0" w:hanging="440"/>
        <w:jc w:val="left"/>
      </w:pPr>
      <w:r>
        <w:rPr/>
        <w:t>按相同金额结转劳务成本。</w:t>
      </w:r>
      <w:r>
        <w:rPr>
          <w:w w:val="100"/>
        </w:rPr>
        <w:t> </w:t>
      </w:r>
      <w:r>
        <w:rPr>
          <w:rFonts w:ascii="宋体" w:hAnsi="宋体" w:cs="宋体" w:eastAsia="宋体" w:hint="default"/>
        </w:rPr>
        <w:t>2</w:t>
      </w:r>
      <w:r>
        <w:rPr/>
        <w:t>）已经发生的劳务成本预计不能够得到补偿的，将已经发生的劳务成本计入当期损益，不确认提供</w:t>
      </w:r>
    </w:p>
    <w:p>
      <w:pPr>
        <w:pStyle w:val="BodyText"/>
        <w:spacing w:line="240" w:lineRule="auto" w:before="32"/>
        <w:ind w:right="0"/>
        <w:jc w:val="both"/>
      </w:pPr>
      <w:r>
        <w:rPr/>
        <w:t>劳务收入。</w:t>
      </w:r>
    </w:p>
    <w:p>
      <w:pPr>
        <w:pStyle w:val="BodyText"/>
        <w:spacing w:line="357" w:lineRule="auto" w:before="133"/>
        <w:ind w:right="146" w:firstLine="439"/>
        <w:jc w:val="both"/>
      </w:pPr>
      <w:r>
        <w:rPr>
          <w:spacing w:val="-3"/>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42"/>
        </w:rPr>
        <w:t> </w:t>
      </w:r>
      <w:r>
        <w:rPr>
          <w:spacing w:val="-42"/>
        </w:rPr>
      </w:r>
      <w:r>
        <w:rPr>
          <w:spacing w:val="-2"/>
        </w:rPr>
        <w:t>售商品部分和提供劳务部分不能够区分，或虽能区分但不能够单独计量的，将销售商品部分和提供劳务部</w:t>
      </w:r>
      <w:r>
        <w:rPr>
          <w:spacing w:val="-42"/>
        </w:rPr>
        <w:t> </w:t>
      </w:r>
      <w:r>
        <w:rPr>
          <w:spacing w:val="-42"/>
        </w:rPr>
      </w:r>
      <w:r>
        <w:rPr/>
        <w:t>分全部作为销售商品处理。</w:t>
      </w:r>
    </w:p>
    <w:p>
      <w:pPr>
        <w:spacing w:after="0" w:line="357" w:lineRule="auto"/>
        <w:jc w:val="both"/>
        <w:sectPr>
          <w:footerReference w:type="default" r:id="rId59"/>
          <w:pgSz w:w="11910" w:h="16840"/>
          <w:pgMar w:footer="979" w:header="880" w:top="1100" w:bottom="1160" w:left="980" w:right="980"/>
          <w:pgNumType w:start="1"/>
        </w:sectPr>
      </w:pPr>
    </w:p>
    <w:p>
      <w:pPr>
        <w:spacing w:line="240" w:lineRule="auto" w:before="0"/>
        <w:rPr>
          <w:rFonts w:ascii="宋体" w:hAnsi="宋体" w:cs="宋体" w:eastAsia="宋体" w:hint="default"/>
          <w:sz w:val="21"/>
          <w:szCs w:val="21"/>
        </w:rPr>
      </w:pPr>
    </w:p>
    <w:p>
      <w:pPr>
        <w:pStyle w:val="Heading5"/>
        <w:spacing w:line="335" w:lineRule="exact"/>
        <w:ind w:right="0"/>
        <w:jc w:val="both"/>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355" w:lineRule="auto" w:before="0"/>
        <w:ind w:left="573" w:right="0"/>
        <w:jc w:val="left"/>
      </w:pPr>
      <w:r>
        <w:rPr/>
        <w:t>（</w:t>
      </w:r>
      <w:r>
        <w:rPr>
          <w:rFonts w:ascii="宋体" w:hAnsi="宋体" w:cs="宋体" w:eastAsia="宋体" w:hint="default"/>
        </w:rPr>
        <w:t>1</w:t>
      </w:r>
      <w:r>
        <w:rPr/>
        <w:t>）判断依据</w:t>
      </w:r>
      <w:r>
        <w:rPr>
          <w:w w:val="100"/>
        </w:rPr>
        <w:t> </w:t>
      </w:r>
      <w:r>
        <w:rPr>
          <w:spacing w:val="-2"/>
        </w:rPr>
        <w:t>与资产相关的政府补助，是指本公司取得的、用于购建或以其他方式形成长期资产的政府补助。</w:t>
      </w:r>
    </w:p>
    <w:p>
      <w:pPr>
        <w:pStyle w:val="BodyText"/>
        <w:spacing w:line="355" w:lineRule="auto" w:before="34"/>
        <w:ind w:left="573" w:right="0"/>
        <w:jc w:val="left"/>
      </w:pPr>
      <w:r>
        <w:rPr/>
        <w:t>（</w:t>
      </w:r>
      <w:r>
        <w:rPr>
          <w:rFonts w:ascii="宋体" w:hAnsi="宋体" w:cs="宋体" w:eastAsia="宋体" w:hint="default"/>
        </w:rPr>
        <w:t>2</w:t>
      </w:r>
      <w:r>
        <w:rPr/>
        <w:t>）会计处理办法</w:t>
      </w:r>
      <w:r>
        <w:rPr>
          <w:w w:val="100"/>
        </w:rPr>
        <w:t> </w:t>
      </w:r>
      <w:r>
        <w:rPr>
          <w:spacing w:val="-2"/>
        </w:rPr>
        <w:t>与资产相关的政府补助，本公司将其确认为递延收益，并在相关资产使用寿命内按照合理、系统的</w:t>
      </w:r>
    </w:p>
    <w:p>
      <w:pPr>
        <w:pStyle w:val="BodyText"/>
        <w:spacing w:line="240" w:lineRule="auto" w:before="32"/>
        <w:ind w:right="0"/>
        <w:jc w:val="both"/>
        <w:rPr>
          <w:rFonts w:ascii="宋体" w:hAnsi="宋体" w:cs="宋体" w:eastAsia="宋体" w:hint="default"/>
        </w:rPr>
      </w:pPr>
      <w:r>
        <w:rPr/>
        <w:t>方法分期计入其他收益或营业外收入。</w:t>
      </w:r>
      <w:r>
        <w:rPr>
          <w:rFonts w:ascii="宋体" w:hAnsi="宋体" w:cs="宋体" w:eastAsia="宋体" w:hint="default"/>
        </w:rPr>
        <w:t>|</w:t>
      </w:r>
    </w:p>
    <w:p>
      <w:pPr>
        <w:spacing w:line="240" w:lineRule="auto" w:before="11"/>
        <w:rPr>
          <w:rFonts w:ascii="宋体" w:hAnsi="宋体" w:cs="宋体" w:eastAsia="宋体" w:hint="default"/>
          <w:sz w:val="29"/>
          <w:szCs w:val="29"/>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355" w:lineRule="auto" w:before="0"/>
        <w:ind w:left="592" w:right="2633" w:hanging="20"/>
        <w:jc w:val="left"/>
      </w:pPr>
      <w:r>
        <w:rPr/>
        <w:t>（</w:t>
      </w:r>
      <w:r>
        <w:rPr>
          <w:rFonts w:ascii="宋体" w:hAnsi="宋体" w:cs="宋体" w:eastAsia="宋体" w:hint="default"/>
        </w:rPr>
        <w:t>1</w:t>
      </w:r>
      <w:r>
        <w:rPr/>
        <w:t>）判断依据</w:t>
      </w:r>
      <w:r>
        <w:rPr>
          <w:w w:val="100"/>
        </w:rPr>
        <w:t> </w:t>
      </w:r>
      <w:r>
        <w:rPr>
          <w:spacing w:val="-2"/>
        </w:rPr>
        <w:t>与收益相关的政府补助，是指除与资产相关的政府补助之外的政府补助。</w:t>
      </w:r>
    </w:p>
    <w:p>
      <w:pPr>
        <w:pStyle w:val="BodyText"/>
        <w:spacing w:line="355" w:lineRule="auto" w:before="32"/>
        <w:ind w:left="592" w:right="0" w:hanging="20"/>
        <w:jc w:val="left"/>
      </w:pPr>
      <w:r>
        <w:rPr/>
        <w:t>（</w:t>
      </w:r>
      <w:r>
        <w:rPr>
          <w:rFonts w:ascii="宋体" w:hAnsi="宋体" w:cs="宋体" w:eastAsia="宋体" w:hint="default"/>
        </w:rPr>
        <w:t>2</w:t>
      </w:r>
      <w:r>
        <w:rPr/>
        <w:t>）会计处理办法</w:t>
      </w:r>
      <w:r>
        <w:rPr>
          <w:w w:val="100"/>
        </w:rPr>
        <w:t> </w:t>
      </w:r>
      <w:r>
        <w:rPr>
          <w:spacing w:val="-3"/>
        </w:rPr>
        <w:t>与收益相关的政府补助，如果用于补偿本公司以后期间的相关成本费用或损失的，本公司将其确认为</w:t>
      </w:r>
    </w:p>
    <w:p>
      <w:pPr>
        <w:pStyle w:val="BodyText"/>
        <w:spacing w:line="355" w:lineRule="auto" w:before="34"/>
        <w:ind w:right="0"/>
        <w:jc w:val="left"/>
      </w:pPr>
      <w:r>
        <w:rPr>
          <w:spacing w:val="-2"/>
        </w:rPr>
        <w:t>递延收益，并在确认相关成本费用或损失的期间，计入其他收益或营业外收入；如果用于补偿本公司已发</w:t>
      </w:r>
      <w:r>
        <w:rPr>
          <w:spacing w:val="-43"/>
        </w:rPr>
        <w:t> </w:t>
      </w:r>
      <w:r>
        <w:rPr>
          <w:spacing w:val="-43"/>
        </w:rPr>
      </w:r>
      <w:r>
        <w:rPr/>
        <w:t>生的相关成本费用或损失的，则直接计入其他收益或营业外收入。</w:t>
      </w:r>
    </w:p>
    <w:p>
      <w:pPr>
        <w:spacing w:line="240" w:lineRule="auto" w:before="2"/>
        <w:rPr>
          <w:rFonts w:ascii="宋体" w:hAnsi="宋体" w:cs="宋体" w:eastAsia="宋体" w:hint="default"/>
          <w:sz w:val="22"/>
          <w:szCs w:val="22"/>
        </w:rPr>
      </w:pPr>
    </w:p>
    <w:p>
      <w:pPr>
        <w:spacing w:line="432" w:lineRule="auto" w:before="0"/>
        <w:ind w:left="592" w:right="0" w:hanging="44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Microsoft JhengHei" w:hAnsi="Microsoft JhengHei" w:cs="Microsoft JhengHei" w:eastAsia="Microsoft JhengHei" w:hint="default"/>
          <w:b/>
          <w:bCs/>
          <w:sz w:val="21"/>
          <w:szCs w:val="21"/>
        </w:rPr>
        <w:t>、递延所得税资产</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递延所得税资产和递延所得税负债根据资产和负债的计税基础与其账面价值的差额</w:t>
      </w:r>
      <w:r>
        <w:rPr>
          <w:rFonts w:ascii="宋体" w:hAnsi="宋体" w:cs="宋体" w:eastAsia="宋体" w:hint="default"/>
          <w:spacing w:val="2"/>
          <w:sz w:val="21"/>
          <w:szCs w:val="21"/>
        </w:rPr>
        <w:t>(</w:t>
      </w:r>
      <w:r>
        <w:rPr>
          <w:rFonts w:ascii="宋体" w:hAnsi="宋体" w:cs="宋体" w:eastAsia="宋体" w:hint="default"/>
          <w:spacing w:val="2"/>
          <w:sz w:val="21"/>
          <w:szCs w:val="21"/>
        </w:rPr>
        <w:t>暂时性差异</w:t>
      </w:r>
      <w:r>
        <w:rPr>
          <w:rFonts w:ascii="宋体" w:hAnsi="宋体" w:cs="宋体" w:eastAsia="宋体" w:hint="default"/>
          <w:spacing w:val="2"/>
          <w:sz w:val="21"/>
          <w:szCs w:val="21"/>
        </w:rPr>
        <w:t>)</w:t>
      </w:r>
      <w:r>
        <w:rPr>
          <w:rFonts w:ascii="宋体" w:hAnsi="宋体" w:cs="宋体" w:eastAsia="宋体" w:hint="default"/>
          <w:spacing w:val="2"/>
          <w:sz w:val="21"/>
          <w:szCs w:val="21"/>
        </w:rPr>
        <w:t>计</w:t>
      </w:r>
    </w:p>
    <w:p>
      <w:pPr>
        <w:pStyle w:val="BodyText"/>
        <w:spacing w:line="240" w:lineRule="exact" w:before="0"/>
        <w:ind w:right="0"/>
        <w:jc w:val="both"/>
      </w:pPr>
      <w:r>
        <w:rPr/>
        <w:t>算确认。于资产负债表日，递延所得税资产和递延所得税负债，按照预期收回该资产或清偿该负债期间的</w:t>
      </w:r>
    </w:p>
    <w:p>
      <w:pPr>
        <w:pStyle w:val="BodyText"/>
        <w:spacing w:line="240" w:lineRule="auto" w:before="133"/>
        <w:ind w:right="0"/>
        <w:jc w:val="both"/>
      </w:pPr>
      <w:r>
        <w:rPr/>
        <w:t>适用税率计量。</w:t>
      </w:r>
    </w:p>
    <w:p>
      <w:pPr>
        <w:pStyle w:val="BodyText"/>
        <w:spacing w:line="355" w:lineRule="auto" w:before="133"/>
        <w:ind w:left="592" w:right="0" w:firstLine="2"/>
        <w:jc w:val="left"/>
      </w:pPr>
      <w:r>
        <w:rPr/>
        <w:t>（</w:t>
      </w:r>
      <w:r>
        <w:rPr>
          <w:rFonts w:ascii="宋体" w:hAnsi="宋体" w:cs="宋体" w:eastAsia="宋体" w:hint="default"/>
        </w:rPr>
        <w:t>1</w:t>
      </w:r>
      <w:r>
        <w:rPr/>
        <w:t>）确认递延所得税资产的依据</w:t>
      </w:r>
      <w:r>
        <w:rPr>
          <w:w w:val="100"/>
        </w:rPr>
        <w:t> </w:t>
      </w:r>
      <w:r>
        <w:rPr>
          <w:spacing w:val="-3"/>
        </w:rPr>
        <w:t>本公司以很可能取得用来抵扣可抵扣暂时性差异、能够结转以后年度的可抵扣亏损和税款抵减的应纳</w:t>
      </w:r>
    </w:p>
    <w:p>
      <w:pPr>
        <w:pStyle w:val="BodyText"/>
        <w:spacing w:line="355" w:lineRule="auto" w:before="34"/>
        <w:ind w:right="206"/>
        <w:jc w:val="both"/>
      </w:pPr>
      <w:r>
        <w:rPr>
          <w:spacing w:val="-2"/>
        </w:rPr>
        <w:t>税所得额为限，确认由可抵扣暂时性差异产生的递延所得税资产。但是，同时具有下列特征的交易中因资</w:t>
      </w:r>
      <w:r>
        <w:rPr>
          <w:spacing w:val="-44"/>
        </w:rPr>
        <w:t> </w:t>
      </w:r>
      <w:r>
        <w:rPr>
          <w:spacing w:val="-44"/>
        </w:rPr>
      </w:r>
      <w:r>
        <w:rPr>
          <w:spacing w:val="-2"/>
        </w:rPr>
        <w:t>产或负债的初始确认所产生的递延所得税资产不予确认：（</w:t>
      </w:r>
      <w:r>
        <w:rPr>
          <w:rFonts w:ascii="宋体" w:hAnsi="宋体" w:cs="宋体" w:eastAsia="宋体" w:hint="default"/>
          <w:spacing w:val="-2"/>
        </w:rPr>
        <w:t>1</w:t>
      </w:r>
      <w:r>
        <w:rPr>
          <w:spacing w:val="-2"/>
        </w:rPr>
        <w:t>）该交易不是企业合并；（</w:t>
      </w:r>
      <w:r>
        <w:rPr>
          <w:rFonts w:ascii="宋体" w:hAnsi="宋体" w:cs="宋体" w:eastAsia="宋体" w:hint="default"/>
          <w:spacing w:val="-2"/>
        </w:rPr>
        <w:t>2</w:t>
      </w:r>
      <w:r>
        <w:rPr>
          <w:spacing w:val="-2"/>
        </w:rPr>
        <w:t>）交易发生时既</w:t>
      </w:r>
      <w:r>
        <w:rPr>
          <w:spacing w:val="-42"/>
        </w:rPr>
        <w:t> </w:t>
      </w:r>
      <w:r>
        <w:rPr>
          <w:spacing w:val="-42"/>
        </w:rPr>
      </w:r>
      <w:r>
        <w:rPr/>
        <w:t>不影响会计利润也不影响应纳税所得额或可抵扣亏损。</w:t>
      </w:r>
    </w:p>
    <w:p>
      <w:pPr>
        <w:pStyle w:val="BodyText"/>
        <w:spacing w:line="355" w:lineRule="auto" w:before="33"/>
        <w:ind w:right="0" w:firstLine="439"/>
        <w:jc w:val="left"/>
      </w:pPr>
      <w:r>
        <w:rPr/>
        <w:t>对于与联营企业投资相关的可抵扣暂时性差异，同时满足下列条件的，确认相应的递延所得税资产：</w:t>
      </w:r>
      <w:r>
        <w:rPr>
          <w:w w:val="100"/>
        </w:rPr>
        <w:t> </w:t>
      </w:r>
      <w:r>
        <w:rPr/>
        <w:t>暂时性差异在可预见的未来很可能转回，且未来很可能获得用来抵扣可抵扣暂时性差异的应纳税所得额。</w:t>
      </w:r>
    </w:p>
    <w:p>
      <w:pPr>
        <w:pStyle w:val="BodyText"/>
        <w:spacing w:line="355" w:lineRule="auto" w:before="34"/>
        <w:ind w:left="592" w:right="0" w:firstLine="2"/>
        <w:jc w:val="left"/>
      </w:pPr>
      <w:r>
        <w:rPr/>
        <w:t>（</w:t>
      </w:r>
      <w:r>
        <w:rPr>
          <w:rFonts w:ascii="宋体" w:hAnsi="宋体" w:cs="宋体" w:eastAsia="宋体" w:hint="default"/>
        </w:rPr>
        <w:t>2</w:t>
      </w:r>
      <w:r>
        <w:rPr/>
        <w:t>）确认递延所得税负债的依据</w:t>
      </w:r>
      <w:r>
        <w:rPr>
          <w:w w:val="100"/>
        </w:rPr>
        <w:t> </w:t>
      </w:r>
      <w:r>
        <w:rPr>
          <w:spacing w:val="-2"/>
        </w:rPr>
        <w:t>公司将当期与以前期间应交未交的应纳税暂时性差异确认为递延所得税负债。但不包括：</w:t>
      </w:r>
      <w:r>
        <w:rPr>
          <w:spacing w:val="-31"/>
        </w:rPr>
        <w:t> </w:t>
      </w:r>
      <w:r>
        <w:rPr>
          <w:spacing w:val="-31"/>
        </w:rPr>
      </w:r>
      <w:r>
        <w:rPr>
          <w:rFonts w:ascii="宋体" w:hAnsi="宋体" w:cs="宋体" w:eastAsia="宋体" w:hint="default"/>
        </w:rPr>
        <w:t>1</w:t>
      </w:r>
      <w:r>
        <w:rPr/>
        <w:t>）商誉的初始确认所形成的暂时性差异；</w:t>
      </w:r>
    </w:p>
    <w:p>
      <w:pPr>
        <w:pStyle w:val="BodyText"/>
        <w:spacing w:line="357" w:lineRule="auto" w:before="32"/>
        <w:ind w:right="0" w:firstLine="439"/>
        <w:jc w:val="left"/>
      </w:pPr>
      <w:r>
        <w:rPr>
          <w:rFonts w:ascii="宋体" w:hAnsi="宋体" w:cs="宋体" w:eastAsia="宋体" w:hint="default"/>
        </w:rPr>
        <w:t>2</w:t>
      </w:r>
      <w:r>
        <w:rPr/>
        <w:t>）非企业合并形成的交易或事项，且该交易或事项发生时既不影响会计利润，也不影响应纳税所得</w:t>
      </w:r>
      <w:r>
        <w:rPr>
          <w:w w:val="100"/>
        </w:rPr>
        <w:t> </w:t>
      </w:r>
      <w:r>
        <w:rPr/>
        <w:t>额（或可抵扣亏损）所形成的暂时性差异；</w:t>
      </w:r>
    </w:p>
    <w:p>
      <w:pPr>
        <w:pStyle w:val="BodyText"/>
        <w:spacing w:line="240" w:lineRule="auto" w:before="30"/>
        <w:ind w:left="592" w:right="0"/>
        <w:jc w:val="left"/>
      </w:pPr>
      <w:r>
        <w:rPr>
          <w:rFonts w:ascii="宋体" w:hAnsi="宋体" w:cs="宋体" w:eastAsia="宋体" w:hint="default"/>
        </w:rPr>
        <w:t>3</w:t>
      </w:r>
      <w:r>
        <w:rPr/>
        <w:t>）对于与子公司、联营企业投资相关的应纳税暂时性差异，该暂时性差异转回的时间能够控制并且</w:t>
      </w:r>
    </w:p>
    <w:p>
      <w:pPr>
        <w:spacing w:after="0" w:line="240" w:lineRule="auto"/>
        <w:jc w:val="left"/>
        <w:sectPr>
          <w:pgSz w:w="11910" w:h="16840"/>
          <w:pgMar w:header="880" w:footer="979" w:top="1100" w:bottom="1160" w:left="980" w:right="920"/>
        </w:sectPr>
      </w:pPr>
    </w:p>
    <w:p>
      <w:pPr>
        <w:spacing w:line="240" w:lineRule="auto" w:before="3"/>
        <w:rPr>
          <w:rFonts w:ascii="宋体" w:hAnsi="宋体" w:cs="宋体" w:eastAsia="宋体" w:hint="default"/>
          <w:sz w:val="19"/>
          <w:szCs w:val="19"/>
        </w:rPr>
      </w:pPr>
    </w:p>
    <w:p>
      <w:pPr>
        <w:pStyle w:val="BodyText"/>
        <w:spacing w:line="240" w:lineRule="auto" w:before="36"/>
        <w:ind w:right="0"/>
        <w:jc w:val="left"/>
      </w:pPr>
      <w:r>
        <w:rPr/>
        <w:t>该暂时性差异在可预见的未来很可能不会转回。</w:t>
      </w:r>
    </w:p>
    <w:p>
      <w:pPr>
        <w:pStyle w:val="BodyText"/>
        <w:spacing w:line="355" w:lineRule="auto" w:before="133"/>
        <w:ind w:left="592" w:right="0" w:firstLine="2"/>
        <w:jc w:val="left"/>
      </w:pPr>
      <w:r>
        <w:rPr>
          <w:spacing w:val="-2"/>
        </w:rPr>
        <w:t>（</w:t>
      </w:r>
      <w:r>
        <w:rPr>
          <w:rFonts w:ascii="宋体" w:hAnsi="宋体" w:cs="宋体" w:eastAsia="宋体" w:hint="default"/>
          <w:spacing w:val="-2"/>
        </w:rPr>
        <w:t>3</w:t>
      </w:r>
      <w:r>
        <w:rPr>
          <w:spacing w:val="-2"/>
        </w:rPr>
        <w:t>）同时满足下列条件时，将递延所得税资产及递延所得税负债以抵销后的净额列示</w:t>
      </w:r>
      <w:r>
        <w:rPr>
          <w:spacing w:val="-37"/>
        </w:rPr>
        <w:t> </w:t>
      </w:r>
      <w:r>
        <w:rPr>
          <w:spacing w:val="-37"/>
        </w:rPr>
      </w:r>
      <w:r>
        <w:rPr>
          <w:rFonts w:ascii="宋体" w:hAnsi="宋体" w:cs="宋体" w:eastAsia="宋体" w:hint="default"/>
        </w:rPr>
        <w:t>1</w:t>
      </w:r>
      <w:r>
        <w:rPr/>
        <w:t>）企业拥有以净额结算当期所得税资产及当期所得税负债的法定权利；</w:t>
      </w:r>
    </w:p>
    <w:p>
      <w:pPr>
        <w:pStyle w:val="BodyText"/>
        <w:spacing w:line="355" w:lineRule="auto" w:before="34"/>
        <w:ind w:right="0" w:firstLine="422"/>
        <w:jc w:val="left"/>
      </w:pPr>
      <w:r>
        <w:rPr>
          <w:rFonts w:ascii="宋体" w:hAnsi="宋体" w:cs="宋体" w:eastAsia="宋体" w:hint="default"/>
          <w:spacing w:val="-2"/>
        </w:rPr>
        <w:t>2</w:t>
      </w:r>
      <w:r>
        <w:rPr>
          <w:spacing w:val="-2"/>
        </w:rPr>
        <w:t>）递延所得税资产和递延所得税负债是与同一税收征管部门对同一纳税主体征收的所得税相关或者</w:t>
      </w:r>
      <w:r>
        <w:rPr>
          <w:w w:val="100"/>
        </w:rPr>
        <w:t> </w:t>
      </w:r>
      <w:r>
        <w:rPr/>
        <w:t>对不同的纳税主体相关，但在未来每一具有重要性的递延所得税资产和递延所得税负债转回的期间内，</w:t>
      </w:r>
      <w:r>
        <w:rPr>
          <w:w w:val="100"/>
        </w:rPr>
        <w:t> </w:t>
      </w:r>
      <w:r>
        <w:rPr/>
        <w:t>涉及的纳税主体体意图以净额结算当期所得税资产及当期所得税负债或是同时取得资产、清偿债务。</w:t>
      </w:r>
    </w:p>
    <w:p>
      <w:pPr>
        <w:spacing w:line="240" w:lineRule="auto" w:before="2"/>
        <w:rPr>
          <w:rFonts w:ascii="宋体" w:hAnsi="宋体" w:cs="宋体" w:eastAsia="宋体" w:hint="default"/>
          <w:sz w:val="22"/>
          <w:szCs w:val="22"/>
        </w:rPr>
      </w:pPr>
    </w:p>
    <w:p>
      <w:pPr>
        <w:pStyle w:val="Heading5"/>
        <w:spacing w:line="240" w:lineRule="auto"/>
        <w:ind w:right="6954"/>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29" w:lineRule="auto" w:before="0"/>
        <w:ind w:left="592" w:right="0" w:hanging="44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）经营租赁的会计处理方法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5"/>
          <w:sz w:val="21"/>
          <w:szCs w:val="21"/>
        </w:rPr>
        <w:t>1</w:t>
      </w:r>
      <w:r>
        <w:rPr>
          <w:rFonts w:ascii="宋体" w:hAnsi="宋体" w:cs="宋体" w:eastAsia="宋体" w:hint="default"/>
          <w:spacing w:val="-5"/>
          <w:sz w:val="21"/>
          <w:szCs w:val="21"/>
        </w:rPr>
        <w:t>）公司租入资产所支付的租赁费，在不扣除免租期的整个租赁期内，按直线法进行分摊，计入当期费</w:t>
      </w:r>
    </w:p>
    <w:p>
      <w:pPr>
        <w:pStyle w:val="BodyText"/>
        <w:spacing w:line="244" w:lineRule="exact" w:before="0"/>
        <w:ind w:right="0"/>
        <w:jc w:val="left"/>
      </w:pPr>
      <w:r>
        <w:rPr/>
        <w:t>用。公司支付的与租赁交易相关的初始直接费用，计入当期费用。</w:t>
      </w:r>
    </w:p>
    <w:p>
      <w:pPr>
        <w:pStyle w:val="BodyText"/>
        <w:spacing w:line="355" w:lineRule="auto" w:before="133"/>
        <w:ind w:right="0" w:firstLine="439"/>
        <w:jc w:val="left"/>
      </w:pPr>
      <w:r>
        <w:rPr>
          <w:spacing w:val="-3"/>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357" w:lineRule="auto" w:before="32"/>
        <w:ind w:right="206" w:firstLine="439"/>
        <w:jc w:val="both"/>
      </w:pPr>
      <w:r>
        <w:rPr>
          <w:rFonts w:ascii="宋体" w:hAnsi="宋体" w:cs="宋体" w:eastAsia="宋体" w:hint="default"/>
          <w:spacing w:val="-5"/>
        </w:rPr>
        <w:t>2</w:t>
      </w:r>
      <w:r>
        <w:rPr>
          <w:spacing w:val="-5"/>
        </w:rPr>
        <w:t>）公司出租资产所收取的租赁费，在不扣除免租期的整个租赁期内，按直线法进行分摊，确认为租赁</w:t>
      </w:r>
      <w:r>
        <w:rPr>
          <w:w w:val="100"/>
        </w:rPr>
        <w:t> </w:t>
      </w:r>
      <w:r>
        <w:rPr>
          <w:spacing w:val="-2"/>
        </w:rPr>
        <w:t>收入。公司支付的与租赁交易相关的初始直接费用，计入当期费用；如金额较大的，则予以资本化，在整</w:t>
      </w:r>
      <w:r>
        <w:rPr>
          <w:spacing w:val="-43"/>
        </w:rPr>
        <w:t> </w:t>
      </w:r>
      <w:r>
        <w:rPr>
          <w:spacing w:val="-43"/>
        </w:rPr>
      </w:r>
      <w:r>
        <w:rPr/>
        <w:t>个租赁期间内按照与租赁收入确认相同的基础分期计入当期收益。</w:t>
      </w:r>
    </w:p>
    <w:p>
      <w:pPr>
        <w:pStyle w:val="BodyText"/>
        <w:spacing w:line="357" w:lineRule="auto" w:before="30"/>
        <w:ind w:right="0" w:firstLine="439"/>
        <w:jc w:val="left"/>
      </w:pPr>
      <w:r>
        <w:rPr>
          <w:spacing w:val="-3"/>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13"/>
        <w:rPr>
          <w:rFonts w:ascii="宋体" w:hAnsi="宋体" w:cs="宋体" w:eastAsia="宋体" w:hint="default"/>
          <w:sz w:val="21"/>
          <w:szCs w:val="21"/>
        </w:rPr>
      </w:pPr>
    </w:p>
    <w:p>
      <w:pPr>
        <w:spacing w:line="432" w:lineRule="auto" w:before="0"/>
        <w:ind w:left="592" w:right="0" w:hanging="44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）融资租赁的会计处理方法</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z w:val="21"/>
          <w:szCs w:val="21"/>
        </w:rPr>
        <w:t>1</w:t>
      </w:r>
      <w:r>
        <w:rPr>
          <w:rFonts w:ascii="宋体" w:hAnsi="宋体" w:cs="宋体" w:eastAsia="宋体" w:hint="default"/>
          <w:sz w:val="21"/>
          <w:szCs w:val="21"/>
        </w:rPr>
        <w:t>）融资租入资产：公司在承租开始日，将租赁资产公允价值与最低租赁付款额现值两者中较低者作</w:t>
      </w:r>
    </w:p>
    <w:p>
      <w:pPr>
        <w:pStyle w:val="BodyText"/>
        <w:spacing w:line="240" w:lineRule="exact" w:before="0"/>
        <w:ind w:right="0"/>
        <w:jc w:val="left"/>
      </w:pPr>
      <w:r>
        <w:rPr/>
        <w:t>为租入资产的入账价值，将最低租赁付款额作为长期应付款的入账价值，其差额作为未确认的融资费用。</w:t>
      </w:r>
    </w:p>
    <w:p>
      <w:pPr>
        <w:pStyle w:val="BodyText"/>
        <w:spacing w:line="357" w:lineRule="auto" w:before="133"/>
        <w:ind w:left="592" w:right="0" w:hanging="440"/>
        <w:jc w:val="left"/>
      </w:pPr>
      <w:r>
        <w:rPr/>
        <w:t>融资租入资产的认定依据、计价和折旧方法详见本附注四、</w:t>
      </w:r>
      <w:r>
        <w:rPr>
          <w:rFonts w:ascii="宋体" w:hAnsi="宋体" w:cs="宋体" w:eastAsia="宋体" w:hint="default"/>
        </w:rPr>
        <w:t>12</w:t>
      </w:r>
      <w:r>
        <w:rPr/>
        <w:t>固定资产。</w:t>
      </w:r>
      <w:r>
        <w:rPr>
          <w:w w:val="100"/>
        </w:rPr>
        <w:t> </w:t>
      </w:r>
      <w:r>
        <w:rPr/>
        <w:t>公司采用实际利率法对未确认的融资费用，在资产租赁期间内摊销，计入财务费用。</w:t>
      </w:r>
      <w:r>
        <w:rPr>
          <w:w w:val="100"/>
        </w:rPr>
        <w:t> </w:t>
      </w:r>
      <w:r>
        <w:rPr>
          <w:rFonts w:ascii="宋体" w:hAnsi="宋体" w:cs="宋体" w:eastAsia="宋体" w:hint="default"/>
          <w:spacing w:val="-5"/>
        </w:rPr>
        <w:t>2</w:t>
      </w:r>
      <w:r>
        <w:rPr>
          <w:spacing w:val="-5"/>
        </w:rPr>
        <w:t>）融资租出资产：公司在租赁开始日，将应收融资租赁款，未担保余值之和与其现值的差额确认为未</w:t>
      </w:r>
    </w:p>
    <w:p>
      <w:pPr>
        <w:pStyle w:val="BodyText"/>
        <w:spacing w:line="355" w:lineRule="auto" w:before="31"/>
        <w:ind w:right="0"/>
        <w:jc w:val="left"/>
      </w:pPr>
      <w:r>
        <w:rPr>
          <w:spacing w:val="-5"/>
        </w:rPr>
        <w:t>实现融资收益，在将来收到租金的各期间内确认为租赁收入，公司发生的与出租交易相关的初始直接费用，</w:t>
      </w:r>
      <w:r>
        <w:rPr>
          <w:spacing w:val="-6"/>
        </w:rPr>
        <w:t> </w:t>
      </w:r>
      <w:r>
        <w:rPr>
          <w:spacing w:val="-6"/>
        </w:rPr>
      </w:r>
      <w:r>
        <w:rPr/>
        <w:t>计入应收融资租赁款的初始计量中，并减少租赁期内确认的收益金额。</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355" w:lineRule="auto" w:before="0"/>
        <w:ind w:left="592" w:right="0"/>
        <w:jc w:val="left"/>
      </w:pPr>
      <w:r>
        <w:rPr/>
        <w:t>（</w:t>
      </w:r>
      <w:r>
        <w:rPr>
          <w:rFonts w:ascii="宋体" w:hAnsi="宋体" w:cs="宋体" w:eastAsia="宋体" w:hint="default"/>
        </w:rPr>
        <w:t>1</w:t>
      </w:r>
      <w:r>
        <w:rPr/>
        <w:t>）终止经营</w:t>
      </w:r>
      <w:r>
        <w:rPr>
          <w:w w:val="100"/>
        </w:rPr>
        <w:t> </w:t>
      </w:r>
      <w:r>
        <w:rPr>
          <w:spacing w:val="-3"/>
        </w:rPr>
        <w:t>终止经营，是指本公司满足下列条件之一的、能够单独区分的组成部分，且该组成部分已经处置或划</w:t>
      </w:r>
    </w:p>
    <w:p>
      <w:pPr>
        <w:pStyle w:val="BodyText"/>
        <w:spacing w:line="357" w:lineRule="auto" w:before="32"/>
        <w:ind w:left="592" w:right="2633" w:hanging="440"/>
        <w:jc w:val="left"/>
      </w:pPr>
      <w:r>
        <w:rPr/>
        <w:t>分为持有待售类别：</w:t>
      </w:r>
      <w:r>
        <w:rPr>
          <w:w w:val="100"/>
        </w:rPr>
        <w:t> </w:t>
      </w:r>
      <w:r>
        <w:rPr>
          <w:rFonts w:ascii="宋体" w:hAnsi="宋体" w:cs="宋体" w:eastAsia="宋体" w:hint="default"/>
          <w:spacing w:val="-2"/>
        </w:rPr>
        <w:t>1</w:t>
      </w:r>
      <w:r>
        <w:rPr>
          <w:spacing w:val="-2"/>
        </w:rPr>
        <w:t>）该组成部分代表一项独立的主要业务或一个单独的主要经营地区；</w:t>
      </w:r>
    </w:p>
    <w:p>
      <w:pPr>
        <w:spacing w:after="0" w:line="357" w:lineRule="auto"/>
        <w:jc w:val="left"/>
        <w:sectPr>
          <w:footerReference w:type="default" r:id="rId60"/>
          <w:pgSz w:w="11910" w:h="16840"/>
          <w:pgMar w:footer="979" w:header="880" w:top="1100" w:bottom="1160" w:left="980" w:right="920"/>
          <w:pgNumType w:start="3"/>
        </w:sectPr>
      </w:pPr>
    </w:p>
    <w:p>
      <w:pPr>
        <w:spacing w:line="240" w:lineRule="auto" w:before="3"/>
        <w:rPr>
          <w:rFonts w:ascii="宋体" w:hAnsi="宋体" w:cs="宋体" w:eastAsia="宋体" w:hint="default"/>
          <w:sz w:val="19"/>
          <w:szCs w:val="19"/>
        </w:rPr>
      </w:pPr>
    </w:p>
    <w:p>
      <w:pPr>
        <w:pStyle w:val="BodyText"/>
        <w:spacing w:line="357" w:lineRule="auto" w:before="36"/>
        <w:ind w:right="0" w:firstLine="439"/>
        <w:jc w:val="left"/>
      </w:pPr>
      <w:r>
        <w:rPr>
          <w:rFonts w:ascii="宋体" w:hAnsi="宋体" w:cs="宋体" w:eastAsia="宋体" w:hint="default"/>
        </w:rPr>
        <w:t>2</w:t>
      </w:r>
      <w:r>
        <w:rPr/>
        <w:t>）该组成部分是拟对一项独立的主要业务或一个单独的主要经营地区进行处置的一项相关联计划的</w:t>
      </w:r>
      <w:r>
        <w:rPr>
          <w:w w:val="100"/>
        </w:rPr>
        <w:t> </w:t>
      </w:r>
      <w:r>
        <w:rPr/>
        <w:t>一部分；</w:t>
      </w:r>
    </w:p>
    <w:p>
      <w:pPr>
        <w:pStyle w:val="BodyText"/>
        <w:spacing w:line="240" w:lineRule="auto" w:before="30"/>
        <w:ind w:left="592" w:right="0"/>
        <w:jc w:val="left"/>
      </w:pPr>
      <w:r>
        <w:rPr>
          <w:rFonts w:ascii="宋体" w:hAnsi="宋体" w:cs="宋体" w:eastAsia="宋体" w:hint="default"/>
        </w:rPr>
        <w:t>3</w:t>
      </w:r>
      <w:r>
        <w:rPr/>
        <w:t>）该组成部分是专为转售而取得的子公司。</w:t>
      </w:r>
    </w:p>
    <w:p>
      <w:pPr>
        <w:spacing w:line="240" w:lineRule="auto" w:before="0"/>
        <w:rPr>
          <w:rFonts w:ascii="宋体" w:hAnsi="宋体" w:cs="宋体" w:eastAsia="宋体" w:hint="default"/>
          <w:sz w:val="20"/>
          <w:szCs w:val="20"/>
        </w:rPr>
      </w:pPr>
    </w:p>
    <w:p>
      <w:pPr>
        <w:pStyle w:val="Heading5"/>
        <w:spacing w:line="240" w:lineRule="auto" w:before="131"/>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根据《企业会汁准则第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 待售的非流动资产、</w:t>
            </w:r>
            <w:r>
              <w:rPr>
                <w:rFonts w:ascii="宋体" w:hAnsi="宋体" w:cs="宋体" w:eastAsia="宋体" w:hint="default"/>
                <w:spacing w:val="1"/>
                <w:sz w:val="18"/>
                <w:szCs w:val="18"/>
              </w:rPr>
              <w:t> </w:t>
            </w:r>
            <w:r>
              <w:rPr>
                <w:rFonts w:ascii="宋体" w:hAnsi="宋体" w:cs="宋体" w:eastAsia="宋体" w:hint="default"/>
                <w:sz w:val="18"/>
                <w:szCs w:val="18"/>
              </w:rPr>
              <w:t>处置组和终止经</w:t>
            </w:r>
            <w:r>
              <w:rPr>
                <w:rFonts w:ascii="宋体" w:hAnsi="宋体" w:cs="宋体" w:eastAsia="宋体" w:hint="default"/>
                <w:sz w:val="18"/>
                <w:szCs w:val="18"/>
              </w:rPr>
              <w:t> </w:t>
            </w:r>
            <w:r>
              <w:rPr>
                <w:rFonts w:ascii="宋体" w:hAnsi="宋体" w:cs="宋体" w:eastAsia="宋体" w:hint="default"/>
                <w:spacing w:val="-19"/>
                <w:sz w:val="18"/>
                <w:szCs w:val="18"/>
              </w:rPr>
              <w:t>营》，对于</w:t>
            </w:r>
            <w:r>
              <w:rPr>
                <w:rFonts w:ascii="宋体" w:hAnsi="宋体" w:cs="宋体" w:eastAsia="宋体" w:hint="default"/>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日之后持 有待售的非流动资产或处理组的分类、 计量和列报，</w:t>
            </w:r>
            <w:r>
              <w:rPr>
                <w:rFonts w:ascii="宋体" w:hAnsi="宋体" w:cs="宋体" w:eastAsia="宋体" w:hint="default"/>
                <w:spacing w:val="1"/>
                <w:sz w:val="18"/>
                <w:szCs w:val="18"/>
              </w:rPr>
              <w:t> </w:t>
            </w:r>
            <w:r>
              <w:rPr>
                <w:rFonts w:ascii="宋体" w:hAnsi="宋体" w:cs="宋体" w:eastAsia="宋体" w:hint="default"/>
                <w:sz w:val="18"/>
                <w:szCs w:val="18"/>
              </w:rPr>
              <w:t>以及终止经营的列报等</w:t>
            </w:r>
            <w:r>
              <w:rPr>
                <w:rFonts w:ascii="宋体" w:hAnsi="宋体" w:cs="宋体" w:eastAsia="宋体" w:hint="default"/>
                <w:sz w:val="18"/>
                <w:szCs w:val="18"/>
              </w:rPr>
              <w:t> 进行了规定 ，</w:t>
            </w:r>
            <w:r>
              <w:rPr>
                <w:rFonts w:ascii="宋体" w:hAnsi="宋体" w:cs="宋体" w:eastAsia="宋体" w:hint="default"/>
                <w:spacing w:val="-1"/>
                <w:sz w:val="18"/>
                <w:szCs w:val="18"/>
              </w:rPr>
              <w:t> </w:t>
            </w:r>
            <w:r>
              <w:rPr>
                <w:rFonts w:ascii="宋体" w:hAnsi="宋体" w:cs="宋体" w:eastAsia="宋体" w:hint="default"/>
                <w:sz w:val="18"/>
                <w:szCs w:val="18"/>
              </w:rPr>
              <w:t>并采用未来适用法进行</w:t>
            </w:r>
            <w:r>
              <w:rPr>
                <w:rFonts w:ascii="宋体" w:hAnsi="宋体" w:cs="宋体" w:eastAsia="宋体" w:hint="default"/>
                <w:sz w:val="18"/>
                <w:szCs w:val="18"/>
              </w:rPr>
              <w:t> 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2" w:lineRule="auto"/>
              <w:ind w:left="23" w:right="9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日召开了第三 届董事会第三十次会议、第三届监事会 第二十六次会议审议通过了《关于变更 公司会计政策的议案》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受影响的报表项目：①持续经营净利润</w:t>
            </w:r>
          </w:p>
          <w:p>
            <w:pPr>
              <w:pStyle w:val="TableParagraph"/>
              <w:spacing w:line="316" w:lineRule="auto" w:before="76"/>
              <w:ind w:left="23" w:right="94"/>
              <w:jc w:val="left"/>
              <w:rPr>
                <w:rFonts w:ascii="宋体" w:hAnsi="宋体" w:cs="宋体" w:eastAsia="宋体" w:hint="default"/>
                <w:sz w:val="18"/>
                <w:szCs w:val="18"/>
              </w:rPr>
            </w:pPr>
            <w:r>
              <w:rPr>
                <w:rFonts w:ascii="宋体" w:hAnsi="宋体" w:cs="宋体" w:eastAsia="宋体" w:hint="default"/>
                <w:sz w:val="18"/>
                <w:szCs w:val="18"/>
              </w:rPr>
              <w:t>②终止经营净利润；此变更对我司本报 告期无影响。</w:t>
            </w:r>
          </w:p>
        </w:tc>
      </w:tr>
      <w:tr>
        <w:trPr>
          <w:trHeight w:val="227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82"/>
              <w:jc w:val="left"/>
              <w:rPr>
                <w:rFonts w:ascii="宋体" w:hAnsi="宋体" w:cs="宋体" w:eastAsia="宋体" w:hint="default"/>
                <w:sz w:val="18"/>
                <w:szCs w:val="18"/>
              </w:rPr>
            </w:pPr>
            <w:r>
              <w:rPr>
                <w:rFonts w:ascii="宋体" w:hAnsi="宋体" w:cs="宋体" w:eastAsia="宋体" w:hint="default"/>
                <w:sz w:val="18"/>
                <w:szCs w:val="18"/>
              </w:rPr>
              <w:t>根据《 企业会计准则第 </w:t>
            </w:r>
            <w:r>
              <w:rPr>
                <w:rFonts w:ascii="Times New Roman" w:hAnsi="Times New Roman" w:cs="Times New Roman" w:eastAsia="Times New Roman" w:hint="default"/>
                <w:sz w:val="18"/>
                <w:szCs w:val="18"/>
              </w:rPr>
              <w:t>16 </w:t>
            </w:r>
            <w:r>
              <w:rPr>
                <w:rFonts w:ascii="宋体" w:hAnsi="宋体" w:cs="宋体" w:eastAsia="宋体" w:hint="default"/>
                <w:sz w:val="18"/>
                <w:szCs w:val="18"/>
              </w:rPr>
              <w:t>号－政府 </w:t>
            </w:r>
            <w:r>
              <w:rPr>
                <w:rFonts w:ascii="宋体" w:hAnsi="宋体" w:cs="宋体" w:eastAsia="宋体" w:hint="default"/>
                <w:spacing w:val="-8"/>
                <w:sz w:val="18"/>
                <w:szCs w:val="18"/>
              </w:rPr>
              <w:t>补助》（财会</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号）修订的规</w:t>
            </w:r>
          </w:p>
          <w:p>
            <w:pPr>
              <w:pStyle w:val="TableParagraph"/>
              <w:spacing w:line="304" w:lineRule="auto" w:before="15"/>
              <w:ind w:left="24" w:right="103"/>
              <w:jc w:val="left"/>
              <w:rPr>
                <w:rFonts w:ascii="宋体" w:hAnsi="宋体" w:cs="宋体" w:eastAsia="宋体" w:hint="default"/>
                <w:sz w:val="18"/>
                <w:szCs w:val="18"/>
              </w:rPr>
            </w:pPr>
            <w:r>
              <w:rPr>
                <w:rFonts w:ascii="宋体" w:hAnsi="宋体" w:cs="宋体" w:eastAsia="宋体" w:hint="default"/>
                <w:sz w:val="18"/>
                <w:szCs w:val="18"/>
              </w:rPr>
              <w:t>定。 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日起，与企 业日常活动相关的政府补助计入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或冲减相关成本费用，</w:t>
            </w:r>
            <w:r>
              <w:rPr>
                <w:rFonts w:ascii="宋体" w:hAnsi="宋体" w:cs="宋体" w:eastAsia="宋体" w:hint="default"/>
                <w:spacing w:val="-1"/>
                <w:sz w:val="18"/>
                <w:szCs w:val="18"/>
              </w:rPr>
              <w:t> </w:t>
            </w:r>
            <w:r>
              <w:rPr>
                <w:rFonts w:ascii="宋体" w:hAnsi="宋体" w:cs="宋体" w:eastAsia="宋体" w:hint="default"/>
                <w:sz w:val="18"/>
                <w:szCs w:val="18"/>
              </w:rPr>
              <w:t>与企业日</w:t>
            </w:r>
            <w:r>
              <w:rPr>
                <w:rFonts w:ascii="宋体" w:hAnsi="宋体" w:cs="宋体" w:eastAsia="宋体" w:hint="default"/>
                <w:sz w:val="18"/>
                <w:szCs w:val="18"/>
              </w:rPr>
              <w:t> 常活动无关的政府补助计入营业外收 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2" w:lineRule="auto"/>
              <w:ind w:left="23" w:right="9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日召开了第三 届董事会第二十七次会议、第三届监事 会第二十三次会议审议通过了《关于变 更公司会计政策的议案》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受影响的报表项目：①其他收益②营业 外收</w:t>
            </w:r>
            <w:r>
              <w:rPr>
                <w:rFonts w:ascii="宋体" w:hAnsi="宋体" w:cs="宋体" w:eastAsia="宋体" w:hint="default"/>
                <w:spacing w:val="1"/>
                <w:sz w:val="18"/>
                <w:szCs w:val="18"/>
              </w:rPr>
              <w:t> </w:t>
            </w:r>
            <w:r>
              <w:rPr>
                <w:rFonts w:ascii="宋体" w:hAnsi="宋体" w:cs="宋体" w:eastAsia="宋体" w:hint="default"/>
                <w:sz w:val="18"/>
                <w:szCs w:val="18"/>
              </w:rPr>
              <w:t>入；本期影响金额：营业外收入</w:t>
            </w:r>
            <w:r>
              <w:rPr>
                <w:rFonts w:ascii="宋体" w:hAnsi="宋体" w:cs="宋体" w:eastAsia="宋体" w:hint="default"/>
                <w:sz w:val="18"/>
                <w:szCs w:val="18"/>
              </w:rPr>
              <w:t> 减少 </w:t>
            </w:r>
            <w:r>
              <w:rPr>
                <w:rFonts w:ascii="Times New Roman" w:hAnsi="Times New Roman" w:cs="Times New Roman" w:eastAsia="Times New Roman" w:hint="default"/>
                <w:sz w:val="18"/>
                <w:szCs w:val="18"/>
              </w:rPr>
              <w:t>3130686.09 </w:t>
            </w:r>
            <w:r>
              <w:rPr>
                <w:rFonts w:ascii="宋体" w:hAnsi="宋体" w:cs="宋体" w:eastAsia="宋体" w:hint="default"/>
                <w:sz w:val="18"/>
                <w:szCs w:val="18"/>
              </w:rPr>
              <w:t>元，</w:t>
            </w:r>
            <w:r>
              <w:rPr>
                <w:rFonts w:ascii="宋体" w:hAnsi="宋体" w:cs="宋体" w:eastAsia="宋体" w:hint="default"/>
                <w:spacing w:val="-5"/>
                <w:sz w:val="18"/>
                <w:szCs w:val="18"/>
              </w:rPr>
              <w:t> </w:t>
            </w:r>
            <w:r>
              <w:rPr>
                <w:rFonts w:ascii="宋体" w:hAnsi="宋体" w:cs="宋体" w:eastAsia="宋体" w:hint="default"/>
                <w:sz w:val="18"/>
                <w:szCs w:val="18"/>
              </w:rPr>
              <w:t>其他收益增加</w:t>
            </w:r>
          </w:p>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3130686.09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408" w:lineRule="auto" w:before="66"/>
        <w:ind w:right="148" w:firstLine="441"/>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日财政部发布了“关于印发《企业会计准则第</w:t>
      </w:r>
      <w:r>
        <w:rPr>
          <w:rFonts w:ascii="宋体" w:hAnsi="宋体" w:cs="宋体" w:eastAsia="宋体" w:hint="default"/>
        </w:rPr>
        <w:t>42</w:t>
      </w:r>
      <w:r>
        <w:rPr/>
        <w:t>号——持有待售的非流动资产、处置组</w:t>
      </w:r>
      <w:r>
        <w:rPr>
          <w:w w:val="100"/>
        </w:rPr>
        <w:t> </w:t>
      </w:r>
      <w:r>
        <w:rPr>
          <w:spacing w:val="-4"/>
        </w:rPr>
        <w:t>和终止经营》的通知”财会〔</w:t>
      </w:r>
      <w:r>
        <w:rPr>
          <w:rFonts w:ascii="宋体" w:hAnsi="宋体" w:cs="宋体" w:eastAsia="宋体" w:hint="default"/>
          <w:spacing w:val="-4"/>
        </w:rPr>
        <w:t>2017</w:t>
      </w:r>
      <w:r>
        <w:rPr>
          <w:spacing w:val="-4"/>
        </w:rPr>
        <w:t>〕</w:t>
      </w:r>
      <w:r>
        <w:rPr>
          <w:rFonts w:ascii="宋体" w:hAnsi="宋体" w:cs="宋体" w:eastAsia="宋体" w:hint="default"/>
          <w:spacing w:val="-4"/>
        </w:rPr>
        <w:t>13</w:t>
      </w:r>
      <w:r>
        <w:rPr>
          <w:spacing w:val="-4"/>
        </w:rPr>
        <w:t>号，该准则自</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28</w:t>
      </w:r>
      <w:r>
        <w:rPr>
          <w:spacing w:val="-4"/>
        </w:rPr>
        <w:t>日起施行。对于该准则施行日存在的持有</w:t>
      </w:r>
      <w:r>
        <w:rPr>
          <w:spacing w:val="-33"/>
        </w:rPr>
        <w:t> </w:t>
      </w:r>
      <w:r>
        <w:rPr>
          <w:spacing w:val="-33"/>
        </w:rPr>
      </w:r>
      <w:r>
        <w:rPr>
          <w:spacing w:val="-4"/>
        </w:rPr>
        <w:t>待售的非流动资产、处置组和终止经营，应当采用未来适用法处理。本公司已于</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28</w:t>
      </w:r>
      <w:r>
        <w:rPr>
          <w:spacing w:val="-4"/>
        </w:rPr>
        <w:t>日起执行新准</w:t>
      </w:r>
      <w:r>
        <w:rPr>
          <w:spacing w:val="-42"/>
        </w:rPr>
        <w:t> </w:t>
      </w:r>
      <w:r>
        <w:rPr>
          <w:spacing w:val="-42"/>
        </w:rPr>
      </w:r>
      <w:r>
        <w:rPr/>
        <w:t>则。</w:t>
      </w:r>
    </w:p>
    <w:p>
      <w:pPr>
        <w:pStyle w:val="BodyText"/>
        <w:spacing w:line="240" w:lineRule="auto"/>
        <w:ind w:left="594" w:right="0"/>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日财政部发布了“关于印发修订《企业会计准则第</w:t>
      </w:r>
      <w:r>
        <w:rPr>
          <w:rFonts w:ascii="宋体" w:hAnsi="宋体" w:cs="宋体" w:eastAsia="宋体" w:hint="default"/>
        </w:rPr>
        <w:t>16</w:t>
      </w:r>
      <w:r>
        <w:rPr/>
        <w:t>号——政府补助》的通知”（财会</w:t>
      </w:r>
    </w:p>
    <w:p>
      <w:pPr>
        <w:spacing w:line="240" w:lineRule="auto" w:before="10"/>
        <w:rPr>
          <w:rFonts w:ascii="宋体" w:hAnsi="宋体" w:cs="宋体" w:eastAsia="宋体" w:hint="default"/>
          <w:sz w:val="14"/>
          <w:szCs w:val="14"/>
        </w:rPr>
      </w:pPr>
    </w:p>
    <w:p>
      <w:pPr>
        <w:pStyle w:val="BodyText"/>
        <w:spacing w:line="408" w:lineRule="auto" w:before="0"/>
        <w:ind w:right="146"/>
        <w:jc w:val="both"/>
      </w:pPr>
      <w:r>
        <w:rPr>
          <w:spacing w:val="-4"/>
        </w:rPr>
        <w:t>〔</w:t>
      </w:r>
      <w:r>
        <w:rPr>
          <w:rFonts w:ascii="宋体" w:hAnsi="宋体" w:cs="宋体" w:eastAsia="宋体" w:hint="default"/>
          <w:spacing w:val="-4"/>
        </w:rPr>
        <w:t>2017</w:t>
      </w:r>
      <w:r>
        <w:rPr>
          <w:spacing w:val="-4"/>
        </w:rPr>
        <w:t>〕</w:t>
      </w:r>
      <w:r>
        <w:rPr>
          <w:rFonts w:ascii="宋体" w:hAnsi="宋体" w:cs="宋体" w:eastAsia="宋体" w:hint="default"/>
          <w:spacing w:val="-4"/>
        </w:rPr>
        <w:t>15</w:t>
      </w:r>
      <w:r>
        <w:rPr>
          <w:spacing w:val="-4"/>
        </w:rPr>
        <w:t>号），对《企业会计准则第</w:t>
      </w:r>
      <w:r>
        <w:rPr>
          <w:rFonts w:ascii="宋体" w:hAnsi="宋体" w:cs="宋体" w:eastAsia="宋体" w:hint="default"/>
          <w:spacing w:val="-4"/>
        </w:rPr>
        <w:t>16</w:t>
      </w:r>
      <w:r>
        <w:rPr>
          <w:spacing w:val="-4"/>
        </w:rPr>
        <w:t>号——政府补助》进行了修订，该准则自</w:t>
      </w:r>
      <w:r>
        <w:rPr>
          <w:rFonts w:ascii="宋体" w:hAnsi="宋体" w:cs="宋体" w:eastAsia="宋体" w:hint="default"/>
          <w:spacing w:val="-4"/>
        </w:rPr>
        <w:t>2017</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12</w:t>
      </w:r>
      <w:r>
        <w:rPr>
          <w:spacing w:val="-4"/>
        </w:rPr>
        <w:t>日起施行。</w:t>
      </w:r>
      <w:r>
        <w:rPr>
          <w:spacing w:val="-29"/>
        </w:rPr>
        <w:t> </w:t>
      </w:r>
      <w:r>
        <w:rPr>
          <w:spacing w:val="-29"/>
        </w:rPr>
      </w:r>
      <w:r>
        <w:rPr>
          <w:spacing w:val="-2"/>
        </w:rPr>
        <w:t>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日存在的政府补助采用未来适用法处理，对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日至该准则施行日之间新增的政府补</w:t>
      </w:r>
      <w:r>
        <w:rPr>
          <w:spacing w:val="-32"/>
        </w:rPr>
        <w:t> </w:t>
      </w:r>
      <w:r>
        <w:rPr>
          <w:spacing w:val="-32"/>
        </w:rPr>
      </w:r>
      <w:r>
        <w:rPr>
          <w:spacing w:val="-2"/>
        </w:rPr>
        <w:t>助根据该准则进行调整。本公司已于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日起执行新政府补助准则，比较财务报表根据相关规定不</w:t>
      </w:r>
      <w:r>
        <w:rPr>
          <w:spacing w:val="-36"/>
        </w:rPr>
        <w:t> </w:t>
      </w:r>
      <w:r>
        <w:rPr>
          <w:spacing w:val="-36"/>
        </w:rPr>
      </w:r>
      <w:r>
        <w:rPr/>
        <w:t>需进行追溯调整。</w:t>
      </w:r>
    </w:p>
    <w:p>
      <w:pPr>
        <w:spacing w:line="240" w:lineRule="auto" w:before="6"/>
        <w:rPr>
          <w:rFonts w:ascii="宋体" w:hAnsi="宋体" w:cs="宋体" w:eastAsia="宋体" w:hint="default"/>
          <w:sz w:val="15"/>
          <w:szCs w:val="15"/>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六、税项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徐州金太阳教育科技有限公司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5"/>
        <w:rPr>
          <w:rFonts w:ascii="宋体" w:hAnsi="宋体" w:cs="宋体" w:eastAsia="宋体" w:hint="default"/>
          <w:sz w:val="19"/>
          <w:szCs w:val="19"/>
        </w:rPr>
      </w:pPr>
    </w:p>
    <w:p>
      <w:pPr>
        <w:pStyle w:val="Heading5"/>
        <w:spacing w:line="335" w:lineRule="exact"/>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408" w:lineRule="auto" w:before="0"/>
        <w:ind w:left="592" w:right="0" w:firstLine="2"/>
        <w:jc w:val="left"/>
      </w:pPr>
      <w:r>
        <w:rPr/>
        <w:t>（</w:t>
      </w:r>
      <w:r>
        <w:rPr>
          <w:rFonts w:ascii="宋体" w:hAnsi="宋体" w:cs="宋体" w:eastAsia="宋体" w:hint="default"/>
        </w:rPr>
        <w:t>1</w:t>
      </w:r>
      <w:r>
        <w:rPr/>
        <w:t>）增值税</w:t>
      </w:r>
      <w:r>
        <w:rPr>
          <w:w w:val="100"/>
        </w:rPr>
        <w:t> </w:t>
      </w:r>
      <w:r>
        <w:rPr>
          <w:spacing w:val="5"/>
        </w:rPr>
        <w:t>根据国务院《国务院关于印发进一步鼓励软件产业和集成电路产业发展若干政策的通知》（国发</w:t>
      </w:r>
    </w:p>
    <w:p>
      <w:pPr>
        <w:pStyle w:val="BodyText"/>
        <w:spacing w:line="408" w:lineRule="auto"/>
        <w:ind w:right="146"/>
        <w:jc w:val="both"/>
      </w:pPr>
      <w:r>
        <w:rPr>
          <w:rFonts w:ascii="宋体" w:hAnsi="宋体" w:cs="宋体" w:eastAsia="宋体" w:hint="default"/>
          <w:spacing w:val="-2"/>
        </w:rPr>
        <w:t>[2011]4</w:t>
      </w:r>
      <w:r>
        <w:rPr>
          <w:spacing w:val="-2"/>
        </w:rPr>
        <w:t>号）和财政部、国家税务总局《关于软件产品增值税政策的通知》（财税</w:t>
      </w:r>
      <w:r>
        <w:rPr>
          <w:rFonts w:ascii="宋体" w:hAnsi="宋体" w:cs="宋体" w:eastAsia="宋体" w:hint="default"/>
          <w:spacing w:val="-2"/>
        </w:rPr>
        <w:t>[2011]100</w:t>
      </w:r>
      <w:r>
        <w:rPr>
          <w:spacing w:val="-2"/>
        </w:rPr>
        <w:t>号）文有关规</w:t>
      </w:r>
      <w:r>
        <w:rPr>
          <w:spacing w:val="-30"/>
        </w:rPr>
        <w:t> </w:t>
      </w:r>
      <w:r>
        <w:rPr>
          <w:spacing w:val="-30"/>
        </w:rPr>
      </w:r>
      <w:r>
        <w:rPr>
          <w:spacing w:val="-2"/>
        </w:rPr>
        <w:t>定，本公司自行开发研制软件产品销售收入按法定税率计缴增值税后，对实际税负超过</w:t>
      </w:r>
      <w:r>
        <w:rPr>
          <w:rFonts w:ascii="宋体" w:hAnsi="宋体" w:cs="宋体" w:eastAsia="宋体" w:hint="default"/>
          <w:spacing w:val="-2"/>
        </w:rPr>
        <w:t>3%</w:t>
      </w:r>
      <w:r>
        <w:rPr>
          <w:spacing w:val="-2"/>
        </w:rPr>
        <w:t>的部分实行即征</w:t>
      </w:r>
      <w:r>
        <w:rPr>
          <w:spacing w:val="-41"/>
        </w:rPr>
        <w:t> </w:t>
      </w:r>
      <w:r>
        <w:rPr>
          <w:spacing w:val="-41"/>
        </w:rPr>
      </w:r>
      <w:r>
        <w:rPr/>
        <w:t>即退政策。</w:t>
      </w:r>
    </w:p>
    <w:p>
      <w:pPr>
        <w:pStyle w:val="BodyText"/>
        <w:spacing w:line="408" w:lineRule="auto"/>
        <w:ind w:right="0" w:firstLine="439"/>
        <w:jc w:val="left"/>
      </w:pPr>
      <w:r>
        <w:rPr>
          <w:spacing w:val="-3"/>
        </w:rPr>
        <w:t>根据《财政部、国家税务总局关于全面推开营业税改征增值税试点的通知》（财税</w:t>
      </w:r>
      <w:r>
        <w:rPr>
          <w:rFonts w:ascii="宋体" w:hAnsi="宋体" w:cs="宋体" w:eastAsia="宋体" w:hint="default"/>
          <w:spacing w:val="-3"/>
        </w:rPr>
        <w:t>[2016]36</w:t>
      </w:r>
      <w:r>
        <w:rPr>
          <w:spacing w:val="-3"/>
        </w:rPr>
        <w:t>号）文有</w:t>
      </w:r>
      <w:r>
        <w:rPr>
          <w:w w:val="100"/>
        </w:rPr>
        <w:t> </w:t>
      </w:r>
      <w:r>
        <w:rPr/>
        <w:t>关规定，本公司提供技术开发服务取得的收入按规定将相关资料报税务机关备案后，免征增值税。</w:t>
      </w:r>
    </w:p>
    <w:p>
      <w:pPr>
        <w:pStyle w:val="BodyText"/>
        <w:spacing w:line="410" w:lineRule="auto"/>
        <w:ind w:left="592" w:right="0" w:firstLine="2"/>
        <w:jc w:val="left"/>
      </w:pPr>
      <w:r>
        <w:rPr/>
        <w:t>（</w:t>
      </w:r>
      <w:r>
        <w:rPr>
          <w:rFonts w:ascii="宋体" w:hAnsi="宋体" w:cs="宋体" w:eastAsia="宋体" w:hint="default"/>
        </w:rPr>
        <w:t>2</w:t>
      </w:r>
      <w:r>
        <w:rPr/>
        <w:t>）企业所得税</w:t>
      </w:r>
      <w:r>
        <w:rPr>
          <w:w w:val="100"/>
        </w:rPr>
        <w:t> </w:t>
      </w:r>
      <w:r>
        <w:rPr>
          <w:spacing w:val="-5"/>
        </w:rPr>
        <w:t>根据国家税务总局国税函</w:t>
      </w:r>
      <w:r>
        <w:rPr>
          <w:rFonts w:ascii="宋体" w:hAnsi="宋体" w:cs="宋体" w:eastAsia="宋体" w:hint="default"/>
          <w:spacing w:val="-5"/>
        </w:rPr>
        <w:t>[2009]203</w:t>
      </w:r>
      <w:r>
        <w:rPr>
          <w:spacing w:val="-5"/>
        </w:rPr>
        <w:t>号《关于实施高新技术企业所得税优惠有关问题的通知》。</w:t>
      </w:r>
      <w:r>
        <w:rPr>
          <w:rFonts w:ascii="宋体" w:hAnsi="宋体" w:cs="宋体" w:eastAsia="宋体" w:hint="default"/>
          <w:spacing w:val="-5"/>
        </w:rPr>
        <w:t>2015</w:t>
      </w:r>
      <w:r>
        <w:rPr>
          <w:spacing w:val="-5"/>
        </w:rPr>
        <w:t>年</w:t>
      </w:r>
    </w:p>
    <w:p>
      <w:pPr>
        <w:pStyle w:val="BodyText"/>
        <w:spacing w:line="408" w:lineRule="auto" w:before="44"/>
        <w:ind w:right="149"/>
        <w:jc w:val="both"/>
      </w:pPr>
      <w:r>
        <w:rPr>
          <w:rFonts w:ascii="宋体" w:hAnsi="宋体" w:cs="宋体" w:eastAsia="宋体" w:hint="default"/>
          <w:spacing w:val="-5"/>
        </w:rPr>
        <w:t>6</w:t>
      </w:r>
      <w:r>
        <w:rPr>
          <w:spacing w:val="-5"/>
        </w:rPr>
        <w:t>月</w:t>
      </w:r>
      <w:r>
        <w:rPr>
          <w:rFonts w:ascii="宋体" w:hAnsi="宋体" w:cs="宋体" w:eastAsia="宋体" w:hint="default"/>
          <w:spacing w:val="-5"/>
        </w:rPr>
        <w:t>19</w:t>
      </w:r>
      <w:r>
        <w:rPr>
          <w:spacing w:val="-5"/>
        </w:rPr>
        <w:t>日本公司取得深圳市科技创新委员会、深圳市财政委员会、深圳市国家税务局、深圳市地方税务局联</w:t>
      </w:r>
      <w:r>
        <w:rPr>
          <w:spacing w:val="-4"/>
        </w:rPr>
        <w:t> </w:t>
      </w:r>
      <w:r>
        <w:rPr>
          <w:spacing w:val="-4"/>
        </w:rPr>
      </w:r>
      <w:r>
        <w:rPr/>
        <w:t>合颁发的高新技术企业证书</w:t>
      </w:r>
      <w:r>
        <w:rPr>
          <w:rFonts w:ascii="宋体" w:hAnsi="宋体" w:cs="宋体" w:eastAsia="宋体" w:hint="default"/>
        </w:rPr>
        <w:t>,</w:t>
      </w:r>
      <w:r>
        <w:rPr/>
        <w:t>有效期为三年，</w:t>
      </w:r>
      <w:r>
        <w:rPr>
          <w:rFonts w:ascii="宋体" w:hAnsi="宋体" w:cs="宋体" w:eastAsia="宋体" w:hint="default"/>
        </w:rPr>
        <w:t>2017</w:t>
      </w:r>
      <w:r>
        <w:rPr/>
        <w:t>年度企业所得税优惠税率为</w:t>
      </w:r>
      <w:r>
        <w:rPr>
          <w:rFonts w:ascii="宋体" w:hAnsi="宋体" w:cs="宋体" w:eastAsia="宋体" w:hint="default"/>
        </w:rPr>
        <w:t>15%</w:t>
      </w:r>
      <w:r>
        <w:rPr/>
        <w:t>。</w:t>
      </w:r>
    </w:p>
    <w:p>
      <w:pPr>
        <w:spacing w:after="0" w:line="408" w:lineRule="auto"/>
        <w:jc w:val="both"/>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七、合并财务报表项目注释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60,985.78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129,005.69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166,415,173.30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62,679,697.33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166,476,159.08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62,808,703.02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655"/>
        <w:gridCol w:w="761"/>
        <w:gridCol w:w="876"/>
        <w:gridCol w:w="869"/>
        <w:gridCol w:w="934"/>
      </w:tblGrid>
      <w:tr>
        <w:trPr>
          <w:trHeight w:val="399"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36,208,4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56.28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1,249,56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34,958,88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27,102,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018.97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905,095.54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26,196,923.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36,208,4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56.28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1,249,56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9.90</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 w:right="0"/>
              <w:jc w:val="left"/>
              <w:rPr>
                <w:rFonts w:ascii="Times New Roman" w:hAnsi="Times New Roman" w:cs="Times New Roman" w:eastAsia="Times New Roman" w:hint="default"/>
                <w:sz w:val="18"/>
                <w:szCs w:val="18"/>
              </w:rPr>
            </w:pPr>
            <w:r>
              <w:rPr>
                <w:rFonts w:ascii="Times New Roman"/>
                <w:sz w:val="18"/>
              </w:rPr>
              <w:t>34,958,88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27,114,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774.97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917,851.54</w:t>
            </w:r>
          </w:p>
        </w:tc>
        <w:tc>
          <w:tcPr>
            <w:tcW w:w="869"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26,196,923.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9"/>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4" w:space="4535"/>
            <w:col w:w="1121"/>
          </w:cols>
        </w:sectPr>
      </w:pP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32,378,906.47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323,789.06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3,216,906.30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321,690.63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3,665.70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600,424.51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600,424.51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36,208,456.28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1,249,569.90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3" w:right="54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组合中，采用其他方法计提坏账准备的应收账款：</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80" w:footer="979" w:top="1100" w:bottom="1160" w:left="980" w:right="980"/>
        </w:sectPr>
      </w:pPr>
    </w:p>
    <w:p>
      <w:pPr>
        <w:pStyle w:val="BodyText"/>
        <w:spacing w:line="240" w:lineRule="auto" w:before="36"/>
        <w:ind w:right="-5"/>
        <w:jc w:val="left"/>
      </w:pPr>
      <w:r>
        <w:rPr/>
        <w:t>本期计提坏账准备金额</w:t>
      </w:r>
      <w:r>
        <w:rPr>
          <w:spacing w:val="-55"/>
        </w:rPr>
        <w:t> </w:t>
      </w:r>
      <w:r>
        <w:rPr>
          <w:rFonts w:ascii="宋体" w:hAnsi="宋体" w:cs="宋体" w:eastAsia="宋体" w:hint="default"/>
        </w:rPr>
        <w:t>348,564.96</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294.60</w:t>
      </w:r>
      <w:r>
        <w:rPr>
          <w:rFonts w:ascii="宋体" w:hAnsi="宋体" w:cs="宋体" w:eastAsia="宋体" w:hint="default"/>
          <w:spacing w:val="-57"/>
        </w:rPr>
        <w:t> </w:t>
      </w:r>
      <w:r>
        <w:rPr/>
        <w:t>元。</w:t>
      </w:r>
    </w:p>
    <w:p>
      <w:pPr>
        <w:spacing w:before="96"/>
        <w:ind w:left="153" w:right="-5"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7715" w:space="1114"/>
            <w:col w:w="1121"/>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16,552.00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5"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62" w:lineRule="auto" w:before="49"/>
        <w:ind w:left="153" w:right="6713" w:firstLine="0"/>
        <w:jc w:val="left"/>
        <w:rPr>
          <w:rFonts w:ascii="宋体" w:hAnsi="宋体" w:cs="宋体" w:eastAsia="宋体" w:hint="default"/>
          <w:sz w:val="18"/>
          <w:szCs w:val="18"/>
        </w:rPr>
      </w:pPr>
      <w:r>
        <w:rPr>
          <w:rFonts w:ascii="宋体" w:hAnsi="宋体" w:cs="宋体" w:eastAsia="宋体" w:hint="default"/>
          <w:sz w:val="18"/>
          <w:szCs w:val="18"/>
        </w:rPr>
        <w:t>应收账款核销说明： 本年度实际核销的应收账款</w:t>
      </w:r>
      <w:r>
        <w:rPr>
          <w:rFonts w:ascii="Times New Roman" w:hAnsi="Times New Roman" w:cs="Times New Roman" w:eastAsia="Times New Roman" w:hint="default"/>
          <w:sz w:val="18"/>
          <w:szCs w:val="18"/>
        </w:rPr>
        <w:t>16,552.00</w:t>
      </w:r>
      <w:r>
        <w:rPr>
          <w:rFonts w:ascii="宋体" w:hAnsi="宋体" w:cs="宋体" w:eastAsia="宋体" w:hint="default"/>
          <w:sz w:val="18"/>
          <w:szCs w:val="18"/>
        </w:rPr>
        <w:t>元</w:t>
      </w:r>
    </w:p>
    <w:p>
      <w:pPr>
        <w:spacing w:line="240" w:lineRule="auto" w:before="4"/>
        <w:rPr>
          <w:rFonts w:ascii="宋体" w:hAnsi="宋体" w:cs="宋体" w:eastAsia="宋体" w:hint="default"/>
          <w:sz w:val="13"/>
          <w:szCs w:val="13"/>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60"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tbl>
      <w:tblPr>
        <w:tblW w:w="0" w:type="auto"/>
        <w:jc w:val="left"/>
        <w:tblInd w:w="162" w:type="dxa"/>
        <w:tblLayout w:type="fixed"/>
        <w:tblCellMar>
          <w:top w:w="0" w:type="dxa"/>
          <w:left w:w="0" w:type="dxa"/>
          <w:bottom w:w="0" w:type="dxa"/>
          <w:right w:w="0" w:type="dxa"/>
        </w:tblCellMar>
        <w:tblLook w:val="01E0"/>
      </w:tblPr>
      <w:tblGrid>
        <w:gridCol w:w="2396"/>
        <w:gridCol w:w="1783"/>
        <w:gridCol w:w="3219"/>
        <w:gridCol w:w="1848"/>
      </w:tblGrid>
      <w:tr>
        <w:trPr>
          <w:trHeight w:val="34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占应收账款年末余额的比例</w:t>
            </w:r>
            <w:r>
              <w:rPr>
                <w:rFonts w:ascii="宋体" w:hAnsi="宋体" w:cs="宋体" w:eastAsia="宋体" w:hint="default"/>
                <w:sz w:val="18"/>
                <w:szCs w:val="18"/>
              </w:rPr>
              <w:t>(%)</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前五名汇总</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7" w:right="0"/>
              <w:jc w:val="left"/>
              <w:rPr>
                <w:rFonts w:ascii="宋体" w:hAnsi="宋体" w:cs="宋体" w:eastAsia="宋体" w:hint="default"/>
                <w:sz w:val="18"/>
                <w:szCs w:val="18"/>
              </w:rPr>
            </w:pPr>
            <w:r>
              <w:rPr>
                <w:rFonts w:ascii="宋体"/>
                <w:sz w:val="18"/>
              </w:rPr>
              <w:t>20,381,644.08</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56.29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04" w:right="0"/>
              <w:jc w:val="left"/>
              <w:rPr>
                <w:rFonts w:ascii="宋体" w:hAnsi="宋体" w:cs="宋体" w:eastAsia="宋体" w:hint="default"/>
                <w:sz w:val="18"/>
                <w:szCs w:val="18"/>
              </w:rPr>
            </w:pPr>
            <w:r>
              <w:rPr>
                <w:rFonts w:ascii="宋体"/>
                <w:sz w:val="18"/>
              </w:rPr>
              <w:t>465,749.61</w:t>
            </w:r>
          </w:p>
        </w:tc>
      </w:tr>
    </w:tbl>
    <w:p>
      <w:pPr>
        <w:spacing w:line="240" w:lineRule="auto" w:before="6"/>
        <w:rPr>
          <w:rFonts w:ascii="宋体" w:hAnsi="宋体" w:cs="宋体" w:eastAsia="宋体" w:hint="default"/>
          <w:sz w:val="20"/>
          <w:szCs w:val="20"/>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887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after="0" w:line="357"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6"/>
        <w:gridCol w:w="1916"/>
        <w:gridCol w:w="1913"/>
        <w:gridCol w:w="1916"/>
      </w:tblGrid>
      <w:tr>
        <w:trPr>
          <w:trHeight w:val="401"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1,051,645.97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748,242.25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96.39%</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1,051,645.97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776,274.25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
        <w:rPr>
          <w:rFonts w:ascii="宋体" w:hAnsi="宋体" w:cs="宋体" w:eastAsia="宋体" w:hint="default"/>
          <w:sz w:val="21"/>
          <w:szCs w:val="21"/>
        </w:rPr>
      </w:pPr>
    </w:p>
    <w:p>
      <w:pPr>
        <w:pStyle w:val="Heading4"/>
        <w:spacing w:line="240" w:lineRule="auto"/>
        <w:ind w:right="0"/>
        <w:jc w:val="left"/>
      </w:pPr>
      <w:r>
        <w:rPr>
          <w:w w:val="100"/>
        </w:rPr>
        <w:t>无</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65" w:type="dxa"/>
        <w:tblLayout w:type="fixed"/>
        <w:tblCellMar>
          <w:top w:w="0" w:type="dxa"/>
          <w:left w:w="0" w:type="dxa"/>
          <w:bottom w:w="0" w:type="dxa"/>
          <w:right w:w="0" w:type="dxa"/>
        </w:tblCellMar>
        <w:tblLook w:val="01E0"/>
      </w:tblPr>
      <w:tblGrid>
        <w:gridCol w:w="3389"/>
        <w:gridCol w:w="2984"/>
        <w:gridCol w:w="2874"/>
      </w:tblGrid>
      <w:tr>
        <w:trPr>
          <w:trHeight w:val="660" w:hRule="exact"/>
        </w:trPr>
        <w:tc>
          <w:tcPr>
            <w:tcW w:w="3389"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单位名称</w:t>
            </w:r>
            <w:r>
              <w:rPr>
                <w:rFonts w:ascii="Microsoft JhengHei" w:hAnsi="Microsoft JhengHei" w:cs="Microsoft JhengHei" w:eastAsia="Microsoft JhengHei" w:hint="default"/>
                <w:sz w:val="20"/>
                <w:szCs w:val="20"/>
              </w:rPr>
            </w:r>
          </w:p>
        </w:tc>
        <w:tc>
          <w:tcPr>
            <w:tcW w:w="2984"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年末余额</w:t>
            </w:r>
            <w:r>
              <w:rPr>
                <w:rFonts w:ascii="Microsoft JhengHei" w:hAnsi="Microsoft JhengHei" w:cs="Microsoft JhengHei" w:eastAsia="Microsoft JhengHei" w:hint="default"/>
                <w:sz w:val="20"/>
                <w:szCs w:val="20"/>
              </w:rPr>
            </w:r>
          </w:p>
        </w:tc>
        <w:tc>
          <w:tcPr>
            <w:tcW w:w="2874"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right="8"/>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占预付款项年末余额合计数的比</w:t>
            </w:r>
            <w:r>
              <w:rPr>
                <w:rFonts w:ascii="Microsoft JhengHei" w:hAnsi="Microsoft JhengHei" w:cs="Microsoft JhengHei" w:eastAsia="Microsoft JhengHei" w:hint="default"/>
                <w:sz w:val="20"/>
                <w:szCs w:val="20"/>
              </w:rPr>
            </w:r>
          </w:p>
          <w:p>
            <w:pPr>
              <w:pStyle w:val="TableParagraph"/>
              <w:spacing w:line="330" w:lineRule="exact"/>
              <w:ind w:right="6"/>
              <w:jc w:val="center"/>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z w:val="20"/>
                <w:szCs w:val="20"/>
              </w:rPr>
              <w:t>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48" w:hRule="exact"/>
        </w:trPr>
        <w:tc>
          <w:tcPr>
            <w:tcW w:w="33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前五名合计</w:t>
            </w:r>
          </w:p>
        </w:tc>
        <w:tc>
          <w:tcPr>
            <w:tcW w:w="29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536,335.58</w:t>
            </w:r>
            <w:r>
              <w:rPr>
                <w:rFonts w:ascii="Times New Roman"/>
                <w:sz w:val="20"/>
              </w:rPr>
            </w:r>
          </w:p>
        </w:tc>
        <w:tc>
          <w:tcPr>
            <w:tcW w:w="28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7"/>
              <w:jc w:val="right"/>
              <w:rPr>
                <w:rFonts w:ascii="Times New Roman" w:hAnsi="Times New Roman" w:cs="Times New Roman" w:eastAsia="Times New Roman" w:hint="default"/>
                <w:sz w:val="20"/>
                <w:szCs w:val="20"/>
              </w:rPr>
            </w:pPr>
            <w:r>
              <w:rPr>
                <w:rFonts w:ascii="Times New Roman"/>
                <w:sz w:val="20"/>
              </w:rPr>
              <w:t>51.00</w:t>
            </w:r>
          </w:p>
        </w:tc>
      </w:tr>
    </w:tbl>
    <w:p>
      <w:pPr>
        <w:spacing w:line="240" w:lineRule="auto" w:before="4"/>
        <w:rPr>
          <w:rFonts w:ascii="Microsoft JhengHei" w:hAnsi="Microsoft JhengHei" w:cs="Microsoft JhengHei" w:eastAsia="Microsoft JhengHei" w:hint="default"/>
          <w:b/>
          <w:bCs/>
          <w:sz w:val="18"/>
          <w:szCs w:val="18"/>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4"/>
        <w:spacing w:line="240" w:lineRule="auto"/>
        <w:ind w:right="0"/>
        <w:jc w:val="left"/>
      </w:pPr>
      <w:r>
        <w:rPr>
          <w:w w:val="100"/>
        </w:rPr>
        <w:t>无</w:t>
      </w:r>
    </w:p>
    <w:p>
      <w:pPr>
        <w:spacing w:line="240" w:lineRule="auto" w:before="7"/>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48"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362" w:lineRule="auto" w:before="49"/>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2"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48"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362" w:lineRule="auto" w:before="49"/>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655"/>
        <w:gridCol w:w="761"/>
        <w:gridCol w:w="814"/>
        <w:gridCol w:w="931"/>
        <w:gridCol w:w="934"/>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77,074,6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1,145,51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75,929,09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1,067,1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13.26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76.99%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434,110.1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633,003.09</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319,000</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23.01%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77,393,6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1,464,51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4.83</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75,929,09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1,386,1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13.26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753,110.1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633,003.09</w:t>
            </w:r>
          </w:p>
        </w:tc>
      </w:tr>
    </w:tbl>
    <w:p>
      <w:pPr>
        <w:spacing w:after="0" w:line="240" w:lineRule="auto"/>
        <w:jc w:val="right"/>
        <w:rPr>
          <w:rFonts w:ascii="Times New Roman" w:hAnsi="Times New Roman" w:cs="Times New Roman" w:eastAsia="Times New Roman" w:hint="default"/>
          <w:sz w:val="18"/>
          <w:szCs w:val="18"/>
        </w:rPr>
        <w:sectPr>
          <w:footerReference w:type="default" r:id="rId61"/>
          <w:pgSz w:w="11910" w:h="16840"/>
          <w:pgMar w:footer="979" w:header="880" w:top="1100" w:bottom="1160" w:left="980" w:right="98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7"/>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4" w:space="4355"/>
            <w:col w:w="1121"/>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76,527,117.44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765,271.17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76,527,117.44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765,271.17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2,478.96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207,055.03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62,116.52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315,648.18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315,648.18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77,074,610.29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1,145,514.83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1.49%</w:t>
            </w:r>
          </w:p>
        </w:tc>
      </w:tr>
    </w:tbl>
    <w:p>
      <w:pPr>
        <w:spacing w:line="360" w:lineRule="auto" w:before="49"/>
        <w:ind w:left="153" w:right="527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7"/>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5"/>
          <w:szCs w:val="15"/>
        </w:rPr>
      </w:pPr>
    </w:p>
    <w:p>
      <w:pPr>
        <w:spacing w:line="2275" w:lineRule="exact"/>
        <w:ind w:left="154"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5915879" cy="144475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63" cstate="print"/>
                    <a:stretch>
                      <a:fillRect/>
                    </a:stretch>
                  </pic:blipFill>
                  <pic:spPr>
                    <a:xfrm>
                      <a:off x="0" y="0"/>
                      <a:ext cx="5915879" cy="1444752"/>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footerReference w:type="default" r:id="rId62"/>
          <w:pgSz w:w="11910" w:h="16840"/>
          <w:pgMar w:footer="979" w:header="880" w:top="1100" w:bottom="1160" w:left="980" w:right="980"/>
          <w:pgNumType w:start="1"/>
        </w:sectPr>
      </w:pPr>
    </w:p>
    <w:p>
      <w:pPr>
        <w:spacing w:line="338"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711,404.66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910" w:space="2920"/>
            <w:col w:w="1120"/>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79"/>
        <w:gridCol w:w="4789"/>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911,989.95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766,534.85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215,485.06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258,797.10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75,402,128.59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864,006.69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360,781.31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77,393,610.29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1,386,113.26</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70"/>
        <w:gridCol w:w="992"/>
        <w:gridCol w:w="1277"/>
        <w:gridCol w:w="850"/>
        <w:gridCol w:w="1561"/>
        <w:gridCol w:w="1520"/>
      </w:tblGrid>
      <w:tr>
        <w:trPr>
          <w:trHeight w:val="715"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北京千锋互联科技有限公司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46,392,580.97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463,925.81</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樟树市雨青木华投资管理中心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11,711,533.32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117,115.33</w:t>
            </w: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樟树市锦鑫投资管理中心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9,214,511.26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92,145.11</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樟树市飞扬投资管理中心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8,083,503.04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80,835.03</w:t>
            </w:r>
          </w:p>
        </w:tc>
      </w:tr>
      <w:tr>
        <w:trPr>
          <w:trHeight w:val="71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深圳市方直课程教学研究院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7"/>
              <w:jc w:val="left"/>
              <w:rPr>
                <w:rFonts w:ascii="宋体" w:hAnsi="宋体" w:cs="宋体" w:eastAsia="宋体" w:hint="default"/>
                <w:sz w:val="18"/>
                <w:szCs w:val="18"/>
              </w:rPr>
            </w:pPr>
            <w:r>
              <w:rPr>
                <w:rFonts w:ascii="宋体" w:hAnsi="宋体" w:cs="宋体" w:eastAsia="宋体" w:hint="default"/>
                <w:sz w:val="18"/>
                <w:szCs w:val="18"/>
              </w:rPr>
              <w:t>往来款项及 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4,300.00</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75,832,128.59</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758,321.28</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0"/>
        <w:gridCol w:w="1916"/>
        <w:gridCol w:w="1913"/>
        <w:gridCol w:w="1916"/>
        <w:gridCol w:w="1916"/>
      </w:tblGrid>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4" w:right="5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6533"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4,143,872.26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170,220.42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3,973,651.84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2,625,032.77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149,853.57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2,475,179.20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941,917.75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941,917.75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5,016,804.26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1,143,843.47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3,872,960.79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7,136,199.22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904,915.33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6,231,283.89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10,102,594.27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1,314,063.89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8,788,530.38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9,761,231.99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1,054,768.90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8,706,463.09</w:t>
            </w:r>
          </w:p>
        </w:tc>
      </w:tr>
    </w:tbl>
    <w:p>
      <w:pPr>
        <w:spacing w:line="340" w:lineRule="auto" w:before="49"/>
        <w:ind w:left="153" w:right="149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1"/>
        <w:ind w:left="153" w:right="59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0"/>
        <w:ind w:left="153" w:right="77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4"/>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149,853.57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82,451.66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630.33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61,454.48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170,220.42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904,915.33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626,799.01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40,392.57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347,478.30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1,143,843.47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1,054,768.90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709,250.67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41,022.90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408,932.78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1,314,063.89</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0"/>
        <w:gridCol w:w="1916"/>
        <w:gridCol w:w="1913"/>
        <w:gridCol w:w="1916"/>
        <w:gridCol w:w="1916"/>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1,598,749.98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643,062.06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703,401.40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981,540.69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137,302,151.38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116,624,602.75</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99"/>
        <w:gridCol w:w="1196"/>
        <w:gridCol w:w="1196"/>
        <w:gridCol w:w="1198"/>
        <w:gridCol w:w="1249"/>
        <w:gridCol w:w="1366"/>
        <w:gridCol w:w="1371"/>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9"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4"/>
        <w:gridCol w:w="1915"/>
        <w:gridCol w:w="1913"/>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862"/>
        <w:gridCol w:w="871"/>
        <w:gridCol w:w="869"/>
        <w:gridCol w:w="871"/>
        <w:gridCol w:w="869"/>
        <w:gridCol w:w="872"/>
        <w:gridCol w:w="869"/>
        <w:gridCol w:w="872"/>
        <w:gridCol w:w="869"/>
        <w:gridCol w:w="871"/>
        <w:gridCol w:w="869"/>
      </w:tblGrid>
      <w:tr>
        <w:trPr>
          <w:trHeight w:val="402" w:hRule="exact"/>
        </w:trPr>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6" w:right="62"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71"/>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5" w:hRule="exact"/>
        </w:trPr>
        <w:tc>
          <w:tcPr>
            <w:tcW w:w="862" w:type="dxa"/>
            <w:vMerge/>
            <w:tcBorders>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1"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4"/>
        <w:gridCol w:w="1915"/>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0" w:right="45"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8"/>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6"/>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2"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9053"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02"/>
        <w:gridCol w:w="1169"/>
        <w:gridCol w:w="1166"/>
        <w:gridCol w:w="1167"/>
        <w:gridCol w:w="1166"/>
        <w:gridCol w:w="1169"/>
        <w:gridCol w:w="1164"/>
        <w:gridCol w:w="1167"/>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57" w:lineRule="auto" w:before="0"/>
        <w:ind w:left="153" w:right="9053"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line="240" w:lineRule="auto" w:before="7"/>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243"/>
        <w:gridCol w:w="1133"/>
        <w:gridCol w:w="1277"/>
        <w:gridCol w:w="1133"/>
        <w:gridCol w:w="941"/>
        <w:gridCol w:w="643"/>
        <w:gridCol w:w="502"/>
        <w:gridCol w:w="852"/>
        <w:gridCol w:w="425"/>
        <w:gridCol w:w="372"/>
        <w:gridCol w:w="802"/>
        <w:gridCol w:w="805"/>
      </w:tblGrid>
      <w:tr>
        <w:trPr>
          <w:trHeight w:val="161" w:hRule="exact"/>
        </w:trPr>
        <w:tc>
          <w:tcPr>
            <w:tcW w:w="12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45"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2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392" w:hRule="exact"/>
        </w:trPr>
        <w:tc>
          <w:tcPr>
            <w:tcW w:w="1243"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6145" w:type="dxa"/>
            <w:gridSpan w:val="8"/>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2" w:type="dxa"/>
            <w:vMerge/>
            <w:tcBorders>
              <w:left w:val="single" w:sz="4" w:space="0" w:color="000000"/>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r>
      <w:tr>
        <w:trPr>
          <w:trHeight w:val="162" w:hRule="exact"/>
        </w:trPr>
        <w:tc>
          <w:tcPr>
            <w:tcW w:w="1243"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6145"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805"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243"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5" w:right="10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 w:right="41"/>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4" w:right="65"/>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60"/>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 w:right="24"/>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88" w:right="91"/>
              <w:jc w:val="left"/>
              <w:rPr>
                <w:rFonts w:ascii="宋体" w:hAnsi="宋体" w:cs="宋体" w:eastAsia="宋体" w:hint="default"/>
                <w:sz w:val="18"/>
                <w:szCs w:val="18"/>
              </w:rPr>
            </w:pPr>
            <w:r>
              <w:rPr>
                <w:rFonts w:ascii="宋体" w:hAnsi="宋体" w:cs="宋体" w:eastAsia="宋体" w:hint="default"/>
                <w:sz w:val="18"/>
                <w:szCs w:val="18"/>
              </w:rPr>
              <w:t>其 他</w:t>
            </w:r>
          </w:p>
        </w:tc>
        <w:tc>
          <w:tcPr>
            <w:tcW w:w="80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12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012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深圳罗湖蓝海 村镇银行股份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50,015,127.60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824,029.00</w:t>
            </w:r>
          </w:p>
        </w:tc>
        <w:tc>
          <w:tcPr>
            <w:tcW w:w="643"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50,839,15</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6.60</w:t>
            </w:r>
          </w:p>
        </w:tc>
        <w:tc>
          <w:tcPr>
            <w:tcW w:w="80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7"/>
              <w:jc w:val="both"/>
              <w:rPr>
                <w:rFonts w:ascii="宋体" w:hAnsi="宋体" w:cs="宋体" w:eastAsia="宋体" w:hint="default"/>
                <w:sz w:val="18"/>
                <w:szCs w:val="18"/>
              </w:rPr>
            </w:pPr>
            <w:r>
              <w:rPr>
                <w:rFonts w:ascii="宋体" w:hAnsi="宋体" w:cs="宋体" w:eastAsia="宋体" w:hint="default"/>
                <w:sz w:val="18"/>
                <w:szCs w:val="18"/>
              </w:rPr>
              <w:t>深圳嘉道方直 教育产业投资 企业</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-554,382.46</w:t>
            </w:r>
          </w:p>
        </w:tc>
        <w:tc>
          <w:tcPr>
            <w:tcW w:w="643"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29,445,61</w:t>
            </w:r>
          </w:p>
          <w:p>
            <w:pPr>
              <w:pStyle w:val="TableParagraph"/>
              <w:spacing w:line="240" w:lineRule="auto" w:before="102"/>
              <w:ind w:left="456" w:right="0"/>
              <w:jc w:val="left"/>
              <w:rPr>
                <w:rFonts w:ascii="Times New Roman" w:hAnsi="Times New Roman" w:cs="Times New Roman" w:eastAsia="Times New Roman" w:hint="default"/>
                <w:sz w:val="18"/>
                <w:szCs w:val="18"/>
              </w:rPr>
            </w:pPr>
            <w:r>
              <w:rPr>
                <w:rFonts w:ascii="Times New Roman"/>
                <w:sz w:val="18"/>
              </w:rPr>
              <w:t>7.54</w:t>
            </w:r>
          </w:p>
        </w:tc>
        <w:tc>
          <w:tcPr>
            <w:tcW w:w="80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北京千锋互联 科技有限公司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101,467,890.00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101,467,890.0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50,015,127.60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131,467,890.00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101,467,890.0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269,646.54</w:t>
            </w:r>
          </w:p>
        </w:tc>
        <w:tc>
          <w:tcPr>
            <w:tcW w:w="643"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80,284,77</w:t>
            </w:r>
          </w:p>
          <w:p>
            <w:pPr>
              <w:pStyle w:val="TableParagraph"/>
              <w:spacing w:line="240" w:lineRule="auto" w:before="102"/>
              <w:ind w:left="456" w:right="0"/>
              <w:jc w:val="left"/>
              <w:rPr>
                <w:rFonts w:ascii="Times New Roman" w:hAnsi="Times New Roman" w:cs="Times New Roman" w:eastAsia="Times New Roman" w:hint="default"/>
                <w:sz w:val="18"/>
                <w:szCs w:val="18"/>
              </w:rPr>
            </w:pPr>
            <w:r>
              <w:rPr>
                <w:rFonts w:ascii="Times New Roman"/>
                <w:sz w:val="18"/>
              </w:rPr>
              <w:t>4.14</w:t>
            </w:r>
          </w:p>
        </w:tc>
        <w:tc>
          <w:tcPr>
            <w:tcW w:w="80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50,015,127.60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131,467,890.00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101,467,890.0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269,646.54</w:t>
            </w:r>
          </w:p>
        </w:tc>
        <w:tc>
          <w:tcPr>
            <w:tcW w:w="643"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80,284,77</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4.14</w:t>
            </w:r>
          </w:p>
        </w:tc>
        <w:tc>
          <w:tcPr>
            <w:tcW w:w="805"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6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100" w:bottom="1160" w:left="980" w:right="50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093"/>
        <w:gridCol w:w="1419"/>
        <w:gridCol w:w="1270"/>
        <w:gridCol w:w="1594"/>
        <w:gridCol w:w="1597"/>
        <w:gridCol w:w="1594"/>
      </w:tblGrid>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27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15,840,463.91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2,710,035.00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6,132,717.67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1,283,998.44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25,967,215.02</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80,951,822.86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780,758.46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1,657,255.30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83,482,628.62</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780,758.46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1,657,255.30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2,530,805.76</w:t>
            </w:r>
          </w:p>
        </w:tc>
      </w:tr>
      <w:tr>
        <w:trPr>
          <w:trHeight w:val="404"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80,951,822.86</w:t>
            </w: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80,951,822.86</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324,098.43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118,513.88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446,892.31</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324,098.43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118,513.88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446,892.31</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96,792,286.77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2,798,547.00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6,589,377.70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2,822,739.86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109,002,951.33</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1,547,319.92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1,947,353.23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2,600,924.41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855,613.45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6,951,211.01</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2,939,673.13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285,013.65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1,077,017.40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295,717.32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4,597,421.50</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2,939,673.13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285,013.65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1,077,017.40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295,717.32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4,597,421.50</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4,066.00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307,640.22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112,588.19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424,294.41</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4,066.00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307,640.22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112,588.19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424,294.41</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4,486,993.05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2,228,300.88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3,370,301.59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1,038,742.58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11,124,338.10</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2093"/>
        <w:gridCol w:w="1419"/>
        <w:gridCol w:w="1270"/>
        <w:gridCol w:w="1594"/>
        <w:gridCol w:w="1597"/>
        <w:gridCol w:w="1594"/>
      </w:tblGrid>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92,305,293.72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570,246.12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3,219,076.11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1,783,997.28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97,878,613.23</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6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14,293,143.99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762,681.77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3,531,793.26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428,384.99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19,016,004.01</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6"/>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79"/>
        <w:gridCol w:w="4789"/>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创新大厦</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9-11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楼层装修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317,751.00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317,751.00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3,034,348.04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3,034,348.04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创新大厦</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9-11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楼层购房款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74,053,557.00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74,053,557.00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77,087,905.04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77,087,905.04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732"/>
        <w:gridCol w:w="734"/>
        <w:gridCol w:w="737"/>
        <w:gridCol w:w="737"/>
        <w:gridCol w:w="734"/>
        <w:gridCol w:w="737"/>
        <w:gridCol w:w="737"/>
        <w:gridCol w:w="734"/>
        <w:gridCol w:w="737"/>
        <w:gridCol w:w="737"/>
        <w:gridCol w:w="734"/>
        <w:gridCol w:w="737"/>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5"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5"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创新大 厦</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9-11</w:t>
            </w:r>
            <w:r>
              <w:rPr>
                <w:rFonts w:ascii="Times New Roman" w:hAnsi="Times New Roman" w:cs="Times New Roman" w:eastAsia="Times New Roman" w:hint="default"/>
                <w:sz w:val="18"/>
                <w:szCs w:val="18"/>
              </w:rPr>
            </w: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楼层装 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3,034,34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1,828,87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4,471,30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74,170.4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317,751.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4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创新大 厦</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9-11</w:t>
            </w:r>
            <w:r>
              <w:rPr>
                <w:rFonts w:ascii="Times New Roman" w:hAnsi="Times New Roman" w:cs="Times New Roman" w:eastAsia="Times New Roman" w:hint="default"/>
                <w:sz w:val="18"/>
                <w:szCs w:val="18"/>
              </w:rPr>
            </w: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楼层购 房款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76,000,0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74,053,5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57.00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74,053,5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83,500,0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77,087,9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05.04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1,828,87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78,524,8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74,170.4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317,751.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235"/>
        <w:gridCol w:w="1277"/>
        <w:gridCol w:w="1270"/>
        <w:gridCol w:w="1594"/>
        <w:gridCol w:w="1597"/>
        <w:gridCol w:w="1594"/>
      </w:tblGrid>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15,488,448.42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305,302.16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278,171.79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27,130.37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15,793,750.58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9,514,663.37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1,622,073.54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1,622,073.54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11,136,736.91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4"/>
          <w:pgSz w:w="11910" w:h="16840"/>
          <w:pgMar w:footer="979" w:header="8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2235"/>
        <w:gridCol w:w="1277"/>
        <w:gridCol w:w="1270"/>
        <w:gridCol w:w="1594"/>
        <w:gridCol w:w="1597"/>
        <w:gridCol w:w="1594"/>
      </w:tblGrid>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2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4,657,013.67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5,973,785.05</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063"/>
        <w:gridCol w:w="1063"/>
        <w:gridCol w:w="3188"/>
        <w:gridCol w:w="3190"/>
        <w:gridCol w:w="1064"/>
      </w:tblGrid>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51"/>
        <w:gridCol w:w="1277"/>
        <w:gridCol w:w="1133"/>
        <w:gridCol w:w="1106"/>
        <w:gridCol w:w="1369"/>
        <w:gridCol w:w="1366"/>
        <w:gridCol w:w="1368"/>
      </w:tblGrid>
      <w:tr>
        <w:trPr>
          <w:trHeight w:val="716"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0" w:right="67" w:hanging="449"/>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5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深圳市连邦信息技术有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83,940.16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83,940.16</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83,940.16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83,940.16</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65"/>
          <w:pgSz w:w="11910" w:h="16840"/>
          <w:pgMar w:footer="979" w:header="880" w:top="1100" w:bottom="1160" w:left="980" w:right="980"/>
          <w:pgNumType w:start="1"/>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668"/>
        <w:gridCol w:w="1066"/>
        <w:gridCol w:w="2734"/>
        <w:gridCol w:w="2734"/>
        <w:gridCol w:w="1368"/>
      </w:tblGrid>
      <w:tr>
        <w:trPr>
          <w:trHeight w:val="714"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9" w:right="105" w:hanging="89"/>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60" w:lineRule="auto" w:before="50"/>
        <w:ind w:left="153" w:right="5093"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3"/>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235"/>
        <w:gridCol w:w="1277"/>
        <w:gridCol w:w="1272"/>
        <w:gridCol w:w="1594"/>
        <w:gridCol w:w="1594"/>
        <w:gridCol w:w="1596"/>
      </w:tblGrid>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仓库装修费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95,304.57</w:t>
            </w:r>
          </w:p>
        </w:tc>
        <w:tc>
          <w:tcPr>
            <w:tcW w:w="127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30,096.12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65,208.45</w:t>
            </w:r>
          </w:p>
        </w:tc>
      </w:tr>
      <w:tr>
        <w:trPr>
          <w:trHeight w:val="40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5,572.06</w:t>
            </w:r>
          </w:p>
        </w:tc>
        <w:tc>
          <w:tcPr>
            <w:tcW w:w="127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5,572.06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布鲁精灵系列商品使用权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451,689.32</w:t>
            </w:r>
          </w:p>
        </w:tc>
        <w:tc>
          <w:tcPr>
            <w:tcW w:w="127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180,675.73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271,013.59</w:t>
            </w: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云计算资源使用费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66,018.20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34,999.92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31,018.28</w:t>
            </w: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618,584.15</w:t>
            </w:r>
          </w:p>
        </w:tc>
        <w:tc>
          <w:tcPr>
            <w:tcW w:w="127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251,343.83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367,240.32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1"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4,028,148.62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700,582.02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2,725,730.61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506,384.85</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4,028,148.62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700,582.02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2,725,730.61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506,384.85</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4,123,017.40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618,452.61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3,566,293.29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534,943.99</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4,123,017.40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618,452.61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3,566,293.29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534,943.99</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7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5"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14"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700,582.02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506,384.85</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618,452.61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534,943.99</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618,242.20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618,242.20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9,031,416.72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6,028,563.15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3,623,370.96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4,676,549.23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2,012,931.71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14,667,719.39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10,705,112.38</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广东威雅光电有限公司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694,734.58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694,734.58</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732,633.00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898,167.98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48,160.50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144,599.30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1,876.92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732,633.00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1,092,804.70</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6"/>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79"/>
        <w:gridCol w:w="4789"/>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2,754,141.01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34,899,387.40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35,587,069.03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2,066,459.38</w:t>
            </w:r>
          </w:p>
        </w:tc>
      </w:tr>
      <w:tr>
        <w:trPr>
          <w:trHeight w:val="7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4"/>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2,046,933.89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2,046,933.89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2,754,141.01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36,946,321.29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37,634,002.92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2,066,459.38</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 和补贴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2,754,141.01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32,673,746.69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33,361,428.32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2,066,459.38</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741,873.91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741,873.91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885,252.45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885,252.45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778,786.20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778,786.20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28,692.64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28,692.64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77,773.61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77,773.61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598,514.35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598,514.35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2,754,141.01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34,899,387.40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35,587,069.03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2,066,459.38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1,980,108.09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1,980,108.09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66,825.80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66,825.80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2,046,933.89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2,046,933.89</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102,810.73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3,994.03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8,187.14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9,665.24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310,699.81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170,316.59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4,558.78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3,227.69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6,900.45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2,637.21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432,565.67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191,762.33</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116,800.48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78,268.88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版权费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3,671,487.04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6,134,737.76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1,352,814.57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64,447.92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5,141,102.09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6,277,454.56</w:t>
            </w:r>
          </w:p>
        </w:tc>
      </w:tr>
    </w:tbl>
    <w:p>
      <w:pPr>
        <w:spacing w:line="240" w:lineRule="auto" w:before="6"/>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797"/>
        <w:gridCol w:w="799"/>
        <w:gridCol w:w="797"/>
        <w:gridCol w:w="799"/>
        <w:gridCol w:w="797"/>
        <w:gridCol w:w="800"/>
        <w:gridCol w:w="797"/>
        <w:gridCol w:w="799"/>
        <w:gridCol w:w="797"/>
        <w:gridCol w:w="799"/>
        <w:gridCol w:w="798"/>
        <w:gridCol w:w="798"/>
      </w:tblGrid>
      <w:tr>
        <w:trPr>
          <w:trHeight w:val="71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35"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5" w:right="32"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2" w:lineRule="auto" w:before="49"/>
        <w:ind w:left="153" w:right="7613"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2"/>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80" w:footer="979" w:top="1100" w:bottom="1160" w:left="980" w:right="980"/>
        </w:sectPr>
      </w:pPr>
    </w:p>
    <w:p>
      <w:pPr>
        <w:spacing w:line="357" w:lineRule="auto"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4" w:space="4175"/>
            <w:col w:w="1121"/>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066"/>
        <w:gridCol w:w="1066"/>
        <w:gridCol w:w="1064"/>
        <w:gridCol w:w="1063"/>
        <w:gridCol w:w="1064"/>
        <w:gridCol w:w="1061"/>
        <w:gridCol w:w="1064"/>
        <w:gridCol w:w="1061"/>
        <w:gridCol w:w="1064"/>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3" w:right="6533"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3"/>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2" w:lineRule="auto" w:before="49"/>
        <w:ind w:left="153" w:right="257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810"/>
        <w:gridCol w:w="1561"/>
        <w:gridCol w:w="1414"/>
        <w:gridCol w:w="1594"/>
        <w:gridCol w:w="1594"/>
        <w:gridCol w:w="1596"/>
      </w:tblGrid>
      <w:tr>
        <w:trPr>
          <w:trHeight w:val="401"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2,883,635.82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1,101,089.95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2,582,545.87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在线培训递延收益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393,140.27</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393,140.27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810"/>
        <w:gridCol w:w="1561"/>
        <w:gridCol w:w="1414"/>
        <w:gridCol w:w="1594"/>
        <w:gridCol w:w="1594"/>
        <w:gridCol w:w="1596"/>
      </w:tblGrid>
      <w:tr>
        <w:trPr>
          <w:trHeight w:val="36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（金太阳口语专家）</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3,276,776.09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1,494,230.22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2,582,545.87</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26"/>
        <w:gridCol w:w="1136"/>
        <w:gridCol w:w="991"/>
        <w:gridCol w:w="1277"/>
        <w:gridCol w:w="991"/>
        <w:gridCol w:w="992"/>
        <w:gridCol w:w="530"/>
        <w:gridCol w:w="1063"/>
        <w:gridCol w:w="1064"/>
      </w:tblGrid>
      <w:tr>
        <w:trPr>
          <w:trHeight w:val="71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0" w:right="3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82" w:right="93"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0" w:right="3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0" w:right="39"/>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9" w:right="79"/>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102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）基于互联网 的中小学英语在线 智能记忆平台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11,255.58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11,255.58</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）基于云计算 的教育质量监测与 评价系统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132,036.50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69,999.96</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62,036.54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）外语互动学 习平台创新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154,997.15</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50,000.04</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104,997.11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）中小学教育 游戏平台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141,679.81</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49,182.00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92,497.81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）基于移动平 台的小学英语同步 课程资源系统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317,000.06</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99,999.96</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217,000.10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的云智能个性化教 育综合互动平台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2,126,666.72</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579,999.96</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1,546,666.76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广东特支计 划</w:t>
            </w:r>
            <w:r>
              <w:rPr>
                <w:rFonts w:ascii="Times New Roman" w:hAnsi="Times New Roman" w:cs="Times New Roman" w:eastAsia="Times New Roman" w:hint="default"/>
                <w:sz w:val="18"/>
                <w:szCs w:val="18"/>
              </w:rPr>
              <w:t>"</w:t>
            </w:r>
            <w:r>
              <w:rPr>
                <w:rFonts w:ascii="宋体" w:hAnsi="宋体" w:cs="宋体" w:eastAsia="宋体" w:hint="default"/>
                <w:sz w:val="18"/>
                <w:szCs w:val="18"/>
              </w:rPr>
              <w:t>科技创业领军 人才</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240,652.45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559,347.55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2,883,635.82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1,101,089.95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2,582,545.87</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408" w:lineRule="auto" w:before="0"/>
        <w:ind w:right="146" w:firstLine="439"/>
        <w:jc w:val="both"/>
      </w:pPr>
      <w:r>
        <w:rPr>
          <w:rFonts w:ascii="宋体" w:hAnsi="宋体" w:cs="宋体" w:eastAsia="宋体" w:hint="default"/>
        </w:rPr>
        <w:t>1</w:t>
      </w:r>
      <w:r>
        <w:rPr/>
        <w:t>）根据深圳市发展与改革委员会的深发改</w:t>
      </w:r>
      <w:r>
        <w:rPr>
          <w:rFonts w:ascii="宋体" w:hAnsi="宋体" w:cs="宋体" w:eastAsia="宋体" w:hint="default"/>
        </w:rPr>
        <w:t>[2011]1673</w:t>
      </w:r>
      <w:r>
        <w:rPr/>
        <w:t>号文件相关规定，本公司获得深圳市科技工贸</w:t>
      </w:r>
      <w:r>
        <w:rPr>
          <w:w w:val="100"/>
        </w:rPr>
        <w:t> </w:t>
      </w:r>
      <w:r>
        <w:rPr>
          <w:spacing w:val="-2"/>
        </w:rPr>
        <w:t>和信息化委员会的深圳市生物、互联网、新能源产业发展专项基金项目基于互联网的中小学英语在线智能</w:t>
      </w:r>
      <w:r>
        <w:rPr>
          <w:spacing w:val="-43"/>
        </w:rPr>
        <w:t> </w:t>
      </w:r>
      <w:r>
        <w:rPr>
          <w:spacing w:val="-43"/>
        </w:rPr>
      </w:r>
      <w:r>
        <w:rPr/>
        <w:t>记忆平台无偿资助款</w:t>
      </w:r>
      <w:r>
        <w:rPr>
          <w:rFonts w:ascii="宋体" w:hAnsi="宋体" w:cs="宋体" w:eastAsia="宋体" w:hint="default"/>
        </w:rPr>
        <w:t>80</w:t>
      </w:r>
      <w:r>
        <w:rPr/>
        <w:t>万元。截止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日，该项目已结转收益</w:t>
      </w:r>
      <w:r>
        <w:rPr>
          <w:rFonts w:ascii="宋体" w:hAnsi="宋体" w:cs="宋体" w:eastAsia="宋体" w:hint="default"/>
        </w:rPr>
        <w:t>800,000.00</w:t>
      </w:r>
      <w:r>
        <w:rPr/>
        <w:t>元。</w:t>
      </w:r>
    </w:p>
    <w:p>
      <w:pPr>
        <w:pStyle w:val="BodyText"/>
        <w:spacing w:line="408" w:lineRule="auto"/>
        <w:ind w:right="150" w:firstLine="439"/>
        <w:jc w:val="both"/>
      </w:pPr>
      <w:r>
        <w:rPr>
          <w:rFonts w:ascii="宋体" w:hAnsi="宋体" w:cs="宋体" w:eastAsia="宋体" w:hint="default"/>
        </w:rPr>
        <w:t>2</w:t>
      </w:r>
      <w:r>
        <w:rPr/>
        <w:t>）根据深圳市发展与改革委员会的深发改</w:t>
      </w:r>
      <w:r>
        <w:rPr>
          <w:rFonts w:ascii="宋体" w:hAnsi="宋体" w:cs="宋体" w:eastAsia="宋体" w:hint="default"/>
        </w:rPr>
        <w:t>[2012]1241</w:t>
      </w:r>
      <w:r>
        <w:rPr/>
        <w:t>号文件相关规定，本公司获得深圳市科技创新</w:t>
      </w:r>
      <w:r>
        <w:rPr>
          <w:w w:val="100"/>
        </w:rPr>
        <w:t> </w:t>
      </w:r>
      <w:r>
        <w:rPr/>
        <w:t>委员会的深圳市战略性新兴产业发展专项资金项目基于云计算的教育质量监测与评价系统无偿资助款</w:t>
      </w:r>
      <w:r>
        <w:rPr>
          <w:rFonts w:ascii="宋体" w:hAnsi="宋体" w:cs="宋体" w:eastAsia="宋体" w:hint="default"/>
        </w:rPr>
        <w:t>200</w:t>
      </w:r>
      <w:r>
        <w:rPr>
          <w:rFonts w:ascii="宋体" w:hAnsi="宋体" w:cs="宋体" w:eastAsia="宋体" w:hint="default"/>
          <w:spacing w:val="-23"/>
        </w:rPr>
        <w:t> </w:t>
      </w:r>
      <w:r>
        <w:rPr>
          <w:rFonts w:ascii="宋体" w:hAnsi="宋体" w:cs="宋体" w:eastAsia="宋体" w:hint="default"/>
          <w:spacing w:val="-23"/>
        </w:rPr>
      </w:r>
      <w:r>
        <w:rPr/>
        <w:t>万元。截止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日，该项目资金补助已结转收益</w:t>
      </w:r>
      <w:r>
        <w:rPr>
          <w:rFonts w:ascii="宋体" w:hAnsi="宋体" w:cs="宋体" w:eastAsia="宋体" w:hint="default"/>
        </w:rPr>
        <w:t>1,937,963.46</w:t>
      </w:r>
      <w:r>
        <w:rPr/>
        <w:t>元。</w:t>
      </w:r>
    </w:p>
    <w:p>
      <w:pPr>
        <w:pStyle w:val="BodyText"/>
        <w:spacing w:line="408" w:lineRule="auto"/>
        <w:ind w:right="148" w:firstLine="439"/>
        <w:jc w:val="both"/>
      </w:pPr>
      <w:r>
        <w:rPr>
          <w:rFonts w:ascii="宋体" w:hAnsi="宋体" w:cs="宋体" w:eastAsia="宋体" w:hint="default"/>
          <w:spacing w:val="-3"/>
        </w:rPr>
        <w:t>3</w:t>
      </w:r>
      <w:r>
        <w:rPr>
          <w:spacing w:val="-3"/>
        </w:rPr>
        <w:t>）根据深圳市发展与改革委员会深发改</w:t>
      </w:r>
      <w:r>
        <w:rPr>
          <w:rFonts w:ascii="宋体" w:hAnsi="宋体" w:cs="宋体" w:eastAsia="宋体" w:hint="default"/>
          <w:spacing w:val="-3"/>
        </w:rPr>
        <w:t>[2013]535</w:t>
      </w:r>
      <w:r>
        <w:rPr>
          <w:spacing w:val="-3"/>
        </w:rPr>
        <w:t>号文件相关规定，本公司获得深圳市经济贸易和信</w:t>
      </w:r>
      <w:r>
        <w:rPr>
          <w:w w:val="100"/>
        </w:rPr>
        <w:t> </w:t>
      </w:r>
      <w:r>
        <w:rPr>
          <w:spacing w:val="2"/>
        </w:rPr>
        <w:t>息化委员会的外语互动学习平台创新项目无偿资助款</w:t>
      </w:r>
      <w:r>
        <w:rPr>
          <w:rFonts w:ascii="宋体" w:hAnsi="宋体" w:cs="宋体" w:eastAsia="宋体" w:hint="default"/>
          <w:spacing w:val="2"/>
        </w:rPr>
        <w:t>80</w:t>
      </w:r>
      <w:r>
        <w:rPr>
          <w:spacing w:val="2"/>
        </w:rPr>
        <w:t>万元。截止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日，该项目已结转收益</w:t>
      </w:r>
      <w:r>
        <w:rPr>
          <w:spacing w:val="-31"/>
        </w:rPr>
        <w:t> </w:t>
      </w:r>
      <w:r>
        <w:rPr>
          <w:spacing w:val="-31"/>
        </w:rPr>
      </w:r>
      <w:r>
        <w:rPr>
          <w:rFonts w:ascii="宋体" w:hAnsi="宋体" w:cs="宋体" w:eastAsia="宋体" w:hint="default"/>
        </w:rPr>
        <w:t>695,002.89</w:t>
      </w:r>
      <w:r>
        <w:rPr/>
        <w:t>元。</w:t>
      </w:r>
    </w:p>
    <w:p>
      <w:pPr>
        <w:spacing w:after="0" w:line="408" w:lineRule="auto"/>
        <w:jc w:val="both"/>
        <w:sectPr>
          <w:footerReference w:type="default" r:id="rId66"/>
          <w:pgSz w:w="11910" w:h="16840"/>
          <w:pgMar w:footer="979" w:header="880" w:top="1100" w:bottom="1160" w:left="980" w:right="980"/>
        </w:sectPr>
      </w:pPr>
    </w:p>
    <w:p>
      <w:pPr>
        <w:spacing w:line="240" w:lineRule="auto" w:before="12"/>
        <w:rPr>
          <w:rFonts w:ascii="宋体" w:hAnsi="宋体" w:cs="宋体" w:eastAsia="宋体" w:hint="default"/>
          <w:sz w:val="26"/>
          <w:szCs w:val="26"/>
        </w:rPr>
      </w:pPr>
    </w:p>
    <w:p>
      <w:pPr>
        <w:pStyle w:val="BodyText"/>
        <w:spacing w:line="408" w:lineRule="auto" w:before="36"/>
        <w:ind w:right="132" w:firstLine="439"/>
        <w:jc w:val="both"/>
      </w:pPr>
      <w:r>
        <w:rPr>
          <w:rFonts w:ascii="宋体" w:hAnsi="宋体" w:cs="宋体" w:eastAsia="宋体" w:hint="default"/>
          <w:spacing w:val="-5"/>
        </w:rPr>
        <w:t>4</w:t>
      </w:r>
      <w:r>
        <w:rPr>
          <w:spacing w:val="-5"/>
        </w:rPr>
        <w:t>）为落实《深圳市文化创意产业发展专项资金管理办法》所规定的优惠政策，本公司获得深圳市文体</w:t>
      </w:r>
      <w:r>
        <w:rPr>
          <w:w w:val="100"/>
        </w:rPr>
        <w:t> </w:t>
      </w:r>
      <w:r>
        <w:rPr>
          <w:spacing w:val="17"/>
        </w:rPr>
        <w:t>旅游局的中小学教育游戏平台项目无偿资助款</w:t>
      </w:r>
      <w:r>
        <w:rPr>
          <w:spacing w:val="-75"/>
        </w:rPr>
        <w:t> </w:t>
      </w:r>
      <w:r>
        <w:rPr>
          <w:rFonts w:ascii="宋体" w:hAnsi="宋体" w:cs="宋体" w:eastAsia="宋体" w:hint="default"/>
        </w:rPr>
        <w:t>91</w:t>
      </w:r>
      <w:r>
        <w:rPr>
          <w:rFonts w:ascii="宋体" w:hAnsi="宋体" w:cs="宋体" w:eastAsia="宋体" w:hint="default"/>
          <w:spacing w:val="-79"/>
        </w:rPr>
        <w:t> </w:t>
      </w:r>
      <w:r>
        <w:rPr>
          <w:spacing w:val="14"/>
        </w:rPr>
        <w:t>万元。截止</w:t>
      </w:r>
      <w:r>
        <w:rPr>
          <w:spacing w:val="-76"/>
        </w:rPr>
        <w:t> </w:t>
      </w:r>
      <w:r>
        <w:rPr>
          <w:rFonts w:ascii="宋体" w:hAnsi="宋体" w:cs="宋体" w:eastAsia="宋体" w:hint="default"/>
        </w:rPr>
        <w:t>2017</w:t>
      </w:r>
      <w:r>
        <w:rPr>
          <w:rFonts w:ascii="宋体" w:hAnsi="宋体" w:cs="宋体" w:eastAsia="宋体" w:hint="default"/>
          <w:spacing w:val="-79"/>
        </w:rPr>
        <w:t> </w:t>
      </w:r>
      <w:r>
        <w:rPr/>
        <w:t>年</w:t>
      </w:r>
      <w:r>
        <w:rPr>
          <w:spacing w:val="-75"/>
        </w:rPr>
        <w:t> </w:t>
      </w:r>
      <w:r>
        <w:rPr>
          <w:rFonts w:ascii="宋体" w:hAnsi="宋体" w:cs="宋体" w:eastAsia="宋体" w:hint="default"/>
        </w:rPr>
        <w:t>12</w:t>
      </w:r>
      <w:r>
        <w:rPr>
          <w:rFonts w:ascii="宋体" w:hAnsi="宋体" w:cs="宋体" w:eastAsia="宋体" w:hint="default"/>
          <w:spacing w:val="-79"/>
        </w:rPr>
        <w:t> </w:t>
      </w:r>
      <w:r>
        <w:rPr/>
        <w:t>月</w:t>
      </w:r>
      <w:r>
        <w:rPr>
          <w:spacing w:val="-79"/>
        </w:rPr>
        <w:t> </w:t>
      </w:r>
      <w:r>
        <w:rPr>
          <w:rFonts w:ascii="宋体" w:hAnsi="宋体" w:cs="宋体" w:eastAsia="宋体" w:hint="default"/>
        </w:rPr>
        <w:t>31</w:t>
      </w:r>
      <w:r>
        <w:rPr>
          <w:rFonts w:ascii="宋体" w:hAnsi="宋体" w:cs="宋体" w:eastAsia="宋体" w:hint="default"/>
          <w:spacing w:val="-79"/>
        </w:rPr>
        <w:t> </w:t>
      </w:r>
      <w:r>
        <w:rPr>
          <w:spacing w:val="16"/>
        </w:rPr>
        <w:t>日，该项目已结转收益</w:t>
      </w:r>
      <w:r>
        <w:rPr>
          <w:spacing w:val="-91"/>
        </w:rPr>
        <w:t> </w:t>
      </w:r>
      <w:r>
        <w:rPr>
          <w:rFonts w:ascii="宋体" w:hAnsi="宋体" w:cs="宋体" w:eastAsia="宋体" w:hint="default"/>
        </w:rPr>
        <w:t>817,502.19</w:t>
      </w:r>
      <w:r>
        <w:rPr/>
        <w:t>元。</w:t>
      </w:r>
    </w:p>
    <w:p>
      <w:pPr>
        <w:pStyle w:val="BodyText"/>
        <w:spacing w:line="408" w:lineRule="auto"/>
        <w:ind w:right="148" w:firstLine="439"/>
        <w:jc w:val="both"/>
      </w:pPr>
      <w:r>
        <w:rPr>
          <w:rFonts w:ascii="宋体" w:hAnsi="宋体" w:cs="宋体" w:eastAsia="宋体" w:hint="default"/>
          <w:spacing w:val="-3"/>
        </w:rPr>
        <w:t>5</w:t>
      </w:r>
      <w:r>
        <w:rPr>
          <w:spacing w:val="-3"/>
        </w:rPr>
        <w:t>）为落实深圳市发展与改革委员会的深发改</w:t>
      </w:r>
      <w:r>
        <w:rPr>
          <w:rFonts w:ascii="宋体" w:hAnsi="宋体" w:cs="宋体" w:eastAsia="宋体" w:hint="default"/>
          <w:spacing w:val="-3"/>
        </w:rPr>
        <w:t>[2014]939</w:t>
      </w:r>
      <w:r>
        <w:rPr>
          <w:spacing w:val="-3"/>
        </w:rPr>
        <w:t>号文件相关规定，本公司获得深圳市科技创新</w:t>
      </w:r>
      <w:r>
        <w:rPr>
          <w:w w:val="100"/>
        </w:rPr>
        <w:t> </w:t>
      </w:r>
      <w:r>
        <w:rPr/>
        <w:t>委员会的基于移动平台的小学英语同步课程资源系统无偿资助款</w:t>
      </w:r>
      <w:r>
        <w:rPr>
          <w:rFonts w:ascii="宋体" w:hAnsi="宋体" w:cs="宋体" w:eastAsia="宋体" w:hint="default"/>
        </w:rPr>
        <w:t>100</w:t>
      </w:r>
      <w:r>
        <w:rPr/>
        <w:t>万元。截止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日，该项目</w:t>
      </w:r>
      <w:r>
        <w:rPr>
          <w:spacing w:val="-28"/>
        </w:rPr>
        <w:t> </w:t>
      </w:r>
      <w:r>
        <w:rPr>
          <w:spacing w:val="-28"/>
        </w:rPr>
      </w:r>
      <w:r>
        <w:rPr/>
        <w:t>已结转收益</w:t>
      </w:r>
      <w:r>
        <w:rPr>
          <w:rFonts w:ascii="宋体" w:hAnsi="宋体" w:cs="宋体" w:eastAsia="宋体" w:hint="default"/>
        </w:rPr>
        <w:t>782,999.90</w:t>
      </w:r>
      <w:r>
        <w:rPr/>
        <w:t>元。</w:t>
      </w:r>
    </w:p>
    <w:p>
      <w:pPr>
        <w:pStyle w:val="BodyText"/>
        <w:spacing w:line="408" w:lineRule="auto"/>
        <w:ind w:right="146" w:firstLine="439"/>
        <w:jc w:val="both"/>
      </w:pPr>
      <w:r>
        <w:rPr>
          <w:rFonts w:ascii="宋体" w:hAnsi="宋体" w:cs="宋体" w:eastAsia="宋体" w:hint="default"/>
          <w:spacing w:val="-3"/>
        </w:rPr>
        <w:t>6</w:t>
      </w:r>
      <w:r>
        <w:rPr>
          <w:spacing w:val="-3"/>
        </w:rPr>
        <w:t>）根据深发改</w:t>
      </w:r>
      <w:r>
        <w:rPr>
          <w:rFonts w:ascii="宋体" w:hAnsi="宋体" w:cs="宋体" w:eastAsia="宋体" w:hint="default"/>
          <w:spacing w:val="-3"/>
        </w:rPr>
        <w:t>[2013]535</w:t>
      </w:r>
      <w:r>
        <w:rPr>
          <w:spacing w:val="-3"/>
        </w:rPr>
        <w:t>号文件相关规定，本公司获得深圳市发展改革委员会、深圳市经济贸易和信</w:t>
      </w:r>
      <w:r>
        <w:rPr>
          <w:w w:val="100"/>
        </w:rPr>
        <w:t> </w:t>
      </w:r>
      <w:r>
        <w:rPr>
          <w:spacing w:val="-2"/>
        </w:rPr>
        <w:t>息化委员会、深圳市科技创新委员会、深圳市财政委员会文件的深圳市战略性新兴产业发展专项资金项目</w:t>
      </w:r>
      <w:r>
        <w:rPr>
          <w:spacing w:val="-44"/>
        </w:rPr>
        <w:t> </w:t>
      </w:r>
      <w:r>
        <w:rPr>
          <w:spacing w:val="-44"/>
        </w:rPr>
      </w:r>
      <w:r>
        <w:rPr/>
        <w:t>基于</w:t>
      </w:r>
      <w:r>
        <w:rPr>
          <w:rFonts w:ascii="宋体" w:hAnsi="宋体" w:cs="宋体" w:eastAsia="宋体" w:hint="default"/>
        </w:rPr>
        <w:t>SAAS</w:t>
      </w:r>
      <w:r>
        <w:rPr/>
        <w:t>的云智能个性化教育综合互动平台无偿资助</w:t>
      </w:r>
      <w:r>
        <w:rPr>
          <w:rFonts w:ascii="宋体" w:hAnsi="宋体" w:cs="宋体" w:eastAsia="宋体" w:hint="default"/>
        </w:rPr>
        <w:t>290</w:t>
      </w:r>
      <w:r>
        <w:rPr/>
        <w:t>万元。截止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日，该项目已结转收益</w:t>
      </w:r>
      <w:r>
        <w:rPr>
          <w:spacing w:val="-26"/>
        </w:rPr>
        <w:t> </w:t>
      </w:r>
      <w:r>
        <w:rPr>
          <w:spacing w:val="-26"/>
        </w:rPr>
      </w:r>
      <w:r>
        <w:rPr>
          <w:rFonts w:ascii="宋体" w:hAnsi="宋体" w:cs="宋体" w:eastAsia="宋体" w:hint="default"/>
        </w:rPr>
        <w:t>1,353,333.24</w:t>
      </w:r>
      <w:r>
        <w:rPr/>
        <w:t>元。</w:t>
      </w:r>
    </w:p>
    <w:p>
      <w:pPr>
        <w:pStyle w:val="BodyText"/>
        <w:spacing w:line="408" w:lineRule="auto"/>
        <w:ind w:right="148" w:firstLine="439"/>
        <w:jc w:val="both"/>
      </w:pPr>
      <w:r>
        <w:rPr>
          <w:rFonts w:ascii="宋体" w:hAnsi="宋体" w:cs="宋体" w:eastAsia="宋体" w:hint="default"/>
          <w:spacing w:val="-5"/>
        </w:rPr>
        <w:t>7</w:t>
      </w:r>
      <w:r>
        <w:rPr>
          <w:spacing w:val="-5"/>
        </w:rPr>
        <w:t>）为落实《广东省培养高层次人才特殊支持计划》以及《广东省实施“广东特支计划”专项资金管理</w:t>
      </w:r>
      <w:r>
        <w:rPr>
          <w:w w:val="100"/>
        </w:rPr>
        <w:t> </w:t>
      </w:r>
      <w:r>
        <w:rPr>
          <w:spacing w:val="-6"/>
        </w:rPr>
        <w:t>办法》所规定的政策，本公司获得广东省科学技术厅拨付的省财政专项经费</w:t>
      </w:r>
      <w:r>
        <w:rPr>
          <w:rFonts w:ascii="宋体" w:hAnsi="宋体" w:cs="宋体" w:eastAsia="宋体" w:hint="default"/>
          <w:spacing w:val="-6"/>
        </w:rPr>
        <w:t>80</w:t>
      </w:r>
      <w:r>
        <w:rPr>
          <w:spacing w:val="-6"/>
        </w:rPr>
        <w:t>万元。截止</w:t>
      </w:r>
      <w:r>
        <w:rPr>
          <w:rFonts w:ascii="宋体" w:hAnsi="宋体" w:cs="宋体" w:eastAsia="宋体" w:hint="default"/>
          <w:spacing w:val="-6"/>
        </w:rPr>
        <w:t>2017</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w:t>
      </w:r>
      <w:r>
        <w:rPr>
          <w:spacing w:val="-43"/>
        </w:rPr>
        <w:t> </w:t>
      </w:r>
      <w:r>
        <w:rPr/>
        <w:t>该项目已结转收益</w:t>
      </w:r>
      <w:r>
        <w:rPr>
          <w:rFonts w:ascii="宋体" w:hAnsi="宋体" w:cs="宋体" w:eastAsia="宋体" w:hint="default"/>
        </w:rPr>
        <w:t>240,652.45</w:t>
      </w:r>
      <w:r>
        <w:rPr/>
        <w:t>元。</w:t>
      </w:r>
    </w:p>
    <w:p>
      <w:pPr>
        <w:spacing w:line="240" w:lineRule="auto" w:before="6"/>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195"/>
        <w:gridCol w:w="1196"/>
        <w:gridCol w:w="1198"/>
        <w:gridCol w:w="1196"/>
        <w:gridCol w:w="1195"/>
        <w:gridCol w:w="1198"/>
        <w:gridCol w:w="1196"/>
        <w:gridCol w:w="1194"/>
      </w:tblGrid>
      <w:tr>
        <w:trPr>
          <w:trHeight w:val="401"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158,400,000.00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9,431,090.00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9,431,090.00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167,831,090.00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408" w:lineRule="auto" w:before="0"/>
        <w:ind w:right="146" w:firstLine="439"/>
        <w:jc w:val="both"/>
      </w:pPr>
      <w:r>
        <w:rPr>
          <w:spacing w:val="-3"/>
        </w:rPr>
        <w:t>经中国证券监督管理委员会《关于标准深圳市方直科技股份有限公司非公开以行股票的批复》（证监</w:t>
      </w:r>
      <w:r>
        <w:rPr>
          <w:w w:val="100"/>
        </w:rPr>
        <w:t> </w:t>
      </w:r>
      <w:r>
        <w:rPr>
          <w:spacing w:val="-2"/>
        </w:rPr>
        <w:t>许可</w:t>
      </w:r>
      <w:r>
        <w:rPr>
          <w:rFonts w:ascii="宋体" w:hAnsi="宋体" w:cs="宋体" w:eastAsia="宋体" w:hint="default"/>
          <w:spacing w:val="-2"/>
        </w:rPr>
        <w:t>[2017]56</w:t>
      </w:r>
      <w:r>
        <w:rPr>
          <w:spacing w:val="-2"/>
        </w:rPr>
        <w:t>号），本公司向特定对象非公开发行普通股</w:t>
      </w:r>
      <w:r>
        <w:rPr>
          <w:rFonts w:ascii="宋体" w:hAnsi="宋体" w:cs="宋体" w:eastAsia="宋体" w:hint="default"/>
          <w:spacing w:val="-2"/>
        </w:rPr>
        <w:t>A</w:t>
      </w:r>
      <w:r>
        <w:rPr>
          <w:spacing w:val="-2"/>
        </w:rPr>
        <w:t>股</w:t>
      </w:r>
      <w:r>
        <w:rPr>
          <w:rFonts w:ascii="宋体" w:hAnsi="宋体" w:cs="宋体" w:eastAsia="宋体" w:hint="default"/>
          <w:spacing w:val="-2"/>
        </w:rPr>
        <w:t>9,431,090</w:t>
      </w:r>
      <w:r>
        <w:rPr>
          <w:spacing w:val="-2"/>
        </w:rPr>
        <w:t>股，增发后的注册资本增至人民币</w:t>
      </w:r>
      <w:r>
        <w:rPr>
          <w:spacing w:val="-26"/>
        </w:rPr>
        <w:t> </w:t>
      </w:r>
      <w:r>
        <w:rPr>
          <w:spacing w:val="-26"/>
        </w:rPr>
      </w:r>
      <w:r>
        <w:rPr>
          <w:rFonts w:ascii="宋体" w:hAnsi="宋体" w:cs="宋体" w:eastAsia="宋体" w:hint="default"/>
          <w:spacing w:val="-2"/>
        </w:rPr>
        <w:t>167,831,090.00</w:t>
      </w:r>
      <w:r>
        <w:rPr>
          <w:spacing w:val="-2"/>
        </w:rPr>
        <w:t>元，已经大华会计师事务所（特殊普通合伙）“大华验字</w:t>
      </w:r>
      <w:r>
        <w:rPr>
          <w:rFonts w:ascii="宋体" w:hAnsi="宋体" w:cs="宋体" w:eastAsia="宋体" w:hint="default"/>
          <w:spacing w:val="-2"/>
        </w:rPr>
        <w:t>[2017]000151</w:t>
      </w:r>
      <w:r>
        <w:rPr>
          <w:spacing w:val="-2"/>
        </w:rPr>
        <w:t>号”验资报告予以</w:t>
      </w:r>
      <w:r>
        <w:rPr>
          <w:spacing w:val="-20"/>
        </w:rPr>
        <w:t> </w:t>
      </w:r>
      <w:r>
        <w:rPr>
          <w:spacing w:val="-20"/>
        </w:rPr>
      </w:r>
      <w:r>
        <w:rPr/>
        <w:t>验证。</w:t>
      </w:r>
    </w:p>
    <w:p>
      <w:pPr>
        <w:spacing w:after="0" w:line="408" w:lineRule="auto"/>
        <w:jc w:val="both"/>
        <w:sectPr>
          <w:footerReference w:type="default" r:id="rId67"/>
          <w:pgSz w:w="11910" w:h="16840"/>
          <w:pgMar w:footer="979" w:header="880" w:top="1100" w:bottom="1160" w:left="980" w:right="980"/>
          <w:pgNumType w:start="1"/>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066"/>
        <w:gridCol w:w="1066"/>
        <w:gridCol w:w="1064"/>
        <w:gridCol w:w="1063"/>
        <w:gridCol w:w="1064"/>
        <w:gridCol w:w="1061"/>
        <w:gridCol w:w="1064"/>
        <w:gridCol w:w="1061"/>
        <w:gridCol w:w="1064"/>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49"/>
        <w:ind w:left="153" w:right="365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2"/>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62,580,990.76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219,166,589.76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281,747,580.52</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62,580,990.76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219,166,589.76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281,747,580.52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rPr>
          <w:rFonts w:ascii="宋体" w:hAnsi="宋体" w:cs="宋体" w:eastAsia="宋体" w:hint="default"/>
        </w:rPr>
      </w:pPr>
      <w:r>
        <w:rPr/>
        <w:t>经中国证券监督管理委员会《关于标准深圳市方直科技股份有限公司非公开发行股票的批复》（证</w:t>
      </w:r>
      <w:r>
        <w:rPr>
          <w:w w:val="100"/>
        </w:rPr>
        <w:t> </w:t>
      </w:r>
      <w:r>
        <w:rPr/>
        <w:t>监许可</w:t>
      </w:r>
      <w:r>
        <w:rPr>
          <w:rFonts w:ascii="宋体" w:hAnsi="宋体" w:cs="宋体" w:eastAsia="宋体" w:hint="default"/>
        </w:rPr>
        <w:t>[2017]56</w:t>
      </w:r>
      <w:r>
        <w:rPr/>
        <w:t>号），本公司向特定对象非公开发行普通股</w:t>
      </w:r>
      <w:r>
        <w:rPr>
          <w:rFonts w:ascii="宋体" w:hAnsi="宋体" w:cs="宋体" w:eastAsia="宋体" w:hint="default"/>
        </w:rPr>
        <w:t>A</w:t>
      </w:r>
      <w:r>
        <w:rPr/>
        <w:t>股</w:t>
      </w:r>
      <w:r>
        <w:rPr>
          <w:rFonts w:ascii="宋体" w:hAnsi="宋体" w:cs="宋体" w:eastAsia="宋体" w:hint="default"/>
        </w:rPr>
        <w:t>9,431,090</w:t>
      </w:r>
      <w:r>
        <w:rPr/>
        <w:t>股，每股发行价人民币</w:t>
      </w:r>
      <w:r>
        <w:rPr>
          <w:rFonts w:ascii="宋体" w:hAnsi="宋体" w:cs="宋体" w:eastAsia="宋体" w:hint="default"/>
        </w:rPr>
        <w:t>25.30</w:t>
      </w:r>
      <w:r>
        <w:rPr>
          <w:rFonts w:ascii="宋体" w:hAnsi="宋体" w:cs="宋体" w:eastAsia="宋体" w:hint="default"/>
          <w:w w:val="100"/>
        </w:rPr>
        <w:t> </w:t>
      </w:r>
      <w:r>
        <w:rPr>
          <w:spacing w:val="-2"/>
        </w:rPr>
        <w:t>元，募集资金总计</w:t>
      </w:r>
      <w:r>
        <w:rPr>
          <w:rFonts w:ascii="宋体" w:hAnsi="宋体" w:cs="宋体" w:eastAsia="宋体" w:hint="default"/>
          <w:spacing w:val="-2"/>
        </w:rPr>
        <w:t>238,606,577.00</w:t>
      </w:r>
      <w:r>
        <w:rPr>
          <w:spacing w:val="-2"/>
        </w:rPr>
        <w:t>元，上述募集资金扣除各项发行费用</w:t>
      </w:r>
      <w:r>
        <w:rPr>
          <w:rFonts w:ascii="宋体" w:hAnsi="宋体" w:cs="宋体" w:eastAsia="宋体" w:hint="default"/>
          <w:spacing w:val="-2"/>
        </w:rPr>
        <w:t>10,609,431.09</w:t>
      </w:r>
      <w:r>
        <w:rPr>
          <w:spacing w:val="-2"/>
        </w:rPr>
        <w:t>元（包括增值税专</w:t>
      </w:r>
      <w:r>
        <w:rPr>
          <w:spacing w:val="-1"/>
        </w:rPr>
        <w:t> </w:t>
      </w:r>
      <w:r>
        <w:rPr>
          <w:spacing w:val="-1"/>
        </w:rPr>
      </w:r>
      <w:r>
        <w:rPr/>
        <w:t>用发票进项税额</w:t>
      </w:r>
      <w:r>
        <w:rPr>
          <w:rFonts w:ascii="宋体" w:hAnsi="宋体" w:cs="宋体" w:eastAsia="宋体" w:hint="default"/>
        </w:rPr>
        <w:t>600,533.85</w:t>
      </w:r>
      <w:r>
        <w:rPr/>
        <w:t>元）的募集资金净额为人民币</w:t>
      </w:r>
      <w:r>
        <w:rPr>
          <w:rFonts w:ascii="宋体" w:hAnsi="宋体" w:cs="宋体" w:eastAsia="宋体" w:hint="default"/>
        </w:rPr>
        <w:t>227,997,145.91</w:t>
      </w:r>
      <w:r>
        <w:rPr/>
        <w:t>元，调整增值税进项税额后，</w:t>
      </w:r>
      <w:r>
        <w:rPr>
          <w:w w:val="100"/>
        </w:rPr>
        <w:t> </w:t>
      </w:r>
      <w:r>
        <w:rPr/>
        <w:t>新增注册资本人民币</w:t>
      </w:r>
      <w:r>
        <w:rPr>
          <w:rFonts w:ascii="宋体" w:hAnsi="宋体" w:cs="宋体" w:eastAsia="宋体" w:hint="default"/>
        </w:rPr>
        <w:t>9,431,090.00</w:t>
      </w:r>
      <w:r>
        <w:rPr/>
        <w:t>元，资本公积</w:t>
      </w:r>
      <w:r>
        <w:rPr>
          <w:rFonts w:ascii="宋体" w:hAnsi="宋体" w:cs="宋体" w:eastAsia="宋体" w:hint="default"/>
        </w:rPr>
        <w:t>219,166,589.76</w:t>
      </w:r>
      <w:r>
        <w:rPr/>
        <w:t>元</w:t>
      </w:r>
      <w:r>
        <w:rPr>
          <w:rFonts w:ascii="宋体" w:hAnsi="宋体" w:cs="宋体" w:eastAsia="宋体" w:hint="default"/>
        </w:rPr>
        <w:t>.</w:t>
      </w:r>
    </w:p>
    <w:p>
      <w:pPr>
        <w:spacing w:line="240" w:lineRule="auto" w:before="6"/>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811"/>
        <w:gridCol w:w="1068"/>
        <w:gridCol w:w="936"/>
        <w:gridCol w:w="1152"/>
        <w:gridCol w:w="934"/>
        <w:gridCol w:w="936"/>
        <w:gridCol w:w="936"/>
        <w:gridCol w:w="797"/>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2" w:right="9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0" w:footer="979" w:top="1100" w:bottom="1160" w:left="980" w:right="980"/>
        </w:sectPr>
      </w:pPr>
    </w:p>
    <w:p>
      <w:pPr>
        <w:spacing w:line="240" w:lineRule="auto" w:before="11"/>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17,837,313.97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982,062.65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18,819,376.62</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17,837,313.97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982,062.65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18,819,376.62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725"/>
        <w:gridCol w:w="2924"/>
        <w:gridCol w:w="2919"/>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108,240,068.42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101,909,002.02</w:t>
            </w:r>
          </w:p>
        </w:tc>
      </w:tr>
      <w:tr>
        <w:trPr>
          <w:trHeight w:val="40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108,240,068.42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101,909,002.02</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8,822,524.60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17,682,428.82</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982,062.65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1,847,362.42</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2,375,919.48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9,504,000.00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113,704,610.89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108,240,068.42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1" w:right="0"/>
              <w:jc w:val="left"/>
              <w:rPr>
                <w:rFonts w:ascii="Times New Roman" w:hAnsi="Times New Roman" w:cs="Times New Roman" w:eastAsia="Times New Roman" w:hint="default"/>
                <w:sz w:val="18"/>
                <w:szCs w:val="18"/>
              </w:rPr>
            </w:pPr>
            <w:r>
              <w:rPr>
                <w:rFonts w:ascii="Times New Roman"/>
                <w:sz w:val="18"/>
              </w:rPr>
              <w:t>100,510,607.42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34,531,178.49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96,919,585.70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29,067,050.46</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1" w:right="0"/>
              <w:jc w:val="left"/>
              <w:rPr>
                <w:rFonts w:ascii="Times New Roman" w:hAnsi="Times New Roman" w:cs="Times New Roman" w:eastAsia="Times New Roman" w:hint="default"/>
                <w:sz w:val="18"/>
                <w:szCs w:val="18"/>
              </w:rPr>
            </w:pPr>
            <w:r>
              <w:rPr>
                <w:rFonts w:ascii="Times New Roman"/>
                <w:sz w:val="18"/>
              </w:rPr>
              <w:t>100,510,607.42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34,531,178.49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96,919,585.70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29,067,050.46</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377,801.41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479,433.53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269,148.17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341,361.84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-12,336.24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211,458.21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123,262.98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858,407.79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931,722.11</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12,158,741.49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11,193,707.41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2,011,553.21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1,359,354.65</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3,462,834.33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2,244,612.48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146,387.26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256,356.90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1,685,886.51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1,293,570.84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400,154.46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541,512.79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1,973,889.36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1,509,903.04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1,289,792.10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619,250.81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会务费及培训费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742,090.12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1,030,184.35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111,245.02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143,632.79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330,263.95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185,607.73</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24,312,837.81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20,377,693.79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27,903,788.80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24,957,015.47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7,556,001.08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7,053,595.30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377,691.34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418,635.25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513,991.54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556,307.82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247,007.10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123,607.38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697,888.49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615,316.03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320,140.22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239,692.67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1,156,007.71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445,192.11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41,616.66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会费及年审费、中介机构费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1,252,320.90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1,838,341.29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374,893.95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289,685.39</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299,242.24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314,928.18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40,698,973.37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36,893,933.55</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3,516,533.60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275,959.75</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26,624.34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18,319.07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-3,489,909.26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-257,640.68</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1,059,675.02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122,605.81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668,227.77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499,125.55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1,727,902.79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621,731.36</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80"/>
        </w:sectPr>
      </w:pPr>
    </w:p>
    <w:p>
      <w:pPr>
        <w:spacing w:line="240" w:lineRule="auto" w:before="11"/>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459"/>
        <w:gridCol w:w="3193"/>
        <w:gridCol w:w="2916"/>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269,646.54</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15,127.60</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3,476,209.30</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3,964,579.62</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3,745,855.84</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3,979,707.22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3,130,686.09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3,130,686.09</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1" w:right="108"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1,397,816.73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3,809,002.03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1,397,816.73</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26,832.80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13,377.77</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2,917,220.53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1,411,194.50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6,753,055.36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1,411,194.50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810"/>
        <w:gridCol w:w="567"/>
        <w:gridCol w:w="425"/>
        <w:gridCol w:w="1985"/>
        <w:gridCol w:w="994"/>
        <w:gridCol w:w="600"/>
        <w:gridCol w:w="1064"/>
        <w:gridCol w:w="1063"/>
        <w:gridCol w:w="1064"/>
      </w:tblGrid>
      <w:tr>
        <w:trPr>
          <w:trHeight w:val="71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98" w:right="98"/>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 w:right="24"/>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6" w:right="23"/>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71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240,652.45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405,718.26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因研究开发、技术更新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860,437.50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869,178.48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810"/>
        <w:gridCol w:w="567"/>
        <w:gridCol w:w="425"/>
        <w:gridCol w:w="1985"/>
        <w:gridCol w:w="994"/>
        <w:gridCol w:w="600"/>
        <w:gridCol w:w="1064"/>
        <w:gridCol w:w="1063"/>
        <w:gridCol w:w="1064"/>
      </w:tblGrid>
      <w:tr>
        <w:trPr>
          <w:trHeight w:val="363"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深圳市经济贸易和信 息委员会方直金太阳 品牌培育项目资助款</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深圳市民营及中小企 业发展专项资金企业 信息化建设项目资金</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金太阳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教育电子 商务平台</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国家高新技术企业倍 增计划项目</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53"/>
              <w:jc w:val="left"/>
              <w:rPr>
                <w:rFonts w:ascii="宋体" w:hAnsi="宋体" w:cs="宋体" w:eastAsia="宋体" w:hint="default"/>
                <w:sz w:val="18"/>
                <w:szCs w:val="18"/>
              </w:rPr>
            </w:pPr>
            <w:r>
              <w:rPr>
                <w:rFonts w:ascii="宋体" w:hAnsi="宋体" w:cs="宋体" w:eastAsia="宋体" w:hint="default"/>
                <w:sz w:val="18"/>
                <w:szCs w:val="18"/>
              </w:rPr>
              <w:t>园区外文化企业房租 补贴</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民营领军企业资助项 目</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深圳市科技创新委员 会研发资助</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53"/>
              <w:jc w:val="left"/>
              <w:rPr>
                <w:rFonts w:ascii="宋体" w:hAnsi="宋体" w:cs="宋体" w:eastAsia="宋体" w:hint="default"/>
                <w:sz w:val="18"/>
                <w:szCs w:val="18"/>
              </w:rPr>
            </w:pPr>
            <w:r>
              <w:rPr>
                <w:rFonts w:ascii="宋体" w:hAnsi="宋体" w:cs="宋体" w:eastAsia="宋体" w:hint="default"/>
                <w:sz w:val="18"/>
                <w:szCs w:val="18"/>
              </w:rPr>
              <w:t>高层次创新人才实训 基地资助项目</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25,556.78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87,195.88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中高层干部培养计划</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（人力资源局）</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80,309.41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1,397,816.73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3,809,002.03</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1" w:right="108"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6,047.33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19,232.90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6,047.33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19,232.90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50,000.64</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69,233.54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6,073.10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69,233.54</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1,700,210.60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2,374,204.82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-110,688.55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80,576.47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1,589,522.05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2,454,781.29</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10,089,719.32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1,513,457.90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53,108.27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-40,446.98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557,745.47</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198,060.19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-696,110.75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3,707.95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1,589,522.05</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292,913.18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259,228.43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1,205,876.20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2,534,105.29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551,319.63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57,076.61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2,050,109.01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2,850,410.33</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23,327,069.52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21,134,282.32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1,320,443.67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33,425.96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24,647,513.19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21,167,708.28</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4,503,442.19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20,758.72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4,503,442.19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20,758.72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609,431.09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609,431.09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215.95</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362"/>
        <w:gridCol w:w="2693"/>
        <w:gridCol w:w="2513"/>
      </w:tblGrid>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6"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8,500,197.27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17,557,003.30</w:t>
            </w:r>
          </w:p>
        </w:tc>
      </w:tr>
      <w:tr>
        <w:trPr>
          <w:trHeight w:val="40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1,727,902.79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621,731.36</w:t>
            </w:r>
          </w:p>
        </w:tc>
      </w:tr>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4,597,421.50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2,023,169.90</w:t>
            </w:r>
          </w:p>
        </w:tc>
      </w:tr>
      <w:tr>
        <w:trPr>
          <w:trHeight w:val="40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1,622,073.54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1,803,245.64</w:t>
            </w:r>
          </w:p>
        </w:tc>
      </w:tr>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251,343.83</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258,291.41</w:t>
            </w:r>
          </w:p>
        </w:tc>
      </w:tr>
      <w:tr>
        <w:trPr>
          <w:trHeight w:val="71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 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18,075.40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6,047.33</w:t>
            </w:r>
          </w:p>
        </w:tc>
      </w:tr>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1,157.50</w:t>
            </w: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-3,223,854.42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-20,758.72</w:t>
            </w:r>
          </w:p>
        </w:tc>
      </w:tr>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-3,745,855.84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-3,979,707.22</w:t>
            </w:r>
          </w:p>
        </w:tc>
      </w:tr>
      <w:tr>
        <w:trPr>
          <w:trHeight w:val="40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-194,197.17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-38,082.84</w:t>
            </w:r>
          </w:p>
        </w:tc>
      </w:tr>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83,508.62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118,659.31</w:t>
            </w:r>
          </w:p>
        </w:tc>
      </w:tr>
      <w:tr>
        <w:trPr>
          <w:trHeight w:val="40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-999,081.67</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-677,256.06</w:t>
            </w:r>
          </w:p>
        </w:tc>
      </w:tr>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-10,551,888.56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-2,079,806.55</w:t>
            </w:r>
          </w:p>
        </w:tc>
      </w:tr>
      <w:tr>
        <w:trPr>
          <w:trHeight w:val="40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5,873,933.10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-5,953,047.58</w:t>
            </w:r>
          </w:p>
        </w:tc>
      </w:tr>
      <w:tr>
        <w:trPr>
          <w:trHeight w:val="408"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3,960,735.89</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9,639,489.28</w:t>
            </w:r>
          </w:p>
        </w:tc>
      </w:tr>
      <w:tr>
        <w:trPr>
          <w:trHeight w:val="396"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166,476,159.08</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62,808,703.02</w:t>
            </w:r>
          </w:p>
        </w:tc>
      </w:tr>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62,808,703.02</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72,859,653.55</w:t>
            </w:r>
          </w:p>
        </w:tc>
      </w:tr>
      <w:tr>
        <w:trPr>
          <w:trHeight w:val="40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103,667,456.06</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-10,050,950.53</w:t>
            </w:r>
          </w:p>
        </w:tc>
      </w:tr>
    </w:tbl>
    <w:p>
      <w:pPr>
        <w:spacing w:after="0" w:line="240" w:lineRule="auto"/>
        <w:jc w:val="right"/>
        <w:rPr>
          <w:rFonts w:ascii="Times New Roman" w:hAnsi="Times New Roman" w:cs="Times New Roman" w:eastAsia="Times New Roman" w:hint="default"/>
          <w:sz w:val="18"/>
          <w:szCs w:val="18"/>
        </w:rPr>
        <w:sectPr>
          <w:footerReference w:type="default" r:id="rId68"/>
          <w:pgSz w:w="11910" w:h="16840"/>
          <w:pgMar w:footer="979" w:header="880"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988"/>
        <w:gridCol w:w="4580"/>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988"/>
        <w:gridCol w:w="4580"/>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327"/>
        <w:gridCol w:w="3058"/>
        <w:gridCol w:w="3183"/>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166,476,159.08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62,808,703.02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61,213.42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129,005.69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166,414,945.66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62,679,697.33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166,476,159.08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62,808,703.02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spacing w:line="482" w:lineRule="auto" w:before="0"/>
        <w:ind w:left="153" w:right="43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77</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spacing w:before="5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27"/>
        <w:gridCol w:w="3058"/>
        <w:gridCol w:w="3183"/>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69"/>
          <w:pgSz w:w="11910" w:h="16840"/>
          <w:pgMar w:footer="979" w:header="880" w:top="1100" w:bottom="1160" w:left="980" w:right="980"/>
          <w:pgNumType w:start="1"/>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494"/>
        <w:gridCol w:w="2295"/>
        <w:gridCol w:w="2391"/>
        <w:gridCol w:w="2388"/>
      </w:tblGrid>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5"/>
        <w:spacing w:line="314" w:lineRule="exact"/>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5"/>
        </w:rPr>
        <w:t> </w:t>
      </w:r>
      <w:r>
        <w:rPr>
          <w:spacing w:val="25"/>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2"/>
        <w:rPr>
          <w:rFonts w:ascii="宋体" w:hAnsi="宋体" w:cs="宋体" w:eastAsia="宋体" w:hint="default"/>
          <w:sz w:val="21"/>
          <w:szCs w:val="21"/>
        </w:rPr>
      </w:pPr>
    </w:p>
    <w:p>
      <w:pPr>
        <w:spacing w:line="376" w:lineRule="auto" w:before="0"/>
        <w:ind w:left="153" w:right="735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81</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pStyle w:val="Heading5"/>
        <w:spacing w:line="240" w:lineRule="auto" w:before="87"/>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063"/>
        <w:gridCol w:w="1063"/>
        <w:gridCol w:w="1064"/>
        <w:gridCol w:w="1066"/>
        <w:gridCol w:w="1064"/>
        <w:gridCol w:w="1063"/>
        <w:gridCol w:w="1064"/>
        <w:gridCol w:w="1061"/>
        <w:gridCol w:w="1064"/>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57" w:right="75"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22" w:lineRule="exact"/>
        <w:ind w:left="18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pt;height:21.15pt;mso-position-horizontal-relative:char;mso-position-vertical-relative:line" coordorigin="0,0" coordsize="9578,423">
            <v:group style="position:absolute;left:4763;top:14;width:22;height:394" coordorigin="4763,14" coordsize="22,394">
              <v:shape style="position:absolute;left:4763;top:14;width:22;height:394" coordorigin="4763,14" coordsize="22,394" path="m4763,408l4784,408,4784,14,4763,14,4763,408xe" filled="true" fillcolor="#d2d2d2" stroked="false">
                <v:path arrowok="t"/>
                <v:fill type="solid"/>
              </v:shape>
            </v:group>
            <v:group style="position:absolute;left:10;top:14;width:24;height:394" coordorigin="10,14" coordsize="24,394">
              <v:shape style="position:absolute;left:10;top:14;width:24;height:394" coordorigin="10,14" coordsize="24,394" path="m10,408l34,408,34,14,10,14,10,408xe" filled="true" fillcolor="#d2d2d2" stroked="false">
                <v:path arrowok="t"/>
                <v:fill type="solid"/>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796;top:14;width:22;height:394" coordorigin="4796,14" coordsize="22,394">
              <v:shape style="position:absolute;left:4796;top:14;width:22;height:394" coordorigin="4796,14" coordsize="22,394" path="m4796,408l4818,408,4818,14,4796,14,4796,408xe" filled="true" fillcolor="#e0ffff"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e0ffff" stroked="false">
                <v:path arrowok="t"/>
                <v:fill type="solid"/>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5;height:2" coordorigin="4794,10" coordsize="4775,2">
              <v:shape style="position:absolute;left:4794;top:10;width:4775;height:2" coordorigin="4794,10" coordsize="4775,0" path="m4794,10l9568,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7998pt" strokecolor="#000000">
                <v:path arrowok="t"/>
              </v:shape>
            </v:group>
            <v:group style="position:absolute;left:4794;top:413;width:4775;height:2" coordorigin="4794,413" coordsize="4775,2">
              <v:shape style="position:absolute;left:4794;top:413;width:4775;height:2" coordorigin="4794,413" coordsize="4775,0" path="m4794,413l9568,413e" filled="false" stroked="true" strokeweight=".47998pt" strokecolor="#000000">
                <v:path arrowok="t"/>
              </v:shape>
            </v:group>
            <v:group style="position:absolute;left:9573;top:5;width:2;height:413" coordorigin="9573,5" coordsize="2,413">
              <v:shape style="position:absolute;left:9573;top:5;width:2;height:413" coordorigin="9573,5" coordsize="0,413" path="m9573,5l9573,418e" filled="false" stroked="true" strokeweight=".47998pt" strokecolor="#000000">
                <v:path arrowok="t"/>
              </v:shape>
              <v:shape style="position:absolute;left:5;top:10;width:4786;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4"/>
        <w:ind w:left="153" w:right="509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7"/>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49"/>
        <w:ind w:left="153" w:right="655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3"/>
        <w:rPr>
          <w:rFonts w:ascii="宋体" w:hAnsi="宋体" w:cs="宋体" w:eastAsia="宋体" w:hint="default"/>
          <w:sz w:val="15"/>
          <w:szCs w:val="15"/>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5"/>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6"/>
        <w:gridCol w:w="1064"/>
      </w:tblGrid>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7" w:right="77" w:hanging="181"/>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0" w:lineRule="exact"/>
        <w:ind w:left="18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pt;height:21pt;mso-position-horizontal-relative:char;mso-position-vertical-relative:line" coordorigin="0,0" coordsize="9578,420">
            <v:group style="position:absolute;left:4763;top:14;width:22;height:392" coordorigin="4763,14" coordsize="22,392">
              <v:shape style="position:absolute;left:4763;top:14;width:22;height:392" coordorigin="4763,14" coordsize="22,392" path="m4763,406l4784,406,4784,14,4763,14,4763,406xe" filled="true" fillcolor="#d2d2d2" stroked="false">
                <v:path arrowok="t"/>
                <v:fill type="solid"/>
              </v:shape>
            </v:group>
            <v:group style="position:absolute;left:10;top:14;width:24;height:392" coordorigin="10,14" coordsize="24,392">
              <v:shape style="position:absolute;left:10;top:14;width:24;height:392" coordorigin="10,14" coordsize="24,392" path="m10,406l34,406,34,14,10,14,10,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e0ffff"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e0ffff"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5;height:2" coordorigin="4794,10" coordsize="4775,2">
              <v:shape style="position:absolute;left:4794;top:10;width:4775;height:2" coordorigin="4794,10" coordsize="4775,0" path="m4794,10l9568,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4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7998pt" strokecolor="#000000">
                <v:path arrowok="t"/>
              </v:shape>
            </v:group>
            <v:group style="position:absolute;left:4794;top:410;width:4775;height:2" coordorigin="4794,410" coordsize="4775,2">
              <v:shape style="position:absolute;left:4794;top:410;width:4775;height:2" coordorigin="4794,410" coordsize="4775,0" path="m4794,410l9568,410e" filled="false" stroked="true" strokeweight=".48004pt" strokecolor="#000000">
                <v:path arrowok="t"/>
              </v:shape>
            </v:group>
            <v:group style="position:absolute;left:9573;top:5;width:2;height:411" coordorigin="9573,5" coordsize="2,411">
              <v:shape style="position:absolute;left:9573;top:5;width:2;height:411" coordorigin="9573,5" coordsize="0,411" path="m9573,5l9573,415e" filled="false" stroked="true" strokeweight=".47998pt" strokecolor="#000000">
                <v:path arrowok="t"/>
              </v:shape>
              <v:shape style="position:absolute;left:5;top:10;width:4786;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2" w:lineRule="auto" w:before="44"/>
        <w:ind w:left="153" w:right="7613"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2"/>
        <w:rPr>
          <w:rFonts w:ascii="宋体" w:hAnsi="宋体" w:cs="宋体" w:eastAsia="宋体" w:hint="default"/>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3" w:lineRule="exact"/>
        <w:ind w:left="182"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3168;top:14;width:22;height:392" coordorigin="3168,14" coordsize="22,392">
              <v:shape style="position:absolute;left:3168;top:14;width:22;height:392" coordorigin="3168,14" coordsize="22,392" path="m3168,406l3190,406,3190,14,3168,14,3168,406xe" filled="true" fillcolor="#d2d2d2" stroked="false">
                <v:path arrowok="t"/>
                <v:fill type="solid"/>
              </v:shape>
            </v:group>
            <v:group style="position:absolute;left:10;top:14;width:24;height:392" coordorigin="10,14" coordsize="24,392">
              <v:shape style="position:absolute;left:10;top:14;width:24;height:392" coordorigin="10,14" coordsize="24,392" path="m10,406l34,406,34,14,10,14,10,406xe" filled="true" fillcolor="#d2d2d2" stroked="false">
                <v:path arrowok="t"/>
                <v:fill type="solid"/>
              </v:shape>
            </v:group>
            <v:group style="position:absolute;left:34;top:14;width:3135;height:392" coordorigin="34,14" coordsize="3135,392">
              <v:shape style="position:absolute;left:34;top:14;width:3135;height:392" coordorigin="34,14" coordsize="3135,392" path="m34,406l3168,406,3168,14,34,14,34,406xe" filled="true" fillcolor="#d2d2d2" stroked="false">
                <v:path arrowok="t"/>
                <v:fill type="solid"/>
              </v:shape>
            </v:group>
            <v:group style="position:absolute;left:3200;top:14;width:24;height:392" coordorigin="3200,14" coordsize="24,392">
              <v:shape style="position:absolute;left:3200;top:14;width:24;height:392" coordorigin="3200,14" coordsize="24,392" path="m3200,406l3224,406,3224,14,3200,14,3200,406xe" filled="true" fillcolor="#e0ffff" stroked="false">
                <v:path arrowok="t"/>
                <v:fill type="solid"/>
              </v:shape>
            </v:group>
            <v:group style="position:absolute;left:9549;top:14;width:24;height:392" coordorigin="9549,14" coordsize="24,392">
              <v:shape style="position:absolute;left:9549;top:14;width:24;height:392" coordorigin="9549,14" coordsize="24,392" path="m9549,406l9573,406,9573,14,9549,14,9549,406xe" filled="true" fillcolor="#e0ffff" stroked="false">
                <v:path arrowok="t"/>
                <v:fill type="solid"/>
              </v:shape>
            </v:group>
            <v:group style="position:absolute;left:3224;top:14;width:6326;height:392" coordorigin="3224,14" coordsize="6326,392">
              <v:shape style="position:absolute;left:3224;top:14;width:6326;height:392" coordorigin="3224,14" coordsize="6326,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1;height:2" coordorigin="3200,10" coordsize="6371,2">
              <v:shape style="position:absolute;left:3200;top:10;width:6371;height:2" coordorigin="3200,10" coordsize="6371,0" path="m3200,10l9571,10e" filled="false" stroked="true" strokeweight=".47998pt" strokecolor="#000000">
                <v:path arrowok="t"/>
              </v:shape>
            </v:group>
            <v:group style="position:absolute;left:3168;top:418;width:22;height:392" coordorigin="3168,418" coordsize="22,392">
              <v:shape style="position:absolute;left:3168;top:418;width:22;height:392" coordorigin="3168,418" coordsize="22,392" path="m3168,809l3190,809,3190,418,3168,418,3168,809xe" filled="true" fillcolor="#d2d2d2" stroked="false">
                <v:path arrowok="t"/>
                <v:fill type="solid"/>
              </v:shape>
            </v:group>
            <v:group style="position:absolute;left:10;top:418;width:24;height:392" coordorigin="10,418" coordsize="24,392">
              <v:shape style="position:absolute;left:10;top:418;width:24;height:392" coordorigin="10,418" coordsize="24,392" path="m10,809l34,809,34,418,10,418,10,809xe" filled="true" fillcolor="#d2d2d2" stroked="false">
                <v:path arrowok="t"/>
                <v:fill type="solid"/>
              </v:shape>
            </v:group>
            <v:group style="position:absolute;left:34;top:418;width:3135;height:392" coordorigin="34,418" coordsize="3135,392">
              <v:shape style="position:absolute;left:34;top:418;width:3135;height:392" coordorigin="34,418" coordsize="3135,392" path="m34,809l3168,809,3168,418,34,418,34,809xe" filled="true" fillcolor="#d2d2d2" stroked="false">
                <v:path arrowok="t"/>
                <v:fill type="solid"/>
              </v:shape>
            </v:group>
            <v:group style="position:absolute;left:6359;top:418;width:22;height:392" coordorigin="6359,418" coordsize="22,392">
              <v:shape style="position:absolute;left:6359;top:418;width:22;height:392" coordorigin="6359,418" coordsize="22,392" path="m6359,809l6380,809,6380,418,6359,418,6359,809xe" filled="true" fillcolor="#d2d2d2" stroked="false">
                <v:path arrowok="t"/>
                <v:fill type="solid"/>
              </v:shape>
            </v:group>
            <v:group style="position:absolute;left:3200;top:418;width:24;height:392" coordorigin="3200,418" coordsize="24,392">
              <v:shape style="position:absolute;left:3200;top:418;width:24;height:392" coordorigin="3200,418" coordsize="24,392" path="m3200,809l3224,809,3224,418,3200,418,3200,809xe" filled="true" fillcolor="#d2d2d2" stroked="false">
                <v:path arrowok="t"/>
                <v:fill type="solid"/>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9549;top:418;width:24;height:392" coordorigin="9549,418" coordsize="24,392">
              <v:shape style="position:absolute;left:9549;top:418;width:24;height:392" coordorigin="9549,418" coordsize="24,392" path="m9549,809l9573,809,9573,418,9549,418,9549,809xe" filled="true" fillcolor="#d2d2d2" stroked="false">
                <v:path arrowok="t"/>
                <v:fill type="solid"/>
              </v:shape>
            </v:group>
            <v:group style="position:absolute;left:6392;top:418;width:22;height:392" coordorigin="6392,418" coordsize="22,392">
              <v:shape style="position:absolute;left:6392;top:418;width:22;height:392" coordorigin="6392,418" coordsize="22,392" path="m6392,809l6414,809,6414,418,6392,418,6392,809xe" filled="true" fillcolor="#d2d2d2" stroked="false">
                <v:path arrowok="t"/>
                <v:fill type="solid"/>
              </v:shape>
            </v:group>
            <v:group style="position:absolute;left:6414;top:418;width:3136;height:392" coordorigin="6414,418" coordsize="3136,392">
              <v:shape style="position:absolute;left:6414;top:418;width:3136;height:392" coordorigin="6414,418" coordsize="3136,392" path="m6414,809l9549,809,9549,418,6414,418,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0,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0,410e" filled="false" stroked="true" strokeweight=".47998pt" strokecolor="#000000">
                <v:path arrowok="t"/>
              </v:shape>
            </v:group>
            <v:group style="position:absolute;left:6390;top:410;width:3181;height:2" coordorigin="6390,410" coordsize="3181,2">
              <v:shape style="position:absolute;left:6390;top:410;width:3181;height:2" coordorigin="6390,410" coordsize="3181,0" path="m6390,410l9571,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0,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1;height:2" coordorigin="6390,814" coordsize="3181,2">
              <v:shape style="position:absolute;left:6390;top:814;width:3181;height:2" coordorigin="6390,814" coordsize="3181,0" path="m6390,814l9571,814e" filled="false" stroked="true" strokeweight=".48004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7998pt" strokecolor="#000000">
                <v:path arrowok="t"/>
              </v:shape>
              <v:shape style="position:absolute;left:3195;top:412;width:3190;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91;height:402" type="#_x0000_t202" filled="false" stroked="false">
                <v:textbox inset="0,0,0,0">
                  <w:txbxContent>
                    <w:p>
                      <w:pPr>
                        <w:spacing w:before="55"/>
                        <w:ind w:left="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4"/>
        <w:ind w:left="153" w:right="653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after="0" w:line="36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16" w:lineRule="auto" w:before="0"/>
        <w:ind w:left="153" w:right="233" w:firstLine="0"/>
        <w:jc w:val="left"/>
        <w:rPr>
          <w:rFonts w:ascii="宋体" w:hAnsi="宋体" w:cs="宋体" w:eastAsia="宋体" w:hint="default"/>
          <w:sz w:val="18"/>
          <w:szCs w:val="18"/>
        </w:rPr>
      </w:pPr>
      <w:r>
        <w:rPr>
          <w:rFonts w:ascii="宋体" w:hAnsi="宋体" w:cs="宋体" w:eastAsia="宋体" w:hint="default"/>
          <w:sz w:val="18"/>
          <w:szCs w:val="18"/>
        </w:rPr>
        <w:t>交易基本信息、交易构成反向购买的依据、上市公司保留的资产、负债是否构成业务及其依据、合并成本的确定、按照权 益性交易处理时调整权益的金额及其计算：</w:t>
      </w:r>
    </w:p>
    <w:p>
      <w:pPr>
        <w:spacing w:line="240" w:lineRule="auto" w:before="7"/>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3" w:right="40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2"/>
        <w:rPr>
          <w:rFonts w:ascii="宋体" w:hAnsi="宋体" w:cs="宋体" w:eastAsia="宋体" w:hint="default"/>
          <w:sz w:val="21"/>
          <w:szCs w:val="21"/>
        </w:rPr>
      </w:pPr>
    </w:p>
    <w:p>
      <w:pPr>
        <w:spacing w:line="376" w:lineRule="auto" w:before="0"/>
        <w:ind w:left="153" w:right="713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5"/>
        <w:spacing w:line="240" w:lineRule="auto" w:before="87"/>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2662"/>
        <w:gridCol w:w="1133"/>
        <w:gridCol w:w="850"/>
        <w:gridCol w:w="1135"/>
        <w:gridCol w:w="1059"/>
        <w:gridCol w:w="1368"/>
        <w:gridCol w:w="1366"/>
      </w:tblGrid>
      <w:tr>
        <w:trPr>
          <w:trHeight w:val="401"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4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贸易服务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line="360" w:lineRule="auto" w:before="49"/>
        <w:ind w:left="153" w:right="185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7"/>
        <w:ind w:left="153" w:right="671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518"/>
        <w:gridCol w:w="1313"/>
        <w:gridCol w:w="1913"/>
        <w:gridCol w:w="1913"/>
        <w:gridCol w:w="1913"/>
      </w:tblGrid>
      <w:tr>
        <w:trPr>
          <w:trHeight w:val="76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470" w:right="110"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8"/>
              <w:jc w:val="center"/>
              <w:rPr>
                <w:rFonts w:ascii="宋体" w:hAnsi="宋体" w:cs="宋体" w:eastAsia="宋体" w:hint="default"/>
                <w:sz w:val="18"/>
                <w:szCs w:val="18"/>
              </w:rPr>
            </w:pPr>
            <w:r>
              <w:rPr>
                <w:rFonts w:ascii="宋体" w:hAnsi="宋体" w:cs="宋体" w:eastAsia="宋体" w:hint="default"/>
                <w:sz w:val="18"/>
                <w:szCs w:val="18"/>
              </w:rPr>
              <w:t>徐州金太阳教育科技有限公司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4" w:right="0"/>
              <w:jc w:val="left"/>
              <w:rPr>
                <w:rFonts w:ascii="Times New Roman" w:hAnsi="Times New Roman" w:cs="Times New Roman" w:eastAsia="Times New Roman" w:hint="default"/>
                <w:sz w:val="18"/>
                <w:szCs w:val="18"/>
              </w:rPr>
            </w:pPr>
            <w:r>
              <w:rPr>
                <w:rFonts w:ascii="Times New Roman"/>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-322,327.33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452,247.15</w:t>
            </w:r>
          </w:p>
        </w:tc>
      </w:tr>
    </w:tbl>
    <w:p>
      <w:pPr>
        <w:spacing w:line="360" w:lineRule="auto" w:before="49"/>
        <w:ind w:left="153" w:right="5453"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after="0" w:line="36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734"/>
        <w:gridCol w:w="737"/>
        <w:gridCol w:w="737"/>
        <w:gridCol w:w="734"/>
        <w:gridCol w:w="737"/>
        <w:gridCol w:w="735"/>
        <w:gridCol w:w="737"/>
        <w:gridCol w:w="734"/>
        <w:gridCol w:w="735"/>
        <w:gridCol w:w="734"/>
        <w:gridCol w:w="737"/>
        <w:gridCol w:w="737"/>
        <w:gridCol w:w="737"/>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5"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5"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4"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徐州金 太阳教 育科技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258,007.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1,036,03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874,980.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874,921.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1,749,90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4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061"/>
        <w:gridCol w:w="1061"/>
        <w:gridCol w:w="1061"/>
        <w:gridCol w:w="1066"/>
        <w:gridCol w:w="1066"/>
        <w:gridCol w:w="1063"/>
        <w:gridCol w:w="1064"/>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9"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徐州金太阳 教育科技有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146,934.25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-716,282.96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-716,282.96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-80,024.90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-278,723.37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-278,723.37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-234,301.29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8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pt;height:21.15pt;mso-position-horizontal-relative:char;mso-position-vertical-relative:line" coordorigin="0,0" coordsize="9578,423">
            <v:group style="position:absolute;left:4763;top:14;width:22;height:392" coordorigin="4763,14" coordsize="22,392">
              <v:shape style="position:absolute;left:4763;top:14;width:22;height:392" coordorigin="4763,14" coordsize="22,392" path="m4763,406l4784,406,4784,14,4763,14,4763,406xe" filled="true" fillcolor="#d2d2d2" stroked="false">
                <v:path arrowok="t"/>
                <v:fill type="solid"/>
              </v:shape>
            </v:group>
            <v:group style="position:absolute;left:10;top:14;width:24;height:392" coordorigin="10,14" coordsize="24,392">
              <v:shape style="position:absolute;left:10;top:14;width:24;height:392" coordorigin="10,14" coordsize="24,392" path="m10,406l34,406,34,14,10,14,10,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e0ffff"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e0ffff"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5;height:2" coordorigin="4794,10" coordsize="4775,2">
              <v:shape style="position:absolute;left:4794;top:10;width:4775;height:2" coordorigin="4794,10" coordsize="4775,0" path="m4794,10l9568,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7998pt" strokecolor="#000000">
                <v:path arrowok="t"/>
              </v:shape>
            </v:group>
            <v:group style="position:absolute;left:4794;top:413;width:4775;height:2" coordorigin="4794,413" coordsize="4775,2">
              <v:shape style="position:absolute;left:4794;top:413;width:4775;height:2" coordorigin="4794,413" coordsize="4775,0" path="m4794,413l9568,413e" filled="false" stroked="true" strokeweight=".47998pt" strokecolor="#000000">
                <v:path arrowok="t"/>
              </v:shape>
            </v:group>
            <v:group style="position:absolute;left:9573;top:5;width:2;height:413" coordorigin="9573,5" coordsize="2,413">
              <v:shape style="position:absolute;left:9573;top:5;width:2;height:413" coordorigin="9573,5" coordsize="0,413" path="m9573,5l9573,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1370"/>
        <w:gridCol w:w="1369"/>
        <w:gridCol w:w="1366"/>
        <w:gridCol w:w="1368"/>
        <w:gridCol w:w="2734"/>
        <w:gridCol w:w="1366"/>
      </w:tblGrid>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50" w:right="0"/>
              <w:jc w:val="left"/>
              <w:rPr>
                <w:rFonts w:ascii="宋体" w:hAnsi="宋体" w:cs="宋体" w:eastAsia="宋体" w:hint="default"/>
                <w:sz w:val="18"/>
                <w:szCs w:val="18"/>
              </w:rPr>
            </w:pPr>
            <w:r>
              <w:rPr>
                <w:rFonts w:ascii="宋体" w:hAnsi="宋体" w:cs="宋体" w:eastAsia="宋体" w:hint="default"/>
                <w:sz w:val="18"/>
                <w:szCs w:val="18"/>
              </w:rPr>
              <w:t>合营企业或联营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7" w:right="0"/>
              <w:jc w:val="left"/>
              <w:rPr>
                <w:rFonts w:ascii="宋体" w:hAnsi="宋体" w:cs="宋体" w:eastAsia="宋体" w:hint="default"/>
                <w:sz w:val="18"/>
                <w:szCs w:val="18"/>
              </w:rPr>
            </w:pPr>
            <w:r>
              <w:rPr>
                <w:rFonts w:ascii="宋体" w:hAnsi="宋体" w:cs="宋体" w:eastAsia="宋体" w:hint="default"/>
                <w:sz w:val="18"/>
                <w:szCs w:val="18"/>
              </w:rPr>
              <w:t>对合营企业或联</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1370"/>
        <w:gridCol w:w="1369"/>
        <w:gridCol w:w="1366"/>
        <w:gridCol w:w="1368"/>
        <w:gridCol w:w="1366"/>
        <w:gridCol w:w="1368"/>
        <w:gridCol w:w="1366"/>
      </w:tblGrid>
      <w:tr>
        <w:trPr>
          <w:trHeight w:val="675"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7" w:right="46" w:hanging="180"/>
              <w:jc w:val="left"/>
              <w:rPr>
                <w:rFonts w:ascii="宋体" w:hAnsi="宋体" w:cs="宋体" w:eastAsia="宋体" w:hint="default"/>
                <w:sz w:val="18"/>
                <w:szCs w:val="18"/>
              </w:rPr>
            </w:pPr>
            <w:r>
              <w:rPr>
                <w:rFonts w:ascii="宋体" w:hAnsi="宋体" w:cs="宋体" w:eastAsia="宋体" w:hint="default"/>
                <w:sz w:val="18"/>
                <w:szCs w:val="18"/>
              </w:rPr>
              <w:t>营企业投资的会 计处理方法</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深圳嘉道方直教 育产业投资企业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深圳罗湖蓝海村 镇银行股份有限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吸收存款、发放 贷款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嘉道方直期未余额</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嘉道方直期初余额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蓝海村镇银行期未余额</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蓝海村镇银行期初余额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53,864,423.99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73,864,423.99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1,313,874,579.46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728,506,423.64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805,483,013.58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228,355,147.68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73,864,423.99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508,391,565.88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500,151,275.96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44,370,707.77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15,622,179.38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-1,390,576.01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8,240,289.92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151,275.96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-1,390,576.01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8,240,289.92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151,275.96</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63"/>
              <w:jc w:val="right"/>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2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463"/>
              <w:jc w:val="right"/>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2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63"/>
              <w:jc w:val="right"/>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27"/>
              <w:jc w:val="right"/>
              <w:rPr>
                <w:rFonts w:ascii="Times New Roman" w:hAnsi="Times New Roman" w:cs="Times New Roman" w:eastAsia="Times New Roman" w:hint="default"/>
                <w:sz w:val="18"/>
                <w:szCs w:val="18"/>
              </w:rPr>
            </w:pPr>
            <w:r>
              <w:rPr>
                <w:rFonts w:ascii="Times New Roman"/>
                <w:sz w:val="18"/>
              </w:rPr>
              <w:t>--</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1"/>
        <w:gridCol w:w="2393"/>
        <w:gridCol w:w="2393"/>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1" w:right="108"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1" w:right="111" w:hanging="452"/>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6"/>
        <w:gridCol w:w="1594"/>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2" w:lineRule="auto" w:before="49"/>
        <w:ind w:left="153" w:right="455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2"/>
        <w:rPr>
          <w:rFonts w:ascii="宋体" w:hAnsi="宋体" w:cs="宋体" w:eastAsia="宋体" w:hint="default"/>
          <w:sz w:val="21"/>
          <w:szCs w:val="21"/>
        </w:rPr>
      </w:pPr>
    </w:p>
    <w:p>
      <w:pPr>
        <w:pStyle w:val="Heading3"/>
        <w:spacing w:line="367" w:lineRule="auto"/>
        <w:ind w:right="6893"/>
        <w:jc w:val="left"/>
        <w:rPr>
          <w:b w:val="0"/>
          <w:bCs w:val="0"/>
        </w:rPr>
      </w:pPr>
      <w:r>
        <w:rPr>
          <w:rFonts w:ascii="Times New Roman" w:hAnsi="Times New Roman" w:cs="Times New Roman" w:eastAsia="Times New Roman" w:hint="default"/>
          <w:sz w:val="21"/>
          <w:szCs w:val="21"/>
        </w:rPr>
        <w:t>6</w:t>
      </w:r>
      <w:r>
        <w:rPr>
          <w:sz w:val="21"/>
          <w:szCs w:val="21"/>
        </w:rPr>
        <w:t>、其他</w:t>
      </w:r>
      <w:r>
        <w:rPr>
          <w:spacing w:val="-49"/>
          <w:sz w:val="21"/>
          <w:szCs w:val="21"/>
        </w:rPr>
        <w:t> </w:t>
      </w:r>
      <w:r>
        <w:rPr/>
        <w:t>十、与金融工具相关的风险</w:t>
      </w:r>
      <w:r>
        <w:rPr>
          <w:spacing w:val="-51"/>
        </w:rPr>
        <w:t> </w:t>
      </w:r>
      <w:r>
        <w:rPr>
          <w:spacing w:val="-51"/>
        </w:rPr>
      </w:r>
      <w:r>
        <w:rPr/>
        <w:t>十一、公允价值的披露</w:t>
      </w:r>
      <w:r>
        <w:rPr>
          <w:b w:val="0"/>
          <w:bCs w:val="0"/>
        </w:rPr>
      </w:r>
    </w:p>
    <w:p>
      <w:pPr>
        <w:pStyle w:val="Heading5"/>
        <w:spacing w:line="240" w:lineRule="auto" w:before="60"/>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77"/>
        <w:gridCol w:w="2127"/>
        <w:gridCol w:w="2127"/>
        <w:gridCol w:w="1985"/>
        <w:gridCol w:w="958"/>
      </w:tblGrid>
      <w:tr>
        <w:trPr>
          <w:trHeight w:val="401" w:hRule="exact"/>
        </w:trPr>
        <w:tc>
          <w:tcPr>
            <w:tcW w:w="23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3" w:hRule="exact"/>
        </w:trPr>
        <w:tc>
          <w:tcPr>
            <w:tcW w:w="2377"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2377"/>
        <w:gridCol w:w="2127"/>
        <w:gridCol w:w="2127"/>
        <w:gridCol w:w="1985"/>
        <w:gridCol w:w="956"/>
      </w:tblGrid>
      <w:tr>
        <w:trPr>
          <w:trHeight w:val="401"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26"/>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0"/>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26"/>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1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713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9"/>
          <w:szCs w:val="9"/>
        </w:rPr>
      </w:pPr>
    </w:p>
    <w:tbl>
      <w:tblPr>
        <w:tblW w:w="0" w:type="auto"/>
        <w:jc w:val="left"/>
        <w:tblInd w:w="182"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49"/>
        <w:ind w:left="153" w:right="743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3"/>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131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5"/>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乔东斌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本公司高级管理人员</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本公司高级管理人员</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卢庆华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本公司高级管理人员</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杨正华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本公司高级管理人员</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深圳市育才教育书店有限公司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本公司股东施加重大影响的其他企业</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38"/>
        <w:gridCol w:w="1455"/>
        <w:gridCol w:w="1455"/>
        <w:gridCol w:w="1706"/>
        <w:gridCol w:w="1709"/>
        <w:gridCol w:w="1707"/>
      </w:tblGrid>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8"/>
        <w:gridCol w:w="2259"/>
        <w:gridCol w:w="2259"/>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深圳市育才教育书店有限公司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5,323,822.12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6"/>
        <w:gridCol w:w="1368"/>
        <w:gridCol w:w="1368"/>
        <w:gridCol w:w="1369"/>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0"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80" w:footer="979" w:top="1100" w:bottom="1160" w:left="980" w:right="980"/>
        </w:sectPr>
      </w:pPr>
    </w:p>
    <w:p>
      <w:pPr>
        <w:spacing w:line="340" w:lineRule="auto"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44" w:space="6285"/>
            <w:col w:w="1121"/>
          </w:cols>
        </w:sectPr>
      </w:pP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6"/>
        <w:gridCol w:w="1368"/>
        <w:gridCol w:w="1368"/>
        <w:gridCol w:w="1369"/>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590"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587" w:right="20"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9"/>
        <w:gridCol w:w="2393"/>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3"/>
        <w:gridCol w:w="1916"/>
        <w:gridCol w:w="1916"/>
        <w:gridCol w:w="191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6"/>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70"/>
          <w:pgSz w:w="11910" w:h="16840"/>
          <w:pgMar w:footer="979" w:header="880"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777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before="17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line="376" w:lineRule="auto" w:before="0"/>
        <w:ind w:left="153" w:right="73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spacing w:before="177"/>
        <w:ind w:left="153"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after="0"/>
        <w:jc w:val="left"/>
        <w:rPr>
          <w:rFonts w:ascii="宋体" w:hAnsi="宋体" w:cs="宋体" w:eastAsia="宋体" w:hint="default"/>
          <w:sz w:val="18"/>
          <w:szCs w:val="18"/>
        </w:rPr>
        <w:sectPr>
          <w:footerReference w:type="default" r:id="rId71"/>
          <w:pgSz w:w="11910" w:h="16840"/>
          <w:pgMar w:footer="979" w:header="880" w:top="1100" w:bottom="1160" w:left="980" w:right="980"/>
          <w:pgNumType w:start="1"/>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47"/>
        <w:ind w:left="153" w:right="6713" w:firstLine="0"/>
        <w:jc w:val="left"/>
        <w:rPr>
          <w:rFonts w:ascii="Microsoft JhengHei" w:hAnsi="Microsoft JhengHei" w:cs="Microsoft JhengHei" w:eastAsia="Microsoft JhengHei"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sz w:val="24"/>
          <w:szCs w:val="24"/>
        </w:rPr>
      </w:r>
    </w:p>
    <w:p>
      <w:pPr>
        <w:pStyle w:val="Heading5"/>
        <w:spacing w:line="240" w:lineRule="auto" w:before="168"/>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494"/>
        <w:gridCol w:w="2295"/>
        <w:gridCol w:w="2391"/>
        <w:gridCol w:w="2388"/>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6"/>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67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、其他资产负债表日后事项说明</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pacing w:val="-27"/>
          <w:sz w:val="21"/>
          <w:szCs w:val="21"/>
        </w:rPr>
      </w:r>
      <w:r>
        <w:rPr>
          <w:rFonts w:ascii="Microsoft JhengHei" w:hAnsi="Microsoft JhengHei" w:cs="Microsoft JhengHei" w:eastAsia="Microsoft JhengHei" w:hint="default"/>
          <w:b/>
          <w:bCs/>
          <w:sz w:val="24"/>
          <w:szCs w:val="24"/>
        </w:rPr>
        <w:t>十六、其他重要事项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pStyle w:val="Heading5"/>
        <w:spacing w:line="240" w:lineRule="auto" w:before="87"/>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87"/>
        <w:gridCol w:w="1702"/>
        <w:gridCol w:w="1844"/>
        <w:gridCol w:w="1236"/>
      </w:tblGrid>
      <w:tr>
        <w:trPr>
          <w:trHeight w:val="714"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79"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处理程序</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8" w:right="103" w:hanging="180"/>
              <w:jc w:val="left"/>
              <w:rPr>
                <w:rFonts w:ascii="宋体" w:hAnsi="宋体" w:cs="宋体" w:eastAsia="宋体" w:hint="default"/>
                <w:sz w:val="18"/>
                <w:szCs w:val="18"/>
              </w:rPr>
            </w:pPr>
            <w:r>
              <w:rPr>
                <w:rFonts w:ascii="宋体" w:hAnsi="宋体" w:cs="宋体" w:eastAsia="宋体" w:hint="default"/>
                <w:sz w:val="18"/>
                <w:szCs w:val="18"/>
              </w:rPr>
              <w:t>受影响的各个比较期 间报表项目名称</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35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5" w:firstLine="36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年期间与某单位签订了六份教材 配套软件开发合同，合同中就本公司支付版权使用费的结算 依据、结算标准和结算时间作出了约定。在双方未变更合同 的情况下，某单位将某份合同中的教材配套软件授权给第三 方公司研发制作，本公司认为某单位违反了该份合同中关于 </w:t>
            </w:r>
            <w:r>
              <w:rPr>
                <w:rFonts w:ascii="Times New Roman" w:hAnsi="Times New Roman" w:cs="Times New Roman" w:eastAsia="Times New Roman" w:hint="default"/>
                <w:sz w:val="18"/>
                <w:szCs w:val="18"/>
              </w:rPr>
              <w:t>“</w:t>
            </w:r>
            <w:r>
              <w:rPr>
                <w:rFonts w:ascii="宋体" w:hAnsi="宋体" w:cs="宋体" w:eastAsia="宋体" w:hint="default"/>
                <w:sz w:val="18"/>
                <w:szCs w:val="18"/>
              </w:rPr>
              <w:t>独家制作权和独家发行权</w:t>
            </w:r>
            <w:r>
              <w:rPr>
                <w:rFonts w:ascii="Times New Roman" w:hAnsi="Times New Roman" w:cs="Times New Roman" w:eastAsia="Times New Roman" w:hint="default"/>
                <w:sz w:val="18"/>
                <w:szCs w:val="18"/>
              </w:rPr>
              <w:t>”</w:t>
            </w:r>
            <w:r>
              <w:rPr>
                <w:rFonts w:ascii="宋体" w:hAnsi="宋体" w:cs="宋体" w:eastAsia="宋体" w:hint="default"/>
                <w:sz w:val="18"/>
                <w:szCs w:val="18"/>
              </w:rPr>
              <w:t>的约定，自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年起暂停支付 上述六份合同中约定的版权使用费。</w:t>
            </w:r>
          </w:p>
          <w:p>
            <w:pPr>
              <w:pStyle w:val="TableParagraph"/>
              <w:spacing w:line="240" w:lineRule="auto" w:before="6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月，某单位依据双方签订的六份合同要求本公</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司支付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年期间的版权使用费，本公司于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月支付了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年版权使用费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5,088,133.44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含税价</w:t>
            </w:r>
            <w:r>
              <w:rPr>
                <w:rFonts w:ascii="宋体" w:hAnsi="宋体" w:cs="宋体" w:eastAsia="宋体" w:hint="default"/>
                <w:spacing w:val="-92"/>
                <w:sz w:val="18"/>
                <w:szCs w:val="18"/>
              </w:rPr>
              <w:t>）</w:t>
            </w:r>
            <w:r>
              <w:rPr>
                <w:rFonts w:ascii="宋体" w:hAnsi="宋体" w:cs="宋体" w:eastAsia="宋体" w:hint="default"/>
                <w:sz w:val="18"/>
                <w:szCs w:val="18"/>
              </w:rPr>
              <w:t>，因之前已计提版权</w:t>
            </w:r>
            <w:r>
              <w:rPr>
                <w:rFonts w:ascii="宋体" w:hAnsi="宋体" w:cs="宋体" w:eastAsia="宋体" w:hint="default"/>
                <w:spacing w:val="2"/>
                <w:sz w:val="18"/>
                <w:szCs w:val="18"/>
              </w:rPr>
              <w:t>使</w:t>
            </w:r>
            <w:r>
              <w:rPr>
                <w:rFonts w:ascii="宋体" w:hAnsi="宋体" w:cs="宋体" w:eastAsia="宋体" w:hint="default"/>
                <w:sz w:val="18"/>
                <w:szCs w:val="18"/>
              </w:rPr>
              <w:t>用费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元，本次前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公司第三届第三十次 董事会通过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年末资产 负债表，</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年利润表，</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p>
          <w:p>
            <w:pPr>
              <w:pStyle w:val="TableParagraph"/>
              <w:spacing w:line="240" w:lineRule="auto" w:before="1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季度末资产负债表，</w:t>
            </w:r>
          </w:p>
          <w:p>
            <w:pPr>
              <w:pStyle w:val="TableParagraph"/>
              <w:spacing w:line="300" w:lineRule="auto" w:before="63"/>
              <w:ind w:left="23" w:right="13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年半年度资产负 债表，</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 度末资产负债表。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4,909,000.20</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4787"/>
        <w:gridCol w:w="1702"/>
        <w:gridCol w:w="1844"/>
        <w:gridCol w:w="1236"/>
      </w:tblGrid>
      <w:tr>
        <w:trPr>
          <w:trHeight w:val="36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期差错更正金额为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4,909,000.20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10"/>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2"/>
        <w:gridCol w:w="2393"/>
        <w:gridCol w:w="2392"/>
        <w:gridCol w:w="2391"/>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593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pStyle w:val="Heading5"/>
        <w:spacing w:line="240" w:lineRule="auto" w:before="88"/>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655"/>
        <w:gridCol w:w="761"/>
        <w:gridCol w:w="814"/>
        <w:gridCol w:w="931"/>
        <w:gridCol w:w="934"/>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35,288,1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06.77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645,946.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34,642,16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0.63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26,501,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594.46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304,671.0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26,196,923.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12,756.00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35,288,1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06.77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645,946.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34,642,16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0.63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26,514,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350.46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317,427.0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26,196,923.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7"/>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4" w:space="4535"/>
            <w:col w:w="1121"/>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494"/>
        <w:gridCol w:w="2295"/>
        <w:gridCol w:w="2391"/>
        <w:gridCol w:w="2388"/>
      </w:tblGrid>
      <w:tr>
        <w:trPr>
          <w:trHeight w:val="207"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32,058,981.47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320,589.81</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3,216,906.30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321,690.63</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3,665.70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79" w:type="dxa"/>
        <w:tblLayout w:type="fixed"/>
        <w:tblCellMar>
          <w:top w:w="0" w:type="dxa"/>
          <w:left w:w="0" w:type="dxa"/>
          <w:bottom w:w="0" w:type="dxa"/>
          <w:right w:w="0" w:type="dxa"/>
        </w:tblCellMar>
        <w:tblLook w:val="01E0"/>
      </w:tblPr>
      <w:tblGrid>
        <w:gridCol w:w="2496"/>
        <w:gridCol w:w="2295"/>
        <w:gridCol w:w="2391"/>
        <w:gridCol w:w="2388"/>
      </w:tblGrid>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8" w:right="0"/>
              <w:jc w:val="left"/>
              <w:rPr>
                <w:rFonts w:ascii="Times New Roman" w:hAnsi="Times New Roman" w:cs="Times New Roman" w:eastAsia="Times New Roman" w:hint="default"/>
                <w:sz w:val="18"/>
                <w:szCs w:val="18"/>
              </w:rPr>
            </w:pPr>
            <w:r>
              <w:rPr>
                <w:rFonts w:ascii="Times New Roman"/>
                <w:sz w:val="18"/>
              </w:rPr>
              <w:t>35,288,106.77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5" w:right="0"/>
              <w:jc w:val="left"/>
              <w:rPr>
                <w:rFonts w:ascii="Times New Roman" w:hAnsi="Times New Roman" w:cs="Times New Roman" w:eastAsia="Times New Roman" w:hint="default"/>
                <w:sz w:val="18"/>
                <w:szCs w:val="18"/>
              </w:rPr>
            </w:pPr>
            <w:r>
              <w:rPr>
                <w:rFonts w:ascii="Times New Roman"/>
                <w:sz w:val="18"/>
              </w:rPr>
              <w:t>645,946.14</w:t>
            </w:r>
          </w:p>
        </w:tc>
        <w:tc>
          <w:tcPr>
            <w:tcW w:w="2388"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3" w:right="54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7"/>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80" w:footer="979" w:top="1100" w:bottom="1160" w:left="980" w:right="980"/>
        </w:sectPr>
      </w:pPr>
    </w:p>
    <w:p>
      <w:pPr>
        <w:spacing w:line="340" w:lineRule="auto" w:before="44"/>
        <w:ind w:left="15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345,365.71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294.60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505" w:space="2324"/>
            <w:col w:w="1121"/>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68"/>
        <w:gridCol w:w="3101"/>
        <w:gridCol w:w="3099"/>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6"/>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983"/>
        <w:gridCol w:w="4585"/>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16,552.00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82"/>
        <w:gridCol w:w="1553"/>
        <w:gridCol w:w="1551"/>
        <w:gridCol w:w="1553"/>
        <w:gridCol w:w="1616"/>
        <w:gridCol w:w="1616"/>
      </w:tblGrid>
      <w:tr>
        <w:trPr>
          <w:trHeight w:val="714" w:hRule="exact"/>
        </w:trPr>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60" w:lineRule="auto" w:before="50"/>
        <w:ind w:left="153" w:right="6533" w:firstLine="0"/>
        <w:jc w:val="left"/>
        <w:rPr>
          <w:rFonts w:ascii="宋体" w:hAnsi="宋体" w:cs="宋体" w:eastAsia="宋体" w:hint="default"/>
          <w:sz w:val="18"/>
          <w:szCs w:val="18"/>
        </w:rPr>
      </w:pPr>
      <w:r>
        <w:rPr>
          <w:rFonts w:ascii="宋体" w:hAnsi="宋体" w:cs="宋体" w:eastAsia="宋体" w:hint="default"/>
          <w:sz w:val="18"/>
          <w:szCs w:val="18"/>
        </w:rPr>
        <w:t>应收账款核销说明： 本年度实际核销的应收账款</w:t>
      </w:r>
      <w:r>
        <w:rPr>
          <w:rFonts w:ascii="Times New Roman" w:hAnsi="Times New Roman" w:cs="Times New Roman" w:eastAsia="Times New Roman" w:hint="default"/>
          <w:sz w:val="18"/>
          <w:szCs w:val="18"/>
        </w:rPr>
        <w:t>16,552.00</w:t>
      </w:r>
      <w:r>
        <w:rPr>
          <w:rFonts w:ascii="宋体" w:hAnsi="宋体" w:cs="宋体" w:eastAsia="宋体" w:hint="default"/>
          <w:sz w:val="18"/>
          <w:szCs w:val="18"/>
        </w:rPr>
        <w:t>元。</w:t>
      </w:r>
    </w:p>
    <w:p>
      <w:pPr>
        <w:spacing w:line="240" w:lineRule="auto" w:before="6"/>
        <w:rPr>
          <w:rFonts w:ascii="宋体" w:hAnsi="宋体" w:cs="宋体" w:eastAsia="宋体" w:hint="default"/>
          <w:sz w:val="13"/>
          <w:szCs w:val="13"/>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Microsoft JhengHei" w:hAnsi="Microsoft JhengHei" w:cs="Microsoft JhengHei" w:eastAsia="Microsoft JhengHei" w:hint="default"/>
          <w:b/>
          <w:bCs/>
          <w:sz w:val="27"/>
          <w:szCs w:val="27"/>
        </w:rPr>
      </w:pPr>
    </w:p>
    <w:p>
      <w:pPr>
        <w:spacing w:line="636" w:lineRule="exact"/>
        <w:ind w:left="173"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2"/>
          <w:sz w:val="20"/>
          <w:szCs w:val="20"/>
        </w:rPr>
        <w:drawing>
          <wp:inline distT="0" distB="0" distL="0" distR="0">
            <wp:extent cx="6098875" cy="4040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72" cstate="print"/>
                    <a:stretch>
                      <a:fillRect/>
                    </a:stretch>
                  </pic:blipFill>
                  <pic:spPr>
                    <a:xfrm>
                      <a:off x="0" y="0"/>
                      <a:ext cx="6098875" cy="404050"/>
                    </a:xfrm>
                    <a:prstGeom prst="rect">
                      <a:avLst/>
                    </a:prstGeom>
                  </pic:spPr>
                </pic:pic>
              </a:graphicData>
            </a:graphic>
          </wp:inline>
        </w:drawing>
      </w:r>
      <w:r>
        <w:rPr>
          <w:rFonts w:ascii="Microsoft JhengHei" w:hAnsi="Microsoft JhengHei" w:cs="Microsoft JhengHei" w:eastAsia="Microsoft JhengHei" w:hint="default"/>
          <w:position w:val="-12"/>
          <w:sz w:val="20"/>
          <w:szCs w:val="20"/>
        </w:rPr>
      </w:r>
    </w:p>
    <w:p>
      <w:pPr>
        <w:spacing w:line="240" w:lineRule="auto" w:before="9"/>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655"/>
        <w:gridCol w:w="761"/>
        <w:gridCol w:w="814"/>
        <w:gridCol w:w="931"/>
        <w:gridCol w:w="934"/>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76,641,5</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10.29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1,138,11</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4.83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75,503,39</w:t>
            </w:r>
          </w:p>
          <w:p>
            <w:pPr>
              <w:pStyle w:val="TableParagraph"/>
              <w:spacing w:line="240" w:lineRule="auto" w:before="102"/>
              <w:ind w:left="443" w:right="0"/>
              <w:jc w:val="left"/>
              <w:rPr>
                <w:rFonts w:ascii="Times New Roman" w:hAnsi="Times New Roman" w:cs="Times New Roman" w:eastAsia="Times New Roman" w:hint="default"/>
                <w:sz w:val="18"/>
                <w:szCs w:val="18"/>
              </w:rPr>
            </w:pPr>
            <w:r>
              <w:rPr>
                <w:rFonts w:ascii="Times New Roman"/>
                <w:sz w:val="18"/>
              </w:rPr>
              <w:t>5.46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1,052,8</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31.95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430,898.3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40.93%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621,933.59</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76,641,5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1,138,11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75,503,39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1,052,8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31.95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430,898.3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40.93%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621,933.59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8"/>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4" w:space="4355"/>
            <w:col w:w="1121"/>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494"/>
        <w:gridCol w:w="2295"/>
        <w:gridCol w:w="2391"/>
        <w:gridCol w:w="2388"/>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76,097,117.44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760,971.17</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76,097,117.44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760,971.17</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24,789.64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2,478.96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207,055.03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62,116.52</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312,548.18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312,548.18</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76,641,510.29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1,138,114.83</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bl>
    <w:p>
      <w:pPr>
        <w:spacing w:line="362" w:lineRule="auto" w:before="49"/>
        <w:ind w:left="153" w:right="527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3"/>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spacing w:line="340" w:lineRule="auto" w:before="44"/>
        <w:ind w:left="153"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707,216.47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917" w:space="2912"/>
            <w:col w:w="1121"/>
          </w:cols>
        </w:sectPr>
      </w:pP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368"/>
        <w:gridCol w:w="3101"/>
        <w:gridCol w:w="3099"/>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983"/>
        <w:gridCol w:w="4585"/>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82"/>
        <w:gridCol w:w="1553"/>
        <w:gridCol w:w="1551"/>
        <w:gridCol w:w="1553"/>
        <w:gridCol w:w="1616"/>
        <w:gridCol w:w="1616"/>
      </w:tblGrid>
      <w:tr>
        <w:trPr>
          <w:trHeight w:val="714" w:hRule="exact"/>
        </w:trPr>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68"/>
        <w:gridCol w:w="3101"/>
        <w:gridCol w:w="3099"/>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911,989.95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766,534.85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215,485.06</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258,797.10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75,402,128.59</w:t>
            </w:r>
          </w:p>
        </w:tc>
        <w:tc>
          <w:tcPr>
            <w:tcW w:w="30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111,906.69</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76,641,510.29</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1,052,831.95</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43"/>
        <w:gridCol w:w="994"/>
        <w:gridCol w:w="1275"/>
        <w:gridCol w:w="1128"/>
        <w:gridCol w:w="1616"/>
        <w:gridCol w:w="1616"/>
      </w:tblGrid>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4"/>
              <w:jc w:val="right"/>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北京千锋互联科技有限公司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46,392,580.97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60.53%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463,925.81</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6"/>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樟树市雨青木华投资管理中心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11,711,533.32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15.28%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117,115.33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樟树市锦鑫投资管理中心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9,214,511.26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92,145.11</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樟树市飞扬投资管理中心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8,083,503.04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80,835.03</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温州市教育装备和勤工俭学管理中心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55"/>
              <w:jc w:val="left"/>
              <w:rPr>
                <w:rFonts w:ascii="宋体" w:hAnsi="宋体" w:cs="宋体" w:eastAsia="宋体" w:hint="default"/>
                <w:sz w:val="18"/>
                <w:szCs w:val="18"/>
              </w:rPr>
            </w:pPr>
            <w:r>
              <w:rPr>
                <w:rFonts w:ascii="宋体" w:hAnsi="宋体" w:cs="宋体" w:eastAsia="宋体" w:hint="default"/>
                <w:sz w:val="18"/>
                <w:szCs w:val="18"/>
              </w:rPr>
              <w:t>保证金及押 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3,250.00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75,727,128.59</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757,271.28</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026"/>
        <w:gridCol w:w="1865"/>
        <w:gridCol w:w="1868"/>
        <w:gridCol w:w="1868"/>
        <w:gridCol w:w="1944"/>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4"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51"/>
        <w:gridCol w:w="1419"/>
        <w:gridCol w:w="1133"/>
        <w:gridCol w:w="1418"/>
        <w:gridCol w:w="1277"/>
        <w:gridCol w:w="1006"/>
        <w:gridCol w:w="1368"/>
      </w:tblGrid>
      <w:tr>
        <w:trPr>
          <w:trHeight w:val="403" w:hRule="exact"/>
        </w:trPr>
        <w:tc>
          <w:tcPr>
            <w:tcW w:w="19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51"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00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80,284,774.14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80,284,774.14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50,015,127.60</w:t>
            </w:r>
          </w:p>
        </w:tc>
        <w:tc>
          <w:tcPr>
            <w:tcW w:w="100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50,015,127.60</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82,284,774.14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82,284,774.14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52,015,127.60</w:t>
            </w:r>
          </w:p>
        </w:tc>
        <w:tc>
          <w:tcPr>
            <w:tcW w:w="100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52,015,127.60</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47"/>
        <w:gridCol w:w="1335"/>
        <w:gridCol w:w="1337"/>
        <w:gridCol w:w="1335"/>
        <w:gridCol w:w="1335"/>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0" w:right="58" w:hanging="541"/>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深圳市连邦信息 技术有限公司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794"/>
        <w:gridCol w:w="799"/>
        <w:gridCol w:w="797"/>
        <w:gridCol w:w="797"/>
        <w:gridCol w:w="799"/>
        <w:gridCol w:w="797"/>
        <w:gridCol w:w="799"/>
        <w:gridCol w:w="797"/>
        <w:gridCol w:w="800"/>
        <w:gridCol w:w="797"/>
        <w:gridCol w:w="800"/>
        <w:gridCol w:w="797"/>
      </w:tblGrid>
      <w:tr>
        <w:trPr>
          <w:trHeight w:val="403" w:hRule="exact"/>
        </w:trPr>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4"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深圳罗湖 蓝海村镇 银行股份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50,015,12</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7.60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824,029.0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50,839,15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38"/>
              <w:jc w:val="both"/>
              <w:rPr>
                <w:rFonts w:ascii="宋体" w:hAnsi="宋体" w:cs="宋体" w:eastAsia="宋体" w:hint="default"/>
                <w:sz w:val="18"/>
                <w:szCs w:val="18"/>
              </w:rPr>
            </w:pPr>
            <w:r>
              <w:rPr>
                <w:rFonts w:ascii="宋体" w:hAnsi="宋体" w:cs="宋体" w:eastAsia="宋体" w:hint="default"/>
                <w:sz w:val="18"/>
                <w:szCs w:val="18"/>
              </w:rPr>
              <w:t>深圳嘉道 方直教育 产业投资</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554,382.4</w:t>
            </w:r>
          </w:p>
          <w:p>
            <w:pPr>
              <w:pStyle w:val="TableParagraph"/>
              <w:spacing w:line="240" w:lineRule="auto" w:before="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29,445,61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794"/>
        <w:gridCol w:w="799"/>
        <w:gridCol w:w="797"/>
        <w:gridCol w:w="797"/>
        <w:gridCol w:w="799"/>
        <w:gridCol w:w="797"/>
        <w:gridCol w:w="799"/>
        <w:gridCol w:w="797"/>
        <w:gridCol w:w="800"/>
        <w:gridCol w:w="797"/>
        <w:gridCol w:w="800"/>
        <w:gridCol w:w="797"/>
      </w:tblGrid>
      <w:tr>
        <w:trPr>
          <w:trHeight w:val="36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北京千锋 互联科技 有限公司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50,015,12</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7.60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131,467,8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101,467,8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269,646.5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80,284,77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50,015,12</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7.60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131,467,8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101,467,8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269,646.5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80,284,77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100,301,819.67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34,457,864.50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96,774,038.69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29,082,675.86</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100,301,819.67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34,457,864.50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96,774,038.69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29,082,675.86</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269,646.54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15,127.60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3,476,209.30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3,964,579.62</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3,745,855.84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3,979,707.22</w:t>
            </w:r>
          </w:p>
        </w:tc>
      </w:tr>
    </w:tbl>
    <w:p>
      <w:pPr>
        <w:spacing w:line="240" w:lineRule="auto" w:before="5"/>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十八、补充资料</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-19,232.90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处置固定资产损益</w:t>
            </w:r>
          </w:p>
        </w:tc>
      </w:tr>
      <w:tr>
        <w:trPr>
          <w:trHeight w:val="67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1,397,816.73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政府资助</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324"/>
        <w:gridCol w:w="3058"/>
        <w:gridCol w:w="3188"/>
      </w:tblGrid>
      <w:tr>
        <w:trPr>
          <w:trHeight w:val="36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3,476,209.30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理财收益</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-36,622.87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722,264.98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637.91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4,095,267.37</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3"/>
        <w:ind w:left="153" w:right="235"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0"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r>
    </w:tbl>
    <w:p>
      <w:pPr>
        <w:spacing w:line="240" w:lineRule="auto" w:before="10"/>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footerReference w:type="default" r:id="rId73"/>
          <w:pgSz w:w="11910" w:h="16840"/>
          <w:pgMar w:footer="979" w:header="880" w:top="1100" w:bottom="1160" w:left="980" w:right="980"/>
        </w:sectPr>
      </w:pPr>
    </w:p>
    <w:p>
      <w:pPr>
        <w:spacing w:line="240" w:lineRule="auto" w:before="6"/>
        <w:rPr>
          <w:rFonts w:ascii="Microsoft JhengHei" w:hAnsi="Microsoft JhengHei" w:cs="Microsoft JhengHei" w:eastAsia="Microsoft JhengHei" w:hint="default"/>
          <w:b/>
          <w:bCs/>
          <w:sz w:val="27"/>
          <w:szCs w:val="27"/>
        </w:rPr>
      </w:pPr>
    </w:p>
    <w:p>
      <w:pPr>
        <w:pStyle w:val="Heading1"/>
        <w:spacing w:line="456" w:lineRule="exact"/>
        <w:ind w:left="3285" w:right="0"/>
        <w:jc w:val="left"/>
        <w:rPr>
          <w:b w:val="0"/>
          <w:bCs w:val="0"/>
        </w:rPr>
      </w:pPr>
      <w:bookmarkStart w:name="_bookmark10" w:id="11"/>
      <w:bookmarkEnd w:id="11"/>
      <w:r>
        <w:rPr>
          <w:b w:val="0"/>
          <w:bCs w:val="0"/>
        </w:rPr>
      </w:r>
      <w:r>
        <w:rPr/>
        <w:t>第十二节 </w:t>
      </w:r>
      <w:r>
        <w:rPr>
          <w:spacing w:val="8"/>
        </w:rPr>
        <w:t> </w:t>
      </w:r>
      <w:r>
        <w:rPr/>
        <w:t>备查文件目录</w:t>
      </w:r>
      <w:r>
        <w:rPr>
          <w:b w:val="0"/>
          <w:bCs w:val="0"/>
        </w:rPr>
      </w:r>
    </w:p>
    <w:p>
      <w:pPr>
        <w:spacing w:line="240" w:lineRule="auto" w:before="4"/>
        <w:rPr>
          <w:rFonts w:ascii="Microsoft JhengHei" w:hAnsi="Microsoft JhengHei" w:cs="Microsoft JhengHei" w:eastAsia="Microsoft JhengHei" w:hint="default"/>
          <w:b/>
          <w:bCs/>
          <w:sz w:val="33"/>
          <w:szCs w:val="33"/>
        </w:rPr>
      </w:pPr>
    </w:p>
    <w:p>
      <w:pPr>
        <w:pStyle w:val="BodyText"/>
        <w:spacing w:line="408" w:lineRule="auto" w:before="0"/>
        <w:ind w:right="225"/>
        <w:jc w:val="left"/>
      </w:pPr>
      <w:r>
        <w:rPr/>
        <w:t>一、</w:t>
      </w:r>
      <w:r>
        <w:rPr>
          <w:spacing w:val="-7"/>
        </w:rPr>
        <w:t> </w:t>
      </w:r>
      <w:r>
        <w:rPr/>
        <w:t>载有公司法定代表人、主管会计工作负责人、公司会计机构负责人（会计主管人员）签名并盖章的</w:t>
      </w:r>
      <w:r>
        <w:rPr>
          <w:w w:val="100"/>
        </w:rPr>
        <w:t> </w:t>
      </w:r>
      <w:r>
        <w:rPr/>
        <w:t>财务报表。</w:t>
      </w:r>
    </w:p>
    <w:p>
      <w:pPr>
        <w:pStyle w:val="BodyText"/>
        <w:spacing w:line="240" w:lineRule="auto"/>
        <w:ind w:right="0"/>
        <w:jc w:val="left"/>
      </w:pPr>
      <w:r>
        <w:rPr/>
        <w:t>二、</w:t>
      </w:r>
      <w:r>
        <w:rPr>
          <w:spacing w:val="-4"/>
        </w:rPr>
        <w:t> </w:t>
      </w:r>
      <w:r>
        <w:rPr/>
        <w:t>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408" w:lineRule="auto" w:before="0"/>
        <w:ind w:right="1484"/>
        <w:jc w:val="left"/>
      </w:pPr>
      <w:r>
        <w:rPr/>
        <w:t>三、</w:t>
      </w:r>
      <w:r>
        <w:rPr>
          <w:spacing w:val="-6"/>
        </w:rPr>
        <w:t> </w:t>
      </w:r>
      <w:r>
        <w:rPr/>
        <w:t>报告期内在中国证监会指定网站上公开披露过的所有公司文件的正本及公告的原稿。</w:t>
      </w:r>
      <w:r>
        <w:rPr>
          <w:w w:val="100"/>
        </w:rPr>
        <w:t> </w:t>
      </w:r>
      <w:r>
        <w:rPr/>
        <w:t>四、</w:t>
      </w:r>
      <w:r>
        <w:rPr>
          <w:spacing w:val="-3"/>
        </w:rPr>
        <w:t> </w:t>
      </w:r>
      <w:r>
        <w:rPr/>
        <w:t>经公司法定代表人签名的</w:t>
      </w:r>
      <w:r>
        <w:rPr>
          <w:rFonts w:ascii="宋体" w:hAnsi="宋体" w:cs="宋体" w:eastAsia="宋体" w:hint="default"/>
        </w:rPr>
        <w:t>2017</w:t>
      </w:r>
      <w:r>
        <w:rPr/>
        <w:t>年年度报告文本原件。</w:t>
      </w:r>
    </w:p>
    <w:p>
      <w:pPr>
        <w:pStyle w:val="BodyText"/>
        <w:spacing w:line="410" w:lineRule="auto"/>
        <w:ind w:right="5493"/>
        <w:jc w:val="left"/>
      </w:pPr>
      <w:r>
        <w:rPr/>
        <w:t>五、</w:t>
      </w:r>
      <w:r>
        <w:rPr>
          <w:spacing w:val="-2"/>
        </w:rPr>
        <w:t> </w:t>
      </w:r>
      <w:r>
        <w:rPr/>
        <w:t>其他相关资料。</w:t>
      </w:r>
      <w:r>
        <w:rPr>
          <w:w w:val="100"/>
        </w:rPr>
        <w:t> </w:t>
      </w:r>
      <w:r>
        <w:rPr>
          <w:spacing w:val="-2"/>
        </w:rPr>
        <w:t>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408" w:lineRule="auto" w:before="0"/>
        <w:ind w:left="5803" w:right="230" w:hanging="423"/>
        <w:jc w:val="left"/>
      </w:pPr>
      <w:r>
        <w:rPr>
          <w:spacing w:val="-2"/>
        </w:rPr>
        <w:t>深圳市方直科技股份有限公司</w:t>
      </w:r>
      <w:r>
        <w:rPr>
          <w:spacing w:val="-79"/>
        </w:rPr>
        <w:t> </w:t>
      </w:r>
      <w:r>
        <w:rPr>
          <w:spacing w:val="-79"/>
        </w:rPr>
      </w:r>
      <w:r>
        <w:rPr/>
        <w:t>法定代表人：黄元忠</w:t>
      </w:r>
      <w:r>
        <w:rPr>
          <w:w w:val="100"/>
        </w:rPr>
        <w:t> </w:t>
      </w:r>
      <w:r>
        <w:rPr/>
        <w:t>二〇一八年四月十八日</w:t>
      </w:r>
    </w:p>
    <w:sectPr>
      <w:footerReference w:type="default" r:id="rId74"/>
      <w:pgSz w:w="11910" w:h="16840"/>
      <w:pgMar w:footer="979" w:header="880"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722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0.02002pt;margin-top:535.357971pt;width:12.15pt;height:11pt;mso-position-horizontal-relative:page;mso-position-vertical-relative:page;z-index:-7224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w:t>
                </w:r>
                <w:r>
                  <w:rPr/>
                  <w:fldChar w:fldCharType="begin"/>
                </w:r>
                <w:r>
                  <w:rPr>
                    <w:rFonts w:ascii="Times New Roman"/>
                    <w:sz w:val="18"/>
                  </w:rPr>
                  <w:instrText> PAGE </w:instrText>
                </w:r>
                <w:r>
                  <w:rPr/>
                  <w:fldChar w:fldCharType="separate"/>
                </w:r>
                <w:r>
                  <w:rPr/>
                  <w:t>5</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2.15pt;height:11pt;mso-position-horizontal-relative:page;mso-position-vertical-relative:page;z-index:-722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r>
                  <w:rPr>
                    <w:rFonts w:ascii="Times New Roman"/>
                    <w:sz w:val="18"/>
                  </w:rPr>
                  <w:t>9</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23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1.15pt;height:11pt;mso-position-horizontal-relative:page;mso-position-vertical-relative:page;z-index:-7223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0.02002pt;margin-top:535.357971pt;width:12.15pt;height:11pt;mso-position-horizontal-relative:page;mso-position-vertical-relative:page;z-index:-7222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22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w:t>
                </w:r>
                <w:r>
                  <w:rPr/>
                  <w:fldChar w:fldCharType="begin"/>
                </w:r>
                <w:r>
                  <w:rPr>
                    <w:rFonts w:ascii="Times New Roman"/>
                    <w:sz w:val="18"/>
                  </w:rPr>
                  <w:instrText> PAGE </w:instrText>
                </w:r>
                <w:r>
                  <w:rPr/>
                  <w:fldChar w:fldCharType="separate"/>
                </w:r>
                <w:r>
                  <w:rPr/>
                  <w:t>3</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1.15pt;height:11pt;mso-position-horizontal-relative:page;mso-position-vertical-relative:page;z-index:-7221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2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21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w:t>
                </w:r>
                <w:r>
                  <w:rPr/>
                  <w:fldChar w:fldCharType="begin"/>
                </w:r>
                <w:r>
                  <w:rPr>
                    <w:rFonts w:ascii="Times New Roman"/>
                    <w:sz w:val="18"/>
                  </w:rPr>
                  <w:instrText> PAGE </w:instrText>
                </w:r>
                <w:r>
                  <w:rPr/>
                  <w:fldChar w:fldCharType="separate"/>
                </w:r>
                <w:r>
                  <w:rPr/>
                  <w:t>8</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1.15pt;height:11pt;mso-position-horizontal-relative:page;mso-position-vertical-relative:page;z-index:-7221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1.957947pt;width:8.5pt;height:11pt;mso-position-horizontal-relative:page;mso-position-vertical-relative:page;z-index:-722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2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0.02002pt;margin-top:535.357971pt;width:12.15pt;height:11pt;mso-position-horizontal-relative:page;mso-position-vertical-relative:page;z-index:-7220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w:t>
                </w:r>
                <w:r>
                  <w:rPr/>
                  <w:fldChar w:fldCharType="begin"/>
                </w:r>
                <w:r>
                  <w:rPr>
                    <w:rFonts w:ascii="Times New Roman"/>
                    <w:sz w:val="18"/>
                  </w:rPr>
                  <w:instrText> PAGE </w:instrText>
                </w:r>
                <w:r>
                  <w:rPr/>
                  <w:fldChar w:fldCharType="separate"/>
                </w:r>
                <w:r>
                  <w:rPr/>
                  <w:t>5</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0.02002pt;margin-top:535.357971pt;width:12.15pt;height:11pt;mso-position-horizontal-relative:page;mso-position-vertical-relative:page;z-index:-7220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w:t>
                </w:r>
                <w:r>
                  <w:rPr/>
                  <w:fldChar w:fldCharType="begin"/>
                </w:r>
                <w:r>
                  <w:rPr>
                    <w:rFonts w:ascii="Times New Roman"/>
                    <w:sz w:val="18"/>
                  </w:rPr>
                  <w:instrText> PAGE </w:instrText>
                </w:r>
                <w:r>
                  <w:rPr/>
                  <w:fldChar w:fldCharType="separate"/>
                </w:r>
                <w:r>
                  <w:rPr/>
                  <w:t>8</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2.15pt;height:11pt;mso-position-horizontal-relative:page;mso-position-vertical-relative:page;z-index:-72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r>
                  <w:rPr>
                    <w:rFonts w:ascii="Times New Roman"/>
                    <w:sz w:val="18"/>
                  </w:rPr>
                  <w:t>9</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19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1.15pt;height:11pt;mso-position-horizontal-relative:page;mso-position-vertical-relative:page;z-index:-721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18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1.15pt;height:11pt;mso-position-horizontal-relative:page;mso-position-vertical-relative:page;z-index:-721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1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w:t>
                </w:r>
                <w:r>
                  <w:rPr/>
                  <w:fldChar w:fldCharType="begin"/>
                </w:r>
                <w:r>
                  <w:rPr>
                    <w:rFonts w:ascii="Times New Roman"/>
                    <w:sz w:val="18"/>
                  </w:rPr>
                  <w:instrText> PAGE </w:instrText>
                </w:r>
                <w:r>
                  <w:rPr/>
                  <w:fldChar w:fldCharType="separate"/>
                </w:r>
                <w:r>
                  <w:rPr/>
                  <w:t>2</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0.02002pt;margin-top:535.357971pt;width:12.15pt;height:11pt;mso-position-horizontal-relative:page;mso-position-vertical-relative:page;z-index:-7217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w:t>
                </w:r>
                <w:r>
                  <w:rPr/>
                  <w:fldChar w:fldCharType="begin"/>
                </w:r>
                <w:r>
                  <w:rPr>
                    <w:rFonts w:ascii="Times New Roman"/>
                    <w:sz w:val="18"/>
                  </w:rPr>
                  <w:instrText> PAGE </w:instrText>
                </w:r>
                <w:r>
                  <w:rPr/>
                  <w:fldChar w:fldCharType="separate"/>
                </w:r>
                <w:r>
                  <w:rPr/>
                  <w:t>7</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1.15pt;height:11pt;mso-position-horizontal-relative:page;mso-position-vertical-relative:page;z-index:-7226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5.460022pt;margin-top:535.357971pt;width:15.7pt;height:11pt;mso-position-horizontal-relative:page;mso-position-vertical-relative:page;z-index:-721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5.460022pt;margin-top:535.357971pt;width:16.7pt;height:11pt;mso-position-horizontal-relative:page;mso-position-vertical-relative:page;z-index:-7217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6.7pt;height:11pt;mso-position-horizontal-relative:page;mso-position-vertical-relative:page;z-index:-7216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w:t>
                </w:r>
                <w:r>
                  <w:rPr/>
                  <w:fldChar w:fldCharType="begin"/>
                </w:r>
                <w:r>
                  <w:rPr>
                    <w:rFonts w:ascii="Times New Roman"/>
                    <w:sz w:val="18"/>
                  </w:rPr>
                  <w:instrText> PAGE </w:instrText>
                </w:r>
                <w:r>
                  <w:rPr/>
                  <w:fldChar w:fldCharType="separate"/>
                </w:r>
                <w:r>
                  <w:rPr/>
                  <w:t>4</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479980pt;margin-top:781.957947pt;width:15.3pt;height:11pt;mso-position-horizontal-relative:page;mso-position-vertical-relative:page;z-index:-7216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110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840027pt;margin-top:781.957947pt;width:14.6pt;height:11pt;mso-position-horizontal-relative:page;mso-position-vertical-relative:page;z-index:-7216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pacing w:val="-6"/>
                    <w:sz w:val="18"/>
                  </w:rPr>
                  <w:t>111</w:t>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479980pt;margin-top:781.957947pt;width:16.3pt;height:11pt;mso-position-horizontal-relative:page;mso-position-vertical-relative:page;z-index:-721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11</w:t>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7215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120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6.7pt;height:11pt;mso-position-horizontal-relative:page;mso-position-vertical-relative:page;z-index:-7215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12</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721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6.7pt;height:11pt;mso-position-horizontal-relative:page;mso-position-vertical-relative:page;z-index:-7214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039978pt;margin-top:781.957947pt;width:10.4pt;height:11pt;mso-position-horizontal-relative:page;mso-position-vertical-relative:page;z-index:-7226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6.7pt;height:11pt;mso-position-horizontal-relative:page;mso-position-vertical-relative:page;z-index:-721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w:t>
                </w:r>
                <w:r>
                  <w:rPr/>
                  <w:fldChar w:fldCharType="begin"/>
                </w:r>
                <w:r>
                  <w:rPr>
                    <w:rFonts w:ascii="Times New Roman"/>
                    <w:sz w:val="18"/>
                  </w:rPr>
                  <w:instrText> PAGE </w:instrText>
                </w:r>
                <w:r>
                  <w:rPr/>
                  <w:fldChar w:fldCharType="separate"/>
                </w:r>
                <w:r>
                  <w:rPr/>
                  <w:t>3</w:t>
                </w:r>
                <w:r>
                  <w:rPr/>
                  <w:fldChar w:fldCharType="end"/>
                </w:r>
                <w:r>
                  <w:rPr>
                    <w:rFonts w:ascii="Times New Roman"/>
                    <w:spacing w:val="1"/>
                    <w:sz w:val="18"/>
                  </w:rPr>
                </w:r>
                <w:r>
                  <w:rPr>
                    <w:rFonts w:ascii="Times New Roman"/>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7214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6.7pt;height:11pt;mso-position-horizontal-relative:page;mso-position-vertical-relative:page;z-index:-7214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7213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150</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6.7pt;height:11pt;mso-position-horizontal-relative:page;mso-position-vertical-relative:page;z-index:-7213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15</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7213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160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6.7pt;height:11pt;mso-position-horizontal-relative:page;mso-position-vertical-relative:page;z-index:-7213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16</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721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170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6.7pt;height:11pt;mso-position-horizontal-relative:page;mso-position-vertical-relative:page;z-index:-7212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17</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721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180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25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r>
                  <w:rPr/>
                  <w:fldChar w:fldCharType="begin"/>
                </w:r>
                <w:r>
                  <w:rPr>
                    <w:rFonts w:ascii="Times New Roman"/>
                    <w:sz w:val="18"/>
                  </w:rPr>
                  <w:instrText> PAGE </w:instrText>
                </w:r>
                <w:r>
                  <w:rPr/>
                  <w:fldChar w:fldCharType="separate"/>
                </w:r>
                <w:r>
                  <w:rPr/>
                  <w:t>2</w:t>
                </w:r>
                <w:r>
                  <w:rPr/>
                  <w:fldChar w:fldCharType="end"/>
                </w:r>
                <w:r>
                  <w:rPr>
                    <w:rFonts w:ascii="Times New Roman"/>
                    <w:spacing w:val="1"/>
                    <w:sz w:val="18"/>
                  </w:rPr>
                </w:r>
                <w:r>
                  <w:rPr>
                    <w:rFonts w:ascii="Times New Roman"/>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6.7pt;height:11pt;mso-position-horizontal-relative:page;mso-position-vertical-relative:page;z-index:-721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18</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721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190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721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191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2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r>
                  <w:rPr/>
                  <w:fldChar w:fldCharType="begin"/>
                </w:r>
                <w:r>
                  <w:rPr>
                    <w:rFonts w:ascii="Times New Roman"/>
                    <w:sz w:val="18"/>
                  </w:rPr>
                  <w:instrText> PAGE </w:instrText>
                </w:r>
                <w:r>
                  <w:rPr/>
                  <w:fldChar w:fldCharType="separate"/>
                </w:r>
                <w:r>
                  <w:rPr/>
                  <w:t>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25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r>
                  <w:rPr/>
                  <w:fldChar w:fldCharType="begin"/>
                </w:r>
                <w:r>
                  <w:rPr>
                    <w:rFonts w:ascii="Times New Roman"/>
                    <w:sz w:val="18"/>
                  </w:rPr>
                  <w:instrText> PAGE </w:instrText>
                </w:r>
                <w:r>
                  <w:rPr/>
                  <w:fldChar w:fldCharType="separate"/>
                </w:r>
                <w:r>
                  <w:rPr/>
                  <w:t>7</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1.15pt;height:11pt;mso-position-horizontal-relative:page;mso-position-vertical-relative:page;z-index:-722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2.15pt;height:11pt;mso-position-horizontal-relative:page;mso-position-vertical-relative:page;z-index:-7224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w:t>
                </w:r>
                <w:r>
                  <w:rPr/>
                  <w:fldChar w:fldCharType="begin"/>
                </w:r>
                <w:r>
                  <w:rPr>
                    <w:rFonts w:ascii="Times New Roman"/>
                    <w:sz w:val="18"/>
                  </w:rPr>
                  <w:instrText> PAGE </w:instrText>
                </w:r>
                <w:r>
                  <w:rPr/>
                  <w:fldChar w:fldCharType="separate"/>
                </w:r>
                <w:r>
                  <w:rPr/>
                  <w:t>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385609pt;width:204.75pt;height:11.5pt;mso-position-horizontal-relative:page;mso-position-vertical-relative:page;z-index:-722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722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7224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722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722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7222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722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722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7219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721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721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7216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721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3"/>
    </w:pPr>
    <w:rPr>
      <w:rFonts w:ascii="Microsoft JhengHei" w:hAnsi="Microsoft JhengHei" w:eastAsia="Microsoft JhengHei"/>
      <w:b/>
      <w:bCs/>
      <w:sz w:val="24"/>
      <w:szCs w:val="24"/>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ind w:left="2610"/>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53"/>
      <w:outlineLvl w:val="3"/>
    </w:pPr>
    <w:rPr>
      <w:rFonts w:ascii="Microsoft JhengHei" w:hAnsi="Microsoft JhengHei" w:eastAsia="Microsoft JhengHei"/>
      <w:b/>
      <w:bCs/>
      <w:sz w:val="24"/>
      <w:szCs w:val="24"/>
    </w:rPr>
  </w:style>
  <w:style w:styleId="Heading4" w:type="paragraph">
    <w:name w:val="Heading 4"/>
    <w:basedOn w:val="Normal"/>
    <w:uiPriority w:val="1"/>
    <w:qFormat/>
    <w:pPr>
      <w:ind w:left="153"/>
      <w:outlineLvl w:val="4"/>
    </w:pPr>
    <w:rPr>
      <w:rFonts w:ascii="宋体" w:hAnsi="宋体" w:eastAsia="宋体"/>
      <w:sz w:val="22"/>
      <w:szCs w:val="22"/>
    </w:rPr>
  </w:style>
  <w:style w:styleId="Heading5" w:type="paragraph">
    <w:name w:val="Heading 5"/>
    <w:basedOn w:val="Normal"/>
    <w:uiPriority w:val="1"/>
    <w:qFormat/>
    <w:pPr>
      <w:ind w:left="153"/>
      <w:outlineLvl w:val="5"/>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kingsunedu.com/" TargetMode="External"/><Relationship Id="rId10" Type="http://schemas.openxmlformats.org/officeDocument/2006/relationships/hyperlink" Target="mailto:kingsunsoft@kingsunsoft.com" TargetMode="External"/><Relationship Id="rId11" Type="http://schemas.openxmlformats.org/officeDocument/2006/relationships/hyperlink" Target="mailto:feng.li@kingsunsoft.com" TargetMode="External"/><Relationship Id="rId12" Type="http://schemas.openxmlformats.org/officeDocument/2006/relationships/hyperlink" Target="mailto:ling.zhong@kingsunsoft.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2.xml"/><Relationship Id="rId22" Type="http://schemas.openxmlformats.org/officeDocument/2006/relationships/footer" Target="footer10.xml"/><Relationship Id="rId23" Type="http://schemas.openxmlformats.org/officeDocument/2006/relationships/header" Target="header3.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header" Target="header4.xml"/><Relationship Id="rId28" Type="http://schemas.openxmlformats.org/officeDocument/2006/relationships/footer" Target="footer14.xml"/><Relationship Id="rId29" Type="http://schemas.openxmlformats.org/officeDocument/2006/relationships/header" Target="header5.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image" Target="media/image2.png"/><Relationship Id="rId37" Type="http://schemas.openxmlformats.org/officeDocument/2006/relationships/header" Target="header6.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header" Target="header7.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footer" Target="footer28.xml"/><Relationship Id="rId47" Type="http://schemas.openxmlformats.org/officeDocument/2006/relationships/header" Target="header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 Id="rId51" Type="http://schemas.openxmlformats.org/officeDocument/2006/relationships/header" Target="header9.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footer" Target="footer37.xml"/><Relationship Id="rId58" Type="http://schemas.openxmlformats.org/officeDocument/2006/relationships/footer" Target="footer38.xml"/><Relationship Id="rId59" Type="http://schemas.openxmlformats.org/officeDocument/2006/relationships/footer" Target="footer39.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 Id="rId63" Type="http://schemas.openxmlformats.org/officeDocument/2006/relationships/image" Target="media/image3.jpeg"/><Relationship Id="rId64" Type="http://schemas.openxmlformats.org/officeDocument/2006/relationships/footer" Target="footer43.xml"/><Relationship Id="rId65" Type="http://schemas.openxmlformats.org/officeDocument/2006/relationships/footer" Target="footer44.xml"/><Relationship Id="rId66" Type="http://schemas.openxmlformats.org/officeDocument/2006/relationships/footer" Target="footer45.xml"/><Relationship Id="rId67" Type="http://schemas.openxmlformats.org/officeDocument/2006/relationships/footer" Target="footer46.xml"/><Relationship Id="rId68" Type="http://schemas.openxmlformats.org/officeDocument/2006/relationships/footer" Target="footer47.xml"/><Relationship Id="rId69" Type="http://schemas.openxmlformats.org/officeDocument/2006/relationships/footer" Target="footer48.xml"/><Relationship Id="rId70" Type="http://schemas.openxmlformats.org/officeDocument/2006/relationships/footer" Target="footer49.xml"/><Relationship Id="rId71" Type="http://schemas.openxmlformats.org/officeDocument/2006/relationships/footer" Target="footer50.xml"/><Relationship Id="rId72" Type="http://schemas.openxmlformats.org/officeDocument/2006/relationships/image" Target="media/image4.png"/><Relationship Id="rId73" Type="http://schemas.openxmlformats.org/officeDocument/2006/relationships/footer" Target="footer51.xml"/><Relationship Id="rId74" Type="http://schemas.openxmlformats.org/officeDocument/2006/relationships/footer" Target="foot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钟玲</dc:creator>
  <dc:title>深圳市方直科技股份有限公司2017年年度报告全文</dc:title>
  <dcterms:created xsi:type="dcterms:W3CDTF">2020-05-03T00:18:24Z</dcterms:created>
  <dcterms:modified xsi:type="dcterms:W3CDTF">2020-05-03T00:18:24Z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Word 2016</vt:lpwstr>
  </property>
  <property fmtid="{D5CDD505-2E9C-101B-9397-08002B2CF9AE}" pid="4" name="LastSaved">
    <vt:filetime>2020-05-02T00:00:00Z</vt:filetime>
  </property>
</Properties>
</file>