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53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127760" cy="9753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7760" cy="975359"/>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1824" w:right="280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深圳市方直科技股份有限公司</w:t>
      </w:r>
      <w:r>
        <w:rPr>
          <w:rFonts w:ascii="Microsoft JhengHei" w:hAnsi="Microsoft JhengHei" w:cs="Microsoft JhengHei" w:eastAsia="Microsoft JhengHei" w:hint="default"/>
          <w:sz w:val="36"/>
          <w:szCs w:val="36"/>
        </w:rPr>
      </w:r>
    </w:p>
    <w:p>
      <w:pPr>
        <w:spacing w:before="259"/>
        <w:ind w:left="1828" w:right="280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3"/>
          <w:szCs w:val="23"/>
        </w:rPr>
      </w:pPr>
    </w:p>
    <w:p>
      <w:pPr>
        <w:pStyle w:val="Heading4"/>
        <w:spacing w:line="240" w:lineRule="auto"/>
        <w:ind w:left="1832" w:right="2809"/>
        <w:jc w:val="center"/>
        <w:rPr>
          <w:b w:val="0"/>
          <w:bCs w:val="0"/>
        </w:rPr>
      </w:pPr>
      <w:r>
        <w:rPr/>
        <w:t>2019-012</w:t>
      </w:r>
      <w:r>
        <w:rPr>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1831" w:right="280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pStyle w:val="Heading2"/>
        <w:spacing w:line="307" w:lineRule="auto"/>
        <w:ind w:right="1136" w:firstLine="561"/>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8"/>
        </w:rPr>
        <w:t> </w:t>
      </w:r>
      <w:r>
        <w:rPr>
          <w:spacing w:val="-38"/>
        </w:rPr>
      </w:r>
      <w:r>
        <w:rPr/>
        <w:t>带的法律责任。</w:t>
      </w:r>
      <w:r>
        <w:rPr>
          <w:b w:val="0"/>
          <w:bCs w:val="0"/>
        </w:rPr>
      </w:r>
    </w:p>
    <w:p>
      <w:pPr>
        <w:pStyle w:val="Heading2"/>
        <w:spacing w:line="307" w:lineRule="auto" w:before="133"/>
        <w:ind w:right="1130" w:firstLine="561"/>
        <w:jc w:val="both"/>
        <w:rPr>
          <w:b w:val="0"/>
          <w:bCs w:val="0"/>
        </w:rPr>
      </w:pPr>
      <w:r>
        <w:rPr/>
        <w:t>公司负责人黄元忠、主管会计工作负责人贺林英及会计机构负责人</w:t>
      </w:r>
      <w:r>
        <w:rPr>
          <w:rFonts w:ascii="Times New Roman" w:hAnsi="Times New Roman" w:cs="Times New Roman" w:eastAsia="Times New Roman" w:hint="default"/>
        </w:rPr>
        <w:t>(</w:t>
      </w:r>
      <w:r>
        <w:rPr/>
        <w:t>会计主</w:t>
      </w:r>
      <w:r>
        <w:rPr>
          <w:w w:val="100"/>
        </w:rPr>
        <w:t> </w:t>
      </w:r>
      <w:r>
        <w:rPr/>
        <w:t>管人员</w:t>
      </w:r>
      <w:r>
        <w:rPr>
          <w:rFonts w:ascii="Times New Roman" w:hAnsi="Times New Roman" w:cs="Times New Roman" w:eastAsia="Times New Roman" w:hint="default"/>
        </w:rPr>
        <w:t>)</w:t>
      </w:r>
      <w:r>
        <w:rPr/>
        <w:t>廖晓莉声明：保证年度报告中财务报告的真实、准确、完整。</w:t>
      </w:r>
      <w:r>
        <w:rPr>
          <w:b w:val="0"/>
          <w:bCs w:val="0"/>
        </w:rPr>
      </w:r>
    </w:p>
    <w:p>
      <w:pPr>
        <w:pStyle w:val="Heading2"/>
        <w:spacing w:line="240" w:lineRule="auto" w:before="133"/>
        <w:ind w:left="714" w:right="0"/>
        <w:jc w:val="left"/>
        <w:rPr>
          <w:b w:val="0"/>
          <w:bCs w:val="0"/>
        </w:rPr>
      </w:pPr>
      <w:r>
        <w:rPr/>
        <w:t>所有董事均已出席了审议本报告的董事会会议。</w:t>
      </w:r>
      <w:r>
        <w:rPr>
          <w:b w:val="0"/>
          <w:bCs w:val="0"/>
        </w:rPr>
      </w:r>
    </w:p>
    <w:p>
      <w:pPr>
        <w:spacing w:after="0" w:line="240" w:lineRule="auto"/>
        <w:jc w:val="left"/>
        <w:sectPr>
          <w:footerReference w:type="default" r:id="rId8"/>
          <w:pgSz w:w="11910" w:h="16840"/>
          <w:pgMar w:footer="979" w:header="748" w:top="1060" w:bottom="1160" w:left="980" w:right="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7"/>
        <w:rPr>
          <w:rFonts w:ascii="Microsoft JhengHei" w:hAnsi="Microsoft JhengHei" w:cs="Microsoft JhengHei" w:eastAsia="Microsoft JhengHei" w:hint="default"/>
          <w:b/>
          <w:bCs/>
          <w:sz w:val="22"/>
          <w:szCs w:val="22"/>
        </w:rPr>
      </w:pPr>
    </w:p>
    <w:p>
      <w:pPr>
        <w:pStyle w:val="Heading2"/>
        <w:spacing w:line="413" w:lineRule="exact"/>
        <w:ind w:right="0"/>
        <w:jc w:val="left"/>
        <w:rPr>
          <w:b w:val="0"/>
          <w:bCs w:val="0"/>
        </w:rPr>
      </w:pPr>
      <w:r>
        <w:rPr/>
        <w:t>重要提示：</w:t>
      </w:r>
      <w:r>
        <w:rPr>
          <w:b w:val="0"/>
          <w:bCs w:val="0"/>
        </w:rPr>
      </w:r>
    </w:p>
    <w:p>
      <w:pPr>
        <w:pStyle w:val="Heading3"/>
        <w:spacing w:line="240" w:lineRule="auto" w:before="203"/>
        <w:ind w:left="635" w:right="0"/>
        <w:jc w:val="left"/>
        <w:rPr>
          <w:b w:val="0"/>
          <w:bCs w:val="0"/>
        </w:rPr>
      </w:pPr>
      <w:r>
        <w:rPr/>
        <w:t>（一）可能存在的风险因素</w:t>
      </w:r>
      <w:r>
        <w:rPr>
          <w:b w:val="0"/>
          <w:bCs w:val="0"/>
        </w:rPr>
      </w:r>
    </w:p>
    <w:p>
      <w:pPr>
        <w:pStyle w:val="Heading3"/>
        <w:spacing w:line="240" w:lineRule="auto" w:before="206"/>
        <w:ind w:left="635" w:right="0"/>
        <w:jc w:val="left"/>
        <w:rPr>
          <w:b w:val="0"/>
          <w:bCs w:val="0"/>
        </w:rPr>
      </w:pPr>
      <w:r>
        <w:rPr>
          <w:rFonts w:ascii="Times New Roman" w:hAnsi="Times New Roman" w:cs="Times New Roman" w:eastAsia="Times New Roman" w:hint="default"/>
        </w:rPr>
        <w:t>1</w:t>
      </w:r>
      <w:r>
        <w:rPr/>
        <w:t>、市场不规范竞争风险</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408" w:lineRule="auto" w:before="0"/>
        <w:ind w:right="1126" w:firstLine="420"/>
        <w:jc w:val="both"/>
      </w:pPr>
      <w:r>
        <w:rPr/>
        <w:t>近年来，在“互联网</w:t>
      </w:r>
      <w:r>
        <w:rPr>
          <w:rFonts w:ascii="宋体" w:hAnsi="宋体" w:cs="宋体" w:eastAsia="宋体" w:hint="default"/>
        </w:rPr>
        <w:t>+</w:t>
      </w:r>
      <w:r>
        <w:rPr/>
        <w:t>”的资本热潮推波助燃下，市场上出现了很多在线教育企业，部分在线教育企</w:t>
      </w:r>
      <w:r>
        <w:rPr>
          <w:w w:val="100"/>
        </w:rPr>
        <w:t> </w:t>
      </w:r>
      <w:r>
        <w:rPr>
          <w:spacing w:val="-2"/>
        </w:rPr>
        <w:t>业存在含有网络游戏、商业广告、诱导性消费、内容盗版、质量粗糙、侵犯知识产权等情况，行业竞争环</w:t>
      </w:r>
      <w:r>
        <w:rPr>
          <w:spacing w:val="-42"/>
        </w:rPr>
        <w:t> </w:t>
      </w:r>
      <w:r>
        <w:rPr>
          <w:spacing w:val="-42"/>
        </w:rPr>
      </w:r>
      <w:r>
        <w:rPr>
          <w:spacing w:val="-2"/>
        </w:rPr>
        <w:t>境受到一定影响。随着政府不断完善法律法规政策，竞争环境将有所缓解。公司也将把握政策导向和市场</w:t>
      </w:r>
      <w:r>
        <w:rPr>
          <w:spacing w:val="-44"/>
        </w:rPr>
        <w:t> </w:t>
      </w:r>
      <w:r>
        <w:rPr>
          <w:spacing w:val="-44"/>
        </w:rPr>
      </w:r>
      <w:r>
        <w:rPr>
          <w:spacing w:val="-2"/>
        </w:rPr>
        <w:t>需求，加强知识产权保护，增大研发投入从而提升产品研发迭代能力以及增强持续创新的能力，同时建设</w:t>
      </w:r>
      <w:r>
        <w:rPr>
          <w:spacing w:val="-44"/>
        </w:rPr>
        <w:t> </w:t>
      </w:r>
      <w:r>
        <w:rPr>
          <w:spacing w:val="-44"/>
        </w:rPr>
      </w:r>
      <w:r>
        <w:rPr/>
        <w:t>完善的渠道服务体系以满足市场需求。</w:t>
      </w:r>
    </w:p>
    <w:p>
      <w:pPr>
        <w:pStyle w:val="Heading3"/>
        <w:spacing w:line="240" w:lineRule="auto" w:before="100"/>
        <w:ind w:left="635" w:right="0"/>
        <w:jc w:val="left"/>
        <w:rPr>
          <w:b w:val="0"/>
          <w:bCs w:val="0"/>
        </w:rPr>
      </w:pPr>
      <w:r>
        <w:rPr>
          <w:rFonts w:ascii="Times New Roman" w:hAnsi="Times New Roman" w:cs="Times New Roman" w:eastAsia="Times New Roman" w:hint="default"/>
        </w:rPr>
        <w:t>2</w:t>
      </w:r>
      <w:r>
        <w:rPr/>
        <w:t>、客户相对集中的风险</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408" w:lineRule="auto" w:before="0"/>
        <w:ind w:right="0" w:firstLine="420"/>
        <w:jc w:val="left"/>
      </w:pPr>
      <w:r>
        <w:rPr/>
        <w:t>目前公司的销售区域仍主要以珠三角，长三角及京津地区等大中城市为主，市场区域相对集中并存在</w:t>
      </w:r>
      <w:r>
        <w:rPr>
          <w:w w:val="100"/>
        </w:rPr>
        <w:t> </w:t>
      </w:r>
      <w:r>
        <w:rPr>
          <w:spacing w:val="-2"/>
        </w:rPr>
        <w:t>一定风险，可能对本公司未来盈利能力造成影响。公司将通过技术研发和产品拓展计划，营销渠道拓展计</w:t>
      </w:r>
      <w:r>
        <w:rPr>
          <w:spacing w:val="-43"/>
        </w:rPr>
        <w:t> </w:t>
      </w:r>
      <w:r>
        <w:rPr>
          <w:spacing w:val="-43"/>
        </w:rPr>
      </w:r>
      <w:r>
        <w:rPr>
          <w:spacing w:val="-2"/>
        </w:rPr>
        <w:t>划解决上述产品及销售区域较为集中的风险。一方面通过开发语文、数学等其他学科的研发，将各学科发</w:t>
      </w:r>
      <w:r>
        <w:rPr>
          <w:spacing w:val="-44"/>
        </w:rPr>
        <w:t> </w:t>
      </w:r>
      <w:r>
        <w:rPr>
          <w:spacing w:val="-44"/>
        </w:rPr>
      </w:r>
      <w:r>
        <w:rPr>
          <w:spacing w:val="-2"/>
        </w:rPr>
        <w:t>展均衡。另一方面，公司将把开创新的销售区域作为战略重点，通过与现有的主流出版社、教研系统所建</w:t>
      </w:r>
      <w:r>
        <w:rPr>
          <w:spacing w:val="-47"/>
        </w:rPr>
        <w:t> </w:t>
      </w:r>
      <w:r>
        <w:rPr>
          <w:spacing w:val="-47"/>
        </w:rPr>
      </w:r>
      <w:r>
        <w:rPr>
          <w:spacing w:val="-5"/>
        </w:rPr>
        <w:t>立的良好的合作关系，充分把握各地中小学教材的新特点、新趋势，对潜在用户的市场需求进行调研分析， </w:t>
      </w:r>
      <w:r>
        <w:rPr>
          <w:spacing w:val="-5"/>
        </w:rPr>
      </w:r>
      <w:r>
        <w:rPr>
          <w:spacing w:val="-2"/>
        </w:rPr>
        <w:t>积极开发地方版本系列以满足二、三线城市的拓展需求。同时全面加速推进公司优质资源建设、自主知识</w:t>
      </w:r>
      <w:r>
        <w:rPr>
          <w:spacing w:val="-43"/>
        </w:rPr>
        <w:t> </w:t>
      </w:r>
      <w:r>
        <w:rPr>
          <w:spacing w:val="-43"/>
        </w:rPr>
      </w:r>
      <w:r>
        <w:rPr>
          <w:spacing w:val="-2"/>
        </w:rPr>
        <w:t>产权建设及平台建设，完成覆盖小学、初中、高中学段的多学科、多版本、全学段的优质、同步、配套的</w:t>
      </w:r>
      <w:r>
        <w:rPr>
          <w:spacing w:val="-47"/>
        </w:rPr>
        <w:t> </w:t>
      </w:r>
      <w:r>
        <w:rPr>
          <w:spacing w:val="-47"/>
        </w:rPr>
      </w:r>
      <w:r>
        <w:rPr/>
        <w:t>教与学资源体系，从而有效解决客户相对集中的风险。</w:t>
      </w:r>
    </w:p>
    <w:p>
      <w:pPr>
        <w:pStyle w:val="Heading3"/>
        <w:spacing w:line="240" w:lineRule="auto" w:before="100"/>
        <w:ind w:left="635" w:right="0"/>
        <w:jc w:val="left"/>
        <w:rPr>
          <w:b w:val="0"/>
          <w:bCs w:val="0"/>
        </w:rPr>
      </w:pPr>
      <w:r>
        <w:rPr>
          <w:rFonts w:ascii="Times New Roman" w:hAnsi="Times New Roman" w:cs="Times New Roman" w:eastAsia="Times New Roman" w:hint="default"/>
        </w:rPr>
        <w:t>3</w:t>
      </w:r>
      <w:r>
        <w:rPr/>
        <w:t>、新产品开发和技术更新换代的风险</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408" w:lineRule="auto" w:before="0"/>
        <w:ind w:right="0" w:firstLine="420"/>
        <w:jc w:val="left"/>
      </w:pPr>
      <w:r>
        <w:rPr/>
        <w:t>市场需求不断变化，教育技术应用趋势在动态变化，如人工智能、大数据等前沿技术不断发展迭代。</w:t>
      </w:r>
      <w:r>
        <w:rPr>
          <w:w w:val="100"/>
        </w:rPr>
        <w:t> </w:t>
      </w:r>
      <w:r>
        <w:rPr>
          <w:spacing w:val="-2"/>
        </w:rPr>
        <w:t>如果公司对行业关键技术的发展动态不能及时掌控，对教育教学当中的新理念以及广大教师和学生的教学</w:t>
      </w:r>
      <w:r>
        <w:rPr>
          <w:spacing w:val="-43"/>
        </w:rPr>
        <w:t> </w:t>
      </w:r>
      <w:r>
        <w:rPr>
          <w:spacing w:val="-43"/>
        </w:rPr>
      </w:r>
      <w:r>
        <w:rPr>
          <w:spacing w:val="-2"/>
        </w:rPr>
        <w:t>需求不能正确把握，研发的产品将不具备竞争力。公司会积极投入同步教学软件及在线教育网络服务开发</w:t>
      </w:r>
      <w:r>
        <w:rPr>
          <w:spacing w:val="-42"/>
        </w:rPr>
        <w:t> </w:t>
      </w:r>
      <w:r>
        <w:rPr>
          <w:spacing w:val="-42"/>
        </w:rPr>
      </w:r>
      <w:r>
        <w:rPr>
          <w:spacing w:val="-5"/>
        </w:rPr>
        <w:t>平台的开发，使公司开发的同步教育服务类产品具有更强的针对性和实用性；同时加强基础教育项目研究， </w:t>
      </w:r>
      <w:r>
        <w:rPr>
          <w:spacing w:val="-5"/>
        </w:rPr>
      </w:r>
      <w:r>
        <w:rPr/>
        <w:t>在开发实施过程中进行有效管理、把握开发周期、降低开发成本。</w:t>
      </w:r>
    </w:p>
    <w:p>
      <w:pPr>
        <w:pStyle w:val="Heading3"/>
        <w:spacing w:line="240" w:lineRule="auto" w:before="100"/>
        <w:ind w:left="635" w:right="0"/>
        <w:jc w:val="left"/>
        <w:rPr>
          <w:b w:val="0"/>
          <w:bCs w:val="0"/>
        </w:rPr>
      </w:pPr>
      <w:r>
        <w:rPr>
          <w:rFonts w:ascii="Times New Roman" w:hAnsi="Times New Roman" w:cs="Times New Roman" w:eastAsia="Times New Roman" w:hint="default"/>
        </w:rPr>
        <w:t>4</w:t>
      </w:r>
      <w:r>
        <w:rPr/>
        <w:t>、募集资金投资项目风险</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408" w:lineRule="auto" w:before="0"/>
        <w:ind w:right="0" w:firstLine="420"/>
        <w:jc w:val="left"/>
      </w:pPr>
      <w:r>
        <w:rPr>
          <w:spacing w:val="-7"/>
          <w:w w:val="100"/>
        </w:rPr>
        <w:t>公司非公开发行的募集资金将投入“教学研云平台”、“同步资源学习系统”项目。募集资金投资项目</w:t>
      </w:r>
      <w:r>
        <w:rPr>
          <w:w w:val="100"/>
        </w:rPr>
        <w:t> </w:t>
      </w:r>
      <w:r>
        <w:rPr>
          <w:spacing w:val="-2"/>
        </w:rPr>
        <w:t>的顺利实施，将进一步增强公司的研发实力，扩大公司在既有市场的占有率并开拓新市场，提升公司的综</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合竞争力。尽管公司对前述建设项目已有一定的技术、人才及客户资源储备，并在项目实施前进行了充分</w:t>
      </w:r>
      <w:r>
        <w:rPr>
          <w:spacing w:val="-44"/>
        </w:rPr>
        <w:t> </w:t>
      </w:r>
      <w:r>
        <w:rPr>
          <w:spacing w:val="-44"/>
        </w:rPr>
      </w:r>
      <w:r>
        <w:rPr>
          <w:spacing w:val="-2"/>
        </w:rPr>
        <w:t>的可行性论证，但该论证系基于目前的技术发展水平、国家产业政策、国内外市场环境、客户需求情况等</w:t>
      </w:r>
      <w:r>
        <w:rPr>
          <w:spacing w:val="-47"/>
        </w:rPr>
        <w:t> </w:t>
      </w:r>
      <w:r>
        <w:rPr>
          <w:spacing w:val="-47"/>
        </w:rPr>
      </w:r>
      <w:r>
        <w:rPr>
          <w:spacing w:val="-2"/>
        </w:rPr>
        <w:t>条件所作出的投资决策，在实际运营过程中，随着时间的推移，上述因素存在发生变化的可能。由于市场</w:t>
      </w:r>
      <w:r>
        <w:rPr>
          <w:spacing w:val="-50"/>
        </w:rPr>
        <w:t> </w:t>
      </w:r>
      <w:r>
        <w:rPr>
          <w:spacing w:val="-50"/>
        </w:rPr>
      </w:r>
      <w:r>
        <w:rPr/>
        <w:t>本身具有的不确定性因素，仍有可能使该项目实施后面临一定的市场风险。</w:t>
      </w:r>
    </w:p>
    <w:p>
      <w:pPr>
        <w:pStyle w:val="Heading3"/>
        <w:spacing w:line="240" w:lineRule="auto" w:before="100"/>
        <w:ind w:left="635" w:right="0"/>
        <w:jc w:val="left"/>
        <w:rPr>
          <w:b w:val="0"/>
          <w:bCs w:val="0"/>
        </w:rPr>
      </w:pPr>
      <w:r>
        <w:rPr>
          <w:rFonts w:ascii="Times New Roman" w:hAnsi="Times New Roman" w:cs="Times New Roman" w:eastAsia="Times New Roman" w:hint="default"/>
        </w:rPr>
        <w:t>5</w:t>
      </w:r>
      <w:r>
        <w:rPr/>
        <w:t>、千锋互联投资退股回款的风险</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386" w:lineRule="auto" w:before="0"/>
        <w:ind w:right="112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日，公司召开第三届董事会第二十九次会议审议通过了《关于签署</w:t>
      </w:r>
      <w:r>
        <w:rPr>
          <w:rFonts w:ascii="Times New Roman" w:hAnsi="Times New Roman" w:cs="Times New Roman" w:eastAsia="Times New Roman" w:hint="default"/>
        </w:rPr>
        <w:t>&lt;</w:t>
      </w:r>
      <w:r>
        <w:rPr/>
        <w:t>关于北京千锋互</w:t>
      </w:r>
      <w:r>
        <w:rPr>
          <w:w w:val="100"/>
        </w:rPr>
        <w:t> </w:t>
      </w:r>
      <w:r>
        <w:rPr>
          <w:spacing w:val="-5"/>
          <w:w w:val="100"/>
        </w:rPr>
        <w:t>联科技有限公司之退股返还投资款协议</w:t>
      </w:r>
      <w:r>
        <w:rPr>
          <w:rFonts w:ascii="Times New Roman" w:hAnsi="Times New Roman" w:cs="Times New Roman" w:eastAsia="Times New Roman" w:hint="default"/>
          <w:spacing w:val="-5"/>
          <w:w w:val="100"/>
        </w:rPr>
        <w:t>&gt;</w:t>
      </w:r>
      <w:r>
        <w:rPr>
          <w:spacing w:val="-5"/>
          <w:w w:val="100"/>
        </w:rPr>
        <w:t>的议案》，公司与千锋互联及其原股东签署了《关于北京千锋互联</w:t>
      </w:r>
      <w:r>
        <w:rPr>
          <w:spacing w:val="-76"/>
          <w:w w:val="100"/>
        </w:rPr>
        <w:t> </w:t>
      </w:r>
      <w:r>
        <w:rPr>
          <w:spacing w:val="-76"/>
          <w:w w:val="100"/>
        </w:rPr>
      </w:r>
      <w:r>
        <w:rPr>
          <w:spacing w:val="-4"/>
          <w:w w:val="100"/>
        </w:rPr>
        <w:t>科技有限公司之退股返还投资款协议》，千锋互联及其原股东同意方直科技退出所占千锋互联</w:t>
      </w:r>
      <w:r>
        <w:rPr>
          <w:spacing w:val="14"/>
          <w:w w:val="100"/>
        </w:rPr>
        <w:t> </w:t>
      </w:r>
      <w:r>
        <w:rPr>
          <w:rFonts w:ascii="Times New Roman" w:hAnsi="Times New Roman" w:cs="Times New Roman" w:eastAsia="Times New Roman" w:hint="default"/>
          <w:spacing w:val="-1"/>
          <w:w w:val="100"/>
        </w:rPr>
        <w:t>12%</w:t>
      </w:r>
      <w:r>
        <w:rPr>
          <w:spacing w:val="-1"/>
          <w:w w:val="100"/>
        </w:rPr>
        <w:t>股份并</w:t>
      </w:r>
      <w:r>
        <w:rPr>
          <w:spacing w:val="-104"/>
          <w:w w:val="100"/>
        </w:rPr>
        <w:t> </w:t>
      </w:r>
      <w:r>
        <w:rPr>
          <w:spacing w:val="-104"/>
          <w:w w:val="100"/>
        </w:rPr>
      </w:r>
      <w:r>
        <w:rPr/>
        <w:t>返还全部投资款人民币 </w:t>
      </w:r>
      <w:r>
        <w:rPr>
          <w:rFonts w:ascii="Times New Roman" w:hAnsi="Times New Roman" w:cs="Times New Roman" w:eastAsia="Times New Roman" w:hint="default"/>
        </w:rPr>
        <w:t>8,100</w:t>
      </w:r>
      <w:r>
        <w:rPr>
          <w:rFonts w:ascii="Times New Roman" w:hAnsi="Times New Roman" w:cs="Times New Roman" w:eastAsia="Times New Roman" w:hint="default"/>
          <w:spacing w:val="-31"/>
        </w:rPr>
        <w:t> </w:t>
      </w:r>
      <w:r>
        <w:rPr/>
        <w:t>万元及利息。退出对千锋互联的投资不会影响公司既定的经营及投资战略，</w:t>
      </w:r>
      <w:r>
        <w:rPr>
          <w:w w:val="100"/>
        </w:rPr>
        <w:t> </w:t>
      </w:r>
      <w:r>
        <w:rPr/>
        <w:t>对公司的经营成果等无重大影响。</w:t>
      </w:r>
    </w:p>
    <w:p>
      <w:pPr>
        <w:pStyle w:val="BodyText"/>
        <w:spacing w:line="240" w:lineRule="auto" w:before="65"/>
        <w:ind w:left="573" w:right="0"/>
        <w:jc w:val="left"/>
      </w:pPr>
      <w:r>
        <w:rPr>
          <w:w w:val="100"/>
        </w:rPr>
        <w:t>截至</w:t>
      </w:r>
      <w:r>
        <w:rPr>
          <w:spacing w:val="-3"/>
          <w:w w:val="100"/>
        </w:rPr>
        <w:t>到</w:t>
      </w:r>
      <w:r>
        <w:rPr>
          <w:w w:val="100"/>
        </w:rPr>
        <w:t>报</w:t>
      </w:r>
      <w:r>
        <w:rPr>
          <w:spacing w:val="-3"/>
          <w:w w:val="100"/>
        </w:rPr>
        <w:t>告</w:t>
      </w:r>
      <w:r>
        <w:rPr>
          <w:w w:val="100"/>
        </w:rPr>
        <w:t>期</w:t>
      </w:r>
      <w:r>
        <w:rPr>
          <w:spacing w:val="-3"/>
          <w:w w:val="100"/>
        </w:rPr>
        <w:t>末</w:t>
      </w:r>
      <w:r>
        <w:rPr>
          <w:spacing w:val="-106"/>
          <w:w w:val="100"/>
        </w:rPr>
        <w:t>，</w:t>
      </w:r>
      <w:r>
        <w:rPr>
          <w:spacing w:val="-3"/>
          <w:w w:val="100"/>
        </w:rPr>
        <w:t>千</w:t>
      </w:r>
      <w:r>
        <w:rPr>
          <w:w w:val="100"/>
        </w:rPr>
        <w:t>锋</w:t>
      </w:r>
      <w:r>
        <w:rPr>
          <w:spacing w:val="-3"/>
          <w:w w:val="100"/>
        </w:rPr>
        <w:t>互联</w:t>
      </w:r>
      <w:r>
        <w:rPr>
          <w:w w:val="100"/>
        </w:rPr>
        <w:t>公司</w:t>
      </w:r>
      <w:r>
        <w:rPr>
          <w:spacing w:val="-3"/>
          <w:w w:val="100"/>
        </w:rPr>
        <w:t>方</w:t>
      </w:r>
      <w:r>
        <w:rPr>
          <w:w w:val="100"/>
        </w:rPr>
        <w:t>已</w:t>
      </w:r>
      <w:r>
        <w:rPr>
          <w:spacing w:val="-3"/>
          <w:w w:val="100"/>
        </w:rPr>
        <w:t>根</w:t>
      </w:r>
      <w:r>
        <w:rPr>
          <w:w w:val="100"/>
        </w:rPr>
        <w:t>据</w:t>
      </w:r>
      <w:r>
        <w:rPr>
          <w:spacing w:val="-3"/>
          <w:w w:val="100"/>
        </w:rPr>
        <w:t>协</w:t>
      </w:r>
      <w:r>
        <w:rPr>
          <w:w w:val="100"/>
        </w:rPr>
        <w:t>议</w:t>
      </w:r>
      <w:r>
        <w:rPr>
          <w:spacing w:val="-3"/>
          <w:w w:val="100"/>
        </w:rPr>
        <w:t>约</w:t>
      </w:r>
      <w:r>
        <w:rPr>
          <w:w w:val="100"/>
        </w:rPr>
        <w:t>定</w:t>
      </w:r>
      <w:r>
        <w:rPr>
          <w:spacing w:val="-3"/>
          <w:w w:val="100"/>
        </w:rPr>
        <w:t>归</w:t>
      </w:r>
      <w:r>
        <w:rPr>
          <w:w w:val="100"/>
        </w:rPr>
        <w:t>还投</w:t>
      </w:r>
      <w:r>
        <w:rPr>
          <w:spacing w:val="-3"/>
          <w:w w:val="100"/>
        </w:rPr>
        <w:t>资</w:t>
      </w:r>
      <w:r>
        <w:rPr>
          <w:w w:val="100"/>
        </w:rPr>
        <w:t>款</w:t>
      </w:r>
      <w:r>
        <w:rPr>
          <w:spacing w:val="-60"/>
        </w:rPr>
        <w:t> </w:t>
      </w:r>
      <w:r>
        <w:rPr>
          <w:rFonts w:ascii="Times New Roman" w:hAnsi="Times New Roman" w:cs="Times New Roman" w:eastAsia="Times New Roman" w:hint="default"/>
          <w:w w:val="100"/>
        </w:rPr>
        <w:t>49,0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spacing w:val="-3"/>
          <w:w w:val="100"/>
        </w:rPr>
        <w:t>元</w:t>
      </w:r>
      <w:r>
        <w:rPr>
          <w:w w:val="100"/>
        </w:rPr>
        <w:t>及</w:t>
      </w:r>
      <w:r>
        <w:rPr>
          <w:spacing w:val="-3"/>
          <w:w w:val="100"/>
        </w:rPr>
        <w:t>利</w:t>
      </w:r>
      <w:r>
        <w:rPr>
          <w:w w:val="100"/>
        </w:rPr>
        <w:t>息</w:t>
      </w:r>
      <w:r>
        <w:rPr>
          <w:spacing w:val="-5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701,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w:t>
      </w:r>
      <w:r>
        <w:rPr>
          <w:rFonts w:ascii="Times New Roman" w:hAnsi="Times New Roman" w:cs="Times New Roman" w:eastAsia="Times New Roman" w:hint="default"/>
          <w:spacing w:val="-5"/>
        </w:rPr>
        <w:t> </w:t>
      </w:r>
      <w:r>
        <w:rPr>
          <w:spacing w:val="-3"/>
          <w:w w:val="100"/>
        </w:rPr>
        <w:t>元，</w:t>
      </w:r>
      <w:r>
        <w:rPr>
          <w:w w:val="100"/>
        </w:rPr>
      </w:r>
    </w:p>
    <w:p>
      <w:pPr>
        <w:pStyle w:val="BodyText"/>
        <w:spacing w:line="386" w:lineRule="auto" w:before="177"/>
        <w:ind w:right="0"/>
        <w:jc w:val="left"/>
      </w:pPr>
      <w:r>
        <w:rPr>
          <w:spacing w:val="-4"/>
        </w:rPr>
        <w:t>千锋互联公司方归还投资款义务已履行完毕；千锋互联三位原股东目前已归还本金及利息 </w:t>
      </w:r>
      <w:r>
        <w:rPr>
          <w:rFonts w:ascii="Times New Roman" w:hAnsi="Times New Roman" w:cs="Times New Roman" w:eastAsia="Times New Roman" w:hint="default"/>
        </w:rPr>
        <w:t>4,664,021.91 </w:t>
      </w:r>
      <w:r>
        <w:rPr/>
        <w:t>元。</w:t>
      </w:r>
      <w:r>
        <w:rPr>
          <w:spacing w:val="-78"/>
        </w:rPr>
        <w:t> </w:t>
      </w:r>
      <w:r>
        <w:rPr>
          <w:spacing w:val="-2"/>
          <w:w w:val="100"/>
        </w:rPr>
        <w:t>已收回千锋互联公司及三位原股东退回的投资款占协议约定归还投资款的</w:t>
      </w:r>
      <w:r>
        <w:rPr>
          <w:spacing w:val="-46"/>
          <w:w w:val="100"/>
        </w:rPr>
        <w:t> </w:t>
      </w:r>
      <w:r>
        <w:rPr>
          <w:rFonts w:ascii="Times New Roman" w:hAnsi="Times New Roman" w:cs="Times New Roman" w:eastAsia="Times New Roman" w:hint="default"/>
          <w:spacing w:val="-7"/>
          <w:w w:val="100"/>
        </w:rPr>
        <w:t>65.79%</w:t>
      </w:r>
      <w:r>
        <w:rPr>
          <w:spacing w:val="-7"/>
          <w:w w:val="100"/>
        </w:rPr>
        <w:t>。公司正积极跟进三位原</w:t>
      </w:r>
      <w:r>
        <w:rPr>
          <w:spacing w:val="-88"/>
          <w:w w:val="100"/>
        </w:rPr>
        <w:t> </w:t>
      </w:r>
      <w:r>
        <w:rPr>
          <w:spacing w:val="-88"/>
          <w:w w:val="100"/>
        </w:rPr>
      </w:r>
      <w:r>
        <w:rPr/>
        <w:t>股东按协议要求履行还款义务，并定期了解三位原股东的财务状况，降低回款风险。</w:t>
      </w:r>
    </w:p>
    <w:p>
      <w:pPr>
        <w:pStyle w:val="Heading3"/>
        <w:spacing w:line="240" w:lineRule="auto" w:before="119"/>
        <w:ind w:left="635" w:right="0"/>
        <w:jc w:val="left"/>
        <w:rPr>
          <w:b w:val="0"/>
          <w:bCs w:val="0"/>
        </w:rPr>
      </w:pPr>
      <w:r>
        <w:rPr/>
        <w:t>（二）利润分配预案</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240" w:lineRule="auto" w:before="0"/>
        <w:ind w:left="573" w:right="0"/>
        <w:jc w:val="left"/>
      </w:pPr>
      <w:r>
        <w:rPr/>
        <w:t>公司经本次董事会审议通过的利润分配预案为：以</w:t>
      </w:r>
      <w:r>
        <w:rPr>
          <w:spacing w:val="-55"/>
        </w:rPr>
        <w:t> </w:t>
      </w:r>
      <w:r>
        <w:rPr>
          <w:rFonts w:ascii="Times New Roman" w:hAnsi="Times New Roman" w:cs="Times New Roman" w:eastAsia="Times New Roman" w:hint="default"/>
        </w:rPr>
        <w:t>167,831,090 </w:t>
      </w:r>
      <w:r>
        <w:rPr>
          <w:spacing w:val="-3"/>
        </w:rPr>
        <w:t>为基数，向全体股东每</w:t>
      </w:r>
      <w:r>
        <w:rPr>
          <w:spacing w:val="-52"/>
        </w:rPr>
        <w:t> </w:t>
      </w:r>
      <w:r>
        <w:rPr>
          <w:rFonts w:ascii="Times New Roman" w:hAnsi="Times New Roman" w:cs="Times New Roman" w:eastAsia="Times New Roman" w:hint="default"/>
        </w:rPr>
        <w:t>10 </w:t>
      </w:r>
      <w:r>
        <w:rPr/>
        <w:t>股派发现金</w:t>
      </w:r>
    </w:p>
    <w:p>
      <w:pPr>
        <w:pStyle w:val="BodyText"/>
        <w:spacing w:line="240" w:lineRule="auto" w:before="177"/>
        <w:ind w:right="0"/>
        <w:jc w:val="left"/>
      </w:pPr>
      <w:r>
        <w:rPr>
          <w:w w:val="100"/>
        </w:rPr>
        <w:t>红利</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元</w:t>
      </w:r>
      <w:r>
        <w:rPr>
          <w:spacing w:val="-3"/>
          <w:w w:val="100"/>
        </w:rPr>
        <w:t>（</w:t>
      </w:r>
      <w:r>
        <w:rPr>
          <w:w w:val="100"/>
        </w:rPr>
        <w:t>含税</w:t>
      </w:r>
      <w:r>
        <w:rPr>
          <w:spacing w:val="-108"/>
          <w:w w:val="100"/>
        </w:rPr>
        <w:t>）</w:t>
      </w:r>
      <w:r>
        <w:rPr>
          <w:w w:val="100"/>
        </w:rPr>
        <w:t>，</w:t>
      </w:r>
      <w:r>
        <w:rPr>
          <w:spacing w:val="-3"/>
          <w:w w:val="100"/>
        </w:rPr>
        <w:t>送</w:t>
      </w:r>
      <w:r>
        <w:rPr>
          <w:w w:val="100"/>
        </w:rPr>
        <w:t>红股</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w:t>
      </w:r>
      <w:r>
        <w:rPr>
          <w:spacing w:val="-3"/>
          <w:w w:val="100"/>
        </w:rPr>
        <w:t>（</w:t>
      </w:r>
      <w:r>
        <w:rPr>
          <w:w w:val="100"/>
        </w:rPr>
        <w:t>含</w:t>
      </w:r>
      <w:r>
        <w:rPr>
          <w:spacing w:val="-3"/>
          <w:w w:val="100"/>
        </w:rPr>
        <w:t>税</w:t>
      </w:r>
      <w:r>
        <w:rPr>
          <w:spacing w:val="-106"/>
          <w:w w:val="100"/>
        </w:rPr>
        <w:t>）</w:t>
      </w:r>
      <w:r>
        <w:rPr>
          <w:spacing w:val="-3"/>
          <w:w w:val="100"/>
        </w:rPr>
        <w:t>，</w:t>
      </w:r>
      <w:r>
        <w:rPr>
          <w:w w:val="100"/>
        </w:rPr>
        <w:t>以</w:t>
      </w:r>
      <w:r>
        <w:rPr>
          <w:spacing w:val="-3"/>
          <w:w w:val="100"/>
        </w:rPr>
        <w:t>资本</w:t>
      </w:r>
      <w:r>
        <w:rPr>
          <w:w w:val="100"/>
        </w:rPr>
        <w:t>公积</w:t>
      </w:r>
      <w:r>
        <w:rPr>
          <w:spacing w:val="-3"/>
          <w:w w:val="100"/>
        </w:rPr>
        <w:t>金</w:t>
      </w:r>
      <w:r>
        <w:rPr>
          <w:w w:val="100"/>
        </w:rPr>
        <w:t>向</w:t>
      </w:r>
      <w:r>
        <w:rPr>
          <w:spacing w:val="-3"/>
          <w:w w:val="100"/>
        </w:rPr>
        <w:t>全</w:t>
      </w:r>
      <w:r>
        <w:rPr>
          <w:w w:val="100"/>
        </w:rPr>
        <w:t>体</w:t>
      </w:r>
      <w:r>
        <w:rPr>
          <w:spacing w:val="-3"/>
          <w:w w:val="100"/>
        </w:rPr>
        <w:t>股东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spacing w:val="-3"/>
          <w:w w:val="100"/>
        </w:rPr>
        <w:t>股</w:t>
      </w:r>
      <w:r>
        <w:rPr>
          <w:w w:val="100"/>
        </w:rPr>
        <w:t>转增</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
        <w:ind w:left="1832" w:right="280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5"/>
        <w:rPr>
          <w:rFonts w:ascii="Microsoft JhengHei" w:hAnsi="Microsoft JhengHei" w:cs="Microsoft JhengHei" w:eastAsia="Microsoft JhengHei" w:hint="default"/>
          <w:b/>
          <w:bCs/>
          <w:sz w:val="51"/>
          <w:szCs w:val="5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7</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38</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63</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80</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196</w:t>
            </w:r>
          </w:hyperlink>
        </w:p>
        <w:p>
          <w:pPr/>
          <w:r>
            <w:fldChar w:fldCharType="end"/>
          </w:r>
        </w:p>
      </w:sdtContent>
    </w:sdt>
    <w:p>
      <w:pPr>
        <w:spacing w:after="0"/>
        <w:sectPr>
          <w:pgSz w:w="11910" w:h="16840"/>
          <w:pgMar w:header="748" w:footer="979" w:top="1060" w:bottom="1160" w:left="980" w:right="0"/>
        </w:sectPr>
      </w:pPr>
    </w:p>
    <w:p>
      <w:pPr>
        <w:spacing w:before="841"/>
        <w:ind w:left="1832" w:right="280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公司、本公司或方直科技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黄元忠先生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保荐人、保荐机构、主承销商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律师顾问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广东五维律师事务所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连邦信息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同步教育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教学内容、教学进度与学校课堂教学保持一致的教育方式</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线下产品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公司开发的以移动存储器、光盘等为载体的学生教材配套软件和教师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用书配套软件</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线上服务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基于公司的网络数据库支持平台通过互联网为用户提供的一系列同 步基础教育服务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千锋互联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木愚科技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深圳市木愚科技有限公司，系全资子公司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嘉道方直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深圳嘉道方直教育产业投资企业（有限合伙）</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pict>
          <v:shape style="position:absolute;margin-left:138.024002pt;margin-top:114.558502pt;width:396.95pt;height:19.75pt;mso-position-horizontal-relative:page;mso-position-vertical-relative:paragraph;z-index:-8295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300235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方直科技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KINGSUN SCIENCE &amp; TECHNOLOGY</w:t>
            </w:r>
            <w:r>
              <w:rPr>
                <w:rFonts w:ascii="Times New Roman"/>
                <w:spacing w:val="-17"/>
                <w:sz w:val="18"/>
              </w:rPr>
              <w:t> </w:t>
            </w:r>
            <w:r>
              <w:rPr>
                <w:rFonts w:ascii="Times New Roman"/>
                <w:spacing w:val="-3"/>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Kingsun</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www.kingsunedu.com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kingsunsoft@kingsunsoft.com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粘为倩</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号创新大厦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号创新大厦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feng.li@kingsunsoft.com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weiqian.nian@kingsunsoft.com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3119"/>
        <w:gridCol w:w="1844"/>
        <w:gridCol w:w="2624"/>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4036 </w:t>
            </w:r>
            <w:r>
              <w:rPr>
                <w:rFonts w:ascii="宋体" w:hAnsi="宋体" w:cs="宋体" w:eastAsia="宋体" w:hint="default"/>
                <w:sz w:val="18"/>
                <w:szCs w:val="18"/>
              </w:rPr>
              <w:t>号荣超大厦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甘露、李茵</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至公司募集资金使用完毕为止</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107,245,103.63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100,510,607.42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96,919,585.70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12,316,056.55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8,822,524.60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17,682,428.82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-2,716,595.98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4,727,257.23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11,057,242.54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12,605,499.78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3,960,735.89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9,639,489.28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624,266,087.24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608,796,383.19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372,665,942.69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594,418,714.58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582,102,658.03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347,058,373.15</w:t>
            </w:r>
          </w:p>
        </w:tc>
      </w:tr>
    </w:tbl>
    <w:p>
      <w:pPr>
        <w:spacing w:line="240" w:lineRule="auto" w:before="4"/>
        <w:rPr>
          <w:rFonts w:ascii="宋体" w:hAnsi="宋体" w:cs="宋体" w:eastAsia="宋体" w:hint="default"/>
          <w:sz w:val="18"/>
          <w:szCs w:val="18"/>
        </w:rPr>
      </w:pPr>
    </w:p>
    <w:p>
      <w:pPr>
        <w:pStyle w:val="Heading3"/>
        <w:spacing w:line="367" w:lineRule="exact"/>
        <w:ind w:right="0"/>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36,310,871.31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8,516,182.97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48,159,436.60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14,258,612.75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8,945,841.33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-4,230,253.13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16,212,573.30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-8,612,104.95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7,463,575.57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-5,702,819.38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14,176,172.45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-18,653,524.62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-14,721,398.70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4,663,802.38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-8,391,187.42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31,054,283.52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-6,047.33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6,574,815.54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1,397,816.73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3,809,002.03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5,378,365.98</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收回千锋利息收入</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5,728,952.06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3,476,209.30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3,964,579.62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12,436.13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-36,622.87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26,807.03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2,660,691.79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722,264.98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1,169,155.07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1,225.39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15,032,652.53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4,095,267.37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6,625,186.28</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1"/>
        <w:ind w:right="1126" w:firstLine="420"/>
        <w:jc w:val="both"/>
      </w:pPr>
      <w:r>
        <w:rPr>
          <w:spacing w:val="-2"/>
        </w:rPr>
        <w:t>公司成立至今一直专注于中小学同步教育产品的研发、设计、销售及持续服务，为广大中小学教师与</w:t>
      </w:r>
      <w:r>
        <w:rPr>
          <w:w w:val="100"/>
        </w:rPr>
        <w:t> </w:t>
      </w:r>
      <w:r>
        <w:rPr>
          <w:spacing w:val="-2"/>
        </w:rPr>
        <w:t>学生提供优质、同步、配套的教育软件及互联网在线全面系统服务。公司是国内领先的中小学同步教育产</w:t>
      </w:r>
      <w:r>
        <w:rPr>
          <w:spacing w:val="-44"/>
        </w:rPr>
        <w:t> </w:t>
      </w:r>
      <w:r>
        <w:rPr>
          <w:spacing w:val="-44"/>
        </w:rPr>
      </w:r>
      <w:r>
        <w:rPr/>
        <w:t>品及服务的提供商，报告期内公司主营业务未发生重大变化。</w:t>
      </w:r>
    </w:p>
    <w:p>
      <w:pPr>
        <w:pStyle w:val="BodyText"/>
        <w:spacing w:line="408" w:lineRule="auto"/>
        <w:ind w:right="1126" w:firstLine="420"/>
        <w:jc w:val="both"/>
      </w:pPr>
      <w:r>
        <w:rPr>
          <w:spacing w:val="-2"/>
        </w:rPr>
        <w:t>公司秉承“人人分享优质教育”的理念，凭借企业多年积累的信息技术优势，与教学、管理、学科深</w:t>
      </w:r>
      <w:r>
        <w:rPr>
          <w:w w:val="100"/>
        </w:rPr>
        <w:t> </w:t>
      </w:r>
      <w:r>
        <w:rPr>
          <w:spacing w:val="-2"/>
        </w:rPr>
        <w:t>入融合，对教育教学需求的深刻理解，完成了以优质资源为基础、以评价体系为核心的互联网生态教育服</w:t>
      </w:r>
      <w:r>
        <w:rPr>
          <w:spacing w:val="-43"/>
        </w:rPr>
        <w:t> </w:t>
      </w:r>
      <w:r>
        <w:rPr>
          <w:spacing w:val="-43"/>
        </w:rPr>
      </w:r>
      <w:r>
        <w:rPr>
          <w:spacing w:val="-2"/>
        </w:rPr>
        <w:t>务系统的设计和建设，将先进的教学理念、有效的教学方法和信息技术有机结合。公司在中小学同步教育</w:t>
      </w:r>
      <w:r>
        <w:rPr>
          <w:spacing w:val="-45"/>
        </w:rPr>
        <w:t> </w:t>
      </w:r>
      <w:r>
        <w:rPr>
          <w:spacing w:val="-45"/>
        </w:rPr>
      </w:r>
      <w:r>
        <w:rPr>
          <w:spacing w:val="-2"/>
        </w:rPr>
        <w:t>领域积累了丰富的管理和市场经验，致力于以信息化技术丰富区域、学校的管理手段及创新管理方式、提</w:t>
      </w:r>
      <w:r>
        <w:rPr>
          <w:spacing w:val="-44"/>
        </w:rPr>
        <w:t> </w:t>
      </w:r>
      <w:r>
        <w:rPr>
          <w:spacing w:val="-44"/>
        </w:rPr>
      </w:r>
      <w:r>
        <w:rPr>
          <w:spacing w:val="-2"/>
        </w:rPr>
        <w:t>升教育质量、提高学生学习能力，不断推进我国基础教育信息化建设。目前公司已占有相当的市场份额并</w:t>
      </w:r>
      <w:r>
        <w:rPr>
          <w:spacing w:val="-42"/>
        </w:rPr>
        <w:t> </w:t>
      </w:r>
      <w:r>
        <w:rPr>
          <w:spacing w:val="-42"/>
        </w:rPr>
      </w:r>
      <w:r>
        <w:rPr/>
        <w:t>享有较高的美誉度。</w:t>
      </w:r>
    </w:p>
    <w:p>
      <w:pPr>
        <w:pStyle w:val="BodyText"/>
        <w:spacing w:line="408" w:lineRule="auto"/>
        <w:ind w:right="1128" w:firstLine="420"/>
        <w:jc w:val="both"/>
      </w:pPr>
      <w:r>
        <w:rPr>
          <w:spacing w:val="-2"/>
        </w:rPr>
        <w:t>报告期内，公司立足于教育行业，紧跟行业变化，全面向互联网在线教育企业布局，公司利用在同步</w:t>
      </w:r>
      <w:r>
        <w:rPr>
          <w:w w:val="100"/>
        </w:rPr>
        <w:t> </w:t>
      </w:r>
      <w:r>
        <w:rPr>
          <w:spacing w:val="-2"/>
        </w:rPr>
        <w:t>学习、资源开发等方面的优势积累与沉淀，持续加大产品的研发投入，产品始终围绕客户需求，以客户需</w:t>
      </w:r>
      <w:r>
        <w:rPr>
          <w:spacing w:val="-50"/>
        </w:rPr>
        <w:t> </w:t>
      </w:r>
      <w:r>
        <w:rPr>
          <w:spacing w:val="-50"/>
        </w:rPr>
      </w:r>
      <w:r>
        <w:rPr>
          <w:spacing w:val="-8"/>
        </w:rPr>
        <w:t>求为出发点和归属点，逐步实现公司的产品、运营模式、服务、推广的升级。各业务具体发展情况详见 </w:t>
      </w:r>
      <w:r>
        <w:rPr/>
        <w:t>“第</w:t>
      </w:r>
      <w:r>
        <w:rPr>
          <w:spacing w:val="-88"/>
        </w:rPr>
        <w:t> </w:t>
      </w:r>
      <w:r>
        <w:rPr>
          <w:spacing w:val="-88"/>
        </w:rPr>
      </w:r>
      <w:r>
        <w:rPr/>
        <w:t>四节管理层讨论与分析”中“一、概述”及“二、主营业务分析”。</w:t>
      </w:r>
    </w:p>
    <w:p>
      <w:pPr>
        <w:pStyle w:val="Heading3"/>
        <w:spacing w:line="240" w:lineRule="auto" w:before="167"/>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050"/>
        <w:gridCol w:w="6520"/>
      </w:tblGrid>
      <w:tr>
        <w:trPr>
          <w:trHeight w:val="186" w:hRule="exact"/>
        </w:trPr>
        <w:tc>
          <w:tcPr>
            <w:tcW w:w="3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3"/>
        <w:spacing w:line="367" w:lineRule="exact"/>
        <w:ind w:right="0"/>
        <w:jc w:val="both"/>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right="175" w:firstLine="420"/>
        <w:jc w:val="left"/>
      </w:pPr>
      <w:r>
        <w:rPr>
          <w:spacing w:val="-5"/>
        </w:rPr>
        <w:t>报告期内，公司核心竞争力没有发生重大改变，公司成立至今一直专注于中小学同步教育产品的研发、</w:t>
      </w:r>
      <w:r>
        <w:rPr>
          <w:w w:val="100"/>
        </w:rPr>
        <w:t> </w:t>
      </w:r>
      <w:r>
        <w:rPr>
          <w:spacing w:val="-2"/>
        </w:rPr>
        <w:t>设计、销售及持续服务，为广大的中小学教师与学生提供优质、同步、配套的教育软件及互联网在线全面</w:t>
      </w:r>
      <w:r>
        <w:rPr>
          <w:spacing w:val="-44"/>
        </w:rPr>
        <w:t> </w:t>
      </w:r>
      <w:r>
        <w:rPr>
          <w:spacing w:val="-44"/>
        </w:rPr>
      </w:r>
      <w:r>
        <w:rPr/>
        <w:t>系统服务。</w:t>
      </w:r>
    </w:p>
    <w:p>
      <w:pPr>
        <w:pStyle w:val="BodyText"/>
        <w:spacing w:line="403" w:lineRule="auto"/>
        <w:ind w:right="0" w:firstLine="420"/>
        <w:jc w:val="left"/>
      </w:pPr>
      <w:r>
        <w:rPr/>
        <w:t>十几年来，公司秉承“人人分享优质教育资源”的理念，不断完善升级公司优质教育资源，强化自身</w:t>
      </w:r>
      <w:r>
        <w:rPr>
          <w:w w:val="100"/>
        </w:rPr>
        <w:t> </w:t>
      </w:r>
      <w:r>
        <w:rPr>
          <w:spacing w:val="-6"/>
        </w:rPr>
        <w:t>优质资源整体化解决方案的优势，坚持技术创新，对产品不断研发升级，建立了独具特色的</w:t>
      </w:r>
      <w:r>
        <w:rPr>
          <w:rFonts w:ascii="Times New Roman" w:hAnsi="Times New Roman" w:cs="Times New Roman" w:eastAsia="Times New Roman" w:hint="default"/>
          <w:spacing w:val="-6"/>
        </w:rPr>
        <w:t>MOD</w:t>
      </w:r>
      <w:r>
        <w:rPr>
          <w:spacing w:val="-6"/>
        </w:rPr>
        <w:t>资源平台，</w:t>
      </w:r>
      <w:r>
        <w:rPr>
          <w:spacing w:val="-26"/>
        </w:rPr>
        <w:t> </w:t>
      </w:r>
      <w:r>
        <w:rPr>
          <w:spacing w:val="-26"/>
        </w:rPr>
      </w:r>
      <w:r>
        <w:rPr>
          <w:spacing w:val="-2"/>
        </w:rPr>
        <w:t>有效地实现了优质资源开发、资源共享、内外资源同生运营策略、实现了与三通两平台的国家战略相对接</w:t>
      </w:r>
      <w:r>
        <w:rPr>
          <w:spacing w:val="-44"/>
        </w:rPr>
        <w:t> </w:t>
      </w:r>
      <w:r>
        <w:rPr>
          <w:spacing w:val="-44"/>
        </w:rPr>
      </w:r>
      <w:r>
        <w:rPr>
          <w:spacing w:val="-2"/>
        </w:rPr>
        <w:t>的战略目标。公司始终坚持“关注教育需求，致力于科技创新，全心全意促进教育进步”这一使命，通过</w:t>
      </w:r>
      <w:r>
        <w:rPr>
          <w:spacing w:val="-42"/>
        </w:rPr>
        <w:t> </w:t>
      </w:r>
      <w:r>
        <w:rPr>
          <w:spacing w:val="-42"/>
        </w:rPr>
      </w:r>
      <w:r>
        <w:rPr/>
        <w:t>多年多方位的努力奠定了同步教育服务领域的优势地位。</w:t>
      </w:r>
    </w:p>
    <w:p>
      <w:pPr>
        <w:pStyle w:val="BodyText"/>
        <w:spacing w:line="386" w:lineRule="auto" w:before="50"/>
        <w:ind w:left="573" w:right="0"/>
        <w:jc w:val="left"/>
      </w:pPr>
      <w:r>
        <w:rPr>
          <w:rFonts w:ascii="Times New Roman" w:hAnsi="Times New Roman" w:cs="Times New Roman" w:eastAsia="Times New Roman" w:hint="default"/>
        </w:rPr>
        <w:t>1</w:t>
      </w:r>
      <w:r>
        <w:rPr/>
        <w:t>、区域优质教育内容及客户资源优势</w:t>
      </w:r>
      <w:r>
        <w:rPr>
          <w:w w:val="100"/>
        </w:rPr>
        <w:t> </w:t>
      </w:r>
      <w:r>
        <w:rPr>
          <w:spacing w:val="-2"/>
        </w:rPr>
        <w:t>方直科技通过与各出版社、各新闻出版发行集团等线下渠道建立全方位的合作关系，已经拥有了稳定</w:t>
      </w:r>
    </w:p>
    <w:p>
      <w:pPr>
        <w:pStyle w:val="BodyText"/>
        <w:spacing w:line="408" w:lineRule="auto" w:before="65"/>
        <w:ind w:left="573" w:right="0" w:hanging="420"/>
        <w:jc w:val="left"/>
      </w:pPr>
      <w:r>
        <w:rPr/>
        <w:t>的教师和学生用户群。在做好持续服务的基础上，确保用户群的稳定和持续增长。</w:t>
      </w:r>
      <w:r>
        <w:rPr>
          <w:w w:val="100"/>
        </w:rPr>
        <w:t> </w:t>
      </w:r>
      <w:r>
        <w:rPr>
          <w:spacing w:val="-2"/>
        </w:rPr>
        <w:t>方直科技采取重点突破的市场策略，先拓展一线核心城市，后向二、三线城市和农村地区拓展，从而</w:t>
      </w:r>
    </w:p>
    <w:p>
      <w:pPr>
        <w:pStyle w:val="BodyText"/>
        <w:spacing w:line="408" w:lineRule="auto"/>
        <w:ind w:right="1020"/>
        <w:jc w:val="both"/>
      </w:pPr>
      <w:r>
        <w:rPr>
          <w:spacing w:val="-2"/>
        </w:rPr>
        <w:t>占领市场制高点。处于一线城市的用户一般具有较高的经济能力，教育投入意愿强，具有较大的教育消费</w:t>
      </w:r>
      <w:r>
        <w:rPr>
          <w:spacing w:val="-45"/>
        </w:rPr>
        <w:t> </w:t>
      </w:r>
      <w:r>
        <w:rPr>
          <w:spacing w:val="-45"/>
        </w:rPr>
      </w:r>
      <w:r>
        <w:rPr>
          <w:spacing w:val="-2"/>
        </w:rPr>
        <w:t>挖掘潜力。通过提供网络出版服务，可以有效巩固现有用户的消费行为，形成稳固的消费习惯。借助网络</w:t>
      </w:r>
      <w:r>
        <w:rPr>
          <w:spacing w:val="-50"/>
        </w:rPr>
        <w:t> </w:t>
      </w:r>
      <w:r>
        <w:rPr>
          <w:spacing w:val="-50"/>
        </w:rPr>
      </w:r>
      <w:r>
        <w:rPr>
          <w:spacing w:val="-5"/>
        </w:rPr>
        <w:t>出版打破时间和空间的限制，能够为用户提供“沉浸式”的学习环境，更好地开展定制化的内容推送服务。</w:t>
      </w:r>
    </w:p>
    <w:p>
      <w:pPr>
        <w:pStyle w:val="BodyText"/>
        <w:spacing w:line="386" w:lineRule="auto"/>
        <w:ind w:right="0" w:firstLine="420"/>
        <w:jc w:val="left"/>
      </w:pPr>
      <w:r>
        <w:rPr>
          <w:spacing w:val="-2"/>
        </w:rPr>
        <w:t>通过长达</w:t>
      </w:r>
      <w:r>
        <w:rPr>
          <w:rFonts w:ascii="Times New Roman" w:hAnsi="Times New Roman" w:cs="Times New Roman" w:eastAsia="Times New Roman" w:hint="default"/>
          <w:spacing w:val="-2"/>
        </w:rPr>
        <w:t>20</w:t>
      </w:r>
      <w:r>
        <w:rPr>
          <w:spacing w:val="-2"/>
        </w:rPr>
        <w:t>多年的用户积累和使用习惯的培养，方直已经拥有了稳定的用户群体，方直科技市场已涉</w:t>
      </w:r>
      <w:r>
        <w:rPr>
          <w:w w:val="100"/>
        </w:rPr>
        <w:t> </w:t>
      </w:r>
      <w:r>
        <w:rPr/>
        <w:t>及</w:t>
      </w:r>
      <w:r>
        <w:rPr>
          <w:rFonts w:ascii="Times New Roman" w:hAnsi="Times New Roman" w:cs="Times New Roman" w:eastAsia="Times New Roman" w:hint="default"/>
        </w:rPr>
        <w:t>29</w:t>
      </w:r>
      <w:r>
        <w:rPr/>
        <w:t>个省（直辖市）（即除西藏、黑龙江两地外的中国大陆地区），覆盖到全国</w:t>
      </w:r>
      <w:r>
        <w:rPr>
          <w:rFonts w:ascii="Times New Roman" w:hAnsi="Times New Roman" w:cs="Times New Roman" w:eastAsia="Times New Roman" w:hint="default"/>
        </w:rPr>
        <w:t>100</w:t>
      </w:r>
      <w:r>
        <w:rPr/>
        <w:t>多个城市。</w:t>
      </w:r>
    </w:p>
    <w:p>
      <w:pPr>
        <w:pStyle w:val="BodyText"/>
        <w:spacing w:line="386" w:lineRule="auto" w:before="35"/>
        <w:ind w:left="573" w:right="0"/>
        <w:jc w:val="left"/>
      </w:pPr>
      <w:r>
        <w:rPr>
          <w:rFonts w:ascii="Times New Roman" w:hAnsi="Times New Roman" w:cs="Times New Roman" w:eastAsia="Times New Roman" w:hint="default"/>
        </w:rPr>
        <w:t>2</w:t>
      </w:r>
      <w:r>
        <w:rPr/>
        <w:t>、核心人才优势</w:t>
      </w:r>
      <w:r>
        <w:rPr>
          <w:w w:val="100"/>
        </w:rPr>
        <w:t> </w:t>
      </w:r>
      <w:r>
        <w:rPr>
          <w:spacing w:val="-2"/>
        </w:rPr>
        <w:t>公司始终坚持“员工是公司最大的财富”的核心价值观，在文化和制度设计上，积极围绕企业发展、</w:t>
      </w:r>
    </w:p>
    <w:p>
      <w:pPr>
        <w:pStyle w:val="BodyText"/>
        <w:spacing w:line="408" w:lineRule="auto" w:before="65"/>
        <w:ind w:right="1126"/>
        <w:jc w:val="both"/>
      </w:pPr>
      <w:r>
        <w:rPr>
          <w:spacing w:val="-2"/>
        </w:rPr>
        <w:t>员工特点以及个体内的需求，将人才培养与发展作为公司及各级管理者的核心工作之一，不断激发员工成</w:t>
      </w:r>
      <w:r>
        <w:rPr>
          <w:spacing w:val="-44"/>
        </w:rPr>
        <w:t> </w:t>
      </w:r>
      <w:r>
        <w:rPr>
          <w:spacing w:val="-44"/>
        </w:rPr>
      </w:r>
      <w:r>
        <w:rPr>
          <w:spacing w:val="-2"/>
        </w:rPr>
        <w:t>长。报告期内，公司通过外部招聘和内部培养，拥有了一批具有丰富经验的专业技术人才，对行业的发展</w:t>
      </w:r>
      <w:r>
        <w:rPr>
          <w:spacing w:val="-47"/>
        </w:rPr>
        <w:t> </w:t>
      </w:r>
      <w:r>
        <w:rPr>
          <w:spacing w:val="-47"/>
        </w:rPr>
      </w:r>
      <w:r>
        <w:rPr>
          <w:spacing w:val="-2"/>
        </w:rPr>
        <w:t>趋势、产品的技术发展方向、市场需求的变化具有深刻的认识，为公司技术及业务快速发展提供了有力的</w:t>
      </w:r>
      <w:r>
        <w:rPr>
          <w:spacing w:val="-43"/>
        </w:rPr>
        <w:t> </w:t>
      </w:r>
      <w:r>
        <w:rPr>
          <w:spacing w:val="-43"/>
        </w:rPr>
      </w:r>
      <w:r>
        <w:rPr/>
        <w:t>人才保障，进一步提升公司竞争力，加快公司互联网转型步伐。</w:t>
      </w:r>
    </w:p>
    <w:p>
      <w:pPr>
        <w:pStyle w:val="BodyText"/>
        <w:spacing w:line="240" w:lineRule="auto"/>
        <w:ind w:left="573" w:right="0"/>
        <w:jc w:val="left"/>
      </w:pPr>
      <w:r>
        <w:rPr>
          <w:rFonts w:ascii="Times New Roman" w:hAnsi="Times New Roman" w:cs="Times New Roman" w:eastAsia="Times New Roman" w:hint="default"/>
        </w:rPr>
        <w:t>3</w:t>
      </w:r>
      <w:r>
        <w:rPr/>
        <w:t>、技术研发优势</w:t>
      </w:r>
    </w:p>
    <w:p>
      <w:pPr>
        <w:pStyle w:val="BodyText"/>
        <w:spacing w:line="408" w:lineRule="auto" w:before="177"/>
        <w:ind w:right="1126" w:firstLine="420"/>
        <w:jc w:val="both"/>
      </w:pPr>
      <w:r>
        <w:rPr/>
        <w:t>公司始终秉承“人人分享优质教育”的使命</w:t>
      </w:r>
      <w:r>
        <w:rPr>
          <w:rFonts w:ascii="宋体" w:hAnsi="宋体" w:cs="宋体" w:eastAsia="宋体" w:hint="default"/>
        </w:rPr>
        <w:t>,</w:t>
      </w:r>
      <w:r>
        <w:rPr>
          <w:rFonts w:ascii="宋体" w:hAnsi="宋体" w:cs="宋体" w:eastAsia="宋体" w:hint="default"/>
          <w:spacing w:val="-25"/>
        </w:rPr>
        <w:t> </w:t>
      </w:r>
      <w:r>
        <w:rPr/>
        <w:t>坚持用科技创新推动教育均衡发展，始终保持对技术研</w:t>
      </w:r>
      <w:r>
        <w:rPr>
          <w:w w:val="100"/>
        </w:rPr>
        <w:t> </w:t>
      </w:r>
      <w:r>
        <w:rPr>
          <w:spacing w:val="-2"/>
        </w:rPr>
        <w:t>发领域的持续投入。凭借创新技术与专业服务，公司先后获取国家高新技术企业、国家动漫企业、深圳市</w:t>
      </w:r>
      <w:r>
        <w:rPr>
          <w:spacing w:val="-47"/>
        </w:rPr>
        <w:t> </w:t>
      </w:r>
      <w:r>
        <w:rPr>
          <w:spacing w:val="-47"/>
        </w:rPr>
      </w:r>
      <w:r>
        <w:rPr>
          <w:spacing w:val="-2"/>
        </w:rPr>
        <w:t>重点软件企业、重点文化企业等荣誉资质。公司拥有一支高素质、专业化的研发队伍，在大型互联网平台</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393" w:right="1104"/>
        <w:jc w:val="both"/>
      </w:pPr>
      <w:r>
        <w:rPr>
          <w:spacing w:val="-2"/>
        </w:rPr>
        <w:t>架构能力、大数据处理能力、智能教学产品研发与运营等方面积累了较为丰富的技术实践经验，具备较强</w:t>
      </w:r>
      <w:r>
        <w:rPr>
          <w:spacing w:val="-43"/>
        </w:rPr>
        <w:t> </w:t>
      </w:r>
      <w:r>
        <w:rPr>
          <w:spacing w:val="-43"/>
        </w:rPr>
      </w:r>
      <w:r>
        <w:rPr>
          <w:spacing w:val="-2"/>
        </w:rPr>
        <w:t>的技术创新和产品研发及迭代能力。通过不断完善研发体系，公司进一步细化数据研究和产品开发分工，</w:t>
      </w:r>
      <w:r>
        <w:rPr>
          <w:spacing w:val="-21"/>
        </w:rPr>
        <w:t> </w:t>
      </w:r>
      <w:r>
        <w:rPr>
          <w:spacing w:val="-21"/>
        </w:rPr>
      </w:r>
      <w:r>
        <w:rPr>
          <w:spacing w:val="-2"/>
        </w:rPr>
        <w:t>实现关键技术成果成功转化，构建自主知识产权内容体系，巩固提升技术研发能力，优化升级教育信息化</w:t>
      </w:r>
      <w:r>
        <w:rPr>
          <w:spacing w:val="-42"/>
        </w:rPr>
        <w:t> </w:t>
      </w:r>
      <w:r>
        <w:rPr>
          <w:spacing w:val="-42"/>
        </w:rPr>
      </w:r>
      <w:r>
        <w:rPr/>
        <w:t>相关平台和产品，提升公司产品的核心竞争力。</w:t>
      </w:r>
    </w:p>
    <w:p>
      <w:pPr>
        <w:pStyle w:val="BodyText"/>
        <w:spacing w:line="398" w:lineRule="auto"/>
        <w:ind w:left="393" w:right="1126" w:firstLine="420"/>
        <w:jc w:val="both"/>
      </w:pPr>
      <w:r>
        <w:rPr>
          <w:rFonts w:ascii="Times New Roman" w:hAnsi="Times New Roman" w:cs="Times New Roman" w:eastAsia="Times New Roman" w:hint="default"/>
        </w:rPr>
        <w:t>4</w:t>
      </w:r>
      <w:r>
        <w:rPr/>
        <w:t>、方直课程教学研究院承担的课题</w:t>
      </w:r>
      <w:r>
        <w:rPr>
          <w:spacing w:val="32"/>
        </w:rPr>
        <w:t> </w:t>
      </w:r>
      <w:r>
        <w:rPr>
          <w:spacing w:val="-3"/>
        </w:rPr>
        <w:t>“智慧教学环境中大数据支持下的个性化教与学实践研究”，作</w:t>
      </w:r>
      <w:r>
        <w:rPr>
          <w:spacing w:val="-8"/>
          <w:w w:val="100"/>
        </w:rPr>
        <w:t> </w:t>
      </w:r>
      <w:r>
        <w:rPr>
          <w:spacing w:val="-2"/>
        </w:rPr>
        <w:t>为全国教育信息技术研究课题领导小组办公室批准立项的全国教育信息技术研究</w:t>
      </w:r>
      <w:r>
        <w:rPr>
          <w:rFonts w:ascii="宋体" w:hAnsi="宋体" w:cs="宋体" w:eastAsia="宋体" w:hint="default"/>
          <w:spacing w:val="-2"/>
        </w:rPr>
        <w:t>2017</w:t>
      </w:r>
      <w:r>
        <w:rPr>
          <w:spacing w:val="-2"/>
        </w:rPr>
        <w:t>年度重点课题。本课</w:t>
      </w:r>
      <w:r>
        <w:rPr>
          <w:spacing w:val="-40"/>
        </w:rPr>
        <w:t> </w:t>
      </w:r>
      <w:r>
        <w:rPr>
          <w:spacing w:val="-40"/>
        </w:rPr>
      </w:r>
      <w:r>
        <w:rPr>
          <w:spacing w:val="-2"/>
        </w:rPr>
        <w:t>题研究时间为三年（</w:t>
      </w:r>
      <w:r>
        <w:rPr>
          <w:rFonts w:ascii="Times New Roman" w:hAnsi="Times New Roman" w:cs="Times New Roman" w:eastAsia="Times New Roman" w:hint="default"/>
          <w:spacing w:val="-2"/>
        </w:rPr>
        <w:t>2018.4-2021.3</w:t>
      </w:r>
      <w:r>
        <w:rPr>
          <w:spacing w:val="-2"/>
        </w:rPr>
        <w:t>）。本课题立足教育信息化发展的前沿，以深入推进信息技术与教育教</w:t>
      </w:r>
      <w:r>
        <w:rPr>
          <w:spacing w:val="-8"/>
        </w:rPr>
        <w:t> </w:t>
      </w:r>
      <w:r>
        <w:rPr>
          <w:spacing w:val="-8"/>
        </w:rPr>
      </w:r>
      <w:r>
        <w:rPr>
          <w:spacing w:val="-2"/>
        </w:rPr>
        <w:t>学深度融合为目标，利用智慧环境、信息化设备、教育大数据等工具，旨在变革传统教学理念、模式和方</w:t>
      </w:r>
      <w:r>
        <w:rPr>
          <w:spacing w:val="-43"/>
        </w:rPr>
        <w:t> </w:t>
      </w:r>
      <w:r>
        <w:rPr>
          <w:spacing w:val="-43"/>
        </w:rPr>
      </w:r>
      <w:r>
        <w:rPr/>
        <w:t>法，探索教育信息化与现代学科教学工作相融发展的理念、模式、方法和策略，引领教育创新发展。</w:t>
      </w:r>
    </w:p>
    <w:p>
      <w:pPr>
        <w:pStyle w:val="BodyText"/>
        <w:spacing w:line="408" w:lineRule="auto" w:before="54"/>
        <w:ind w:left="393" w:right="0" w:firstLine="420"/>
        <w:jc w:val="left"/>
      </w:pPr>
      <w:r>
        <w:rPr>
          <w:spacing w:val="-2"/>
        </w:rPr>
        <w:t>为了更好地开展课题研究，经全国教育信息技术研究课题领导小组办公室批准，在总课题下设子课题</w:t>
      </w:r>
      <w:r>
        <w:rPr>
          <w:w w:val="100"/>
        </w:rPr>
        <w:t> </w:t>
      </w:r>
      <w:r>
        <w:rPr/>
        <w:t>开展研究，让一线教师参与到智慧环境下个性化教学研究中来，以此产生高水平的研究结果。目前已有</w:t>
      </w:r>
      <w:r>
        <w:rPr>
          <w:rFonts w:ascii="宋体" w:hAnsi="宋体" w:cs="宋体" w:eastAsia="宋体" w:hint="default"/>
        </w:rPr>
        <w:t>5</w:t>
      </w:r>
      <w:r>
        <w:rPr>
          <w:rFonts w:ascii="宋体" w:hAnsi="宋体" w:cs="宋体" w:eastAsia="宋体" w:hint="default"/>
          <w:w w:val="100"/>
        </w:rPr>
        <w:t> </w:t>
      </w:r>
      <w:r>
        <w:rPr>
          <w:spacing w:val="-2"/>
        </w:rPr>
        <w:t>个子课题学校参与到研究中，部分子课题已经完成开题报告，并经全国教育信息技术研究课题领导小组办</w:t>
      </w:r>
      <w:r>
        <w:rPr>
          <w:spacing w:val="-43"/>
        </w:rPr>
        <w:t> </w:t>
      </w:r>
      <w:r>
        <w:rPr>
          <w:spacing w:val="-43"/>
        </w:rPr>
      </w:r>
      <w:r>
        <w:rPr/>
        <w:t>公室审核通过。</w:t>
      </w:r>
    </w:p>
    <w:p>
      <w:pPr>
        <w:pStyle w:val="BodyText"/>
        <w:spacing w:line="408" w:lineRule="auto"/>
        <w:ind w:left="393" w:right="0" w:firstLine="420"/>
        <w:jc w:val="left"/>
      </w:pPr>
      <w:r>
        <w:rPr/>
        <w:t>本课题研究基于我司的“优教学云平台”开展，在前期研究中，课题组研发的“优教学云平台”已投</w:t>
      </w:r>
      <w:r>
        <w:rPr>
          <w:w w:val="100"/>
        </w:rPr>
        <w:t> </w:t>
      </w:r>
      <w:r>
        <w:rPr>
          <w:spacing w:val="-5"/>
        </w:rPr>
        <w:t>入使用，并取得一定的成效。通过本课题研究进一步验证与改善云平台功能。在课题实验校进行同步实验，</w:t>
      </w:r>
      <w:r>
        <w:rPr>
          <w:spacing w:val="-6"/>
        </w:rPr>
        <w:t> </w:t>
      </w:r>
      <w:r>
        <w:rPr>
          <w:spacing w:val="-6"/>
        </w:rPr>
      </w:r>
      <w:r>
        <w:rPr>
          <w:spacing w:val="-2"/>
        </w:rPr>
        <w:t>并通过同步实验分步骤改善效果，从而实现大规模成果应用，推动基础教育信息化进程，打造方直品牌课</w:t>
      </w:r>
      <w:r>
        <w:rPr>
          <w:spacing w:val="-43"/>
        </w:rPr>
        <w:t> </w:t>
      </w:r>
      <w:r>
        <w:rPr>
          <w:spacing w:val="-43"/>
        </w:rPr>
      </w:r>
      <w:r>
        <w:rPr/>
        <w:t>题，提升公司行业地位及竞争力。</w:t>
      </w:r>
    </w:p>
    <w:p>
      <w:pPr>
        <w:pStyle w:val="BodyText"/>
        <w:spacing w:line="386" w:lineRule="auto"/>
        <w:ind w:left="393" w:right="0" w:firstLine="420"/>
        <w:jc w:val="left"/>
      </w:pPr>
      <w:r>
        <w:rPr>
          <w:spacing w:val="-2"/>
        </w:rPr>
        <w:t>截至报告期末，公司共拥有软件著作权</w:t>
      </w:r>
      <w:r>
        <w:rPr>
          <w:rFonts w:ascii="Times New Roman" w:hAnsi="Times New Roman" w:cs="Times New Roman" w:eastAsia="Times New Roman" w:hint="default"/>
          <w:spacing w:val="-2"/>
        </w:rPr>
        <w:t>80</w:t>
      </w:r>
      <w:r>
        <w:rPr>
          <w:spacing w:val="-2"/>
        </w:rPr>
        <w:t>项，作品著作权</w:t>
      </w:r>
      <w:r>
        <w:rPr>
          <w:rFonts w:ascii="Times New Roman" w:hAnsi="Times New Roman" w:cs="Times New Roman" w:eastAsia="Times New Roman" w:hint="default"/>
          <w:spacing w:val="-2"/>
        </w:rPr>
        <w:t>10</w:t>
      </w:r>
      <w:r>
        <w:rPr>
          <w:spacing w:val="-2"/>
        </w:rPr>
        <w:t>项，外观专利</w:t>
      </w:r>
      <w:r>
        <w:rPr>
          <w:rFonts w:ascii="Times New Roman" w:hAnsi="Times New Roman" w:cs="Times New Roman" w:eastAsia="Times New Roman" w:hint="default"/>
          <w:spacing w:val="-2"/>
        </w:rPr>
        <w:t>1</w:t>
      </w:r>
      <w:r>
        <w:rPr>
          <w:spacing w:val="-2"/>
        </w:rPr>
        <w:t>项。其中公司报告期内新</w:t>
      </w:r>
      <w:r>
        <w:rPr>
          <w:w w:val="100"/>
        </w:rPr>
        <w:t> </w:t>
      </w:r>
      <w:r>
        <w:rPr/>
        <w:t>增软件著作权</w:t>
      </w:r>
      <w:r>
        <w:rPr>
          <w:rFonts w:ascii="Times New Roman" w:hAnsi="Times New Roman" w:cs="Times New Roman" w:eastAsia="Times New Roman" w:hint="default"/>
        </w:rPr>
        <w:t>17</w:t>
      </w:r>
      <w:r>
        <w:rPr/>
        <w:t>项，新增外观专利</w:t>
      </w:r>
      <w:r>
        <w:rPr>
          <w:rFonts w:ascii="Times New Roman" w:hAnsi="Times New Roman" w:cs="Times New Roman" w:eastAsia="Times New Roman" w:hint="default"/>
        </w:rPr>
        <w:t>1</w:t>
      </w:r>
      <w:r>
        <w:rPr/>
        <w:t>项。公司共拥有注册商标权</w:t>
      </w:r>
      <w:r>
        <w:rPr>
          <w:rFonts w:ascii="Times New Roman" w:hAnsi="Times New Roman" w:cs="Times New Roman" w:eastAsia="Times New Roman" w:hint="default"/>
        </w:rPr>
        <w:t>2</w:t>
      </w:r>
      <w:r>
        <w:rPr/>
        <w:t>项，其中公司报告期内新增</w:t>
      </w:r>
      <w:r>
        <w:rPr>
          <w:rFonts w:ascii="Times New Roman" w:hAnsi="Times New Roman" w:cs="Times New Roman" w:eastAsia="Times New Roman" w:hint="default"/>
        </w:rPr>
        <w:t>2</w:t>
      </w:r>
      <w:r>
        <w:rPr/>
        <w:t>项。</w:t>
      </w:r>
    </w:p>
    <w:p>
      <w:pPr>
        <w:pStyle w:val="BodyText"/>
        <w:spacing w:line="240" w:lineRule="auto" w:before="35"/>
        <w:ind w:left="1235" w:right="0"/>
        <w:jc w:val="left"/>
      </w:pPr>
      <w:r>
        <w:rPr/>
        <w:t>报告期内新增</w:t>
      </w:r>
      <w:r>
        <w:rPr>
          <w:rFonts w:ascii="Times New Roman" w:hAnsi="Times New Roman" w:cs="Times New Roman" w:eastAsia="Times New Roman" w:hint="default"/>
        </w:rPr>
        <w:t>17</w:t>
      </w:r>
      <w:r>
        <w:rPr/>
        <w:t>项软件著作权如下：</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420"/>
        <w:gridCol w:w="3550"/>
        <w:gridCol w:w="850"/>
        <w:gridCol w:w="1135"/>
        <w:gridCol w:w="1136"/>
        <w:gridCol w:w="1277"/>
        <w:gridCol w:w="1841"/>
      </w:tblGrid>
      <w:tr>
        <w:trPr>
          <w:trHeight w:val="348"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软件名称</w:t>
            </w:r>
            <w:r>
              <w:rPr>
                <w:rFonts w:ascii="Microsoft JhengHei" w:hAnsi="Microsoft JhengHei" w:cs="Microsoft JhengHei" w:eastAsia="Microsoft JhengHei"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著作权人</w:t>
            </w:r>
            <w:r>
              <w:rPr>
                <w:rFonts w:ascii="Microsoft JhengHei" w:hAnsi="Microsoft JhengHei" w:cs="Microsoft JhengHei" w:eastAsia="Microsoft JhengHei"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著作权登记日</w:t>
            </w:r>
            <w:r>
              <w:rPr>
                <w:rFonts w:ascii="Microsoft JhengHei" w:hAnsi="Microsoft JhengHei" w:cs="Microsoft JhengHei" w:eastAsia="Microsoft JhengHei"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权利取得方式</w:t>
            </w:r>
            <w:r>
              <w:rPr>
                <w:rFonts w:ascii="Microsoft JhengHei" w:hAnsi="Microsoft JhengHei" w:cs="Microsoft JhengHei" w:eastAsia="Microsoft JhengHei"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登记号</w:t>
            </w:r>
            <w:r>
              <w:rPr>
                <w:rFonts w:ascii="Microsoft JhengHei" w:hAnsi="Microsoft JhengHei" w:cs="Microsoft JhengHei" w:eastAsia="Microsoft JhengHei"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证书号</w:t>
            </w:r>
            <w:r>
              <w:rPr>
                <w:rFonts w:ascii="Microsoft JhengHei" w:hAnsi="Microsoft JhengHei" w:cs="Microsoft JhengHei" w:eastAsia="Microsoft JhengHei" w:hint="default"/>
                <w:sz w:val="18"/>
                <w:szCs w:val="18"/>
              </w:rPr>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1</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8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方直同步学</w:t>
            </w:r>
            <w:r>
              <w:rPr>
                <w:rFonts w:ascii="Times New Roman" w:hAnsi="Times New Roman" w:cs="Times New Roman" w:eastAsia="Times New Roman" w:hint="default"/>
                <w:sz w:val="18"/>
                <w:szCs w:val="18"/>
              </w:rPr>
              <w:t>AP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2018-06-25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2018SR478507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2807602</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2</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方直优课平台</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2018-06-25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2018SR478667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2807762</w:t>
            </w:r>
            <w:r>
              <w:rPr>
                <w:rFonts w:ascii="宋体" w:hAnsi="宋体" w:cs="宋体" w:eastAsia="宋体" w:hint="default"/>
                <w:sz w:val="18"/>
                <w:szCs w:val="18"/>
              </w:rPr>
              <w:t>号</w:t>
            </w:r>
          </w:p>
        </w:tc>
      </w:tr>
      <w:tr>
        <w:trPr>
          <w:trHeight w:val="4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2"/>
              <w:jc w:val="center"/>
              <w:rPr>
                <w:rFonts w:ascii="Times New Roman" w:hAnsi="Times New Roman" w:cs="Times New Roman" w:eastAsia="Times New Roman" w:hint="default"/>
                <w:sz w:val="18"/>
                <w:szCs w:val="18"/>
              </w:rPr>
            </w:pPr>
            <w:r>
              <w:rPr>
                <w:rFonts w:ascii="Times New Roman"/>
                <w:sz w:val="18"/>
              </w:rPr>
              <w:t>3</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6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方直智慧教室教学系统</w:t>
            </w:r>
            <w:r>
              <w:rPr>
                <w:rFonts w:ascii="Times New Roman" w:hAnsi="Times New Roman" w:cs="Times New Roman" w:eastAsia="Times New Roman" w:hint="default"/>
                <w:sz w:val="18"/>
                <w:szCs w:val="18"/>
              </w:rPr>
              <w:t>V1.2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Times New Roman" w:hAnsi="Times New Roman" w:cs="Times New Roman" w:eastAsia="Times New Roman" w:hint="default"/>
                <w:sz w:val="18"/>
                <w:szCs w:val="18"/>
              </w:rPr>
            </w:pPr>
            <w:r>
              <w:rPr>
                <w:rFonts w:ascii="Times New Roman"/>
                <w:sz w:val="18"/>
              </w:rPr>
              <w:t>2018SR598679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2927774</w:t>
            </w:r>
            <w:r>
              <w:rPr>
                <w:rFonts w:ascii="宋体" w:hAnsi="宋体" w:cs="宋体" w:eastAsia="宋体" w:hint="default"/>
                <w:sz w:val="18"/>
                <w:szCs w:val="18"/>
              </w:rPr>
              <w:t>号</w:t>
            </w:r>
          </w:p>
        </w:tc>
      </w:tr>
      <w:tr>
        <w:trPr>
          <w:trHeight w:val="44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2"/>
              <w:jc w:val="center"/>
              <w:rPr>
                <w:rFonts w:ascii="Times New Roman" w:hAnsi="Times New Roman" w:cs="Times New Roman" w:eastAsia="Times New Roman" w:hint="default"/>
                <w:sz w:val="18"/>
                <w:szCs w:val="18"/>
              </w:rPr>
            </w:pPr>
            <w:r>
              <w:rPr>
                <w:rFonts w:ascii="Times New Roman"/>
                <w:sz w:val="18"/>
              </w:rPr>
              <w:t>4</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54"/>
              <w:jc w:val="right"/>
              <w:rPr>
                <w:rFonts w:ascii="Times New Roman" w:hAnsi="Times New Roman" w:cs="Times New Roman" w:eastAsia="Times New Roman" w:hint="default"/>
                <w:sz w:val="18"/>
                <w:szCs w:val="18"/>
              </w:rPr>
            </w:pPr>
            <w:r>
              <w:rPr>
                <w:rFonts w:ascii="宋体" w:hAnsi="宋体" w:cs="宋体" w:eastAsia="宋体" w:hint="default"/>
                <w:sz w:val="18"/>
                <w:szCs w:val="18"/>
              </w:rPr>
              <w:t>方直金太阳人教</w:t>
            </w:r>
            <w:r>
              <w:rPr>
                <w:rFonts w:ascii="Times New Roman" w:hAnsi="Times New Roman" w:cs="Times New Roman" w:eastAsia="Times New Roman" w:hint="default"/>
                <w:sz w:val="18"/>
                <w:szCs w:val="18"/>
              </w:rPr>
              <w:t>PEP</w:t>
            </w:r>
            <w:r>
              <w:rPr>
                <w:rFonts w:ascii="宋体" w:hAnsi="宋体" w:cs="宋体" w:eastAsia="宋体" w:hint="default"/>
                <w:sz w:val="18"/>
                <w:szCs w:val="18"/>
              </w:rPr>
              <w:t>同步优学</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2018SR598467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2927562</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5</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2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方直金太阳人教</w:t>
            </w:r>
            <w:r>
              <w:rPr>
                <w:rFonts w:ascii="Times New Roman" w:hAnsi="Times New Roman" w:cs="Times New Roman" w:eastAsia="Times New Roman" w:hint="default"/>
                <w:spacing w:val="-1"/>
                <w:sz w:val="18"/>
                <w:szCs w:val="18"/>
              </w:rPr>
              <w:t>PEP</w:t>
            </w:r>
            <w:r>
              <w:rPr>
                <w:rFonts w:ascii="宋体" w:hAnsi="宋体" w:cs="宋体" w:eastAsia="宋体" w:hint="default"/>
                <w:spacing w:val="-1"/>
                <w:sz w:val="18"/>
                <w:szCs w:val="18"/>
              </w:rPr>
              <w:t>同步学习软件</w:t>
            </w:r>
            <w:r>
              <w:rPr>
                <w:rFonts w:ascii="Times New Roman" w:hAnsi="Times New Roman" w:cs="Times New Roman" w:eastAsia="Times New Roman" w:hint="default"/>
                <w:spacing w:val="-1"/>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2018SR597757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2926852</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6</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3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方直粤教高中语文电子教材软件</w:t>
            </w:r>
            <w:r>
              <w:rPr>
                <w:rFonts w:ascii="Times New Roman" w:hAnsi="Times New Roman" w:cs="Times New Roman" w:eastAsia="Times New Roman" w:hint="default"/>
                <w:spacing w:val="-1"/>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2018SR602655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2931750</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7</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方直优教学云平台</w:t>
            </w:r>
            <w:r>
              <w:rPr>
                <w:rFonts w:ascii="Times New Roman" w:hAnsi="Times New Roman" w:cs="Times New Roman" w:eastAsia="Times New Roman" w:hint="default"/>
                <w:sz w:val="18"/>
                <w:szCs w:val="18"/>
              </w:rPr>
              <w:t>V2.0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2018SR602965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2932060</w:t>
            </w:r>
            <w:r>
              <w:rPr>
                <w:rFonts w:ascii="宋体" w:hAnsi="宋体" w:cs="宋体" w:eastAsia="宋体" w:hint="default"/>
                <w:sz w:val="18"/>
                <w:szCs w:val="18"/>
              </w:rPr>
              <w:t>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方直金太阳新目标初中英语同步学习软件</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2018SR603040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2932135</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
              <w:jc w:val="center"/>
              <w:rPr>
                <w:rFonts w:ascii="Times New Roman" w:hAnsi="Times New Roman" w:cs="Times New Roman" w:eastAsia="Times New Roman" w:hint="default"/>
                <w:sz w:val="18"/>
                <w:szCs w:val="18"/>
              </w:rPr>
            </w:pPr>
            <w:r>
              <w:rPr>
                <w:rFonts w:ascii="Times New Roman"/>
                <w:sz w:val="18"/>
              </w:rPr>
              <w:t>9</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方直金太阳机器人资源平台</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2018SR604068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2933163</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8" w:footer="979" w:top="1060" w:bottom="1160" w:left="740" w:right="0"/>
        </w:sectPr>
      </w:pPr>
    </w:p>
    <w:p>
      <w:pPr>
        <w:spacing w:line="240" w:lineRule="auto" w:before="4"/>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420"/>
        <w:gridCol w:w="3550"/>
        <w:gridCol w:w="850"/>
        <w:gridCol w:w="1135"/>
        <w:gridCol w:w="1136"/>
        <w:gridCol w:w="1277"/>
        <w:gridCol w:w="1841"/>
      </w:tblGrid>
      <w:tr>
        <w:trPr>
          <w:trHeight w:val="4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10</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方直金太阳点读宝软件</w:t>
            </w:r>
            <w:r>
              <w:rPr>
                <w:rFonts w:ascii="Times New Roman" w:hAnsi="Times New Roman" w:cs="Times New Roman" w:eastAsia="Times New Roman" w:hint="default"/>
                <w:sz w:val="18"/>
                <w:szCs w:val="18"/>
              </w:rPr>
              <w:t>V2.0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2018-07-31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2018SR603591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2932686</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11</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方直优学新起点</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2018-09-10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2018SR730970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3060065</w:t>
            </w:r>
            <w:r>
              <w:rPr>
                <w:rFonts w:ascii="宋体" w:hAnsi="宋体" w:cs="宋体" w:eastAsia="宋体" w:hint="default"/>
                <w:sz w:val="18"/>
                <w:szCs w:val="18"/>
              </w:rPr>
              <w:t>号</w:t>
            </w:r>
          </w:p>
        </w:tc>
      </w:tr>
      <w:tr>
        <w:trPr>
          <w:trHeight w:val="44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2" w:right="0"/>
              <w:jc w:val="left"/>
              <w:rPr>
                <w:rFonts w:ascii="Times New Roman" w:hAnsi="Times New Roman" w:cs="Times New Roman" w:eastAsia="Times New Roman" w:hint="default"/>
                <w:sz w:val="18"/>
                <w:szCs w:val="18"/>
              </w:rPr>
            </w:pPr>
            <w:r>
              <w:rPr>
                <w:rFonts w:ascii="Times New Roman"/>
                <w:sz w:val="18"/>
              </w:rPr>
              <w:t>12</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方直同步学</w:t>
            </w:r>
            <w:r>
              <w:rPr>
                <w:rFonts w:ascii="Times New Roman" w:hAnsi="Times New Roman" w:cs="Times New Roman" w:eastAsia="Times New Roman" w:hint="default"/>
                <w:sz w:val="18"/>
                <w:szCs w:val="18"/>
              </w:rPr>
              <w:t>789</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2018-09-10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2018SR730974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3060069</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13</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w:t>
            </w:r>
            <w:r>
              <w:rPr>
                <w:rFonts w:ascii="Times New Roman" w:hAnsi="Times New Roman" w:cs="Times New Roman" w:eastAsia="Times New Roman" w:hint="default"/>
                <w:sz w:val="18"/>
                <w:szCs w:val="18"/>
              </w:rPr>
              <w:t>LIP</w:t>
            </w:r>
            <w:r>
              <w:rPr>
                <w:rFonts w:ascii="宋体" w:hAnsi="宋体" w:cs="宋体" w:eastAsia="宋体" w:hint="default"/>
                <w:sz w:val="18"/>
                <w:szCs w:val="18"/>
              </w:rPr>
              <w:t>动态英语正音</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2018-09-10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2018SR730979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3060074</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14</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方直同步练</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2018-09-10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2018SR730976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3060071</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15</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方直优学</w:t>
            </w:r>
            <w:r>
              <w:rPr>
                <w:rFonts w:ascii="Times New Roman" w:hAnsi="Times New Roman" w:cs="Times New Roman" w:eastAsia="Times New Roman" w:hint="default"/>
                <w:sz w:val="18"/>
                <w:szCs w:val="18"/>
              </w:rPr>
              <w:t>PER</w:t>
            </w:r>
            <w:r>
              <w:rPr>
                <w:rFonts w:ascii="宋体" w:hAnsi="宋体" w:cs="宋体" w:eastAsia="宋体" w:hint="default"/>
                <w:sz w:val="18"/>
                <w:szCs w:val="18"/>
              </w:rPr>
              <w:t>版</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2018-09-10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2018SR730972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3060067</w:t>
            </w:r>
            <w:r>
              <w:rPr>
                <w:rFonts w:ascii="宋体" w:hAnsi="宋体" w:cs="宋体" w:eastAsia="宋体" w:hint="default"/>
                <w:sz w:val="18"/>
                <w:szCs w:val="18"/>
              </w:rPr>
              <w:t>号</w:t>
            </w:r>
          </w:p>
        </w:tc>
      </w:tr>
      <w:tr>
        <w:trPr>
          <w:trHeight w:val="44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2" w:right="0"/>
              <w:jc w:val="left"/>
              <w:rPr>
                <w:rFonts w:ascii="Times New Roman" w:hAnsi="Times New Roman" w:cs="Times New Roman" w:eastAsia="Times New Roman" w:hint="default"/>
                <w:sz w:val="18"/>
                <w:szCs w:val="18"/>
              </w:rPr>
            </w:pPr>
            <w:r>
              <w:rPr>
                <w:rFonts w:ascii="Times New Roman"/>
                <w:sz w:val="18"/>
              </w:rPr>
              <w:t>16</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方直金太阳同步练</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2018-12-03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2018SR970525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3299620</w:t>
            </w:r>
            <w:r>
              <w:rPr>
                <w:rFonts w:ascii="宋体" w:hAnsi="宋体" w:cs="宋体" w:eastAsia="宋体" w:hint="default"/>
                <w:sz w:val="18"/>
                <w:szCs w:val="18"/>
              </w:rPr>
              <w:t>号</w:t>
            </w:r>
          </w:p>
        </w:tc>
      </w:tr>
      <w:tr>
        <w:trPr>
          <w:trHeight w:val="446"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17</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方直金太阳爱配音</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2018-12-03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2018SR970523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3299618</w:t>
            </w:r>
            <w:r>
              <w:rPr>
                <w:rFonts w:ascii="宋体" w:hAnsi="宋体" w:cs="宋体" w:eastAsia="宋体" w:hint="default"/>
                <w:sz w:val="18"/>
                <w:szCs w:val="18"/>
              </w:rPr>
              <w:t>号</w:t>
            </w:r>
          </w:p>
        </w:tc>
      </w:tr>
    </w:tbl>
    <w:p>
      <w:pPr>
        <w:pStyle w:val="BodyText"/>
        <w:spacing w:line="287" w:lineRule="exact" w:before="67"/>
        <w:ind w:left="813" w:right="0"/>
        <w:jc w:val="left"/>
      </w:pPr>
      <w:r>
        <w:rPr/>
        <w:pict>
          <v:shape style="position:absolute;margin-left:42.119999pt;margin-top:23.413702pt;width:511.6pt;height:208.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994"/>
                    <w:gridCol w:w="1700"/>
                    <w:gridCol w:w="1135"/>
                    <w:gridCol w:w="992"/>
                    <w:gridCol w:w="4823"/>
                  </w:tblGrid>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证书号</w:t>
                        </w:r>
                        <w:r>
                          <w:rPr>
                            <w:rFonts w:ascii="Microsoft JhengHei" w:hAnsi="Microsoft JhengHei" w:cs="Microsoft JhengHei" w:eastAsia="Microsoft JhengHei"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4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商标图形</w:t>
                        </w:r>
                        <w:r>
                          <w:rPr>
                            <w:rFonts w:ascii="Microsoft JhengHei" w:hAnsi="Microsoft JhengHei" w:cs="Microsoft JhengHei" w:eastAsia="Microsoft JhengHei"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申请类别</w:t>
                        </w:r>
                        <w:r>
                          <w:rPr>
                            <w:rFonts w:ascii="Microsoft JhengHei" w:hAnsi="Microsoft JhengHei" w:cs="Microsoft JhengHei" w:eastAsia="Microsoft JhengHei"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有效期</w:t>
                        </w:r>
                        <w:r>
                          <w:rPr>
                            <w:rFonts w:ascii="Microsoft JhengHei" w:hAnsi="Microsoft JhengHei" w:cs="Microsoft JhengHei" w:eastAsia="Microsoft JhengHei" w:hint="default"/>
                            <w:sz w:val="18"/>
                            <w:szCs w:val="18"/>
                          </w:rPr>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种类适用范围</w:t>
                        </w:r>
                        <w:r>
                          <w:rPr>
                            <w:rFonts w:ascii="Microsoft JhengHei" w:hAnsi="Microsoft JhengHei" w:cs="Microsoft JhengHei" w:eastAsia="Microsoft JhengHei" w:hint="default"/>
                            <w:sz w:val="18"/>
                            <w:szCs w:val="18"/>
                          </w:rPr>
                        </w:r>
                      </w:p>
                    </w:tc>
                  </w:tr>
                  <w:tr>
                    <w:trPr>
                      <w:trHeight w:val="97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22242531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w:t>
                        </w:r>
                        <w:r>
                          <w:rPr>
                            <w:rFonts w:ascii="宋体" w:hAnsi="宋体" w:cs="宋体" w:eastAsia="宋体" w:hint="default"/>
                            <w:sz w:val="18"/>
                            <w:szCs w:val="18"/>
                          </w:rPr>
                          <w:t>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2028.01.27</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3"/>
                            <w:sz w:val="18"/>
                            <w:szCs w:val="18"/>
                          </w:rPr>
                          <w:t>说明书；印刷出版物；印刷时刻表；连环漫画书；地图；地图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册；歌曲集；海报；带有电子发声装置的儿童图书；书集（截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止）</w:t>
                        </w:r>
                      </w:p>
                    </w:tc>
                  </w:tr>
                  <w:tr>
                    <w:trPr>
                      <w:trHeight w:val="2844"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22250332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645" w:lineRule="exact"/>
                          <w:ind w:left="356"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614680" cy="4095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614680" cy="409575"/>
                                      </a:xfrm>
                                      <a:prstGeom prst="rect">
                                        <a:avLst/>
                                      </a:prstGeom>
                                    </pic:spPr>
                                  </pic:pic>
                                </a:graphicData>
                              </a:graphic>
                            </wp:inline>
                          </w:drawing>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Times New Roman" w:hAnsi="Times New Roman" w:cs="Times New Roman" w:eastAsia="Times New Roman" w:hint="default"/>
                            <w:sz w:val="18"/>
                            <w:szCs w:val="18"/>
                          </w:rPr>
                        </w:pPr>
                        <w:r>
                          <w:rPr>
                            <w:rFonts w:ascii="Times New Roman"/>
                            <w:sz w:val="18"/>
                          </w:rPr>
                          <w:t>2028.09.13</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
                          <w:jc w:val="left"/>
                          <w:rPr>
                            <w:rFonts w:ascii="宋体" w:hAnsi="宋体" w:cs="宋体" w:eastAsia="宋体" w:hint="default"/>
                            <w:sz w:val="18"/>
                            <w:szCs w:val="18"/>
                          </w:rPr>
                        </w:pPr>
                        <w:r>
                          <w:rPr>
                            <w:rFonts w:ascii="宋体" w:hAnsi="宋体" w:cs="宋体" w:eastAsia="宋体" w:hint="default"/>
                            <w:spacing w:val="-3"/>
                            <w:sz w:val="18"/>
                            <w:szCs w:val="18"/>
                          </w:rPr>
                          <w:t>把有形的数据或文件转换成电子媒体；网络服务器出租；计算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机编程；计算机病毒的防护服务；计算机程序复制；计算机程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序和数据的数据转换（非有形转换）；计算机出租；计算机软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件出租；计算机软件安装；计算机软件更新；计算机软件设计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上网用计算机软件维护；计算机软件维护；计算机软件咨询 </w:t>
                        </w:r>
                        <w:r>
                          <w:rPr>
                            <w:rFonts w:ascii="宋体" w:hAnsi="宋体" w:cs="宋体" w:eastAsia="宋体" w:hint="default"/>
                            <w:spacing w:val="-3"/>
                            <w:sz w:val="18"/>
                            <w:szCs w:val="18"/>
                          </w:rPr>
                          <w:t>计算机系统分析；计算机系统设计；计算机硬件设计和开发咨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询；驱动及操作系统软件开发；提供互联网搜索引擎；替他人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创建和维护网站；托管计算机站（网站）；恢复计算机数据（截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止）</w:t>
                        </w:r>
                      </w:p>
                    </w:tc>
                  </w:tr>
                </w:tbl>
                <w:p>
                  <w:pPr/>
                </w:p>
              </w:txbxContent>
            </v:textbox>
            <w10:wrap type="none"/>
          </v:shape>
        </w:pict>
      </w:r>
      <w:r>
        <w:rPr/>
        <w:t>报告期内新增</w:t>
      </w:r>
      <w:r>
        <w:rPr>
          <w:rFonts w:ascii="Times New Roman" w:hAnsi="Times New Roman" w:cs="Times New Roman" w:eastAsia="Times New Roman" w:hint="default"/>
        </w:rPr>
        <w:t>2</w:t>
      </w:r>
      <w:r>
        <w:rPr/>
        <w:t>项注册商标权如下：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645" w:lineRule="exact"/>
        <w:ind w:left="2034"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614680" cy="4095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614680" cy="409575"/>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768" w:firstLine="0"/>
        <w:jc w:val="right"/>
        <w:rPr>
          <w:rFonts w:ascii="宋体" w:hAnsi="宋体" w:cs="宋体" w:eastAsia="宋体" w:hint="default"/>
          <w:sz w:val="18"/>
          <w:szCs w:val="18"/>
        </w:rPr>
      </w:pPr>
      <w:r>
        <w:rPr/>
        <w:pict>
          <v:shape style="position:absolute;margin-left:138.699997pt;margin-top:6.751722pt;width:48.4pt;height:32.25pt;mso-position-horizontal-relative:page;mso-position-vertical-relative:paragraph;z-index:1120" type="#_x0000_t75" stroked="false">
            <v:imagedata r:id="rId14" o:title=""/>
          </v:shape>
        </w:pict>
      </w:r>
      <w:r>
        <w:rPr>
          <w:rFonts w:ascii="宋体" w:hAnsi="宋体" w:cs="宋体" w:eastAsia="宋体" w:hint="default"/>
          <w:sz w:val="18"/>
          <w:szCs w:val="18"/>
        </w:rPr>
        <w:t>；</w:t>
      </w:r>
    </w:p>
    <w:p>
      <w:pPr>
        <w:spacing w:before="76"/>
        <w:ind w:left="10188"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before="0"/>
        <w:ind w:left="813" w:right="0"/>
        <w:jc w:val="left"/>
      </w:pPr>
      <w:r>
        <w:rPr/>
        <w:t>报告期内新增</w:t>
      </w:r>
      <w:r>
        <w:rPr>
          <w:rFonts w:ascii="Times New Roman" w:hAnsi="Times New Roman" w:cs="Times New Roman" w:eastAsia="Times New Roman" w:hint="default"/>
        </w:rPr>
        <w:t>1</w:t>
      </w:r>
      <w:r>
        <w:rPr/>
        <w:t>项外观设计专利如下：</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567"/>
        <w:gridCol w:w="2413"/>
        <w:gridCol w:w="1133"/>
        <w:gridCol w:w="1702"/>
        <w:gridCol w:w="1133"/>
        <w:gridCol w:w="1560"/>
        <w:gridCol w:w="1702"/>
      </w:tblGrid>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外观设计名称</w:t>
            </w:r>
            <w:r>
              <w:rPr>
                <w:rFonts w:ascii="Microsoft JhengHei" w:hAnsi="Microsoft JhengHei" w:cs="Microsoft JhengHei" w:eastAsia="Microsoft JhengHei"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专利权人</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证书号</w:t>
            </w:r>
            <w:r>
              <w:rPr>
                <w:rFonts w:ascii="Microsoft JhengHei" w:hAnsi="Microsoft JhengHei" w:cs="Microsoft JhengHei" w:eastAsia="Microsoft JhengHei"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专利申请日</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授权公告日</w:t>
            </w:r>
            <w:r>
              <w:rPr>
                <w:rFonts w:ascii="Microsoft JhengHei" w:hAnsi="Microsoft JhengHei" w:cs="Microsoft JhengHei" w:eastAsia="Microsoft JhengHei" w:hint="default"/>
                <w:sz w:val="18"/>
                <w:szCs w:val="18"/>
              </w:rPr>
            </w:r>
          </w:p>
        </w:tc>
      </w:tr>
      <w:tr>
        <w:trPr>
          <w:trHeight w:val="34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带有儿童拼音学习界面的电脑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 2018 3</w:t>
            </w:r>
            <w:r>
              <w:rPr>
                <w:rFonts w:ascii="Times New Roman"/>
                <w:spacing w:val="-6"/>
                <w:sz w:val="18"/>
              </w:rPr>
              <w:t> </w:t>
            </w:r>
            <w:r>
              <w:rPr>
                <w:rFonts w:ascii="Times New Roman"/>
                <w:sz w:val="18"/>
              </w:rPr>
              <w:t>0029396.1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4959805</w:t>
            </w:r>
            <w:r>
              <w:rPr>
                <w:rFonts w:ascii="宋体" w:hAnsi="宋体" w:cs="宋体" w:eastAsia="宋体" w:hint="default"/>
                <w:sz w:val="18"/>
                <w:szCs w:val="18"/>
              </w:rPr>
              <w:t>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2018-01-22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2018-12-11</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一、概述</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575" w:right="0"/>
        <w:jc w:val="left"/>
        <w:rPr>
          <w:b w:val="0"/>
          <w:bCs w:val="0"/>
        </w:rPr>
      </w:pPr>
      <w:r>
        <w:rPr>
          <w:rFonts w:ascii="Times New Roman" w:hAnsi="Times New Roman" w:cs="Times New Roman" w:eastAsia="Times New Roman" w:hint="default"/>
        </w:rPr>
        <w:t>1</w:t>
      </w:r>
      <w:r>
        <w:rPr/>
        <w:t>、公司总体经营情况回顾</w:t>
      </w:r>
      <w:r>
        <w:rPr>
          <w:b w:val="0"/>
          <w:bCs w:val="0"/>
        </w:rPr>
      </w:r>
    </w:p>
    <w:p>
      <w:pPr>
        <w:pStyle w:val="BodyText"/>
        <w:spacing w:line="398" w:lineRule="auto" w:before="90"/>
        <w:ind w:right="1126" w:firstLine="420"/>
        <w:jc w:val="both"/>
      </w:pPr>
      <w:r>
        <w:rPr>
          <w:rFonts w:ascii="Times New Roman" w:hAnsi="Times New Roman" w:cs="Times New Roman" w:eastAsia="Times New Roman" w:hint="default"/>
          <w:spacing w:val="-2"/>
        </w:rPr>
        <w:t>2018</w:t>
      </w:r>
      <w:r>
        <w:rPr>
          <w:spacing w:val="-2"/>
        </w:rPr>
        <w:t>年是方直科技转型突破的一年，方直科技完成了互联网平台的基础建设，大部分版本的移动终端</w:t>
      </w:r>
      <w:r>
        <w:rPr>
          <w:w w:val="100"/>
        </w:rPr>
        <w:t> </w:t>
      </w:r>
      <w:r>
        <w:rPr>
          <w:spacing w:val="-2"/>
        </w:rPr>
        <w:t>新产品开发和上线推广运营，公司关注教育需求，致力于科技创新，全心全意促进教育进步。公司完成对</w:t>
      </w:r>
      <w:r>
        <w:rPr>
          <w:spacing w:val="-47"/>
        </w:rPr>
        <w:t> </w:t>
      </w:r>
      <w:r>
        <w:rPr>
          <w:spacing w:val="-47"/>
        </w:rPr>
      </w:r>
      <w:r>
        <w:rPr>
          <w:rFonts w:ascii="Times New Roman" w:hAnsi="Times New Roman" w:cs="Times New Roman" w:eastAsia="Times New Roman" w:hint="default"/>
          <w:spacing w:val="-4"/>
        </w:rPr>
        <w:t>MOD</w:t>
      </w:r>
      <w:r>
        <w:rPr>
          <w:spacing w:val="-4"/>
        </w:rPr>
        <w:t>资源开发运营管理平台的自主研发，同时完成所有产品与平台的对接，沿着多学科多版本的策略，将</w:t>
      </w:r>
      <w:r>
        <w:rPr>
          <w:spacing w:val="-17"/>
        </w:rPr>
        <w:t> </w:t>
      </w:r>
      <w:r>
        <w:rPr>
          <w:spacing w:val="-17"/>
        </w:rPr>
      </w:r>
      <w:r>
        <w:rPr>
          <w:spacing w:val="-2"/>
        </w:rPr>
        <w:t>语、数、英学科学习内容进行融合及升级。后续可通过大数据采集服务平台，为用户提供更精准的增值服</w:t>
      </w:r>
      <w:r>
        <w:rPr>
          <w:spacing w:val="-47"/>
        </w:rPr>
        <w:t> </w:t>
      </w:r>
      <w:r>
        <w:rPr>
          <w:spacing w:val="-47"/>
        </w:rPr>
      </w:r>
      <w:r>
        <w:rPr/>
        <w:t>务。</w:t>
      </w:r>
    </w:p>
    <w:p>
      <w:pPr>
        <w:pStyle w:val="BodyText"/>
        <w:spacing w:line="400" w:lineRule="auto" w:before="54"/>
        <w:ind w:right="1126" w:firstLine="420"/>
        <w:jc w:val="both"/>
      </w:pPr>
      <w:r>
        <w:rPr>
          <w:rFonts w:ascii="Times New Roman" w:hAnsi="Times New Roman" w:cs="Times New Roman" w:eastAsia="Times New Roman" w:hint="default"/>
        </w:rPr>
        <w:t>2019</w:t>
      </w:r>
      <w:r>
        <w:rPr/>
        <w:t>年方直科技始终秉承“人人分享优质教育”的使命</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坚持用科技创新推动教育均衡发展，为中小</w:t>
      </w:r>
      <w:r>
        <w:rPr>
          <w:w w:val="100"/>
        </w:rPr>
        <w:t> </w:t>
      </w:r>
      <w:r>
        <w:rPr>
          <w:spacing w:val="-2"/>
        </w:rPr>
        <w:t>学校、教师、学生提供与多种主流教材配套的教育资源，并按照与教学进度同步的方式提供服务。公司将</w:t>
      </w:r>
      <w:r>
        <w:rPr>
          <w:spacing w:val="-47"/>
        </w:rPr>
        <w:t> </w:t>
      </w:r>
      <w:r>
        <w:rPr>
          <w:spacing w:val="-47"/>
        </w:rPr>
      </w:r>
      <w:r>
        <w:rPr>
          <w:spacing w:val="-2"/>
        </w:rPr>
        <w:t>研发更多的品类、更丰富的内容、更具有市场竞争力的产品，满足广大中小学生不同的层级和不同的阶段</w:t>
      </w:r>
      <w:r>
        <w:rPr>
          <w:spacing w:val="-44"/>
        </w:rPr>
        <w:t> </w:t>
      </w:r>
      <w:r>
        <w:rPr>
          <w:spacing w:val="-44"/>
        </w:rPr>
      </w:r>
      <w:r>
        <w:rPr/>
        <w:t>性学习需求。同时紧跟趋势优化营销运营体系、渠道服务等工作，进一步夯实公司的市场竞争优势。</w:t>
      </w:r>
    </w:p>
    <w:p>
      <w:pPr>
        <w:pStyle w:val="BodyText"/>
        <w:spacing w:line="391" w:lineRule="auto" w:before="52"/>
        <w:ind w:right="1118" w:firstLine="420"/>
        <w:jc w:val="left"/>
      </w:pPr>
      <w:r>
        <w:rPr>
          <w:spacing w:val="-2"/>
        </w:rPr>
        <w:t>报告期，公司</w:t>
      </w:r>
      <w:r>
        <w:rPr>
          <w:rFonts w:ascii="Times New Roman" w:hAnsi="Times New Roman" w:cs="Times New Roman" w:eastAsia="Times New Roman" w:hint="default"/>
          <w:spacing w:val="-2"/>
        </w:rPr>
        <w:t>2018</w:t>
      </w:r>
      <w:r>
        <w:rPr>
          <w:spacing w:val="-2"/>
        </w:rPr>
        <w:t>年度实现营业收入</w:t>
      </w:r>
      <w:r>
        <w:rPr>
          <w:rFonts w:ascii="Times New Roman" w:hAnsi="Times New Roman" w:cs="Times New Roman" w:eastAsia="Times New Roman" w:hint="default"/>
          <w:spacing w:val="-2"/>
        </w:rPr>
        <w:t>10,724.51</w:t>
      </w:r>
      <w:r>
        <w:rPr>
          <w:spacing w:val="-2"/>
        </w:rPr>
        <w:t>万元，较去年同期增长</w:t>
      </w:r>
      <w:r>
        <w:rPr>
          <w:rFonts w:ascii="Times New Roman" w:hAnsi="Times New Roman" w:cs="Times New Roman" w:eastAsia="Times New Roman" w:hint="default"/>
          <w:spacing w:val="-2"/>
        </w:rPr>
        <w:t>6.70%</w:t>
      </w:r>
      <w:r>
        <w:rPr>
          <w:spacing w:val="-2"/>
        </w:rPr>
        <w:t>。公司核心产品业务及其</w:t>
      </w:r>
      <w:r>
        <w:rPr>
          <w:w w:val="100"/>
        </w:rPr>
        <w:t> </w:t>
      </w:r>
      <w:r>
        <w:rPr>
          <w:spacing w:val="-2"/>
        </w:rPr>
        <w:t>结构未发生重大变化，金太阳教育软件的开发、销售业务仍是公司的核心业务，金太阳教育软件收入较去</w:t>
      </w:r>
      <w:r>
        <w:rPr>
          <w:spacing w:val="-44"/>
        </w:rPr>
        <w:t> </w:t>
      </w:r>
      <w:r>
        <w:rPr>
          <w:spacing w:val="-44"/>
        </w:rPr>
      </w:r>
      <w:r>
        <w:rPr>
          <w:spacing w:val="-2"/>
        </w:rPr>
        <w:t>年同期增长</w:t>
      </w:r>
      <w:r>
        <w:rPr>
          <w:rFonts w:ascii="Times New Roman" w:hAnsi="Times New Roman" w:cs="Times New Roman" w:eastAsia="Times New Roman" w:hint="default"/>
          <w:spacing w:val="-2"/>
        </w:rPr>
        <w:t>6.93%</w:t>
      </w:r>
      <w:r>
        <w:rPr>
          <w:spacing w:val="-2"/>
        </w:rPr>
        <w:t>。报告期内代理的其他产品营业收入较同期略有下降。华南、华北和华东三个地区是公</w:t>
      </w:r>
      <w:r>
        <w:rPr>
          <w:spacing w:val="-16"/>
        </w:rPr>
        <w:t> </w:t>
      </w:r>
      <w:r>
        <w:rPr>
          <w:spacing w:val="-16"/>
        </w:rPr>
      </w:r>
      <w:r>
        <w:rPr/>
        <w:t>司产品销售比较集中的区域，报告期内各地区销售收入占主营业务收入比例分别为</w:t>
      </w:r>
      <w:r>
        <w:rPr>
          <w:rFonts w:ascii="Times New Roman" w:hAnsi="Times New Roman" w:cs="Times New Roman" w:eastAsia="Times New Roman" w:hint="default"/>
        </w:rPr>
        <w:t>52.97%</w:t>
      </w:r>
      <w:r>
        <w:rPr/>
        <w:t>、</w:t>
      </w:r>
      <w:r>
        <w:rPr>
          <w:rFonts w:ascii="Times New Roman" w:hAnsi="Times New Roman" w:cs="Times New Roman" w:eastAsia="Times New Roman" w:hint="default"/>
        </w:rPr>
        <w:t>19.12%</w:t>
      </w:r>
      <w:r>
        <w:rPr/>
        <w:t>、</w:t>
      </w:r>
      <w:r>
        <w:rPr>
          <w:w w:val="100"/>
        </w:rPr>
        <w:t> </w:t>
      </w:r>
      <w:r>
        <w:rPr>
          <w:rFonts w:ascii="Times New Roman" w:hAnsi="Times New Roman" w:cs="Times New Roman" w:eastAsia="Times New Roman" w:hint="default"/>
        </w:rPr>
        <w:t>10.96%</w:t>
      </w:r>
      <w:r>
        <w:rPr/>
        <w:t>。</w:t>
      </w:r>
    </w:p>
    <w:p>
      <w:pPr>
        <w:pStyle w:val="Heading6"/>
        <w:spacing w:line="329" w:lineRule="exact"/>
        <w:ind w:left="575" w:right="0"/>
        <w:jc w:val="left"/>
        <w:rPr>
          <w:b w:val="0"/>
          <w:bCs w:val="0"/>
        </w:rPr>
      </w:pPr>
      <w:r>
        <w:rPr/>
        <w:t>报告期内主要工作回顾</w:t>
      </w:r>
      <w:r>
        <w:rPr>
          <w:b w:val="0"/>
          <w:bCs w:val="0"/>
        </w:rPr>
      </w:r>
    </w:p>
    <w:p>
      <w:pPr>
        <w:pStyle w:val="BodyText"/>
        <w:spacing w:line="240" w:lineRule="auto" w:before="169"/>
        <w:ind w:left="573" w:right="0"/>
        <w:jc w:val="left"/>
      </w:pPr>
      <w:r>
        <w:rPr>
          <w:rFonts w:ascii="Times New Roman" w:hAnsi="Times New Roman" w:cs="Times New Roman" w:eastAsia="Times New Roman" w:hint="default"/>
        </w:rPr>
        <w:t>1</w:t>
      </w:r>
      <w:r>
        <w:rPr/>
        <w:t>、主要产品情况</w:t>
      </w:r>
    </w:p>
    <w:p>
      <w:pPr>
        <w:pStyle w:val="BodyText"/>
        <w:spacing w:line="400" w:lineRule="auto" w:before="177"/>
        <w:ind w:right="0" w:firstLine="420"/>
        <w:jc w:val="left"/>
      </w:pPr>
      <w:r>
        <w:rPr/>
        <w:t>（</w:t>
      </w:r>
      <w:r>
        <w:rPr>
          <w:rFonts w:ascii="Times New Roman" w:hAnsi="Times New Roman" w:cs="Times New Roman" w:eastAsia="Times New Roman" w:hint="default"/>
        </w:rPr>
        <w:t>1</w:t>
      </w:r>
      <w:r>
        <w:rPr/>
        <w:t>）报告期内，公司利用互联网和移动互联网技术提供与教学进度相同步为特色的服务，在建立集</w:t>
      </w:r>
      <w:r>
        <w:rPr>
          <w:w w:val="100"/>
        </w:rPr>
        <w:t> </w:t>
      </w:r>
      <w:r>
        <w:rPr>
          <w:spacing w:val="-2"/>
        </w:rPr>
        <w:t>资源管理、资源运营和资源开发为一体的资源综合服务平台的基础上，建设开发丰富优质的多学科多版本</w:t>
      </w:r>
      <w:r>
        <w:rPr>
          <w:spacing w:val="-42"/>
        </w:rPr>
        <w:t> </w:t>
      </w:r>
      <w:r>
        <w:rPr>
          <w:spacing w:val="-42"/>
        </w:rPr>
      </w:r>
      <w:r>
        <w:rPr>
          <w:spacing w:val="-2"/>
        </w:rPr>
        <w:t>全学段的教材配套教学内容资源，继续巩固强化公司在内容资源方面的优势，建立和完善语文、英语、数</w:t>
      </w:r>
      <w:r>
        <w:rPr>
          <w:spacing w:val="-44"/>
        </w:rPr>
        <w:t> </w:t>
      </w:r>
      <w:r>
        <w:rPr>
          <w:spacing w:val="-44"/>
        </w:rPr>
      </w:r>
      <w:r>
        <w:rPr/>
        <w:t>学等多学科、多版本的同步教学资源开发。</w:t>
      </w:r>
    </w:p>
    <w:p>
      <w:pPr>
        <w:pStyle w:val="BodyText"/>
        <w:spacing w:line="398" w:lineRule="auto" w:before="52"/>
        <w:ind w:right="0" w:firstLine="420"/>
        <w:jc w:val="left"/>
      </w:pPr>
      <w:r>
        <w:rPr/>
        <w:t>（</w:t>
      </w:r>
      <w:r>
        <w:rPr>
          <w:rFonts w:ascii="Times New Roman" w:hAnsi="Times New Roman" w:cs="Times New Roman" w:eastAsia="Times New Roman" w:hint="default"/>
        </w:rPr>
        <w:t>2</w:t>
      </w:r>
      <w:r>
        <w:rPr/>
        <w:t>）公司完成了计划的数字媒体特征提取、分类与识别、版权保护等相关技术的研发，完成了基于</w:t>
      </w:r>
      <w:r>
        <w:rPr>
          <w:w w:val="100"/>
        </w:rPr>
        <w:t> </w:t>
      </w:r>
      <w:r>
        <w:rPr>
          <w:spacing w:val="-2"/>
        </w:rPr>
        <w:t>移动互联网的数字媒体资源开发引擎及多平台应用技术研究并实施应用，进一步夯实了公司在数字媒体研</w:t>
      </w:r>
      <w:r>
        <w:rPr>
          <w:spacing w:val="-43"/>
        </w:rPr>
        <w:t> </w:t>
      </w:r>
      <w:r>
        <w:rPr>
          <w:spacing w:val="-43"/>
        </w:rPr>
      </w:r>
      <w:r>
        <w:rPr/>
        <w:t>发的领先优势。</w:t>
      </w:r>
    </w:p>
    <w:p>
      <w:pPr>
        <w:pStyle w:val="BodyText"/>
        <w:spacing w:line="386" w:lineRule="auto" w:before="54"/>
        <w:ind w:right="0" w:firstLine="420"/>
        <w:jc w:val="left"/>
      </w:pPr>
      <w:r>
        <w:rPr/>
        <w:t>（</w:t>
      </w:r>
      <w:r>
        <w:rPr>
          <w:rFonts w:ascii="Times New Roman" w:hAnsi="Times New Roman" w:cs="Times New Roman" w:eastAsia="Times New Roman" w:hint="default"/>
        </w:rPr>
        <w:t>3</w:t>
      </w:r>
      <w:r>
        <w:rPr/>
        <w:t>）报告期内，方直科技基于微信小程序开发了一款创新孵化产品</w:t>
      </w:r>
      <w:r>
        <w:rPr>
          <w:rFonts w:ascii="Times New Roman" w:hAnsi="Times New Roman" w:cs="Times New Roman" w:eastAsia="Times New Roman" w:hint="default"/>
        </w:rPr>
        <w:t>-</w:t>
      </w:r>
      <w:r>
        <w:rPr/>
        <w:t>小学英语点读，通过同步配套的</w:t>
      </w:r>
      <w:r>
        <w:rPr>
          <w:w w:val="100"/>
        </w:rPr>
        <w:t> </w:t>
      </w:r>
      <w:r>
        <w:rPr>
          <w:spacing w:val="-5"/>
        </w:rPr>
        <w:t>在线教材，围绕“学，练，测，评”四个维度的一款小学英语学习小程序；真正做到随时可学，学有所得，</w:t>
      </w:r>
    </w:p>
    <w:p>
      <w:pPr>
        <w:spacing w:after="0" w:line="386"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6"/>
        <w:ind w:right="1126"/>
        <w:jc w:val="both"/>
      </w:pPr>
      <w:r>
        <w:rPr>
          <w:spacing w:val="-2"/>
        </w:rPr>
        <w:t>帮助孩子脱离哑巴英语，练就纯正口语发音。产品在演进过程中，遵循“用精品化、标准化优质教育资源</w:t>
      </w:r>
      <w:r>
        <w:rPr>
          <w:spacing w:val="-43"/>
        </w:rPr>
        <w:t> </w:t>
      </w:r>
      <w:r>
        <w:rPr>
          <w:spacing w:val="-43"/>
        </w:rPr>
      </w:r>
      <w:r>
        <w:rPr>
          <w:spacing w:val="-3"/>
        </w:rPr>
        <w:t>服务用户”的原则，依次上线了手机点读机，原版课文音频，课内教材跟读，课内外动画配音</w:t>
      </w:r>
      <w:r>
        <w:rPr>
          <w:rFonts w:ascii="Times New Roman" w:hAnsi="Times New Roman" w:cs="Times New Roman" w:eastAsia="Times New Roman" w:hint="default"/>
          <w:spacing w:val="-3"/>
        </w:rPr>
        <w:t>AI</w:t>
      </w:r>
      <w:r>
        <w:rPr>
          <w:spacing w:val="-3"/>
        </w:rPr>
        <w:t>智能评测</w:t>
      </w:r>
      <w:r>
        <w:rPr>
          <w:spacing w:val="-4"/>
        </w:rPr>
        <w:t> </w:t>
      </w:r>
      <w:r>
        <w:rPr>
          <w:spacing w:val="-2"/>
        </w:rPr>
        <w:t>等功能。产品面向市场推广后，在充分挖掘微信流量红利的同时，部署了如配音比赛、校本课程、口语模</w:t>
      </w:r>
      <w:r>
        <w:rPr>
          <w:spacing w:val="-43"/>
        </w:rPr>
        <w:t> </w:t>
      </w:r>
      <w:r>
        <w:rPr>
          <w:spacing w:val="-43"/>
        </w:rPr>
      </w:r>
      <w:r>
        <w:rPr>
          <w:spacing w:val="-2"/>
        </w:rPr>
        <w:t>拟考试、同步教辅练习等创新的模块化学习系统，通过稳定的技术能力，完备的对账分销系统、成熟的模</w:t>
      </w:r>
      <w:r>
        <w:rPr>
          <w:spacing w:val="-50"/>
        </w:rPr>
        <w:t> </w:t>
      </w:r>
      <w:r>
        <w:rPr>
          <w:spacing w:val="-50"/>
        </w:rPr>
      </w:r>
      <w:r>
        <w:rPr>
          <w:spacing w:val="-2"/>
        </w:rPr>
        <w:t>块化运营后台，为</w:t>
      </w:r>
      <w:r>
        <w:rPr>
          <w:rFonts w:ascii="Times New Roman" w:hAnsi="Times New Roman" w:cs="Times New Roman" w:eastAsia="Times New Roman" w:hint="default"/>
          <w:spacing w:val="-2"/>
        </w:rPr>
        <w:t>150</w:t>
      </w:r>
      <w:r>
        <w:rPr>
          <w:spacing w:val="-2"/>
        </w:rPr>
        <w:t>家合作商、</w:t>
      </w:r>
      <w:r>
        <w:rPr>
          <w:rFonts w:ascii="Times New Roman" w:hAnsi="Times New Roman" w:cs="Times New Roman" w:eastAsia="Times New Roman" w:hint="default"/>
          <w:spacing w:val="-2"/>
        </w:rPr>
        <w:t>260</w:t>
      </w:r>
      <w:r>
        <w:rPr>
          <w:spacing w:val="-2"/>
        </w:rPr>
        <w:t>万用户提供稳定的服务，为模式创新、用户积累、口碑营造提供了支</w:t>
      </w:r>
      <w:r>
        <w:rPr>
          <w:spacing w:val="-44"/>
        </w:rPr>
        <w:t> </w:t>
      </w:r>
      <w:r>
        <w:rPr>
          <w:spacing w:val="-44"/>
        </w:rPr>
      </w:r>
      <w:r>
        <w:rPr>
          <w:spacing w:val="-2"/>
        </w:rPr>
        <w:t>撑。产品及服务不仅得到了用户、合作商的认可，更得到了微信平台的官方认可，在一年一度的微信公开</w:t>
      </w:r>
      <w:r>
        <w:rPr>
          <w:spacing w:val="-47"/>
        </w:rPr>
        <w:t> </w:t>
      </w:r>
      <w:r>
        <w:rPr>
          <w:spacing w:val="-47"/>
        </w:rPr>
      </w:r>
      <w:r>
        <w:rPr/>
        <w:t>课上，成为官方发言的教育行业精品案例向</w:t>
      </w:r>
      <w:r>
        <w:rPr>
          <w:rFonts w:ascii="Times New Roman" w:hAnsi="Times New Roman" w:cs="Times New Roman" w:eastAsia="Times New Roman" w:hint="default"/>
        </w:rPr>
        <w:t>10</w:t>
      </w:r>
      <w:r>
        <w:rPr/>
        <w:t>亿微信用户推介。</w:t>
      </w:r>
    </w:p>
    <w:p>
      <w:pPr>
        <w:pStyle w:val="BodyText"/>
        <w:spacing w:line="396" w:lineRule="auto" w:before="21"/>
        <w:ind w:right="0" w:firstLine="420"/>
        <w:jc w:val="left"/>
      </w:pPr>
      <w:r>
        <w:rPr>
          <w:spacing w:val="-7"/>
        </w:rPr>
        <w:t>（</w:t>
      </w:r>
      <w:r>
        <w:rPr>
          <w:rFonts w:ascii="Times New Roman" w:hAnsi="Times New Roman" w:cs="Times New Roman" w:eastAsia="Times New Roman" w:hint="default"/>
          <w:spacing w:val="-7"/>
        </w:rPr>
        <w:t>4</w:t>
      </w:r>
      <w:r>
        <w:rPr>
          <w:spacing w:val="-7"/>
        </w:rPr>
        <w:t>）报告期内，公司根据现有学校及用户使用反馈，公司持续对</w:t>
      </w:r>
      <w:r>
        <w:rPr>
          <w:rFonts w:ascii="Times New Roman" w:hAnsi="Times New Roman" w:cs="Times New Roman" w:eastAsia="Times New Roman" w:hint="default"/>
          <w:spacing w:val="-7"/>
        </w:rPr>
        <w:t>“</w:t>
      </w:r>
      <w:r>
        <w:rPr>
          <w:spacing w:val="-7"/>
        </w:rPr>
        <w:t>优教学云服务整体教育解决方案</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
        </w:rPr>
        <w:t> </w:t>
      </w:r>
      <w:r>
        <w:rPr/>
        <w:t>迭</w:t>
      </w:r>
      <w:r>
        <w:rPr>
          <w:w w:val="100"/>
        </w:rPr>
        <w:t> </w:t>
      </w:r>
      <w:r>
        <w:rPr>
          <w:spacing w:val="-5"/>
        </w:rPr>
        <w:t>代升级，并已交付达成合作项目的系统对接及用户统一登录认证。同时进一步提高系统的实用性和易用性， </w:t>
      </w:r>
      <w:r>
        <w:rPr>
          <w:spacing w:val="-5"/>
        </w:rPr>
      </w:r>
      <w:r>
        <w:rPr/>
        <w:t>更加贴合用户常态化应用需求。满足教师课前导学、备课，课中授课，课后布置作业的常态化教学需要。</w:t>
      </w:r>
      <w:r>
        <w:rPr>
          <w:w w:val="100"/>
        </w:rPr>
        <w:t> </w:t>
      </w:r>
      <w:r>
        <w:rPr/>
        <w:t>并重点完成了智慧教室互动教学系统</w:t>
      </w:r>
      <w:r>
        <w:rPr>
          <w:rFonts w:ascii="Times New Roman" w:hAnsi="Times New Roman" w:cs="Times New Roman" w:eastAsia="Times New Roman" w:hint="default"/>
        </w:rPr>
        <w:t>V1.0</w:t>
      </w:r>
      <w:r>
        <w:rPr/>
        <w:t>的开发与发布，完成智慧教室系统与定制硬件的对接整合开发，</w:t>
      </w:r>
      <w:r>
        <w:rPr>
          <w:w w:val="100"/>
        </w:rPr>
        <w:t> </w:t>
      </w:r>
      <w:r>
        <w:rPr/>
        <w:t>形成标准化智慧教室整体解决方案，解决优质资源常态化课堂教学应用问题。通过在海南、广州、杭州、</w:t>
      </w:r>
      <w:r>
        <w:rPr>
          <w:w w:val="100"/>
        </w:rPr>
        <w:t> </w:t>
      </w:r>
      <w:r>
        <w:rPr>
          <w:spacing w:val="-4"/>
        </w:rPr>
        <w:t>佛山等地作为</w:t>
      </w:r>
      <w:r>
        <w:rPr>
          <w:rFonts w:ascii="Times New Roman" w:hAnsi="Times New Roman" w:cs="Times New Roman" w:eastAsia="Times New Roman" w:hint="default"/>
          <w:spacing w:val="-4"/>
        </w:rPr>
        <w:t>“</w:t>
      </w:r>
      <w:r>
        <w:rPr>
          <w:spacing w:val="-4"/>
        </w:rPr>
        <w:t>全国教学研讨公开课</w:t>
      </w:r>
      <w:r>
        <w:rPr>
          <w:rFonts w:ascii="Times New Roman" w:hAnsi="Times New Roman" w:cs="Times New Roman" w:eastAsia="Times New Roman" w:hint="default"/>
          <w:spacing w:val="-4"/>
        </w:rPr>
        <w:t>”</w:t>
      </w:r>
      <w:r>
        <w:rPr>
          <w:spacing w:val="-4"/>
        </w:rPr>
        <w:t>的技术支撑系统，帮助教师成功开展智慧课堂教学，积累了全国</w:t>
      </w:r>
      <w:r>
        <w:rPr>
          <w:rFonts w:ascii="Times New Roman" w:hAnsi="Times New Roman" w:cs="Times New Roman" w:eastAsia="Times New Roman" w:hint="default"/>
          <w:spacing w:val="-4"/>
        </w:rPr>
        <w:t>“</w:t>
      </w:r>
      <w:r>
        <w:rPr>
          <w:spacing w:val="-4"/>
        </w:rPr>
        <w:t>信息</w:t>
      </w:r>
      <w:r>
        <w:rPr>
          <w:spacing w:val="-26"/>
        </w:rPr>
        <w:t> </w:t>
      </w:r>
      <w:r>
        <w:rPr/>
        <w:t>化技术与学科深度融合</w:t>
      </w:r>
      <w:r>
        <w:rPr>
          <w:rFonts w:ascii="Times New Roman" w:hAnsi="Times New Roman" w:cs="Times New Roman" w:eastAsia="Times New Roman" w:hint="default"/>
        </w:rPr>
        <w:t>”</w:t>
      </w:r>
      <w:r>
        <w:rPr/>
        <w:t>的优质公开课案例。将重点以智慧教学示范校的方式与名校展开合作，共同打造</w:t>
      </w:r>
      <w:r>
        <w:rPr>
          <w:w w:val="100"/>
        </w:rPr>
        <w:t> </w:t>
      </w:r>
      <w:r>
        <w:rPr/>
        <w:t>智慧教学产品。</w:t>
      </w:r>
    </w:p>
    <w:p>
      <w:pPr>
        <w:pStyle w:val="BodyText"/>
        <w:spacing w:line="398" w:lineRule="auto" w:before="57"/>
        <w:ind w:right="0" w:firstLine="420"/>
        <w:jc w:val="left"/>
      </w:pPr>
      <w:r>
        <w:rPr/>
        <w:t>（</w:t>
      </w:r>
      <w:r>
        <w:rPr>
          <w:rFonts w:ascii="Times New Roman" w:hAnsi="Times New Roman" w:cs="Times New Roman" w:eastAsia="Times New Roman" w:hint="default"/>
        </w:rPr>
        <w:t>5</w:t>
      </w:r>
      <w:r>
        <w:rPr/>
        <w:t>）公司研发丰富学习应用的矩阵式产品集群，完成了各应用端全覆盖，在移动应用集群中引入了</w:t>
      </w:r>
      <w:r>
        <w:rPr>
          <w:w w:val="100"/>
        </w:rPr>
        <w:t> </w:t>
      </w:r>
      <w:r>
        <w:rPr>
          <w:spacing w:val="-2"/>
        </w:rPr>
        <w:t>公司最新研发的高质量音视频混编等新技术，推出了趣味配音自动测评、适应性音频调节等热点应用。持</w:t>
      </w:r>
      <w:r>
        <w:rPr>
          <w:spacing w:val="-43"/>
        </w:rPr>
        <w:t> </w:t>
      </w:r>
      <w:r>
        <w:rPr>
          <w:spacing w:val="-43"/>
        </w:rPr>
      </w:r>
      <w:r>
        <w:rPr>
          <w:spacing w:val="-2"/>
        </w:rPr>
        <w:t>续推出同步学、同步练等一系列新的学习应用，满足学生在移动学习方式下的学习需求。将“软件</w:t>
      </w:r>
      <w:r>
        <w:rPr>
          <w:rFonts w:ascii="宋体" w:hAnsi="宋体" w:cs="宋体" w:eastAsia="宋体" w:hint="default"/>
          <w:spacing w:val="-2"/>
        </w:rPr>
        <w:t>+</w:t>
      </w:r>
      <w:r>
        <w:rPr>
          <w:spacing w:val="-2"/>
        </w:rPr>
        <w:t>内容</w:t>
      </w:r>
      <w:r>
        <w:rPr>
          <w:rFonts w:ascii="宋体" w:hAnsi="宋体" w:cs="宋体" w:eastAsia="宋体" w:hint="default"/>
          <w:spacing w:val="-2"/>
        </w:rPr>
        <w:t>+</w:t>
      </w:r>
      <w:r>
        <w:rPr>
          <w:rFonts w:ascii="宋体" w:hAnsi="宋体" w:cs="宋体" w:eastAsia="宋体" w:hint="default"/>
          <w:spacing w:val="-45"/>
        </w:rPr>
        <w:t> </w:t>
      </w:r>
      <w:r>
        <w:rPr>
          <w:spacing w:val="-4"/>
        </w:rPr>
        <w:t>硬件”相融合，分别针对教育的“学、练、测、评”四个主要环节，建立以金太阳</w:t>
      </w:r>
      <w:r>
        <w:rPr>
          <w:rFonts w:ascii="Times New Roman" w:hAnsi="Times New Roman" w:cs="Times New Roman" w:eastAsia="Times New Roman" w:hint="default"/>
          <w:spacing w:val="-4"/>
        </w:rPr>
        <w:t>Kingsun</w:t>
      </w:r>
      <w:r>
        <w:rPr>
          <w:spacing w:val="-4"/>
        </w:rPr>
        <w:t>产品体系为核心</w:t>
      </w:r>
      <w:r>
        <w:rPr>
          <w:spacing w:val="-25"/>
        </w:rPr>
        <w:t> </w:t>
      </w:r>
      <w:r>
        <w:rPr>
          <w:spacing w:val="-25"/>
        </w:rPr>
      </w:r>
      <w:r>
        <w:rPr/>
        <w:t>的教育教学服务系统，打造</w:t>
      </w:r>
      <w:r>
        <w:rPr>
          <w:rFonts w:ascii="Times New Roman" w:hAnsi="Times New Roman" w:cs="Times New Roman" w:eastAsia="Times New Roman" w:hint="default"/>
        </w:rPr>
        <w:t>K12</w:t>
      </w:r>
      <w:r>
        <w:rPr/>
        <w:t>在线教育垂直领域</w:t>
      </w:r>
      <w:r>
        <w:rPr>
          <w:rFonts w:ascii="Times New Roman" w:hAnsi="Times New Roman" w:cs="Times New Roman" w:eastAsia="Times New Roman" w:hint="default"/>
        </w:rPr>
        <w:t>2B2C2O</w:t>
      </w:r>
      <w:r>
        <w:rPr/>
        <w:t>多向服务平台。</w:t>
      </w:r>
    </w:p>
    <w:p>
      <w:pPr>
        <w:pStyle w:val="BodyText"/>
        <w:spacing w:line="386" w:lineRule="auto" w:before="24"/>
        <w:ind w:left="573" w:right="0"/>
        <w:jc w:val="left"/>
      </w:pPr>
      <w:r>
        <w:rPr>
          <w:rFonts w:ascii="Times New Roman" w:hAnsi="Times New Roman" w:cs="Times New Roman" w:eastAsia="Times New Roman" w:hint="default"/>
        </w:rPr>
        <w:t>2</w:t>
      </w:r>
      <w:r>
        <w:rPr/>
        <w:t>、渠道拓展情况</w:t>
      </w:r>
      <w:r>
        <w:rPr>
          <w:w w:val="100"/>
        </w:rPr>
        <w:t> </w:t>
      </w:r>
      <w:r>
        <w:rPr>
          <w:spacing w:val="-2"/>
        </w:rPr>
        <w:t>报告期内，公司继续拓展中国移动、中国电信、中国联通运营商的多维数字化教育内容的运营和营销</w:t>
      </w:r>
    </w:p>
    <w:p>
      <w:pPr>
        <w:pStyle w:val="BodyText"/>
        <w:spacing w:line="403" w:lineRule="auto" w:before="65"/>
        <w:ind w:right="1126"/>
        <w:jc w:val="both"/>
      </w:pPr>
      <w:r>
        <w:rPr>
          <w:spacing w:val="-2"/>
        </w:rPr>
        <w:t>合作，与客户达成稳定创新服务模式。公司持续为咪咕数字传媒有限公司，天翼阅读文化传媒有限公司提</w:t>
      </w:r>
      <w:r>
        <w:rPr>
          <w:spacing w:val="-43"/>
        </w:rPr>
        <w:t> </w:t>
      </w:r>
      <w:r>
        <w:rPr>
          <w:spacing w:val="-43"/>
        </w:rPr>
      </w:r>
      <w:r>
        <w:rPr>
          <w:spacing w:val="-2"/>
        </w:rPr>
        <w:t>供优质数字教育内容服务，成为其中小学同步学习类内容产品细分领域的核心优质内容服务供应商，通过</w:t>
      </w:r>
      <w:r>
        <w:rPr>
          <w:spacing w:val="-43"/>
        </w:rPr>
        <w:t> </w:t>
      </w:r>
      <w:r>
        <w:rPr>
          <w:spacing w:val="-43"/>
        </w:rPr>
      </w:r>
      <w:r>
        <w:rPr>
          <w:spacing w:val="-2"/>
        </w:rPr>
        <w:t>运营商增值业务服务平台为学生提供服务；在此基础上并行达成内容分销合作，将中国移动、中国电信优</w:t>
      </w:r>
      <w:r>
        <w:rPr>
          <w:spacing w:val="-43"/>
        </w:rPr>
        <w:t> </w:t>
      </w:r>
      <w:r>
        <w:rPr>
          <w:spacing w:val="-43"/>
        </w:rPr>
      </w:r>
      <w:r>
        <w:rPr>
          <w:spacing w:val="-2"/>
        </w:rPr>
        <w:t>质的数字化教育内容通过公司的营销渠道销售给客户。同时方直科技基于数字化教学资源的生产和运营能</w:t>
      </w:r>
      <w:r>
        <w:rPr>
          <w:spacing w:val="-43"/>
        </w:rPr>
        <w:t> </w:t>
      </w:r>
      <w:r>
        <w:rPr>
          <w:spacing w:val="-43"/>
        </w:rPr>
      </w:r>
      <w:r>
        <w:rPr>
          <w:spacing w:val="-4"/>
        </w:rPr>
        <w:t>力与运营商在基于</w:t>
      </w:r>
      <w:r>
        <w:rPr>
          <w:rFonts w:ascii="Times New Roman" w:hAnsi="Times New Roman" w:cs="Times New Roman" w:eastAsia="Times New Roman" w:hint="default"/>
          <w:spacing w:val="-4"/>
        </w:rPr>
        <w:t>5G</w:t>
      </w:r>
      <w:r>
        <w:rPr>
          <w:spacing w:val="-4"/>
        </w:rPr>
        <w:t>、人工智能产业增速发展的前提下，积极摸索、拓展包括但不限于</w:t>
      </w:r>
      <w:r>
        <w:rPr>
          <w:rFonts w:ascii="Times New Roman" w:hAnsi="Times New Roman" w:cs="Times New Roman" w:eastAsia="Times New Roman" w:hint="default"/>
          <w:spacing w:val="-4"/>
        </w:rPr>
        <w:t>AR/VR</w:t>
      </w:r>
      <w:r>
        <w:rPr>
          <w:spacing w:val="-4"/>
        </w:rPr>
        <w:t>数字化教学</w:t>
      </w:r>
      <w:r>
        <w:rPr>
          <w:spacing w:val="-5"/>
        </w:rPr>
        <w:t> </w:t>
      </w:r>
      <w:r>
        <w:rPr>
          <w:spacing w:val="-5"/>
        </w:rPr>
      </w:r>
      <w:r>
        <w:rPr/>
        <w:t>资源的生产运营，</w:t>
      </w:r>
      <w:r>
        <w:rPr>
          <w:rFonts w:ascii="Times New Roman" w:hAnsi="Times New Roman" w:cs="Times New Roman" w:eastAsia="Times New Roman" w:hint="default"/>
        </w:rPr>
        <w:t>5G</w:t>
      </w:r>
      <w:r>
        <w:rPr/>
        <w:t>智慧校园的建设和集成方面的合作。</w:t>
      </w:r>
    </w:p>
    <w:p>
      <w:pPr>
        <w:pStyle w:val="BodyText"/>
        <w:spacing w:line="386" w:lineRule="auto" w:before="19"/>
        <w:ind w:left="573" w:right="0"/>
        <w:jc w:val="left"/>
      </w:pPr>
      <w:r>
        <w:rPr>
          <w:rFonts w:ascii="Times New Roman" w:hAnsi="Times New Roman" w:cs="Times New Roman" w:eastAsia="Times New Roman" w:hint="default"/>
        </w:rPr>
        <w:t>3</w:t>
      </w:r>
      <w:r>
        <w:rPr/>
        <w:t>、市场推广情况</w:t>
      </w:r>
      <w:r>
        <w:rPr>
          <w:w w:val="100"/>
        </w:rPr>
        <w:t> </w:t>
      </w:r>
      <w:r>
        <w:rPr>
          <w:spacing w:val="-2"/>
        </w:rPr>
        <w:t>报告期内，公司重点以深圳、北京、广州等一线城市为直销发展区域，在教育部门、学校大力树立以</w:t>
      </w:r>
    </w:p>
    <w:p>
      <w:pPr>
        <w:spacing w:after="0" w:line="386"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上形象，并与教育部门开展了深度合作，通过精心打造智慧教学重点示范名校、推广全国优质示范课，召</w:t>
      </w:r>
      <w:r>
        <w:rPr>
          <w:spacing w:val="-47"/>
        </w:rPr>
        <w:t> </w:t>
      </w:r>
      <w:r>
        <w:rPr>
          <w:spacing w:val="-47"/>
        </w:rPr>
      </w:r>
      <w:r>
        <w:rPr>
          <w:spacing w:val="-2"/>
        </w:rPr>
        <w:t>开全国教学观摩会等方式加强市场推广。积极参与各地智慧校园建设，充分利用公司核心优势。同时公司</w:t>
      </w:r>
      <w:r>
        <w:rPr>
          <w:spacing w:val="-43"/>
        </w:rPr>
        <w:t> </w:t>
      </w:r>
      <w:r>
        <w:rPr>
          <w:spacing w:val="-43"/>
        </w:rPr>
      </w:r>
      <w:r>
        <w:rPr>
          <w:spacing w:val="-2"/>
        </w:rPr>
        <w:t>积极拓张市场范围加大多渠道建设，以成熟的样板工程为核心，向全国战略重要位置的省会城市复制。逐</w:t>
      </w:r>
      <w:r>
        <w:rPr>
          <w:spacing w:val="-43"/>
        </w:rPr>
        <w:t> </w:t>
      </w:r>
      <w:r>
        <w:rPr>
          <w:spacing w:val="-43"/>
        </w:rPr>
      </w:r>
      <w:r>
        <w:rPr/>
        <w:t>步实现公司的产品、模式、服务、推广的升级。</w:t>
      </w:r>
    </w:p>
    <w:p>
      <w:pPr>
        <w:pStyle w:val="BodyText"/>
        <w:spacing w:line="386" w:lineRule="auto"/>
        <w:ind w:left="573" w:right="0"/>
        <w:jc w:val="left"/>
      </w:pPr>
      <w:r>
        <w:rPr>
          <w:rFonts w:ascii="Times New Roman" w:hAnsi="Times New Roman" w:cs="Times New Roman" w:eastAsia="Times New Roman" w:hint="default"/>
        </w:rPr>
        <w:t>4</w:t>
      </w:r>
      <w:r>
        <w:rPr/>
        <w:t>、运营管理情况</w:t>
      </w:r>
      <w:r>
        <w:rPr>
          <w:w w:val="100"/>
        </w:rPr>
        <w:t> </w:t>
      </w:r>
      <w:r>
        <w:rPr>
          <w:spacing w:val="-3"/>
        </w:rPr>
        <w:t>报告期内，公司不断加强企业组织建设，强化内控制度梳理和完善，注重企业文化建设，参加或举办</w:t>
      </w:r>
    </w:p>
    <w:p>
      <w:pPr>
        <w:pStyle w:val="BodyText"/>
        <w:spacing w:line="408" w:lineRule="auto" w:before="65"/>
        <w:ind w:right="0"/>
        <w:jc w:val="left"/>
      </w:pPr>
      <w:r>
        <w:rPr>
          <w:spacing w:val="-2"/>
        </w:rPr>
        <w:t>各类文教宣传活动扩大公司的品牌影响力；通过与知名高校建立校企合作、企业互通等人才合作模式，加</w:t>
      </w:r>
      <w:r>
        <w:rPr>
          <w:spacing w:val="-43"/>
        </w:rPr>
        <w:t> </w:t>
      </w:r>
      <w:r>
        <w:rPr>
          <w:spacing w:val="-43"/>
        </w:rPr>
      </w:r>
      <w:r>
        <w:rPr/>
        <w:t>强外部优秀人才引进，同时加大人才培养力度，完善公司内部考核制度进行内部优秀人才选拔。</w:t>
      </w:r>
    </w:p>
    <w:p>
      <w:pPr>
        <w:pStyle w:val="BodyText"/>
        <w:spacing w:line="408" w:lineRule="auto"/>
        <w:ind w:right="1126" w:firstLine="420"/>
        <w:jc w:val="both"/>
      </w:pPr>
      <w:r>
        <w:rPr>
          <w:spacing w:val="-2"/>
        </w:rPr>
        <w:t>公司积极推动以实际行动践行“人人分享优质教育”的理念，希望通过我们的方式帮助到扶贫地区的</w:t>
      </w:r>
      <w:r>
        <w:rPr>
          <w:w w:val="100"/>
        </w:rPr>
        <w:t> </w:t>
      </w:r>
      <w:r>
        <w:rPr>
          <w:spacing w:val="-2"/>
        </w:rPr>
        <w:t>孩子们，为孩子们提供更多丰富的教育资源，推动更多地区扶贫工作，提升扶贫地区教育教学水平，让每</w:t>
      </w:r>
      <w:r>
        <w:rPr>
          <w:spacing w:val="-50"/>
        </w:rPr>
        <w:t> </w:t>
      </w:r>
      <w:r>
        <w:rPr>
          <w:spacing w:val="-50"/>
        </w:rPr>
      </w:r>
      <w:r>
        <w:rPr/>
        <w:t>个孩子都能获得优质的教育资源，拥有同等的成长机会。</w:t>
      </w:r>
    </w:p>
    <w:p>
      <w:pPr>
        <w:pStyle w:val="BodyText"/>
        <w:spacing w:line="240" w:lineRule="auto"/>
        <w:ind w:left="573" w:right="0"/>
        <w:jc w:val="left"/>
      </w:pPr>
      <w:r>
        <w:rPr>
          <w:rFonts w:ascii="Times New Roman" w:hAnsi="Times New Roman" w:cs="Times New Roman" w:eastAsia="Times New Roman" w:hint="default"/>
        </w:rPr>
        <w:t>5</w:t>
      </w:r>
      <w:r>
        <w:rPr/>
        <w:t>、资本运作情况</w:t>
      </w:r>
    </w:p>
    <w:p>
      <w:pPr>
        <w:pStyle w:val="BodyText"/>
        <w:spacing w:line="386" w:lineRule="auto" w:before="177"/>
        <w:ind w:left="573" w:right="0"/>
        <w:jc w:val="left"/>
      </w:pPr>
      <w:r>
        <w:rPr/>
        <w:t>（</w:t>
      </w:r>
      <w:r>
        <w:rPr>
          <w:rFonts w:ascii="Times New Roman" w:hAnsi="Times New Roman" w:cs="Times New Roman" w:eastAsia="Times New Roman" w:hint="default"/>
        </w:rPr>
        <w:t>1</w:t>
      </w:r>
      <w:r>
        <w:rPr/>
        <w:t>）非公开发行股票事项</w:t>
      </w:r>
      <w:r>
        <w:rPr>
          <w:w w:val="100"/>
        </w:rPr>
        <w:t>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16</w:t>
      </w:r>
      <w:r>
        <w:rPr>
          <w:spacing w:val="-2"/>
        </w:rPr>
        <w:t>日取得中国证券监督管理委员会证监许可</w:t>
      </w:r>
      <w:r>
        <w:rPr>
          <w:rFonts w:ascii="Times New Roman" w:hAnsi="Times New Roman" w:cs="Times New Roman" w:eastAsia="Times New Roman" w:hint="default"/>
          <w:spacing w:val="-2"/>
        </w:rPr>
        <w:t>[2017]56</w:t>
      </w:r>
      <w:r>
        <w:rPr>
          <w:spacing w:val="-2"/>
        </w:rPr>
        <w:t>号文《关于核准深圳市方直科</w:t>
      </w:r>
    </w:p>
    <w:p>
      <w:pPr>
        <w:pStyle w:val="BodyText"/>
        <w:spacing w:line="386" w:lineRule="auto" w:before="35"/>
        <w:ind w:right="0"/>
        <w:jc w:val="left"/>
      </w:pPr>
      <w:r>
        <w:rPr>
          <w:spacing w:val="-3"/>
        </w:rPr>
        <w:t>技股份有限公司非公开发行股票的批复》，核准公司非公开发行不超过</w:t>
      </w:r>
      <w:r>
        <w:rPr>
          <w:rFonts w:ascii="Times New Roman" w:hAnsi="Times New Roman" w:cs="Times New Roman" w:eastAsia="Times New Roman" w:hint="default"/>
          <w:spacing w:val="-3"/>
        </w:rPr>
        <w:t>1,500</w:t>
      </w:r>
      <w:r>
        <w:rPr>
          <w:spacing w:val="-3"/>
        </w:rPr>
        <w:t>万股新股。公司向特定投资者</w:t>
      </w:r>
      <w:r>
        <w:rPr>
          <w:spacing w:val="-45"/>
        </w:rPr>
        <w:t> </w:t>
      </w:r>
      <w:r>
        <w:rPr>
          <w:spacing w:val="-45"/>
        </w:rPr>
      </w:r>
      <w:r>
        <w:rPr>
          <w:spacing w:val="-3"/>
        </w:rPr>
        <w:t>北京嘉豪伟业投资中心（有限合伙）和前海开源基金管理有限公司共发行人民币普通股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 </w:t>
      </w:r>
      <w:r>
        <w:rPr>
          <w:rFonts w:ascii="Times New Roman" w:hAnsi="Times New Roman" w:cs="Times New Roman" w:eastAsia="Times New Roman" w:hint="default"/>
        </w:rPr>
        <w:t>9,431,090</w:t>
      </w:r>
      <w:r>
        <w:rPr/>
        <w:t>股，</w:t>
      </w:r>
      <w:r>
        <w:rPr>
          <w:spacing w:val="-87"/>
        </w:rPr>
        <w:t> </w:t>
      </w:r>
      <w:r>
        <w:rPr>
          <w:spacing w:val="-3"/>
        </w:rPr>
        <w:t>每股面值人民币</w:t>
      </w:r>
      <w:r>
        <w:rPr>
          <w:rFonts w:ascii="Times New Roman" w:hAnsi="Times New Roman" w:cs="Times New Roman" w:eastAsia="Times New Roman" w:hint="default"/>
          <w:spacing w:val="-3"/>
        </w:rPr>
        <w:t>1.00</w:t>
      </w:r>
      <w:r>
        <w:rPr>
          <w:spacing w:val="-3"/>
        </w:rPr>
        <w:t>元，每股发行认购价格为人民币</w:t>
      </w:r>
      <w:r>
        <w:rPr>
          <w:rFonts w:ascii="Times New Roman" w:hAnsi="Times New Roman" w:cs="Times New Roman" w:eastAsia="Times New Roman" w:hint="default"/>
          <w:spacing w:val="-3"/>
        </w:rPr>
        <w:t>25.30</w:t>
      </w:r>
      <w:r>
        <w:rPr>
          <w:spacing w:val="-3"/>
        </w:rPr>
        <w:t>元，共计募集人民币</w:t>
      </w:r>
      <w:r>
        <w:rPr>
          <w:rFonts w:ascii="Times New Roman" w:hAnsi="Times New Roman" w:cs="Times New Roman" w:eastAsia="Times New Roman" w:hint="default"/>
          <w:spacing w:val="-3"/>
        </w:rPr>
        <w:t>238,606,577.00</w:t>
      </w:r>
      <w:r>
        <w:rPr>
          <w:spacing w:val="-3"/>
        </w:rPr>
        <w:t>元，扣除与发</w:t>
      </w:r>
      <w:r>
        <w:rPr>
          <w:spacing w:val="-17"/>
        </w:rPr>
        <w:t> </w:t>
      </w:r>
      <w:r>
        <w:rPr>
          <w:spacing w:val="-17"/>
        </w:rPr>
      </w:r>
      <w:r>
        <w:rPr/>
        <w:t>行有关的费用人民币</w:t>
      </w:r>
      <w:r>
        <w:rPr>
          <w:rFonts w:ascii="Times New Roman" w:hAnsi="Times New Roman" w:cs="Times New Roman" w:eastAsia="Times New Roman" w:hint="default"/>
        </w:rPr>
        <w:t>10,609,431.09</w:t>
      </w:r>
      <w:r>
        <w:rPr/>
        <w:t>元，公司实际募集资金净额为人民币</w:t>
      </w:r>
      <w:r>
        <w:rPr>
          <w:rFonts w:ascii="Times New Roman" w:hAnsi="Times New Roman" w:cs="Times New Roman" w:eastAsia="Times New Roman" w:hint="default"/>
        </w:rPr>
        <w:t>227,997,145.91</w:t>
      </w:r>
      <w:r>
        <w:rPr/>
        <w:t>元。</w:t>
      </w:r>
    </w:p>
    <w:p>
      <w:pPr>
        <w:pStyle w:val="BodyText"/>
        <w:spacing w:line="386" w:lineRule="auto" w:before="35"/>
        <w:ind w:right="1105" w:firstLine="42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09</w:t>
      </w:r>
      <w:r>
        <w:rPr>
          <w:spacing w:val="-2"/>
        </w:rPr>
        <w:t>日止，公司上述发行募集的资金已全部到位，大华会计师事务所（特殊普通合伙）</w:t>
      </w:r>
      <w:r>
        <w:rPr>
          <w:w w:val="100"/>
        </w:rPr>
        <w:t> </w:t>
      </w:r>
      <w:r>
        <w:rPr>
          <w:spacing w:val="-2"/>
        </w:rPr>
        <w:t>出具了大华验字</w:t>
      </w:r>
      <w:r>
        <w:rPr>
          <w:rFonts w:ascii="Times New Roman" w:hAnsi="Times New Roman" w:cs="Times New Roman" w:eastAsia="Times New Roman" w:hint="default"/>
          <w:spacing w:val="-2"/>
        </w:rPr>
        <w:t>[2017]000150</w:t>
      </w:r>
      <w:r>
        <w:rPr>
          <w:spacing w:val="-2"/>
        </w:rPr>
        <w:t>号《验资报告》验证确认。本次非公开发行新增股份</w:t>
      </w:r>
      <w:r>
        <w:rPr>
          <w:rFonts w:ascii="Times New Roman" w:hAnsi="Times New Roman" w:cs="Times New Roman" w:eastAsia="Times New Roman" w:hint="default"/>
          <w:spacing w:val="-2"/>
        </w:rPr>
        <w:t>9,431,090</w:t>
      </w:r>
      <w:r>
        <w:rPr>
          <w:spacing w:val="-2"/>
        </w:rPr>
        <w:t>股，已于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27</w:t>
      </w:r>
      <w:r>
        <w:rPr/>
        <w:t>日在深圳证券交易所上市。</w:t>
      </w:r>
    </w:p>
    <w:p>
      <w:pPr>
        <w:pStyle w:val="BodyText"/>
        <w:spacing w:line="386" w:lineRule="auto" w:before="35"/>
        <w:ind w:right="1222" w:firstLine="420"/>
        <w:jc w:val="both"/>
      </w:pPr>
      <w:r>
        <w:rPr>
          <w:spacing w:val="-2"/>
        </w:rPr>
        <w:t>北京嘉豪伟业投资中心（有限合伙）和前海开源基金管理有限公司均承诺：</w:t>
      </w:r>
      <w:r>
        <w:rPr>
          <w:rFonts w:ascii="Times New Roman" w:hAnsi="Times New Roman" w:cs="Times New Roman" w:eastAsia="Times New Roman" w:hint="default"/>
          <w:spacing w:val="-2"/>
        </w:rPr>
        <w:t>“</w:t>
      </w:r>
      <w:r>
        <w:rPr>
          <w:spacing w:val="-2"/>
        </w:rPr>
        <w:t>自方直科技非公开发行</w:t>
      </w:r>
      <w:r>
        <w:rPr>
          <w:w w:val="100"/>
        </w:rPr>
        <w:t> </w:t>
      </w:r>
      <w:r>
        <w:rPr>
          <w:spacing w:val="-2"/>
        </w:rPr>
        <w:t>股票上市之日起，本公司在本次非公开发行过程中认购的方直科技股票</w:t>
      </w:r>
      <w:r>
        <w:rPr>
          <w:rFonts w:ascii="Times New Roman" w:hAnsi="Times New Roman" w:cs="Times New Roman" w:eastAsia="Times New Roman" w:hint="default"/>
          <w:spacing w:val="-2"/>
        </w:rPr>
        <w:t>12</w:t>
      </w:r>
      <w:r>
        <w:rPr>
          <w:spacing w:val="-2"/>
        </w:rPr>
        <w:t>个月内不予转让。</w:t>
      </w:r>
      <w:r>
        <w:rPr>
          <w:rFonts w:ascii="Times New Roman" w:hAnsi="Times New Roman" w:cs="Times New Roman" w:eastAsia="Times New Roman" w:hint="default"/>
          <w:spacing w:val="-2"/>
        </w:rPr>
        <w:t>”</w:t>
      </w:r>
      <w:r>
        <w:rPr>
          <w:spacing w:val="-2"/>
        </w:rPr>
        <w:t>上述股东均</w:t>
      </w:r>
      <w:r>
        <w:rPr>
          <w:spacing w:val="-24"/>
        </w:rPr>
        <w:t> </w:t>
      </w:r>
      <w:r>
        <w:rPr>
          <w:spacing w:val="-24"/>
        </w:rPr>
      </w:r>
      <w:r>
        <w:rPr/>
        <w:t>已严格履行上述承诺。</w:t>
      </w:r>
    </w:p>
    <w:p>
      <w:pPr>
        <w:pStyle w:val="BodyText"/>
        <w:spacing w:line="386" w:lineRule="auto" w:before="65"/>
        <w:ind w:right="1106" w:firstLine="420"/>
        <w:jc w:val="both"/>
      </w:pPr>
      <w:r>
        <w:rPr>
          <w:spacing w:val="-2"/>
        </w:rPr>
        <w:t>本次非公开发行股份的限售股份已于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28</w:t>
      </w:r>
      <w:r>
        <w:rPr>
          <w:spacing w:val="-2"/>
        </w:rPr>
        <w:t>日办理解除限售，可上市流通数量为</w:t>
      </w:r>
      <w:r>
        <w:rPr>
          <w:rFonts w:ascii="Times New Roman" w:hAnsi="Times New Roman" w:cs="Times New Roman" w:eastAsia="Times New Roman" w:hint="default"/>
          <w:spacing w:val="-2"/>
        </w:rPr>
        <w:t>9,431,090</w:t>
      </w:r>
      <w:r>
        <w:rPr>
          <w:spacing w:val="-2"/>
        </w:rPr>
        <w:t>股，</w:t>
      </w:r>
      <w:r>
        <w:rPr>
          <w:spacing w:val="-3"/>
          <w:w w:val="100"/>
        </w:rPr>
        <w:t> </w:t>
      </w:r>
      <w:r>
        <w:rPr/>
        <w:t>占公司总股本的比例为</w:t>
      </w:r>
      <w:r>
        <w:rPr>
          <w:rFonts w:ascii="Times New Roman" w:hAnsi="Times New Roman" w:cs="Times New Roman" w:eastAsia="Times New Roman" w:hint="default"/>
        </w:rPr>
        <w:t>5.62%</w:t>
      </w:r>
      <w:r>
        <w:rPr/>
        <w:t>。本次解除限售的股份不存在质押、冻结的情况。</w:t>
      </w:r>
    </w:p>
    <w:p>
      <w:pPr>
        <w:pStyle w:val="BodyText"/>
        <w:spacing w:line="240" w:lineRule="auto" w:before="35"/>
        <w:ind w:left="573" w:right="0"/>
        <w:jc w:val="left"/>
      </w:pPr>
      <w:r>
        <w:rPr/>
        <w:t>（</w:t>
      </w:r>
      <w:r>
        <w:rPr>
          <w:rFonts w:ascii="Times New Roman" w:hAnsi="Times New Roman" w:cs="Times New Roman" w:eastAsia="Times New Roman" w:hint="default"/>
        </w:rPr>
        <w:t>2</w:t>
      </w:r>
      <w:r>
        <w:rPr/>
        <w:t>）投资事项</w:t>
      </w:r>
    </w:p>
    <w:p>
      <w:pPr>
        <w:pStyle w:val="BodyText"/>
        <w:spacing w:line="386" w:lineRule="auto" w:before="177"/>
        <w:ind w:right="1118" w:firstLine="420"/>
        <w:jc w:val="left"/>
      </w:pPr>
      <w:r>
        <w:rPr>
          <w:spacing w:val="-2"/>
        </w:rPr>
        <w:t>①</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日，公司与千锋互联及其原股东签署了《关于北京千锋互联科技有限公司之退股返还</w:t>
      </w:r>
      <w:r>
        <w:rPr>
          <w:w w:val="100"/>
        </w:rPr>
        <w:t> </w:t>
      </w:r>
      <w:r>
        <w:rPr/>
        <w:t>投资款协议》，千锋互联及其原股东同意方直科技退出所占千锋互联</w:t>
      </w:r>
      <w:r>
        <w:rPr>
          <w:spacing w:val="-3"/>
        </w:rPr>
        <w:t> </w:t>
      </w:r>
      <w:r>
        <w:rPr>
          <w:rFonts w:ascii="Times New Roman" w:hAnsi="Times New Roman" w:cs="Times New Roman" w:eastAsia="Times New Roman" w:hint="default"/>
        </w:rPr>
        <w:t>12%</w:t>
      </w:r>
      <w:r>
        <w:rPr/>
        <w:t>股份并返还全部投资款人民币</w:t>
      </w:r>
      <w:r>
        <w:rPr>
          <w:w w:val="100"/>
        </w:rPr>
        <w:t> </w:t>
      </w:r>
      <w:r>
        <w:rPr>
          <w:rFonts w:ascii="Times New Roman" w:hAnsi="Times New Roman" w:cs="Times New Roman" w:eastAsia="Times New Roman" w:hint="default"/>
        </w:rPr>
        <w:t>8,100 </w:t>
      </w:r>
      <w:r>
        <w:rPr>
          <w:rFonts w:ascii="Times New Roman" w:hAnsi="Times New Roman" w:cs="Times New Roman" w:eastAsia="Times New Roman" w:hint="default"/>
          <w:spacing w:val="1"/>
        </w:rPr>
        <w:t> </w:t>
      </w:r>
      <w:r>
        <w:rPr/>
        <w:t>万元及利息。</w:t>
      </w:r>
    </w:p>
    <w:p>
      <w:pPr>
        <w:spacing w:after="0" w:line="386"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firstLine="420"/>
        <w:jc w:val="left"/>
      </w:pPr>
      <w:r>
        <w:rPr>
          <w:spacing w:val="-2"/>
        </w:rPr>
        <w:t>截至到报告期末，千锋互联公司方已根据协议约定归还投资款</w:t>
      </w:r>
      <w:r>
        <w:rPr>
          <w:rFonts w:ascii="Times New Roman" w:hAnsi="Times New Roman" w:cs="Times New Roman" w:eastAsia="Times New Roman" w:hint="default"/>
          <w:spacing w:val="-2"/>
        </w:rPr>
        <w:t>49,028,288.00</w:t>
      </w:r>
      <w:r>
        <w:rPr>
          <w:spacing w:val="-2"/>
        </w:rPr>
        <w:t>元及利息</w:t>
      </w:r>
      <w:r>
        <w:rPr>
          <w:rFonts w:ascii="Times New Roman" w:hAnsi="Times New Roman" w:cs="Times New Roman" w:eastAsia="Times New Roman" w:hint="default"/>
          <w:spacing w:val="-2"/>
        </w:rPr>
        <w:t>5,701,068.05</w:t>
      </w:r>
      <w:r>
        <w:rPr>
          <w:spacing w:val="-2"/>
        </w:rPr>
        <w:t>元，</w:t>
      </w:r>
      <w:r>
        <w:rPr>
          <w:spacing w:val="-3"/>
          <w:w w:val="100"/>
        </w:rPr>
        <w:t> </w:t>
      </w:r>
      <w:r>
        <w:rPr>
          <w:spacing w:val="-2"/>
        </w:rPr>
        <w:t>千锋互联公司方归还投资款义务已履行完毕；千锋互联三位原股东目前已归还本金及利息</w:t>
      </w:r>
      <w:r>
        <w:rPr>
          <w:rFonts w:ascii="Times New Roman" w:hAnsi="Times New Roman" w:cs="Times New Roman" w:eastAsia="Times New Roman" w:hint="default"/>
          <w:spacing w:val="-2"/>
        </w:rPr>
        <w:t>4,664,021.91</w:t>
      </w:r>
      <w:r>
        <w:rPr>
          <w:spacing w:val="-2"/>
        </w:rPr>
        <w:t>元。</w:t>
      </w:r>
      <w:r>
        <w:rPr>
          <w:spacing w:val="-7"/>
        </w:rPr>
        <w:t> </w:t>
      </w:r>
      <w:r>
        <w:rPr>
          <w:spacing w:val="-3"/>
        </w:rPr>
        <w:t>已收回千锋互联公司及三位原股东退回的投资款占协议约定归还投资款的</w:t>
      </w:r>
      <w:r>
        <w:rPr>
          <w:rFonts w:ascii="Times New Roman" w:hAnsi="Times New Roman" w:cs="Times New Roman" w:eastAsia="Times New Roman" w:hint="default"/>
          <w:spacing w:val="-3"/>
        </w:rPr>
        <w:t>65.79%</w:t>
      </w:r>
      <w:r>
        <w:rPr>
          <w:spacing w:val="-3"/>
        </w:rPr>
        <w:t>。公司正积极跟进三位原</w:t>
      </w:r>
      <w:r>
        <w:rPr>
          <w:spacing w:val="-9"/>
        </w:rPr>
        <w:t> </w:t>
      </w:r>
      <w:r>
        <w:rPr>
          <w:spacing w:val="-9"/>
        </w:rPr>
      </w:r>
      <w:r>
        <w:rPr/>
        <w:t>股东按协议要求履行还款义务，并定期了解三位原股东的财务状况，降低回款风险。</w:t>
      </w:r>
    </w:p>
    <w:p>
      <w:pPr>
        <w:pStyle w:val="BodyText"/>
        <w:spacing w:line="408" w:lineRule="auto" w:before="65"/>
        <w:ind w:right="1104" w:firstLine="420"/>
        <w:jc w:val="right"/>
      </w:pPr>
      <w:r>
        <w:rPr>
          <w:spacing w:val="-2"/>
        </w:rPr>
        <w:t>退出对千锋互联的股权投资不会影响公司既定的经营及投资战略，对公司的经营成果等无重大影响，</w:t>
      </w:r>
      <w:r>
        <w:rPr>
          <w:w w:val="100"/>
        </w:rPr>
        <w:t> </w:t>
      </w:r>
      <w:r>
        <w:rPr>
          <w:spacing w:val="-2"/>
        </w:rPr>
        <w:t>有利于维护公司及全体股东的利益，有利于补充公司运营现金流，增强公司资产流动性和持续经营能力。</w:t>
      </w:r>
      <w:r>
        <w:rPr>
          <w:spacing w:val="-42"/>
        </w:rPr>
        <w:t> </w:t>
      </w:r>
      <w:r>
        <w:rPr>
          <w:spacing w:val="-42"/>
        </w:rPr>
      </w:r>
      <w:r>
        <w:rPr>
          <w:spacing w:val="-2"/>
        </w:rPr>
        <w:t>公司在巩固现有主营业务的基础上，一直遵循内生式增长与外延式扩张相结合的发展思路，积极探索</w:t>
      </w:r>
    </w:p>
    <w:p>
      <w:pPr>
        <w:pStyle w:val="BodyText"/>
        <w:spacing w:line="410" w:lineRule="auto"/>
        <w:ind w:right="0"/>
        <w:jc w:val="left"/>
      </w:pPr>
      <w:r>
        <w:rPr>
          <w:spacing w:val="-5"/>
        </w:rPr>
        <w:t>在在线教育、非学历教育等教育行业其他分支领域的投资，进一步推进在教育行业的资源整合和协同发展，</w:t>
      </w:r>
      <w:r>
        <w:rPr>
          <w:spacing w:val="-4"/>
        </w:rPr>
        <w:t> </w:t>
      </w:r>
      <w:r>
        <w:rPr>
          <w:spacing w:val="-4"/>
        </w:rPr>
      </w:r>
      <w:r>
        <w:rPr/>
        <w:t>实现公司业务结构的多元优化和经营业绩的快速提升。</w:t>
      </w:r>
    </w:p>
    <w:p>
      <w:pPr>
        <w:pStyle w:val="BodyText"/>
        <w:spacing w:line="398" w:lineRule="auto" w:before="44"/>
        <w:ind w:right="0" w:firstLine="420"/>
        <w:jc w:val="left"/>
      </w:pPr>
      <w:r>
        <w:rPr>
          <w:spacing w:val="-2"/>
        </w:rPr>
        <w:t>②报告期内，公司召开第三届董事会第三十二次会议审议通过了《关于公司对外投资设立全资子公司</w:t>
      </w:r>
      <w:r>
        <w:rPr>
          <w:w w:val="100"/>
        </w:rPr>
        <w:t> </w:t>
      </w:r>
      <w:r>
        <w:rPr/>
        <w:t>的议案》，同意公司设立全资子公司“深圳市木愚科技有限公司”（下称“木愚科技”）。并于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16</w:t>
      </w:r>
      <w:r>
        <w:rPr>
          <w:spacing w:val="-2"/>
        </w:rPr>
        <w:t>日取得了深圳市市场监督管理局核发的《营业执照》。本次对外投资设立木愚科技是以基于人工智能</w:t>
      </w:r>
      <w:r>
        <w:rPr>
          <w:spacing w:val="-42"/>
        </w:rPr>
        <w:t> </w:t>
      </w:r>
      <w:r>
        <w:rPr>
          <w:spacing w:val="-42"/>
        </w:rPr>
      </w:r>
      <w:r>
        <w:rPr>
          <w:spacing w:val="-2"/>
        </w:rPr>
        <w:t>发展教育为主要目标，开展人工智能</w:t>
      </w:r>
      <w:r>
        <w:rPr>
          <w:rFonts w:ascii="Times New Roman" w:hAnsi="Times New Roman" w:cs="Times New Roman" w:eastAsia="Times New Roman" w:hint="default"/>
          <w:spacing w:val="-2"/>
        </w:rPr>
        <w:t>+</w:t>
      </w:r>
      <w:r>
        <w:rPr>
          <w:spacing w:val="-2"/>
        </w:rPr>
        <w:t>教育的相关研发、服务和营销工作。公司近几年已开展相关研发工</w:t>
      </w:r>
      <w:r>
        <w:rPr>
          <w:spacing w:val="-21"/>
        </w:rPr>
        <w:t> </w:t>
      </w:r>
      <w:r>
        <w:rPr>
          <w:spacing w:val="-21"/>
        </w:rPr>
      </w:r>
      <w:r>
        <w:rPr>
          <w:spacing w:val="-2"/>
        </w:rPr>
        <w:t>作，并已应用到现有产品和服务中心。木愚科技不仅是现有研究的延续，更是基于已有成果的更深层次的</w:t>
      </w:r>
      <w:r>
        <w:rPr>
          <w:spacing w:val="-43"/>
        </w:rPr>
        <w:t> </w:t>
      </w:r>
      <w:r>
        <w:rPr>
          <w:spacing w:val="-43"/>
        </w:rPr>
      </w:r>
      <w:r>
        <w:rPr>
          <w:spacing w:val="-2"/>
        </w:rPr>
        <w:t>研究探索，以助力教育教学模式变革，落实公司的长远战略规划，有利于公司拓展业务范围，提升公司综</w:t>
      </w:r>
      <w:r>
        <w:rPr>
          <w:spacing w:val="-50"/>
        </w:rPr>
        <w:t> </w:t>
      </w:r>
      <w:r>
        <w:rPr>
          <w:spacing w:val="-50"/>
        </w:rPr>
      </w:r>
      <w:r>
        <w:rPr/>
        <w:t>合竞争能力及整体盈利能力，为股东创造更大的价值，促进公司长期可持续发展。</w:t>
      </w:r>
    </w:p>
    <w:p>
      <w:pPr>
        <w:pStyle w:val="BodyText"/>
        <w:spacing w:line="405" w:lineRule="auto" w:before="54"/>
        <w:ind w:right="1118" w:firstLine="420"/>
        <w:jc w:val="left"/>
      </w:pPr>
      <w:r>
        <w:rPr>
          <w:spacing w:val="-2"/>
        </w:rPr>
        <w:t>③报告期内，公司召开第四届董事会第三次会议、第四届监事会第三次会议审议通过了《关于募集资</w:t>
      </w:r>
      <w:r>
        <w:rPr>
          <w:w w:val="100"/>
        </w:rPr>
        <w:t> </w:t>
      </w:r>
      <w:r>
        <w:rPr>
          <w:spacing w:val="-2"/>
        </w:rPr>
        <w:t>金投资项目延期的议案》，为降低募集资金投资风险、保障资金安全，本着对投资者负责的原则，结合项</w:t>
      </w:r>
      <w:r>
        <w:rPr>
          <w:spacing w:val="-43"/>
        </w:rPr>
        <w:t> </w:t>
      </w:r>
      <w:r>
        <w:rPr>
          <w:spacing w:val="-43"/>
        </w:rPr>
      </w:r>
      <w:r>
        <w:rPr>
          <w:spacing w:val="-7"/>
        </w:rPr>
        <w:t>目实际开展情况，在项目实施主体、募集资金投资用途、项目实施地点等不发生变更的情况下，将公司</w:t>
      </w:r>
      <w:r>
        <w:rPr>
          <w:rFonts w:ascii="宋体" w:hAnsi="宋体" w:cs="宋体" w:eastAsia="宋体" w:hint="default"/>
          <w:spacing w:val="-7"/>
        </w:rPr>
        <w:t>2017</w:t>
      </w:r>
      <w:r>
        <w:rPr>
          <w:rFonts w:ascii="宋体" w:hAnsi="宋体" w:cs="宋体" w:eastAsia="宋体" w:hint="default"/>
          <w:spacing w:val="-8"/>
        </w:rPr>
        <w:t> </w:t>
      </w:r>
      <w:r>
        <w:rPr/>
        <w:t>年非公开发行募集资金投资项目“</w:t>
      </w:r>
      <w:r>
        <w:rPr>
          <w:spacing w:val="-5"/>
        </w:rPr>
        <w:t> </w:t>
      </w:r>
      <w:r>
        <w:rPr/>
        <w:t>教学研云平台”、“同步资源学习系统”进行延期，同意公司对募集</w:t>
      </w:r>
      <w:r>
        <w:rPr>
          <w:w w:val="100"/>
        </w:rPr>
        <w:t> </w:t>
      </w:r>
      <w:r>
        <w:rPr>
          <w:spacing w:val="-2"/>
        </w:rPr>
        <w:t>资金投资项目的实施进度进行调整，将公司募集资金投资项目预计可使用状态时间调整为</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38"/>
        </w:rPr>
        <w:t> </w:t>
      </w:r>
      <w:r>
        <w:rPr>
          <w:spacing w:val="-2"/>
        </w:rPr>
        <w:t>前。独立董事均发表了同意的独立意见。保荐机构和保荐代表人对公司“募投项目延期事项”的计划表示</w:t>
      </w:r>
      <w:r>
        <w:rPr>
          <w:spacing w:val="-50"/>
        </w:rPr>
        <w:t> </w:t>
      </w:r>
      <w:r>
        <w:rPr>
          <w:spacing w:val="-50"/>
        </w:rPr>
      </w:r>
      <w:r>
        <w:rPr/>
        <w:t>无异议。</w:t>
      </w:r>
    </w:p>
    <w:p>
      <w:pPr>
        <w:pStyle w:val="BodyText"/>
        <w:spacing w:line="408" w:lineRule="auto" w:before="49"/>
        <w:ind w:right="1126" w:firstLine="420"/>
        <w:jc w:val="both"/>
      </w:pPr>
      <w:r>
        <w:rPr>
          <w:spacing w:val="-2"/>
        </w:rPr>
        <w:t>本次部分募投项目延期是公司根据项目的实际进展情况作出的审慎决定，项目的延期未改变项目的内</w:t>
      </w:r>
      <w:r>
        <w:rPr>
          <w:w w:val="100"/>
        </w:rPr>
        <w:t> </w:t>
      </w:r>
      <w:r>
        <w:rPr>
          <w:spacing w:val="-2"/>
        </w:rPr>
        <w:t>容、投资总额、实施主体、实施地点，不存在变相改变募集资金投向，损害其他股东特别是中小股东利益</w:t>
      </w:r>
      <w:r>
        <w:rPr>
          <w:spacing w:val="-43"/>
        </w:rPr>
        <w:t> </w:t>
      </w:r>
      <w:r>
        <w:rPr>
          <w:spacing w:val="-43"/>
        </w:rPr>
      </w:r>
      <w:r>
        <w:rPr>
          <w:spacing w:val="-2"/>
        </w:rPr>
        <w:t>的情形，不会对募投项目的实施造成实质性的影响。本次募投项目延期不会对公司的正常经营产生不利影</w:t>
      </w:r>
      <w:r>
        <w:rPr>
          <w:spacing w:val="-44"/>
        </w:rPr>
        <w:t> </w:t>
      </w:r>
      <w:r>
        <w:rPr>
          <w:spacing w:val="-44"/>
        </w:rPr>
      </w:r>
      <w:r>
        <w:rPr/>
        <w:t>响。</w:t>
      </w:r>
    </w:p>
    <w:p>
      <w:pPr>
        <w:spacing w:after="0" w:line="408" w:lineRule="auto"/>
        <w:jc w:val="both"/>
        <w:sectPr>
          <w:pgSz w:w="11910" w:h="16840"/>
          <w:pgMar w:header="748" w:footer="979" w:top="1060" w:bottom="1160" w:left="980" w:right="0"/>
        </w:sectPr>
      </w:pPr>
    </w:p>
    <w:p>
      <w:pPr>
        <w:pStyle w:val="Heading3"/>
        <w:spacing w:line="240" w:lineRule="auto" w:before="215"/>
        <w:ind w:left="140" w:right="242"/>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140" w:right="24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242"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12"/>
        <w:rPr>
          <w:rFonts w:ascii="宋体" w:hAnsi="宋体" w:cs="宋体" w:eastAsia="宋体" w:hint="default"/>
          <w:sz w:val="21"/>
          <w:szCs w:val="21"/>
        </w:rPr>
      </w:pPr>
    </w:p>
    <w:p>
      <w:pPr>
        <w:pStyle w:val="Heading6"/>
        <w:spacing w:line="240" w:lineRule="auto"/>
        <w:ind w:left="140" w:right="242"/>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left="140" w:right="24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40" w:right="5820"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9"/>
        <w:ind w:left="140" w:right="24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39"/>
        <w:ind w:left="140" w:right="42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1"/>
        <w:ind w:left="140" w:right="-1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产业链相关业务》的披露要求： 否</w:t>
      </w:r>
    </w:p>
    <w:p>
      <w:pPr>
        <w:spacing w:line="340" w:lineRule="auto" w:before="43"/>
        <w:ind w:left="140" w:right="51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40" w:lineRule="auto" w:before="40"/>
        <w:ind w:left="140" w:right="51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17"/>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0" w:right="254" w:firstLine="0"/>
        <w:jc w:val="right"/>
        <w:rPr>
          <w:rFonts w:ascii="宋体" w:hAnsi="宋体" w:cs="宋体" w:eastAsia="宋体" w:hint="default"/>
          <w:sz w:val="18"/>
          <w:szCs w:val="18"/>
        </w:rPr>
      </w:pPr>
      <w:r>
        <w:rPr/>
        <w:pict>
          <v:group style="position:absolute;margin-left:70.559998pt;margin-top:-366.248291pt;width:700.9pt;height:.1pt;mso-position-horizontal-relative:page;mso-position-vertical-relative:paragraph;z-index:-829480" coordorigin="1411,-7325" coordsize="14018,2">
            <v:shape style="position:absolute;left:1411;top:-7325;width:14018;height:2" coordorigin="1411,-7325" coordsize="14018,0" path="m1411,-7325l15429,-7325e" filled="false" stroked="true" strokeweight=".72pt" strokecolor="#000000">
              <v:path arrowok="t"/>
            </v:shape>
            <w10:wrap type="none"/>
          </v:group>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headerReference w:type="default" r:id="rId15"/>
          <w:footerReference w:type="default" r:id="rId16"/>
          <w:pgSz w:w="16840" w:h="11910" w:orient="landscape"/>
          <w:pgMar w:header="0" w:footer="0" w:top="800" w:bottom="0" w:left="1300" w:right="1280"/>
          <w:cols w:num="2" w:equalWidth="0">
            <w:col w:w="9761" w:space="148"/>
            <w:col w:w="4351"/>
          </w:cols>
        </w:sectPr>
      </w:pP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25"/>
        <w:gridCol w:w="1476"/>
        <w:gridCol w:w="1481"/>
        <w:gridCol w:w="1478"/>
        <w:gridCol w:w="1481"/>
        <w:gridCol w:w="1471"/>
        <w:gridCol w:w="1472"/>
        <w:gridCol w:w="1469"/>
        <w:gridCol w:w="1464"/>
      </w:tblGrid>
      <w:tr>
        <w:trPr>
          <w:trHeight w:val="403" w:hRule="exact"/>
        </w:trPr>
        <w:tc>
          <w:tcPr>
            <w:tcW w:w="2225" w:type="dxa"/>
            <w:vMerge w:val="restart"/>
            <w:tcBorders>
              <w:top w:val="single" w:sz="4" w:space="0" w:color="000000"/>
              <w:left w:val="single" w:sz="4" w:space="0" w:color="000000"/>
              <w:right w:val="single" w:sz="4" w:space="0" w:color="000000"/>
            </w:tcBorders>
            <w:shd w:val="clear" w:color="auto" w:fill="D2D2D2"/>
          </w:tcPr>
          <w:p>
            <w:pPr/>
          </w:p>
        </w:tc>
        <w:tc>
          <w:tcPr>
            <w:tcW w:w="59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58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225" w:type="dxa"/>
            <w:vMerge/>
            <w:tcBorders>
              <w:left w:val="single" w:sz="4" w:space="0" w:color="000000"/>
              <w:bottom w:val="single" w:sz="4" w:space="0" w:color="000000"/>
              <w:right w:val="single" w:sz="4" w:space="0" w:color="000000"/>
            </w:tcBorders>
            <w:shd w:val="clear" w:color="auto" w:fill="D2D2D2"/>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36,310,871.31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8,516,182.97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48,159,436.60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14,258,612.75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31,292,850.97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5,560,926.21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43,183,005.26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20,473,824.98</w:t>
            </w:r>
          </w:p>
        </w:tc>
      </w:tr>
      <w:tr>
        <w:trPr>
          <w:trHeight w:val="713"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归属于上市公司股东的净利 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8,945,841.33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-4,230,253.13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16,212,573.30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-8,612,104.95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7,406,599.66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-9,448,186.16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13,792,880.79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-2,928,769.69</w:t>
            </w:r>
          </w:p>
        </w:tc>
      </w:tr>
    </w:tbl>
    <w:p>
      <w:pPr>
        <w:spacing w:line="205" w:lineRule="exact" w:before="0"/>
        <w:ind w:left="0" w:right="153" w:firstLine="0"/>
        <w:jc w:val="right"/>
        <w:rPr>
          <w:rFonts w:ascii="Times New Roman" w:hAnsi="Times New Roman" w:cs="Times New Roman" w:eastAsia="Times New Roman" w:hint="default"/>
          <w:sz w:val="18"/>
          <w:szCs w:val="18"/>
        </w:rPr>
      </w:pPr>
      <w:r>
        <w:rPr>
          <w:rFonts w:ascii="Times New Roman"/>
          <w:sz w:val="18"/>
        </w:rPr>
        <w:t>18</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7"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3"/>
        <w:rPr>
          <w:rFonts w:ascii="Times New Roman" w:hAnsi="Times New Roman" w:cs="Times New Roman" w:eastAsia="Times New Roman"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4"/>
        <w:rPr>
          <w:rFonts w:ascii="宋体" w:hAnsi="宋体" w:cs="宋体" w:eastAsia="宋体" w:hint="default"/>
          <w:sz w:val="13"/>
          <w:szCs w:val="13"/>
        </w:rPr>
      </w:pPr>
    </w:p>
    <w:p>
      <w:pPr>
        <w:pStyle w:val="BodyText"/>
        <w:spacing w:line="408" w:lineRule="auto" w:before="0"/>
        <w:ind w:right="1126" w:firstLine="420"/>
        <w:jc w:val="both"/>
      </w:pPr>
      <w:r>
        <w:rPr>
          <w:spacing w:val="-2"/>
        </w:rPr>
        <w:t>公司一直专注于中小学同步教育产品的研发、设计、销售及持续服务，为广大中小学教师与学生提供</w:t>
      </w:r>
      <w:r>
        <w:rPr>
          <w:w w:val="100"/>
        </w:rPr>
        <w:t> </w:t>
      </w:r>
      <w:r>
        <w:rPr>
          <w:spacing w:val="-2"/>
        </w:rPr>
        <w:t>优质、同步、配套的教育软件及互联网在线全面系统服务。公司主营业务以学期为一个销售周期，产品销</w:t>
      </w:r>
      <w:r>
        <w:rPr>
          <w:spacing w:val="-47"/>
        </w:rPr>
        <w:t> </w:t>
      </w:r>
      <w:r>
        <w:rPr>
          <w:spacing w:val="-47"/>
        </w:rPr>
      </w:r>
      <w:r>
        <w:rPr/>
        <w:t>售出货主要集中在每学期开学时间段，即第一季度和第三季度，公司业务模式季节性较明显。</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107,245,103.63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100,510,607.42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w:t>
            </w:r>
          </w:p>
        </w:tc>
      </w:tr>
      <w:tr>
        <w:trPr>
          <w:trHeight w:val="39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103,343,487.95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96,289,998.64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3,901,615.68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4,220,608.78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方直金太阳教育软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88,652,299.04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82,910,533.15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3,901,615.68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4,220,608.78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9,210,894.49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8,139,135.30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5,480,294.42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5,240,330.19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20,504,253.90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17,836,380.55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11,758,985.69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11,874,561.16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56,808,886.17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59,668,472.45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18,172,977.87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11,131,193.26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63.26%</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18"/>
          <w:pgSz w:w="11910" w:h="16840"/>
          <w:pgMar w:footer="979" w:header="0" w:top="1060" w:bottom="1160" w:left="980" w:right="0"/>
          <w:pgNumType w:start="19"/>
        </w:sectPr>
      </w:pPr>
    </w:p>
    <w:p>
      <w:pPr>
        <w:spacing w:line="350" w:lineRule="auto" w:before="44"/>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4" w:space="570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103,343,487.95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38,897,126.57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3,901,615.68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1,953,314.31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方直金太阳教育 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88,652,299.04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37,340,577.08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3,901,615.68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1,953,314.31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9,210,894.49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5,480,294.42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1,556,549.49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20,504,253.90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7,323,083.22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11,758,985.69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2,847,252.13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56,808,886.17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18,477,596.40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18,172,977.87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12,202,509.13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53.87%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18,786,787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18,276,289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17,234,138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-40.46%</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130.87%</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1,872.11%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9,526.47%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3"/>
        <w:ind w:left="153" w:right="3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金太阳教育软件因本期销售增加，库存同比减少；其他产品因合同销售采购，此产品暂未出库。</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38,897,126.57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33,230,623.04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17.05%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1,953,314.31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1,300,555.45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50.19%</w:t>
            </w:r>
          </w:p>
        </w:tc>
      </w:tr>
    </w:tbl>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568"/>
        <w:gridCol w:w="1167"/>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方直金太阳教育 软件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37,340,577.08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91.41%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31,136,381.28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1,953,314.31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1,300,555.45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技术开发收入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1,556,549.49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2,094,241.76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5"/>
        <w:spacing w:line="240" w:lineRule="auto" w:before="150"/>
        <w:ind w:left="592" w:right="0"/>
        <w:jc w:val="left"/>
      </w:pPr>
      <w:r>
        <w:rPr/>
        <w:t>本公司合并报表范围与上年相比因新设增加子公司深圳市木愚科技有限公司。</w:t>
      </w:r>
    </w:p>
    <w:p>
      <w:pPr>
        <w:spacing w:line="240" w:lineRule="auto" w:before="5"/>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181"/>
        <w:gridCol w:w="1844"/>
        <w:gridCol w:w="1841"/>
        <w:gridCol w:w="2313"/>
      </w:tblGrid>
      <w:tr>
        <w:trPr>
          <w:trHeight w:val="696" w:hRule="exact"/>
        </w:trPr>
        <w:tc>
          <w:tcPr>
            <w:tcW w:w="3181"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子公司名称</w:t>
            </w:r>
            <w:r>
              <w:rPr>
                <w:rFonts w:ascii="Microsoft JhengHei" w:hAnsi="Microsoft JhengHei" w:cs="Microsoft JhengHei" w:eastAsia="Microsoft JhengHei"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1841"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投资成本</w:t>
            </w:r>
            <w:r>
              <w:rPr>
                <w:rFonts w:ascii="Microsoft JhengHei" w:hAnsi="Microsoft JhengHei" w:cs="Microsoft JhengHei" w:eastAsia="Microsoft JhengHei" w:hint="default"/>
                <w:sz w:val="20"/>
                <w:szCs w:val="20"/>
              </w:rPr>
            </w:r>
          </w:p>
        </w:tc>
        <w:tc>
          <w:tcPr>
            <w:tcW w:w="2313"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28"/>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新设日期</w:t>
            </w:r>
            <w:r>
              <w:rPr>
                <w:rFonts w:ascii="Microsoft JhengHei" w:hAnsi="Microsoft JhengHei" w:cs="Microsoft JhengHei" w:eastAsia="Microsoft JhengHei" w:hint="default"/>
                <w:sz w:val="20"/>
                <w:szCs w:val="20"/>
              </w:rPr>
            </w:r>
          </w:p>
        </w:tc>
      </w:tr>
      <w:tr>
        <w:trPr>
          <w:trHeight w:val="348" w:hRule="exact"/>
        </w:trPr>
        <w:tc>
          <w:tcPr>
            <w:tcW w:w="318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深圳市木愚科技有限公司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100.00</w:t>
            </w:r>
          </w:p>
        </w:tc>
        <w:tc>
          <w:tcPr>
            <w:tcW w:w="18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1,000,000.00</w:t>
            </w:r>
          </w:p>
        </w:tc>
        <w:tc>
          <w:tcPr>
            <w:tcW w:w="2313"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right="2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53,540,518.40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23,440,331.82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13,097,777.68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6,221,324.63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6,043,045.24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4,738,039.03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53,540,518.40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49.92%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19,099,137.30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70.75%</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7,487,123.25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27.73%</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3,881,102.13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3,381,231.58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2,734,724.88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1,614,955.46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19,099,137.30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70.75%</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28,785,837.20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24,312,837.81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14,967,095.75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12,795,184.57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-10,530,280.34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-3,489,909.26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按退股返还投资款协议约定，北京千 锋互联公司归还投资款本金的同时， 需支付的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利息</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29,817,734.94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27,903,788.80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3" w:lineRule="auto" w:before="157"/>
        <w:ind w:right="1104" w:firstLine="420"/>
        <w:jc w:val="both"/>
      </w:pPr>
      <w:r>
        <w:rPr>
          <w:spacing w:val="-2"/>
        </w:rPr>
        <w:t>报告期内，为了引导和适应市场新需求和新变化，应对互联网转型的需要，公司持续加大研发投入，</w:t>
      </w:r>
      <w:r>
        <w:rPr>
          <w:w w:val="100"/>
        </w:rPr>
        <w:t> </w:t>
      </w:r>
      <w:r>
        <w:rPr>
          <w:spacing w:val="-4"/>
        </w:rPr>
        <w:t>在继续升级和完善集资管理、资源运营和资源开发为一体的资源综合服务平台（</w:t>
      </w:r>
      <w:r>
        <w:rPr>
          <w:rFonts w:ascii="Times New Roman" w:hAnsi="Times New Roman" w:cs="Times New Roman" w:eastAsia="Times New Roman" w:hint="default"/>
          <w:spacing w:val="-4"/>
        </w:rPr>
        <w:t>MOD</w:t>
      </w:r>
      <w:r>
        <w:rPr>
          <w:spacing w:val="-4"/>
        </w:rPr>
        <w:t>）的基础上，着力建</w:t>
      </w:r>
      <w:r>
        <w:rPr>
          <w:spacing w:val="-20"/>
        </w:rPr>
        <w:t> </w:t>
      </w:r>
      <w:r>
        <w:rPr>
          <w:spacing w:val="-20"/>
        </w:rPr>
      </w:r>
      <w:r>
        <w:rPr>
          <w:spacing w:val="-2"/>
        </w:rPr>
        <w:t>设开发丰富优质的多学科多版本全学段的教材配套教学内容资源；持续迭代开发同步学系列产品；新增小</w:t>
      </w:r>
      <w:r>
        <w:rPr>
          <w:spacing w:val="-43"/>
        </w:rPr>
        <w:t> </w:t>
      </w:r>
      <w:r>
        <w:rPr>
          <w:spacing w:val="-43"/>
        </w:rPr>
      </w:r>
      <w:r>
        <w:rPr>
          <w:spacing w:val="-2"/>
        </w:rPr>
        <w:t>程序矩阵、爱配音、数字教辅等产品项目，并完成了各项目年度开发目标。研发投入加大后，研发团队创</w:t>
      </w:r>
      <w:r>
        <w:rPr>
          <w:spacing w:val="-43"/>
        </w:rPr>
        <w:t> </w:t>
      </w:r>
      <w:r>
        <w:rPr>
          <w:spacing w:val="-43"/>
        </w:rPr>
      </w:r>
      <w:r>
        <w:rPr>
          <w:spacing w:val="-2"/>
        </w:rPr>
        <w:t>新能力、教学研究能力和互联网平台构建和支撑能力得以提升，数字化内容、互联网产品和服务得到进一</w:t>
      </w:r>
    </w:p>
    <w:p>
      <w:pPr>
        <w:spacing w:after="0" w:line="403"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步丰富，夯实了公司的产品和服务体系的竞争力。</w:t>
      </w:r>
    </w:p>
    <w:p>
      <w:pPr>
        <w:spacing w:before="175"/>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28,612,558.04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26,134,126.45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23,692,741.63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388,387.77</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132,842,776.66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109,522,627.57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120,237,276.88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105,561,891.68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12,605,499.78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3,960,735.89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629,524,458.61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583,869,290.93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567,455,941.90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714,287,239.38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-20.56%</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62,068,516.71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-130,417,948.45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233,110,019.19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2,985,350.57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230,124,668.62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74,674,016.49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103,667,456.06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-27.97%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t>经营活动产生的现金流量净额同比增长</w:t>
      </w:r>
      <w:r>
        <w:rPr>
          <w:rFonts w:ascii="Times New Roman" w:hAnsi="Times New Roman" w:cs="Times New Roman" w:eastAsia="Times New Roman" w:hint="default"/>
        </w:rPr>
        <w:t>218.26%</w:t>
      </w:r>
      <w:r>
        <w:rPr/>
        <w:t>，主要是报告期内，收到销售商品、提供劳务收到的</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现金增加。</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spacing w:val="-2"/>
        </w:rPr>
        <w:t>投资活动产生的现金流量净额同比增长</w:t>
      </w:r>
      <w:r>
        <w:rPr>
          <w:rFonts w:ascii="Times New Roman" w:hAnsi="Times New Roman" w:cs="Times New Roman" w:eastAsia="Times New Roman" w:hint="default"/>
          <w:spacing w:val="-2"/>
        </w:rPr>
        <w:t>147.59%</w:t>
      </w:r>
      <w:r>
        <w:rPr>
          <w:spacing w:val="-2"/>
        </w:rPr>
        <w:t>，主要是报告期内，收回千锋互联公司的投资款以及</w:t>
      </w:r>
      <w:r>
        <w:rPr>
          <w:w w:val="100"/>
        </w:rPr>
        <w:t> </w:t>
      </w:r>
      <w:r>
        <w:rPr/>
        <w:t>理财的资金的滚动投入形成的时间差异所致。</w:t>
      </w:r>
    </w:p>
    <w:p>
      <w:pPr>
        <w:pStyle w:val="BodyText"/>
        <w:spacing w:line="240" w:lineRule="auto" w:before="65"/>
        <w:ind w:left="573" w:right="0"/>
        <w:jc w:val="left"/>
      </w:pPr>
      <w:r>
        <w:rPr/>
        <w:t>筹资活动产生的现金流量净额同比减少</w:t>
      </w:r>
      <w:r>
        <w:rPr>
          <w:rFonts w:ascii="Times New Roman" w:hAnsi="Times New Roman" w:cs="Times New Roman" w:eastAsia="Times New Roman" w:hint="default"/>
        </w:rPr>
        <w:t>100%</w:t>
      </w:r>
      <w:r>
        <w:rPr/>
        <w:t>，主要是去年同期收到非公开发行股票募集资金人民币</w:t>
      </w:r>
    </w:p>
    <w:p>
      <w:pPr>
        <w:pStyle w:val="BodyText"/>
        <w:spacing w:line="240" w:lineRule="auto" w:before="177"/>
        <w:ind w:right="0"/>
        <w:jc w:val="left"/>
      </w:pPr>
      <w:r>
        <w:rPr>
          <w:rFonts w:ascii="Times New Roman" w:hAnsi="Times New Roman" w:cs="Times New Roman" w:eastAsia="Times New Roman" w:hint="default"/>
        </w:rPr>
        <w:t>227,997,145.91</w:t>
      </w:r>
      <w:r>
        <w:rPr/>
        <w:t>元在去年一季度全部到位，</w:t>
      </w:r>
      <w:r>
        <w:rPr>
          <w:rFonts w:ascii="Times New Roman" w:hAnsi="Times New Roman" w:cs="Times New Roman" w:eastAsia="Times New Roman" w:hint="default"/>
        </w:rPr>
        <w:t>2017</w:t>
      </w:r>
      <w:r>
        <w:rPr/>
        <w:t>年还支付了</w:t>
      </w:r>
      <w:r>
        <w:rPr>
          <w:rFonts w:ascii="Times New Roman" w:hAnsi="Times New Roman" w:cs="Times New Roman" w:eastAsia="Times New Roman" w:hint="default"/>
        </w:rPr>
        <w:t>2016</w:t>
      </w:r>
      <w:r>
        <w:rPr/>
        <w:t>年度分红款</w:t>
      </w:r>
      <w:r>
        <w:rPr>
          <w:rFonts w:ascii="Times New Roman" w:hAnsi="Times New Roman" w:cs="Times New Roman" w:eastAsia="Times New Roman" w:hint="default"/>
        </w:rPr>
        <w:t>2,375,919.48</w:t>
      </w:r>
      <w:r>
        <w:rPr/>
        <w:t>元。</w:t>
      </w:r>
    </w:p>
    <w:p>
      <w:pPr>
        <w:spacing w:line="240" w:lineRule="auto" w:before="0"/>
        <w:rPr>
          <w:rFonts w:ascii="宋体" w:hAnsi="宋体" w:cs="宋体" w:eastAsia="宋体" w:hint="default"/>
          <w:sz w:val="22"/>
          <w:szCs w:val="22"/>
        </w:rPr>
      </w:pPr>
    </w:p>
    <w:p>
      <w:pPr>
        <w:spacing w:before="183"/>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418"/>
        <w:gridCol w:w="3687"/>
        <w:gridCol w:w="1630"/>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5,883,209.50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38.16%</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3,144,320.12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应收、存货、商誉等计提坏帐及减值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1,529,232.68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1"/>
              <w:jc w:val="both"/>
              <w:rPr>
                <w:rFonts w:ascii="宋体" w:hAnsi="宋体" w:cs="宋体" w:eastAsia="宋体" w:hint="default"/>
                <w:sz w:val="18"/>
                <w:szCs w:val="18"/>
              </w:rPr>
            </w:pPr>
            <w:r>
              <w:rPr>
                <w:rFonts w:ascii="宋体" w:hAnsi="宋体" w:cs="宋体" w:eastAsia="宋体" w:hint="default"/>
                <w:sz w:val="18"/>
                <w:szCs w:val="18"/>
              </w:rPr>
              <w:t>根据会计准则要求，取得的与收益相关的政府 补助，按项目资金使用进度（即确认相关费用 的期间）确认收入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3"/>
        <w:spacing w:line="367" w:lineRule="exact"/>
        <w:ind w:right="0"/>
        <w:jc w:val="left"/>
        <w:rPr>
          <w:b w:val="0"/>
          <w:bCs w:val="0"/>
        </w:rPr>
      </w:pPr>
      <w:r>
        <w:rPr/>
        <w:t>四、资产及负债状况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1274"/>
        <w:gridCol w:w="1275"/>
        <w:gridCol w:w="1419"/>
        <w:gridCol w:w="850"/>
        <w:gridCol w:w="205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166,476,159.08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报告期产品销售资金回笼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36,573,625.49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34,958,886.38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8,003,640.61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8,788,530.38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80,284,774.14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94,836,680.01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97,878,613.23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317,751.00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71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、截至报告期末的资产权利受限情况</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18"/>
          <w:szCs w:val="18"/>
        </w:rPr>
        <w:t>无</w:t>
      </w:r>
    </w:p>
    <w:p>
      <w:pPr>
        <w:spacing w:after="0" w:line="482" w:lineRule="auto"/>
        <w:jc w:val="left"/>
        <w:rPr>
          <w:rFonts w:ascii="宋体" w:hAnsi="宋体" w:cs="宋体" w:eastAsia="宋体" w:hint="default"/>
          <w:sz w:val="18"/>
          <w:szCs w:val="18"/>
        </w:rPr>
        <w:sectPr>
          <w:pgSz w:w="11910" w:h="16840"/>
          <w:pgMar w:header="0" w:footer="979" w:top="1060" w:bottom="1160" w:left="980" w:right="0"/>
        </w:sectPr>
      </w:pPr>
    </w:p>
    <w:p>
      <w:pPr>
        <w:pStyle w:val="Heading3"/>
        <w:spacing w:line="369" w:lineRule="exact"/>
        <w:ind w:left="140" w:right="0"/>
        <w:jc w:val="left"/>
        <w:rPr>
          <w:b w:val="0"/>
          <w:bCs w:val="0"/>
        </w:rPr>
      </w:pPr>
      <w:r>
        <w:rPr/>
        <w:pict>
          <v:group style="position:absolute;margin-left:70.559998pt;margin-top:2.102063pt;width:700.9pt;height:.1pt;mso-position-horizontal-relative:page;mso-position-vertical-relative:paragraph;z-index:-829456" coordorigin="1411,42" coordsize="14018,2">
            <v:shape style="position:absolute;left:1411;top:42;width:14018;height:2" coordorigin="1411,42" coordsize="14018,0" path="m1411,42l15429,42e" filled="false" stroked="true" strokeweight=".72pt" strokecolor="#000000">
              <v:path arrowok="t"/>
            </v:shape>
            <w10:wrap type="none"/>
          </v:group>
        </w:pict>
      </w: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140"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-96.67%</w:t>
            </w:r>
          </w:p>
        </w:tc>
      </w:tr>
    </w:tbl>
    <w:p>
      <w:pPr>
        <w:spacing w:line="240" w:lineRule="auto" w:before="5"/>
        <w:rPr>
          <w:rFonts w:ascii="宋体" w:hAnsi="宋体" w:cs="宋体" w:eastAsia="宋体" w:hint="default"/>
          <w:sz w:val="19"/>
          <w:szCs w:val="19"/>
        </w:rPr>
      </w:pPr>
    </w:p>
    <w:p>
      <w:pPr>
        <w:pStyle w:val="Heading6"/>
        <w:spacing w:line="335" w:lineRule="exact"/>
        <w:ind w:left="140"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018"/>
        <w:gridCol w:w="1138"/>
        <w:gridCol w:w="842"/>
        <w:gridCol w:w="1004"/>
        <w:gridCol w:w="967"/>
        <w:gridCol w:w="967"/>
        <w:gridCol w:w="1039"/>
        <w:gridCol w:w="879"/>
        <w:gridCol w:w="1675"/>
        <w:gridCol w:w="991"/>
        <w:gridCol w:w="850"/>
        <w:gridCol w:w="852"/>
        <w:gridCol w:w="850"/>
        <w:gridCol w:w="946"/>
      </w:tblGrid>
      <w:tr>
        <w:trPr>
          <w:trHeight w:val="716" w:hRule="exact"/>
        </w:trPr>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3" w:right="53" w:hanging="272"/>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8"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22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82"/>
              <w:jc w:val="both"/>
              <w:rPr>
                <w:rFonts w:ascii="宋体" w:hAnsi="宋体" w:cs="宋体" w:eastAsia="宋体" w:hint="default"/>
                <w:sz w:val="18"/>
                <w:szCs w:val="18"/>
              </w:rPr>
            </w:pPr>
            <w:r>
              <w:rPr>
                <w:rFonts w:ascii="宋体" w:hAnsi="宋体" w:cs="宋体" w:eastAsia="宋体" w:hint="default"/>
                <w:sz w:val="18"/>
                <w:szCs w:val="18"/>
              </w:rPr>
              <w:t>深圳市木愚 科技有限公 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4"/>
              <w:jc w:val="left"/>
              <w:rPr>
                <w:rFonts w:ascii="宋体" w:hAnsi="宋体" w:cs="宋体" w:eastAsia="宋体" w:hint="default"/>
                <w:sz w:val="18"/>
                <w:szCs w:val="18"/>
              </w:rPr>
            </w:pPr>
            <w:r>
              <w:rPr>
                <w:rFonts w:ascii="宋体" w:hAnsi="宋体" w:cs="宋体" w:eastAsia="宋体" w:hint="default"/>
                <w:sz w:val="18"/>
                <w:szCs w:val="18"/>
              </w:rPr>
              <w:t>基于人工智能 发展教育为主 要目标，开展 人工智能</w:t>
            </w:r>
            <w:r>
              <w:rPr>
                <w:rFonts w:ascii="Times New Roman" w:hAnsi="Times New Roman" w:cs="Times New Roman" w:eastAsia="Times New Roman" w:hint="default"/>
                <w:sz w:val="18"/>
                <w:szCs w:val="18"/>
              </w:rPr>
              <w:t>+</w:t>
            </w:r>
            <w:r>
              <w:rPr>
                <w:rFonts w:ascii="宋体" w:hAnsi="宋体" w:cs="宋体" w:eastAsia="宋体" w:hint="default"/>
                <w:sz w:val="18"/>
                <w:szCs w:val="18"/>
              </w:rPr>
              <w:t>教 育的相关研 发、服务和营 销工作</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以基于人工智能发展 教育为主要目标，开 展人工智能</w:t>
            </w:r>
            <w:r>
              <w:rPr>
                <w:rFonts w:ascii="Times New Roman" w:hAnsi="Times New Roman" w:cs="Times New Roman" w:eastAsia="Times New Roman" w:hint="default"/>
                <w:sz w:val="18"/>
                <w:szCs w:val="18"/>
              </w:rPr>
              <w:t>+</w:t>
            </w:r>
            <w:r>
              <w:rPr>
                <w:rFonts w:ascii="宋体" w:hAnsi="宋体" w:cs="宋体" w:eastAsia="宋体" w:hint="default"/>
                <w:sz w:val="18"/>
                <w:szCs w:val="18"/>
              </w:rPr>
              <w:t>教育的 相关研发、服务和营 销工作</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-44,832.40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-44,832.40</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6"/>
        <w:spacing w:line="335" w:lineRule="exact"/>
        <w:ind w:left="140"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9"/>
          <w:footerReference w:type="default" r:id="rId20"/>
          <w:pgSz w:w="16840" w:h="11910" w:orient="landscape"/>
          <w:pgMar w:header="870" w:footer="979" w:top="1060" w:bottom="1160" w:left="1300" w:right="1280"/>
          <w:pgNumType w:start="26"/>
        </w:sectPr>
      </w:pPr>
    </w:p>
    <w:p>
      <w:pPr>
        <w:pStyle w:val="Heading6"/>
        <w:spacing w:line="352" w:lineRule="exact"/>
        <w:ind w:left="140" w:right="0"/>
        <w:jc w:val="left"/>
        <w:rPr>
          <w:b w:val="0"/>
          <w:bCs w:val="0"/>
        </w:rPr>
      </w:pPr>
      <w:r>
        <w:rPr/>
        <w:pict>
          <v:group style="position:absolute;margin-left:70.559998pt;margin-top:2.102063pt;width:700.9pt;height:.1pt;mso-position-horizontal-relative:page;mso-position-vertical-relative:paragraph;z-index:-829432"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left="140"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6"/>
        <w:spacing w:line="240" w:lineRule="auto"/>
        <w:ind w:left="140"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0"/>
        <w:gridCol w:w="1274"/>
        <w:gridCol w:w="1277"/>
        <w:gridCol w:w="1275"/>
        <w:gridCol w:w="1277"/>
        <w:gridCol w:w="1272"/>
        <w:gridCol w:w="1274"/>
        <w:gridCol w:w="1274"/>
        <w:gridCol w:w="1275"/>
        <w:gridCol w:w="1277"/>
        <w:gridCol w:w="1272"/>
      </w:tblGrid>
      <w:tr>
        <w:trPr>
          <w:trHeight w:val="1026"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 w:right="93"/>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91"/>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61"/>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1,498.68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20,137.12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存放在募集资 金专户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1,498.68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20,137.12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6"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4"/>
              <w:jc w:val="left"/>
              <w:rPr>
                <w:rFonts w:ascii="宋体" w:hAnsi="宋体" w:cs="宋体" w:eastAsia="宋体" w:hint="default"/>
                <w:sz w:val="18"/>
                <w:szCs w:val="18"/>
              </w:rPr>
            </w:pPr>
            <w:r>
              <w:rPr>
                <w:rFonts w:ascii="宋体" w:hAnsi="宋体" w:cs="宋体" w:eastAsia="宋体" w:hint="default"/>
                <w:spacing w:val="-8"/>
                <w:sz w:val="18"/>
                <w:szCs w:val="18"/>
              </w:rPr>
              <w:t>公司严格按照《公司法》、《证券法》、《深圳证券交易所创业板股票上市规则》、《深圳证券交易所创业板上市公司规范运作指引》以及中国证监会相关法律法规的规定和要求、《募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集资金管理制度》等规定使用募集资金，并及时、真实、准确、完整履行相关信息披露工作，不存在违规使用募集资金的情形。</w:t>
            </w:r>
          </w:p>
        </w:tc>
      </w:tr>
    </w:tbl>
    <w:p>
      <w:pPr>
        <w:spacing w:line="240" w:lineRule="auto" w:before="5"/>
        <w:rPr>
          <w:rFonts w:ascii="宋体" w:hAnsi="宋体" w:cs="宋体" w:eastAsia="宋体" w:hint="default"/>
          <w:sz w:val="19"/>
          <w:szCs w:val="19"/>
        </w:rPr>
      </w:pPr>
    </w:p>
    <w:p>
      <w:pPr>
        <w:pStyle w:val="Heading6"/>
        <w:spacing w:line="335" w:lineRule="exact"/>
        <w:ind w:left="14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16"/>
        <w:gridCol w:w="1418"/>
        <w:gridCol w:w="1285"/>
        <w:gridCol w:w="1128"/>
        <w:gridCol w:w="1054"/>
        <w:gridCol w:w="1056"/>
        <w:gridCol w:w="1058"/>
        <w:gridCol w:w="1056"/>
        <w:gridCol w:w="1058"/>
        <w:gridCol w:w="1057"/>
        <w:gridCol w:w="1056"/>
        <w:gridCol w:w="1074"/>
      </w:tblGrid>
      <w:tr>
        <w:trPr>
          <w:trHeight w:val="361"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是否已变更项目</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募集资金承诺</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调整后投资</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本报告期投</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截至期末累</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截至期末投</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项目达到预</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本报告期实</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截止报告期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是否达到预</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项目可行性</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0"/>
        <w:rPr>
          <w:rFonts w:ascii="宋体" w:hAnsi="宋体" w:cs="宋体" w:eastAsia="宋体" w:hint="default"/>
          <w:sz w:val="20"/>
          <w:szCs w:val="20"/>
        </w:rPr>
      </w:pPr>
      <w:r>
        <w:rPr/>
        <w:pict>
          <v:shape style="position:absolute;margin-left:70.320pt;margin-top:55.280006pt;width:701.65pt;height:477.6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6"/>
                    <w:gridCol w:w="1418"/>
                    <w:gridCol w:w="1285"/>
                    <w:gridCol w:w="1128"/>
                    <w:gridCol w:w="1054"/>
                    <w:gridCol w:w="1056"/>
                    <w:gridCol w:w="1058"/>
                    <w:gridCol w:w="1056"/>
                    <w:gridCol w:w="1058"/>
                    <w:gridCol w:w="1057"/>
                    <w:gridCol w:w="1056"/>
                    <w:gridCol w:w="1075"/>
                  </w:tblGrid>
                  <w:tr>
                    <w:trPr>
                      <w:trHeight w:val="688" w:hRule="exact"/>
                    </w:trPr>
                    <w:tc>
                      <w:tcPr>
                        <w:tcW w:w="17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2"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含部分变更</w:t>
                        </w:r>
                        <w:r>
                          <w:rPr>
                            <w:rFonts w:ascii="Times New Roman" w:hAnsi="Times New Roman" w:cs="Times New Roman" w:eastAsia="Times New Roman" w:hint="default"/>
                            <w:sz w:val="18"/>
                            <w:szCs w:val="18"/>
                          </w:rPr>
                          <w:t>)</w:t>
                        </w:r>
                      </w:p>
                    </w:tc>
                    <w:tc>
                      <w:tcPr>
                        <w:tcW w:w="12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12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10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计投入金额</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w:t>
                        </w:r>
                      </w:p>
                    </w:tc>
                    <w:tc>
                      <w:tcPr>
                        <w:tcW w:w="10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(2)/(1)</w:t>
                        </w: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51" w:right="72"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10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10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52" w:right="72" w:hanging="180"/>
                          <w:jc w:val="left"/>
                          <w:rPr>
                            <w:rFonts w:ascii="宋体" w:hAnsi="宋体" w:cs="宋体" w:eastAsia="宋体" w:hint="default"/>
                            <w:sz w:val="18"/>
                            <w:szCs w:val="18"/>
                          </w:rPr>
                        </w:pPr>
                        <w:r>
                          <w:rPr>
                            <w:rFonts w:ascii="宋体" w:hAnsi="宋体" w:cs="宋体" w:eastAsia="宋体" w:hint="default"/>
                            <w:sz w:val="18"/>
                            <w:szCs w:val="18"/>
                          </w:rPr>
                          <w:t>末累计实现 的效益</w:t>
                        </w: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4" w:right="0"/>
                          <w:jc w:val="left"/>
                          <w:rPr>
                            <w:rFonts w:ascii="宋体" w:hAnsi="宋体" w:cs="宋体" w:eastAsia="宋体" w:hint="default"/>
                            <w:sz w:val="18"/>
                            <w:szCs w:val="18"/>
                          </w:rPr>
                        </w:pPr>
                        <w:r>
                          <w:rPr>
                            <w:rFonts w:ascii="宋体" w:hAnsi="宋体" w:cs="宋体" w:eastAsia="宋体" w:hint="default"/>
                            <w:sz w:val="18"/>
                            <w:szCs w:val="18"/>
                          </w:rPr>
                          <w:t>计效益</w:t>
                        </w:r>
                      </w:p>
                    </w:tc>
                    <w:tc>
                      <w:tcPr>
                        <w:tcW w:w="10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61" w:right="83" w:hanging="180"/>
                          <w:jc w:val="left"/>
                          <w:rPr>
                            <w:rFonts w:ascii="宋体" w:hAnsi="宋体" w:cs="宋体" w:eastAsia="宋体" w:hint="default"/>
                            <w:sz w:val="18"/>
                            <w:szCs w:val="18"/>
                          </w:rPr>
                        </w:pPr>
                        <w:r>
                          <w:rPr>
                            <w:rFonts w:ascii="宋体" w:hAnsi="宋体" w:cs="宋体" w:eastAsia="宋体" w:hint="default"/>
                            <w:sz w:val="18"/>
                            <w:szCs w:val="18"/>
                          </w:rPr>
                          <w:t>是否发生重 大变化</w:t>
                        </w:r>
                      </w:p>
                    </w:tc>
                  </w:tr>
                  <w:tr>
                    <w:trPr>
                      <w:trHeight w:val="403"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教学研云平台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14,174.54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14,174.54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1,029.46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-602.13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-1,196.97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同步资源学习系统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8,625.18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8,625.18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1,633.14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22,799.72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1,498.68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-2,766.58</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70"/>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22,799.72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1,498.68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-2,766.58</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70"/>
                          <w:jc w:val="right"/>
                          <w:rPr>
                            <w:rFonts w:ascii="Times New Roman" w:hAnsi="Times New Roman" w:cs="Times New Roman" w:eastAsia="Times New Roman" w:hint="default"/>
                            <w:sz w:val="18"/>
                            <w:szCs w:val="18"/>
                          </w:rPr>
                        </w:pPr>
                        <w:r>
                          <w:rPr>
                            <w:rFonts w:ascii="Times New Roman"/>
                            <w:sz w:val="18"/>
                          </w:rPr>
                          <w:t>--</w:t>
                        </w:r>
                      </w:p>
                    </w:tc>
                  </w:tr>
                  <w:tr>
                    <w:trPr>
                      <w:trHeight w:val="2273"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、公司基于对未来经营战略的布局，经审慎考虑，于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日召开第四届董事会第三次会议、第四届监事会第三次会议，审 </w:t>
                        </w:r>
                        <w:r>
                          <w:rPr>
                            <w:rFonts w:ascii="宋体" w:hAnsi="宋体" w:cs="宋体" w:eastAsia="宋体" w:hint="default"/>
                            <w:spacing w:val="-3"/>
                            <w:sz w:val="18"/>
                            <w:szCs w:val="18"/>
                          </w:rPr>
                          <w:t>议通过了《关于募集资金投资项目延期的议案》，将公司投资项目“教学研云平台”进行延期，同意公司对募集资金投资项目的实施进度进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行调整，将公司募集资金投资项目预计可使用状态时间调整为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日前，“教学研云平台”项目房屋购置暂缓。</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、公司基</w:t>
                        </w:r>
                      </w:p>
                      <w:p>
                        <w:pPr>
                          <w:pStyle w:val="TableParagraph"/>
                          <w:spacing w:line="307" w:lineRule="auto" w:before="5"/>
                          <w:ind w:left="23" w:right="19"/>
                          <w:jc w:val="left"/>
                          <w:rPr>
                            <w:rFonts w:ascii="宋体" w:hAnsi="宋体" w:cs="宋体" w:eastAsia="宋体" w:hint="default"/>
                            <w:sz w:val="18"/>
                            <w:szCs w:val="18"/>
                          </w:rPr>
                        </w:pPr>
                        <w:r>
                          <w:rPr>
                            <w:rFonts w:ascii="宋体" w:hAnsi="宋体" w:cs="宋体" w:eastAsia="宋体" w:hint="default"/>
                            <w:spacing w:val="-4"/>
                            <w:sz w:val="18"/>
                            <w:szCs w:val="18"/>
                          </w:rPr>
                          <w:t>于对未来市场整体布局考虑，为控制风险，经审慎考虑，于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日召开第四届董事会第三次会议、第四届监事会第三次会议 </w:t>
                        </w:r>
                        <w:r>
                          <w:rPr>
                            <w:rFonts w:ascii="宋体" w:hAnsi="宋体" w:cs="宋体" w:eastAsia="宋体" w:hint="default"/>
                            <w:spacing w:val="-3"/>
                            <w:sz w:val="18"/>
                            <w:szCs w:val="18"/>
                          </w:rPr>
                          <w:t>审议通过了《关于募集资金投资项目延期的议案》，将公司投资项目“同步资源学习系统”</w:t>
                        </w:r>
                        <w:r>
                          <w:rPr>
                            <w:rFonts w:ascii="宋体" w:hAnsi="宋体" w:cs="宋体" w:eastAsia="宋体" w:hint="default"/>
                            <w:spacing w:val="22"/>
                            <w:sz w:val="18"/>
                            <w:szCs w:val="18"/>
                          </w:rPr>
                          <w:t> </w:t>
                        </w:r>
                        <w:r>
                          <w:rPr>
                            <w:rFonts w:ascii="宋体" w:hAnsi="宋体" w:cs="宋体" w:eastAsia="宋体" w:hint="default"/>
                            <w:sz w:val="18"/>
                            <w:szCs w:val="18"/>
                          </w:rPr>
                          <w:t>进行延期，同意公司对募集资金投资项目的实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施进度进行调整，将公司募集资金投资项目预计可使用状态时间调整为</w:t>
                        </w:r>
                        <w:r>
                          <w:rPr>
                            <w:rFonts w:ascii="宋体" w:hAnsi="宋体" w:cs="宋体" w:eastAsia="宋体" w:hint="default"/>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日前，“同步资源学习系统”项目适当减少了前</w:t>
                        </w:r>
                        <w:r>
                          <w:rPr>
                            <w:rFonts w:ascii="宋体" w:hAnsi="宋体" w:cs="宋体" w:eastAsia="宋体" w:hint="default"/>
                            <w:sz w:val="18"/>
                            <w:szCs w:val="18"/>
                          </w:rPr>
                          <w:t> 期房屋租赁、软硬件建设等投入。</w:t>
                        </w:r>
                      </w:p>
                    </w:tc>
                  </w:tr>
                  <w:tr>
                    <w:trPr>
                      <w:trHeight w:val="716"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3" w:right="60"/>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16"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0" w:right="10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70" w:footer="979" w:top="1060" w:bottom="1240" w:left="1300" w:right="1240"/>
        </w:sectPr>
      </w:pP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16"/>
        <w:gridCol w:w="1418"/>
        <w:gridCol w:w="10883"/>
      </w:tblGrid>
      <w:tr>
        <w:trPr>
          <w:trHeight w:val="418" w:hRule="exact"/>
        </w:trPr>
        <w:tc>
          <w:tcPr>
            <w:tcW w:w="1716"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月置换大华会计师事务所（特殊普通合伙）验资等费用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万元及中国证券登记结算有限责任公司深圳分公司登记托管费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4" w:hRule="exact"/>
        </w:trPr>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 w:right="6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 w:right="6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1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公司召开第三届董事会第三十次会议和第三届监事会第二十六次会议审议通过了《关于运用闲置募集资金购买短期银行保本理财产品的议 </w:t>
            </w:r>
            <w:r>
              <w:rPr>
                <w:rFonts w:ascii="宋体" w:hAnsi="宋体" w:cs="宋体" w:eastAsia="宋体" w:hint="default"/>
                <w:spacing w:val="-12"/>
                <w:sz w:val="18"/>
                <w:szCs w:val="18"/>
              </w:rPr>
              <w:t>案》，并经过公司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1"/>
                <w:sz w:val="18"/>
                <w:szCs w:val="18"/>
              </w:rPr>
              <w:t>年年度股东大会审议通过，同意公司利用闲置募集资金购买安全性高、流动性好、由商业银行发行并提供保本承诺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的短期银行保本理财产品。在额度内，资金可以滚动使用。尚未使用的募集资金均存放在公司的募集资金专户。</w:t>
            </w:r>
          </w:p>
        </w:tc>
      </w:tr>
      <w:tr>
        <w:trPr>
          <w:trHeight w:val="1027" w:hRule="exact"/>
        </w:trPr>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6"/>
        <w:spacing w:line="335" w:lineRule="exact"/>
        <w:ind w:left="140"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after="0" w:line="340"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12"/>
        <w:rPr>
          <w:rFonts w:ascii="宋体" w:hAnsi="宋体" w:cs="宋体" w:eastAsia="宋体" w:hint="default"/>
          <w:sz w:val="19"/>
          <w:szCs w:val="19"/>
        </w:rPr>
      </w:pPr>
    </w:p>
    <w:p>
      <w:pPr>
        <w:pStyle w:val="Heading3"/>
        <w:spacing w:line="367" w:lineRule="exact"/>
        <w:ind w:left="393" w:right="0"/>
        <w:jc w:val="left"/>
        <w:rPr>
          <w:b w:val="0"/>
          <w:bCs w:val="0"/>
        </w:rPr>
      </w:pPr>
      <w:r>
        <w:rPr/>
        <w:t>六、重大资产和股权出售</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left="393"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39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16"/>
          <w:szCs w:val="16"/>
        </w:rPr>
      </w:pPr>
    </w:p>
    <w:p>
      <w:pPr>
        <w:pStyle w:val="Heading6"/>
        <w:spacing w:line="240" w:lineRule="auto"/>
        <w:ind w:left="393"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3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left="393"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headerReference w:type="default" r:id="rId21"/>
          <w:footerReference w:type="default" r:id="rId22"/>
          <w:pgSz w:w="11910" w:h="16840"/>
          <w:pgMar w:header="880" w:footer="979" w:top="1100" w:bottom="1160" w:left="740" w:right="0"/>
          <w:pgNumType w:start="30"/>
        </w:sectPr>
      </w:pPr>
    </w:p>
    <w:p>
      <w:pPr>
        <w:spacing w:before="44"/>
        <w:ind w:left="39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39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5091" w:space="3829"/>
            <w:col w:w="2250"/>
          </w:cols>
        </w:sectPr>
      </w:pP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253"/>
        <w:gridCol w:w="823"/>
        <w:gridCol w:w="1030"/>
        <w:gridCol w:w="1181"/>
        <w:gridCol w:w="1320"/>
        <w:gridCol w:w="1176"/>
        <w:gridCol w:w="1109"/>
        <w:gridCol w:w="1090"/>
        <w:gridCol w:w="1229"/>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6"/>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pacing w:val="10"/>
                <w:sz w:val="18"/>
                <w:szCs w:val="18"/>
              </w:rPr>
              <w:t>市连</w:t>
            </w:r>
            <w:r>
              <w:rPr>
                <w:rFonts w:ascii="宋体" w:hAnsi="宋体" w:cs="宋体" w:eastAsia="宋体" w:hint="default"/>
                <w:spacing w:val="-67"/>
                <w:sz w:val="18"/>
                <w:szCs w:val="18"/>
              </w:rPr>
              <w:t> </w:t>
            </w:r>
            <w:r>
              <w:rPr>
                <w:rFonts w:ascii="宋体" w:hAnsi="宋体" w:cs="宋体" w:eastAsia="宋体" w:hint="default"/>
                <w:sz w:val="18"/>
                <w:szCs w:val="18"/>
              </w:rPr>
              <w:t>邦</w:t>
            </w:r>
            <w:r>
              <w:rPr>
                <w:rFonts w:ascii="宋体" w:hAnsi="宋体" w:cs="宋体" w:eastAsia="宋体" w:hint="default"/>
                <w:spacing w:val="-67"/>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pacing w:val="10"/>
                <w:sz w:val="18"/>
                <w:szCs w:val="18"/>
              </w:rPr>
              <w:t>术有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3,867,689.15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3,866,584.71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-528,600.04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-526,869.52</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pacing w:val="10"/>
                <w:sz w:val="18"/>
                <w:szCs w:val="18"/>
              </w:rPr>
              <w:t>市木</w:t>
            </w:r>
            <w:r>
              <w:rPr>
                <w:rFonts w:ascii="宋体" w:hAnsi="宋体" w:cs="宋体" w:eastAsia="宋体" w:hint="default"/>
                <w:spacing w:val="-67"/>
                <w:sz w:val="18"/>
                <w:szCs w:val="18"/>
              </w:rPr>
              <w:t> </w:t>
            </w:r>
            <w:r>
              <w:rPr>
                <w:rFonts w:ascii="宋体" w:hAnsi="宋体" w:cs="宋体" w:eastAsia="宋体" w:hint="default"/>
                <w:sz w:val="18"/>
                <w:szCs w:val="18"/>
              </w:rPr>
              <w:t>愚</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8"/>
              <w:jc w:val="both"/>
              <w:rPr>
                <w:rFonts w:ascii="宋体" w:hAnsi="宋体" w:cs="宋体" w:eastAsia="宋体" w:hint="default"/>
                <w:sz w:val="18"/>
                <w:szCs w:val="18"/>
              </w:rPr>
            </w:pPr>
            <w:r>
              <w:rPr>
                <w:rFonts w:ascii="宋体" w:hAnsi="宋体" w:cs="宋体" w:eastAsia="宋体" w:hint="default"/>
                <w:spacing w:val="28"/>
                <w:sz w:val="18"/>
                <w:szCs w:val="18"/>
              </w:rPr>
              <w:t>人工智能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教育的相关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研发、</w:t>
            </w:r>
            <w:r>
              <w:rPr>
                <w:rFonts w:ascii="宋体" w:hAnsi="宋体" w:cs="宋体" w:eastAsia="宋体" w:hint="default"/>
                <w:spacing w:val="-73"/>
                <w:sz w:val="18"/>
                <w:szCs w:val="18"/>
              </w:rPr>
              <w:t> </w:t>
            </w:r>
            <w:r>
              <w:rPr>
                <w:rFonts w:ascii="宋体" w:hAnsi="宋体" w:cs="宋体" w:eastAsia="宋体" w:hint="default"/>
                <w:spacing w:val="9"/>
                <w:sz w:val="18"/>
                <w:szCs w:val="18"/>
              </w:rPr>
              <w:t>服务</w:t>
            </w:r>
            <w:r>
              <w:rPr>
                <w:rFonts w:ascii="宋体" w:hAnsi="宋体" w:cs="宋体" w:eastAsia="宋体" w:hint="default"/>
                <w:sz w:val="18"/>
                <w:szCs w:val="18"/>
              </w:rPr>
              <w:t> 和营销工作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974,107.66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955,167.60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-44,782.52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-44,832.40</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徐</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pacing w:val="10"/>
                <w:sz w:val="18"/>
                <w:szCs w:val="18"/>
              </w:rPr>
              <w:t>金太</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教</w:t>
            </w:r>
            <w:r>
              <w:rPr>
                <w:rFonts w:ascii="宋体" w:hAnsi="宋体" w:cs="宋体" w:eastAsia="宋体" w:hint="default"/>
                <w:sz w:val="18"/>
                <w:szCs w:val="18"/>
              </w:rPr>
              <w:t> 育</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pacing w:val="10"/>
                <w:sz w:val="18"/>
                <w:szCs w:val="18"/>
              </w:rPr>
              <w:t>技有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4"/>
                <w:sz w:val="18"/>
                <w:szCs w:val="18"/>
              </w:rPr>
              <w:t>计算机软硬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件、</w:t>
            </w:r>
            <w:r>
              <w:rPr>
                <w:rFonts w:ascii="宋体" w:hAnsi="宋体" w:cs="宋体" w:eastAsia="宋体" w:hint="default"/>
                <w:spacing w:val="-70"/>
                <w:sz w:val="18"/>
                <w:szCs w:val="18"/>
              </w:rPr>
              <w:t> </w:t>
            </w:r>
            <w:r>
              <w:rPr>
                <w:rFonts w:ascii="宋体" w:hAnsi="宋体" w:cs="宋体" w:eastAsia="宋体" w:hint="default"/>
                <w:spacing w:val="11"/>
                <w:sz w:val="18"/>
                <w:szCs w:val="18"/>
              </w:rPr>
              <w:t>技术咨</w:t>
            </w:r>
            <w:r>
              <w:rPr>
                <w:rFonts w:ascii="宋体" w:hAnsi="宋体" w:cs="宋体" w:eastAsia="宋体" w:hint="default"/>
                <w:sz w:val="18"/>
                <w:szCs w:val="18"/>
              </w:rPr>
              <w:t> </w:t>
            </w:r>
            <w:r>
              <w:rPr>
                <w:rFonts w:ascii="宋体" w:hAnsi="宋体" w:cs="宋体" w:eastAsia="宋体" w:hint="default"/>
                <w:spacing w:val="14"/>
                <w:sz w:val="18"/>
                <w:szCs w:val="18"/>
              </w:rPr>
              <w:t>询及技术服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639,010.30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547,288.49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151,955.14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-457,708.96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-457,705.18</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深圳市嘉道方 直教育产业投 </w:t>
            </w:r>
            <w:r>
              <w:rPr>
                <w:rFonts w:ascii="宋体" w:hAnsi="宋体" w:cs="宋体" w:eastAsia="宋体" w:hint="default"/>
                <w:spacing w:val="-10"/>
                <w:sz w:val="18"/>
                <w:szCs w:val="18"/>
              </w:rPr>
              <w:t>资企业（有限合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75,255,000.00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70,209,026.64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-3,655,397.35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-3,655,397.35</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深圳罗湖蓝海 村镇银行股份 有限公司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吸收存款、 发放贷款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1,796,520,228.45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524,507,112.88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56,777,798.14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20,027,574.65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16,115,547.00</w:t>
            </w:r>
          </w:p>
        </w:tc>
      </w:tr>
    </w:tbl>
    <w:p>
      <w:pPr>
        <w:spacing w:before="49"/>
        <w:ind w:left="39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0" w:lineRule="auto" w:before="117"/>
        <w:ind w:left="39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w:t>
      </w:r>
    </w:p>
    <w:p>
      <w:pPr>
        <w:spacing w:line="240" w:lineRule="auto" w:before="8"/>
        <w:rPr>
          <w:rFonts w:ascii="宋体" w:hAnsi="宋体" w:cs="宋体" w:eastAsia="宋体" w:hint="default"/>
          <w:sz w:val="13"/>
          <w:szCs w:val="13"/>
        </w:rPr>
      </w:pPr>
    </w:p>
    <w:p>
      <w:pPr>
        <w:pStyle w:val="Heading3"/>
        <w:spacing w:line="240" w:lineRule="auto"/>
        <w:ind w:left="393" w:right="0"/>
        <w:jc w:val="left"/>
        <w:rPr>
          <w:b w:val="0"/>
          <w:bCs w:val="0"/>
        </w:rPr>
      </w:pPr>
      <w:r>
        <w:rPr/>
        <w:t>八、公司控制的结构化主体情况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3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740" w:right="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5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（一）公司所处行业的发展趋势</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3"/>
          <w:sz w:val="21"/>
          <w:szCs w:val="21"/>
        </w:rPr>
        <w:t>教育部印发的《教育信息化</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行动计划》通知，提出到</w:t>
      </w:r>
      <w:r>
        <w:rPr>
          <w:rFonts w:ascii="Times New Roman" w:hAnsi="Times New Roman" w:cs="Times New Roman" w:eastAsia="Times New Roman" w:hint="default"/>
          <w:spacing w:val="-3"/>
          <w:sz w:val="21"/>
          <w:szCs w:val="21"/>
        </w:rPr>
        <w:t>2022</w:t>
      </w:r>
      <w:r>
        <w:rPr>
          <w:rFonts w:ascii="宋体" w:hAnsi="宋体" w:cs="宋体" w:eastAsia="宋体" w:hint="default"/>
          <w:spacing w:val="-3"/>
          <w:sz w:val="21"/>
          <w:szCs w:val="21"/>
        </w:rPr>
        <w:t>年基本实现“三全两高一大”的发展目标</w:t>
      </w:r>
    </w:p>
    <w:p>
      <w:pPr>
        <w:pStyle w:val="BodyText"/>
        <w:spacing w:line="400" w:lineRule="auto" w:before="70"/>
        <w:ind w:right="0"/>
        <w:jc w:val="left"/>
      </w:pPr>
      <w:r>
        <w:rPr>
          <w:spacing w:val="-2"/>
        </w:rPr>
        <w:t>（三全：教学应用覆盖全体教师、学习应用覆盖全体适龄学生、数字校园建设覆盖全体学校；两高：信息</w:t>
      </w:r>
      <w:r>
        <w:rPr>
          <w:spacing w:val="-43"/>
        </w:rPr>
        <w:t> </w:t>
      </w:r>
      <w:r>
        <w:rPr>
          <w:spacing w:val="-43"/>
        </w:rPr>
      </w:r>
      <w:r>
        <w:rPr/>
        <w:t>化应用水平和师生信息素养普遍提高；一大：建成</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大平台）。我国教育信息化事业已取得</w:t>
      </w:r>
      <w:r>
        <w:rPr>
          <w:w w:val="100"/>
        </w:rPr>
        <w:t> </w:t>
      </w:r>
      <w:r>
        <w:rPr>
          <w:spacing w:val="-2"/>
        </w:rPr>
        <w:t>了长足的发展，以</w:t>
      </w:r>
      <w:r>
        <w:rPr>
          <w:rFonts w:ascii="Times New Roman" w:hAnsi="Times New Roman" w:cs="Times New Roman" w:eastAsia="Times New Roman" w:hint="default"/>
          <w:spacing w:val="-2"/>
        </w:rPr>
        <w:t>“</w:t>
      </w:r>
      <w:r>
        <w:rPr>
          <w:spacing w:val="-2"/>
        </w:rPr>
        <w:t>三通两平台</w:t>
      </w:r>
      <w:r>
        <w:rPr>
          <w:rFonts w:ascii="Times New Roman" w:hAnsi="Times New Roman" w:cs="Times New Roman" w:eastAsia="Times New Roman" w:hint="default"/>
          <w:spacing w:val="-2"/>
        </w:rPr>
        <w:t>”</w:t>
      </w:r>
      <w:r>
        <w:rPr>
          <w:spacing w:val="-2"/>
        </w:rPr>
        <w:t>为代表的基础信息化已初步建成（三通：宽带网络校校通、优质资源班班</w:t>
      </w:r>
      <w:r>
        <w:rPr>
          <w:spacing w:val="-23"/>
        </w:rPr>
        <w:t> </w:t>
      </w:r>
      <w:r>
        <w:rPr>
          <w:spacing w:val="-23"/>
        </w:rPr>
      </w:r>
      <w:r>
        <w:rPr>
          <w:spacing w:val="-2"/>
        </w:rPr>
        <w:t>通、网络学习空间人人通；两平台：教育资源公共服务平台、教育管理公共服务平台），教育管理信息化</w:t>
      </w:r>
      <w:r>
        <w:rPr>
          <w:spacing w:val="-42"/>
        </w:rPr>
        <w:t> </w:t>
      </w:r>
      <w:r>
        <w:rPr>
          <w:spacing w:val="-42"/>
        </w:rPr>
      </w:r>
      <w:r>
        <w:rPr>
          <w:spacing w:val="-2"/>
        </w:rPr>
        <w:t>和教学信息化的重要性逐渐凸显，未来教育基础建设目标清晰明朗，教育信息化建设在综合驱动力推动下</w:t>
      </w:r>
      <w:r>
        <w:rPr>
          <w:spacing w:val="-44"/>
        </w:rPr>
        <w:t> </w:t>
      </w:r>
      <w:r>
        <w:rPr>
          <w:spacing w:val="-44"/>
        </w:rPr>
      </w:r>
      <w:r>
        <w:rPr/>
        <w:t>将迎来高速发展阶段。</w:t>
      </w:r>
    </w:p>
    <w:p>
      <w:pPr>
        <w:pStyle w:val="BodyText"/>
        <w:spacing w:line="408" w:lineRule="auto" w:before="52"/>
        <w:ind w:right="1126" w:firstLine="420"/>
        <w:jc w:val="both"/>
      </w:pPr>
      <w:r>
        <w:rPr>
          <w:spacing w:val="-2"/>
        </w:rPr>
        <w:t>教育信息化从融合应用向创新发展演进，全面提升师生信息素养。将信息技术和智能技术深度融入教</w:t>
      </w:r>
      <w:r>
        <w:rPr>
          <w:w w:val="100"/>
        </w:rPr>
        <w:t> </w:t>
      </w:r>
      <w:r>
        <w:rPr>
          <w:spacing w:val="-2"/>
        </w:rPr>
        <w:t>育全过程，推动改进教学、优化管理、提升绩效；推动师生从技术应用向能力素质拓展，使之具备良好的</w:t>
      </w:r>
      <w:r>
        <w:rPr>
          <w:spacing w:val="-43"/>
        </w:rPr>
        <w:t> </w:t>
      </w:r>
      <w:r>
        <w:rPr>
          <w:spacing w:val="-43"/>
        </w:rPr>
      </w:r>
      <w:r>
        <w:rPr>
          <w:spacing w:val="-2"/>
        </w:rPr>
        <w:t>信息思维，适应信息社会发展的要求，应用信息技术解决教学、学习、生活中问题的能力成为必备的基本</w:t>
      </w:r>
      <w:r>
        <w:rPr>
          <w:spacing w:val="-48"/>
        </w:rPr>
        <w:t> </w:t>
      </w:r>
      <w:r>
        <w:rPr>
          <w:spacing w:val="-48"/>
        </w:rPr>
      </w:r>
      <w:r>
        <w:rPr>
          <w:spacing w:val="-2"/>
        </w:rPr>
        <w:t>素质。构建一体化的“互联网</w:t>
      </w:r>
      <w:r>
        <w:rPr>
          <w:rFonts w:ascii="宋体" w:hAnsi="宋体" w:cs="宋体" w:eastAsia="宋体" w:hint="default"/>
          <w:spacing w:val="-2"/>
        </w:rPr>
        <w:t>+</w:t>
      </w:r>
      <w:r>
        <w:rPr>
          <w:spacing w:val="-2"/>
        </w:rPr>
        <w:t>教育”大平台，引入“平台</w:t>
      </w:r>
      <w:r>
        <w:rPr>
          <w:rFonts w:ascii="宋体" w:hAnsi="宋体" w:cs="宋体" w:eastAsia="宋体" w:hint="default"/>
          <w:spacing w:val="-2"/>
        </w:rPr>
        <w:t>+</w:t>
      </w:r>
      <w:r>
        <w:rPr>
          <w:spacing w:val="-2"/>
        </w:rPr>
        <w:t>教育”服务模式，整合各级各类教育资源公共</w:t>
      </w:r>
      <w:r>
        <w:rPr>
          <w:spacing w:val="-45"/>
        </w:rPr>
        <w:t> </w:t>
      </w:r>
      <w:r>
        <w:rPr>
          <w:spacing w:val="-45"/>
        </w:rPr>
      </w:r>
      <w:r>
        <w:rPr>
          <w:spacing w:val="-2"/>
        </w:rPr>
        <w:t>服务平台和支持系统，逐步实现资源平台、管理平台的互通、衔接与开放，建成国家数字教育资源公共服</w:t>
      </w:r>
      <w:r>
        <w:rPr>
          <w:spacing w:val="-47"/>
        </w:rPr>
        <w:t> </w:t>
      </w:r>
      <w:r>
        <w:rPr>
          <w:spacing w:val="-47"/>
        </w:rPr>
      </w:r>
      <w:r>
        <w:rPr>
          <w:spacing w:val="-2"/>
        </w:rPr>
        <w:t>务体系。充分发挥市场在资源配置中的作用，融合众筹众创，实现数字资源、优秀师资、教育数据、信息</w:t>
      </w:r>
      <w:r>
        <w:rPr>
          <w:spacing w:val="-45"/>
        </w:rPr>
        <w:t> </w:t>
      </w:r>
      <w:r>
        <w:rPr>
          <w:spacing w:val="-45"/>
        </w:rPr>
      </w:r>
      <w:r>
        <w:rPr/>
        <w:t>红利的有效共享助力教育服务供给模式升级和教育治理水平提升。</w:t>
      </w:r>
    </w:p>
    <w:p>
      <w:pPr>
        <w:pStyle w:val="BodyText"/>
        <w:spacing w:line="408" w:lineRule="auto" w:before="43"/>
        <w:ind w:right="0" w:firstLine="420"/>
        <w:jc w:val="left"/>
      </w:pPr>
      <w:r>
        <w:rPr>
          <w:spacing w:val="-5"/>
        </w:rPr>
        <w:t>公司致力于为广大中小学教师与学生提供优质、同步、配套的教育软件及互联网在线全面系统的服务，</w:t>
      </w:r>
      <w:r>
        <w:rPr>
          <w:w w:val="100"/>
        </w:rPr>
        <w:t> </w:t>
      </w:r>
      <w:r>
        <w:rPr/>
        <w:t>相关行业政策改革也影响着公司未来发展。</w:t>
      </w:r>
    </w:p>
    <w:p>
      <w:pPr>
        <w:pStyle w:val="Heading6"/>
        <w:spacing w:line="345" w:lineRule="exact"/>
        <w:ind w:left="575" w:right="0"/>
        <w:jc w:val="left"/>
        <w:rPr>
          <w:b w:val="0"/>
          <w:bCs w:val="0"/>
        </w:rPr>
      </w:pPr>
      <w:r>
        <w:rPr>
          <w:rFonts w:ascii="Times New Roman" w:hAnsi="Times New Roman" w:cs="Times New Roman" w:eastAsia="Times New Roman" w:hint="default"/>
        </w:rPr>
        <w:t>1</w:t>
      </w:r>
      <w:r>
        <w:rPr/>
        <w:t>、教育行业相关政策</w:t>
      </w:r>
      <w:r>
        <w:rPr>
          <w:b w:val="0"/>
          <w:bCs w:val="0"/>
        </w:rPr>
      </w:r>
    </w:p>
    <w:p>
      <w:pPr>
        <w:pStyle w:val="BodyText"/>
        <w:spacing w:line="386" w:lineRule="auto" w:before="169"/>
        <w:ind w:right="1118"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日，教育部修订普通高中课程方案和语文等</w:t>
      </w:r>
      <w:r>
        <w:rPr>
          <w:rFonts w:ascii="Times New Roman" w:hAnsi="Times New Roman" w:cs="Times New Roman" w:eastAsia="Times New Roman" w:hint="default"/>
        </w:rPr>
        <w:t>14</w:t>
      </w:r>
      <w:r>
        <w:rPr/>
        <w:t>门学科课程标准，发布《普通高中课程方</w:t>
      </w:r>
      <w:r>
        <w:rPr>
          <w:w w:val="100"/>
        </w:rPr>
        <w:t> </w:t>
      </w:r>
      <w:r>
        <w:rPr>
          <w:spacing w:val="-2"/>
        </w:rPr>
        <w:t>案和语文等学科课程标准（</w:t>
      </w:r>
      <w:r>
        <w:rPr>
          <w:rFonts w:ascii="Times New Roman" w:hAnsi="Times New Roman" w:cs="Times New Roman" w:eastAsia="Times New Roman" w:hint="default"/>
          <w:spacing w:val="-2"/>
        </w:rPr>
        <w:t>2017</w:t>
      </w:r>
      <w:r>
        <w:rPr>
          <w:spacing w:val="-2"/>
        </w:rPr>
        <w:t>年版）》。在此次“新课标”中，人工智能、物联网、大数据处理正式划</w:t>
      </w:r>
      <w:r>
        <w:rPr>
          <w:spacing w:val="-40"/>
        </w:rPr>
        <w:t> </w:t>
      </w:r>
      <w:r>
        <w:rPr>
          <w:spacing w:val="-40"/>
        </w:rPr>
      </w:r>
      <w:r>
        <w:rPr/>
        <w:t>入新课标。</w:t>
      </w:r>
    </w:p>
    <w:p>
      <w:pPr>
        <w:pStyle w:val="BodyText"/>
        <w:spacing w:line="386" w:lineRule="auto" w:before="65"/>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月，教育部发布《教育部</w:t>
      </w:r>
      <w:r>
        <w:rPr>
          <w:rFonts w:ascii="Times New Roman" w:hAnsi="Times New Roman" w:cs="Times New Roman" w:eastAsia="Times New Roman" w:hint="default"/>
          <w:spacing w:val="-2"/>
        </w:rPr>
        <w:t>2018</w:t>
      </w:r>
      <w:r>
        <w:rPr>
          <w:spacing w:val="-2"/>
        </w:rPr>
        <w:t>年工作要点》，提出启动教育信息化</w:t>
      </w:r>
      <w:r>
        <w:rPr>
          <w:rFonts w:ascii="Times New Roman" w:hAnsi="Times New Roman" w:cs="Times New Roman" w:eastAsia="Times New Roman" w:hint="default"/>
          <w:spacing w:val="-2"/>
        </w:rPr>
        <w:t>2.0</w:t>
      </w:r>
      <w:r>
        <w:rPr>
          <w:spacing w:val="-2"/>
        </w:rPr>
        <w:t>行动计划、智慧教育创</w:t>
      </w:r>
      <w:r>
        <w:rPr>
          <w:w w:val="100"/>
        </w:rPr>
        <w:t> </w:t>
      </w:r>
      <w:r>
        <w:rPr/>
        <w:t>新、大教育资源共享、网络学习空间应用普及等举措加速落地推行。</w:t>
      </w:r>
    </w:p>
    <w:p>
      <w:pPr>
        <w:pStyle w:val="BodyText"/>
        <w:spacing w:line="403" w:lineRule="auto" w:before="65"/>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月，教育部发布了《</w:t>
      </w:r>
      <w:r>
        <w:rPr>
          <w:rFonts w:ascii="Times New Roman" w:hAnsi="Times New Roman" w:cs="Times New Roman" w:eastAsia="Times New Roman" w:hint="default"/>
        </w:rPr>
        <w:t>2018</w:t>
      </w:r>
      <w:r>
        <w:rPr/>
        <w:t>年教育信息化和网络安全工作要点》提出“围绕解决教育改革发展</w:t>
      </w:r>
      <w:r>
        <w:rPr>
          <w:w w:val="100"/>
        </w:rPr>
        <w:t> </w:t>
      </w:r>
      <w:r>
        <w:rPr>
          <w:spacing w:val="-2"/>
        </w:rPr>
        <w:t>的重大问题，以促进教育公平、提高教育质量为重点，以“服务全局、融合创新、深化应用、完善机制”</w:t>
      </w:r>
      <w:r>
        <w:rPr>
          <w:spacing w:val="-21"/>
        </w:rPr>
        <w:t> </w:t>
      </w:r>
      <w:r>
        <w:rPr>
          <w:spacing w:val="-21"/>
        </w:rPr>
      </w:r>
      <w:r>
        <w:rPr>
          <w:spacing w:val="-2"/>
        </w:rPr>
        <w:t>为原则，坚持稳中求进工作总基调，深入落实《教育信息化“十三五”规划》，大力推动“四个提升”和</w:t>
      </w:r>
      <w:r>
        <w:rPr>
          <w:spacing w:val="-44"/>
        </w:rPr>
        <w:t> </w:t>
      </w:r>
      <w:r>
        <w:rPr>
          <w:spacing w:val="-44"/>
        </w:rPr>
      </w:r>
      <w:r>
        <w:rPr/>
        <w:t>“四个拓展”，办好网络教育，发展“互联网</w:t>
      </w:r>
      <w:r>
        <w:rPr>
          <w:rFonts w:ascii="宋体" w:hAnsi="宋体" w:cs="宋体" w:eastAsia="宋体" w:hint="default"/>
        </w:rPr>
        <w:t>+</w:t>
      </w:r>
      <w:r>
        <w:rPr/>
        <w:t>教育”，实现教育信息化的转段升级，充分发挥对教育现</w:t>
      </w:r>
      <w:r>
        <w:rPr>
          <w:w w:val="100"/>
        </w:rPr>
        <w:t> </w:t>
      </w:r>
      <w:r>
        <w:rPr/>
        <w:t>代化的支撑和引领作用。</w:t>
      </w:r>
    </w:p>
    <w:p>
      <w:pPr>
        <w:spacing w:after="0" w:line="403"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93" w:lineRule="auto" w:before="36"/>
        <w:ind w:right="1104"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月，教育部印发《教育信息化</w:t>
      </w:r>
      <w:r>
        <w:rPr>
          <w:rFonts w:ascii="Times New Roman" w:hAnsi="Times New Roman" w:cs="Times New Roman" w:eastAsia="Times New Roman" w:hint="default"/>
          <w:spacing w:val="-3"/>
        </w:rPr>
        <w:t>2.0</w:t>
      </w:r>
      <w:r>
        <w:rPr>
          <w:spacing w:val="-3"/>
        </w:rPr>
        <w:t>行动计划》，提出</w:t>
      </w:r>
      <w:r>
        <w:rPr>
          <w:rFonts w:ascii="Times New Roman" w:hAnsi="Times New Roman" w:cs="Times New Roman" w:eastAsia="Times New Roman" w:hint="default"/>
          <w:spacing w:val="-3"/>
        </w:rPr>
        <w:t>“</w:t>
      </w:r>
      <w:r>
        <w:rPr>
          <w:spacing w:val="-3"/>
        </w:rPr>
        <w:t>构建智慧学习支持环境。加强智慧学习的</w:t>
      </w:r>
      <w:r>
        <w:rPr>
          <w:w w:val="100"/>
        </w:rPr>
        <w:t> </w:t>
      </w:r>
      <w:r>
        <w:rPr/>
        <w:t>理论研究与顶层设计，推进技术开发与实践应用，提高人才培养质量</w:t>
      </w:r>
      <w:r>
        <w:rPr>
          <w:rFonts w:ascii="Times New Roman" w:hAnsi="Times New Roman" w:cs="Times New Roman" w:eastAsia="Times New Roman" w:hint="default"/>
        </w:rPr>
        <w:t>”</w:t>
      </w:r>
      <w:r>
        <w:rPr/>
        <w:t>。这意味着我国教育信息化工作开</w:t>
      </w:r>
      <w:r>
        <w:rPr>
          <w:w w:val="100"/>
        </w:rPr>
        <w:t> </w:t>
      </w:r>
      <w:r>
        <w:rPr>
          <w:spacing w:val="-2"/>
        </w:rPr>
        <w:t>启了新的征程。从教育信息化</w:t>
      </w:r>
      <w:r>
        <w:rPr>
          <w:rFonts w:ascii="Times New Roman" w:hAnsi="Times New Roman" w:cs="Times New Roman" w:eastAsia="Times New Roman" w:hint="default"/>
          <w:spacing w:val="-2"/>
        </w:rPr>
        <w:t>1.0</w:t>
      </w:r>
      <w:r>
        <w:rPr>
          <w:spacing w:val="-2"/>
        </w:rPr>
        <w:t>到教育信息化</w:t>
      </w:r>
      <w:r>
        <w:rPr>
          <w:rFonts w:ascii="Times New Roman" w:hAnsi="Times New Roman" w:cs="Times New Roman" w:eastAsia="Times New Roman" w:hint="default"/>
          <w:spacing w:val="-2"/>
        </w:rPr>
        <w:t>2.0</w:t>
      </w:r>
      <w:r>
        <w:rPr>
          <w:spacing w:val="-2"/>
        </w:rPr>
        <w:t>，是推进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教育</w:t>
      </w:r>
      <w:r>
        <w:rPr>
          <w:rFonts w:ascii="Times New Roman" w:hAnsi="Times New Roman" w:cs="Times New Roman" w:eastAsia="Times New Roman" w:hint="default"/>
          <w:spacing w:val="-2"/>
        </w:rPr>
        <w:t>”</w:t>
      </w:r>
      <w:r>
        <w:rPr>
          <w:spacing w:val="-2"/>
        </w:rPr>
        <w:t>的具体实施计划，是顺应智能环</w:t>
      </w:r>
      <w:r>
        <w:rPr>
          <w:spacing w:val="-31"/>
        </w:rPr>
        <w:t> </w:t>
      </w:r>
      <w:r>
        <w:rPr>
          <w:spacing w:val="-31"/>
        </w:rPr>
      </w:r>
      <w:r>
        <w:rPr>
          <w:spacing w:val="-2"/>
        </w:rPr>
        <w:t>境下教育发展的必然选择。同月，《中小学数字校园建设规范（试行）》由中华人民共和国教育部发布，</w:t>
      </w:r>
      <w:r>
        <w:rPr>
          <w:spacing w:val="-21"/>
        </w:rPr>
        <w:t> </w:t>
      </w:r>
      <w:r>
        <w:rPr>
          <w:spacing w:val="-21"/>
        </w:rPr>
      </w:r>
      <w:r>
        <w:rPr>
          <w:spacing w:val="-2"/>
        </w:rPr>
        <w:t>内容涵盖小学数字校园的建设目标、建设原则、建设模式、建设内容和建设流程等方面的内容，明确用户</w:t>
      </w:r>
      <w:r>
        <w:rPr>
          <w:spacing w:val="-47"/>
        </w:rPr>
        <w:t> </w:t>
      </w:r>
      <w:r>
        <w:rPr>
          <w:spacing w:val="-47"/>
        </w:rPr>
      </w:r>
      <w:r>
        <w:rPr>
          <w:spacing w:val="-2"/>
        </w:rPr>
        <w:t>信息素养、信息化应用、基础设施、网络安全、保障机制等方面的具体要求。还提出应采用“云</w:t>
      </w:r>
      <w:r>
        <w:rPr>
          <w:rFonts w:ascii="Times New Roman" w:hAnsi="Times New Roman" w:cs="Times New Roman" w:eastAsia="Times New Roman" w:hint="default"/>
          <w:spacing w:val="-2"/>
        </w:rPr>
        <w:t>-</w:t>
      </w:r>
      <w:r>
        <w:rPr>
          <w:spacing w:val="-2"/>
        </w:rPr>
        <w:t>网</w:t>
      </w:r>
      <w:r>
        <w:rPr>
          <w:rFonts w:ascii="Times New Roman" w:hAnsi="Times New Roman" w:cs="Times New Roman" w:eastAsia="Times New Roman" w:hint="default"/>
          <w:spacing w:val="-2"/>
        </w:rPr>
        <w:t>-</w:t>
      </w:r>
      <w:r>
        <w:rPr>
          <w:spacing w:val="-2"/>
        </w:rPr>
        <w:t>端”</w:t>
      </w:r>
      <w:r>
        <w:rPr>
          <w:spacing w:val="-18"/>
        </w:rPr>
        <w:t> </w:t>
      </w:r>
      <w:r>
        <w:rPr/>
        <w:t>架构模式，为促进区域教育的均衡发展和学校教育的质量提升提供有效准则。</w:t>
      </w:r>
    </w:p>
    <w:p>
      <w:pPr>
        <w:pStyle w:val="BodyText"/>
        <w:spacing w:line="386" w:lineRule="auto" w:before="58"/>
        <w:ind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月，国家市场监督管理总局国家标准委最新公布了国家标准文件《智慧校园总体架构》，对</w:t>
      </w:r>
      <w:r>
        <w:rPr>
          <w:w w:val="100"/>
        </w:rPr>
        <w:t> </w:t>
      </w:r>
      <w:r>
        <w:rPr/>
        <w:t>于智慧校园的总体架构及建设进行了明确规范。</w:t>
      </w:r>
    </w:p>
    <w:p>
      <w:pPr>
        <w:pStyle w:val="BodyText"/>
        <w:spacing w:line="396" w:lineRule="auto" w:before="65"/>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月，教育部与国家统计局</w:t>
      </w:r>
      <w:r>
        <w:rPr>
          <w:spacing w:val="-5"/>
        </w:rPr>
        <w:t> </w:t>
      </w:r>
      <w:r>
        <w:rPr/>
        <w:t>颁布了《财政部关于</w:t>
      </w:r>
      <w:r>
        <w:rPr>
          <w:rFonts w:ascii="Times New Roman" w:hAnsi="Times New Roman" w:cs="Times New Roman" w:eastAsia="Times New Roman" w:hint="default"/>
        </w:rPr>
        <w:t>2017</w:t>
      </w:r>
      <w:r>
        <w:rPr/>
        <w:t>年全国教育经费执行情况统计公告》，</w:t>
      </w:r>
      <w:r>
        <w:rPr>
          <w:w w:val="100"/>
        </w:rPr>
        <w:t> </w:t>
      </w:r>
      <w:r>
        <w:rPr/>
        <w:t>报告显示：全国教育经费总投入为</w:t>
      </w:r>
      <w:r>
        <w:rPr>
          <w:rFonts w:ascii="Times New Roman" w:hAnsi="Times New Roman" w:cs="Times New Roman" w:eastAsia="Times New Roman" w:hint="default"/>
        </w:rPr>
        <w:t>42,562.01</w:t>
      </w:r>
      <w:r>
        <w:rPr/>
        <w:t>亿元，比上年的</w:t>
      </w:r>
      <w:r>
        <w:rPr>
          <w:rFonts w:ascii="Times New Roman" w:hAnsi="Times New Roman" w:cs="Times New Roman" w:eastAsia="Times New Roman" w:hint="default"/>
        </w:rPr>
        <w:t>38,888.39</w:t>
      </w:r>
      <w:r>
        <w:rPr/>
        <w:t>亿元增长</w:t>
      </w:r>
      <w:r>
        <w:rPr>
          <w:rFonts w:ascii="Times New Roman" w:hAnsi="Times New Roman" w:cs="Times New Roman" w:eastAsia="Times New Roman" w:hint="default"/>
        </w:rPr>
        <w:t>9.45%</w:t>
      </w:r>
      <w:r>
        <w:rPr/>
        <w:t>。其中，国家财政性</w:t>
      </w:r>
      <w:r>
        <w:rPr>
          <w:w w:val="100"/>
        </w:rPr>
        <w:t> </w:t>
      </w:r>
      <w:r>
        <w:rPr>
          <w:spacing w:val="-2"/>
        </w:rPr>
        <w:t>教育经费（主要包括一般公共预算安排的教育经费，政府性基金预算安排的教育经费，企业办学中的企业</w:t>
      </w:r>
      <w:r>
        <w:rPr>
          <w:spacing w:val="-44"/>
        </w:rPr>
        <w:t> </w:t>
      </w:r>
      <w:r>
        <w:rPr>
          <w:spacing w:val="-44"/>
        </w:rPr>
      </w:r>
      <w:r>
        <w:rPr>
          <w:spacing w:val="-2"/>
        </w:rPr>
        <w:t>拨款，校办产业和社会服务收入用于教育的经费等）为</w:t>
      </w:r>
      <w:r>
        <w:rPr>
          <w:rFonts w:ascii="Times New Roman" w:hAnsi="Times New Roman" w:cs="Times New Roman" w:eastAsia="Times New Roman" w:hint="default"/>
          <w:spacing w:val="-2"/>
        </w:rPr>
        <w:t>34,207.75</w:t>
      </w:r>
      <w:r>
        <w:rPr>
          <w:spacing w:val="-2"/>
        </w:rPr>
        <w:t>亿元，比上年的</w:t>
      </w:r>
      <w:r>
        <w:rPr>
          <w:rFonts w:ascii="Times New Roman" w:hAnsi="Times New Roman" w:cs="Times New Roman" w:eastAsia="Times New Roman" w:hint="default"/>
          <w:spacing w:val="-2"/>
        </w:rPr>
        <w:t>31,396.25</w:t>
      </w:r>
      <w:r>
        <w:rPr>
          <w:spacing w:val="-2"/>
        </w:rPr>
        <w:t>亿元增长</w:t>
      </w:r>
      <w:r>
        <w:rPr>
          <w:rFonts w:ascii="Times New Roman" w:hAnsi="Times New Roman" w:cs="Times New Roman" w:eastAsia="Times New Roman" w:hint="default"/>
          <w:spacing w:val="-2"/>
        </w:rPr>
        <w:t>8.95%</w:t>
      </w:r>
      <w:r>
        <w:rPr>
          <w:spacing w:val="-2"/>
        </w:rPr>
        <w:t>。</w:t>
      </w:r>
      <w:r>
        <w:rPr>
          <w:spacing w:val="-40"/>
        </w:rPr>
        <w:t> </w:t>
      </w:r>
      <w:r>
        <w:rPr>
          <w:spacing w:val="-2"/>
        </w:rPr>
        <w:t>在未来一定时期内，教育信息化的投入规模将仍然保持较高的增长速度，教育信息化行业将面临广阔的发</w:t>
      </w:r>
      <w:r>
        <w:rPr>
          <w:spacing w:val="-43"/>
        </w:rPr>
        <w:t> </w:t>
      </w:r>
      <w:r>
        <w:rPr>
          <w:spacing w:val="-43"/>
        </w:rPr>
      </w:r>
      <w:r>
        <w:rPr/>
        <w:t>展空间，同时随着消费升级、知识付费的普及推广，居民在教育领域的投入也有望进一步增加。</w:t>
      </w:r>
    </w:p>
    <w:p>
      <w:pPr>
        <w:pStyle w:val="BodyText"/>
        <w:spacing w:line="350" w:lineRule="auto" w:before="0"/>
        <w:ind w:left="573" w:right="0" w:firstLine="2"/>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、软件行业相关政策</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spacing w:val="-2"/>
        </w:rPr>
        <w:t>软件行业相关法规包括《计算机软件保护条例》、《计算机软件著作权登记办法》、《软件企业认定</w:t>
      </w:r>
    </w:p>
    <w:p>
      <w:pPr>
        <w:pStyle w:val="BodyText"/>
        <w:spacing w:line="408" w:lineRule="auto" w:before="96"/>
        <w:ind w:right="1126"/>
        <w:jc w:val="both"/>
      </w:pPr>
      <w:r>
        <w:rPr>
          <w:spacing w:val="-2"/>
        </w:rPr>
        <w:t>标准及管理办法》、《软件产品登记管理办法》、《国家软件产业基地管理办法》、《国家规划布局内的</w:t>
      </w:r>
      <w:r>
        <w:rPr>
          <w:spacing w:val="-44"/>
        </w:rPr>
        <w:t> </w:t>
      </w:r>
      <w:r>
        <w:rPr>
          <w:spacing w:val="-44"/>
        </w:rPr>
      </w:r>
      <w:r>
        <w:rPr>
          <w:spacing w:val="-2"/>
        </w:rPr>
        <w:t>重点软件企业认定管理办法》、《软件出口管理和统计办法》等。《中国软件行业基本公约》为国内软件</w:t>
      </w:r>
      <w:r>
        <w:rPr>
          <w:spacing w:val="-44"/>
        </w:rPr>
        <w:t> </w:t>
      </w:r>
      <w:r>
        <w:rPr>
          <w:spacing w:val="-44"/>
        </w:rPr>
      </w:r>
      <w:r>
        <w:rPr/>
        <w:t>行业规范。</w:t>
      </w:r>
    </w:p>
    <w:p>
      <w:pPr>
        <w:spacing w:line="362" w:lineRule="auto" w:before="20"/>
        <w:ind w:left="153" w:right="0" w:firstLine="420"/>
        <w:jc w:val="left"/>
        <w:rPr>
          <w:rFonts w:ascii="宋体" w:hAnsi="宋体" w:cs="宋体" w:eastAsia="宋体" w:hint="default"/>
          <w:sz w:val="21"/>
          <w:szCs w:val="21"/>
        </w:rPr>
      </w:pPr>
      <w:r>
        <w:rPr>
          <w:rFonts w:ascii="宋体" w:hAnsi="宋体" w:cs="宋体" w:eastAsia="宋体" w:hint="default"/>
          <w:sz w:val="21"/>
          <w:szCs w:val="21"/>
        </w:rPr>
        <w:t>国家及相关部门对软件相关行业制定了税收优惠政策，</w:t>
      </w:r>
      <w:r>
        <w:rPr>
          <w:rFonts w:ascii="宋体" w:hAnsi="宋体" w:cs="宋体" w:eastAsia="宋体" w:hint="default"/>
          <w:sz w:val="24"/>
          <w:szCs w:val="24"/>
        </w:rPr>
        <w:t>根据国务院《国务院关于印发进一步鼓</w:t>
      </w:r>
      <w:r>
        <w:rPr>
          <w:rFonts w:ascii="宋体" w:hAnsi="宋体" w:cs="宋体" w:eastAsia="宋体" w:hint="default"/>
          <w:sz w:val="24"/>
          <w:szCs w:val="24"/>
        </w:rPr>
        <w:t> </w:t>
      </w:r>
      <w:r>
        <w:rPr>
          <w:rFonts w:ascii="宋体" w:hAnsi="宋体" w:cs="宋体" w:eastAsia="宋体" w:hint="default"/>
          <w:spacing w:val="-2"/>
          <w:sz w:val="24"/>
          <w:szCs w:val="24"/>
        </w:rPr>
        <w:t>励软件产业和集成电路产业发展若干政策的通知》（国发</w:t>
      </w:r>
      <w:r>
        <w:rPr>
          <w:rFonts w:ascii="宋体" w:hAnsi="宋体" w:cs="宋体" w:eastAsia="宋体" w:hint="default"/>
          <w:spacing w:val="-2"/>
          <w:sz w:val="24"/>
          <w:szCs w:val="24"/>
        </w:rPr>
        <w:t>[2011]4</w:t>
      </w:r>
      <w:r>
        <w:rPr>
          <w:rFonts w:ascii="宋体" w:hAnsi="宋体" w:cs="宋体" w:eastAsia="宋体" w:hint="default"/>
          <w:spacing w:val="-2"/>
          <w:sz w:val="24"/>
          <w:szCs w:val="24"/>
        </w:rPr>
        <w:t>号）和财政部、国家税务总</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局《关于软件产品增值税政策的通知》（财税</w:t>
      </w:r>
      <w:r>
        <w:rPr>
          <w:rFonts w:ascii="宋体" w:hAnsi="宋体" w:cs="宋体" w:eastAsia="宋体" w:hint="default"/>
          <w:spacing w:val="-2"/>
          <w:sz w:val="24"/>
          <w:szCs w:val="24"/>
        </w:rPr>
        <w:t>[2011]100</w:t>
      </w:r>
      <w:r>
        <w:rPr>
          <w:rFonts w:ascii="宋体" w:hAnsi="宋体" w:cs="宋体" w:eastAsia="宋体" w:hint="default"/>
          <w:spacing w:val="-2"/>
          <w:sz w:val="24"/>
          <w:szCs w:val="24"/>
        </w:rPr>
        <w:t>号）文有关规定，本公司自行开发研</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制软件产品销售收入按法定税率计缴增值税后，对实际税负超过</w:t>
      </w:r>
      <w:r>
        <w:rPr>
          <w:rFonts w:ascii="宋体" w:hAnsi="宋体" w:cs="宋体" w:eastAsia="宋体" w:hint="default"/>
          <w:spacing w:val="-2"/>
          <w:sz w:val="24"/>
          <w:szCs w:val="24"/>
        </w:rPr>
        <w:t>3%</w:t>
      </w:r>
      <w:r>
        <w:rPr>
          <w:rFonts w:ascii="宋体" w:hAnsi="宋体" w:cs="宋体" w:eastAsia="宋体" w:hint="default"/>
          <w:spacing w:val="-2"/>
          <w:sz w:val="24"/>
          <w:szCs w:val="24"/>
        </w:rPr>
        <w:t>的部分实行即征即退政策</w:t>
      </w:r>
      <w:r>
        <w:rPr>
          <w:rFonts w:ascii="宋体" w:hAnsi="宋体" w:cs="宋体" w:eastAsia="宋体" w:hint="default"/>
          <w:spacing w:val="-2"/>
          <w:sz w:val="21"/>
          <w:szCs w:val="21"/>
        </w:rPr>
        <w:t>。</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继</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纳入政府工作报告，政策对于软件产业的扶持力度颇大。</w:t>
      </w:r>
    </w:p>
    <w:p>
      <w:pPr>
        <w:pStyle w:val="BodyText"/>
        <w:spacing w:line="386" w:lineRule="auto" w:before="58"/>
        <w:ind w:right="0" w:firstLine="42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月，国务院印发《新一代人工智能规划》，明确提出到</w:t>
      </w:r>
      <w:r>
        <w:rPr>
          <w:rFonts w:ascii="Times New Roman" w:hAnsi="Times New Roman" w:cs="Times New Roman" w:eastAsia="Times New Roman" w:hint="default"/>
          <w:spacing w:val="-2"/>
        </w:rPr>
        <w:t>2030</w:t>
      </w:r>
      <w:r>
        <w:rPr>
          <w:spacing w:val="-2"/>
        </w:rPr>
        <w:t>年，中国人工智能核心产业规模</w:t>
      </w:r>
      <w:r>
        <w:rPr>
          <w:w w:val="100"/>
        </w:rPr>
        <w:t> </w:t>
      </w:r>
      <w:r>
        <w:rPr/>
        <w:t>将超过</w:t>
      </w:r>
      <w:r>
        <w:rPr>
          <w:rFonts w:ascii="Times New Roman" w:hAnsi="Times New Roman" w:cs="Times New Roman" w:eastAsia="Times New Roman" w:hint="default"/>
        </w:rPr>
        <w:t>1</w:t>
      </w:r>
      <w:r>
        <w:rPr/>
        <w:t>万亿元，带动相关产业规模超过</w:t>
      </w:r>
      <w:r>
        <w:rPr>
          <w:rFonts w:ascii="Times New Roman" w:hAnsi="Times New Roman" w:cs="Times New Roman" w:eastAsia="Times New Roman" w:hint="default"/>
        </w:rPr>
        <w:t>10</w:t>
      </w:r>
      <w:r>
        <w:rPr/>
        <w:t>万亿元。</w:t>
      </w:r>
    </w:p>
    <w:p>
      <w:pPr>
        <w:pStyle w:val="BodyText"/>
        <w:spacing w:line="398" w:lineRule="auto" w:before="35"/>
        <w:ind w:right="1126" w:firstLine="420"/>
        <w:jc w:val="both"/>
      </w:pPr>
      <w:r>
        <w:rPr>
          <w:rFonts w:ascii="Times New Roman" w:hAnsi="Times New Roman" w:cs="Times New Roman" w:eastAsia="Times New Roman" w:hint="default"/>
          <w:spacing w:val="-2"/>
        </w:rPr>
        <w:t>2018</w:t>
      </w:r>
      <w:r>
        <w:rPr>
          <w:spacing w:val="-2"/>
        </w:rPr>
        <w:t>年，我国软件和信息技术服务业总体保持平稳较快发展，产业规模进一步扩大，盈利能力稳步提</w:t>
      </w:r>
      <w:r>
        <w:rPr>
          <w:w w:val="100"/>
        </w:rPr>
        <w:t> </w:t>
      </w:r>
      <w:r>
        <w:rPr>
          <w:spacing w:val="-2"/>
        </w:rPr>
        <w:t>升，行业就业形势保持稳定，产业服务化、平台化、融合发展态势更加明显，在为制造强国和网络强国建</w:t>
      </w:r>
      <w:r>
        <w:rPr>
          <w:spacing w:val="-43"/>
        </w:rPr>
        <w:t> </w:t>
      </w:r>
      <w:r>
        <w:rPr>
          <w:spacing w:val="-43"/>
        </w:rPr>
      </w:r>
      <w:r>
        <w:rPr/>
        <w:t>设提供基础支撑、为经济高质量发展提供新动能等方面作用进一步凸显。</w:t>
      </w:r>
    </w:p>
    <w:p>
      <w:pPr>
        <w:spacing w:after="0" w:line="39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Heading6"/>
        <w:spacing w:line="335" w:lineRule="exact"/>
        <w:ind w:left="575" w:right="0"/>
        <w:jc w:val="left"/>
        <w:rPr>
          <w:b w:val="0"/>
          <w:bCs w:val="0"/>
        </w:rPr>
      </w:pPr>
      <w:r>
        <w:rPr>
          <w:rFonts w:ascii="Times New Roman" w:hAnsi="Times New Roman" w:cs="Times New Roman" w:eastAsia="Times New Roman" w:hint="default"/>
        </w:rPr>
        <w:t>3</w:t>
      </w:r>
      <w:r>
        <w:rPr/>
        <w:t>、出版行业相关政策</w:t>
      </w:r>
      <w:r>
        <w:rPr>
          <w:b w:val="0"/>
          <w:bCs w:val="0"/>
        </w:rPr>
      </w:r>
    </w:p>
    <w:p>
      <w:pPr>
        <w:pStyle w:val="BodyText"/>
        <w:spacing w:line="408" w:lineRule="auto" w:before="169"/>
        <w:ind w:right="1125" w:firstLine="420"/>
        <w:jc w:val="both"/>
      </w:pPr>
      <w:r>
        <w:rPr>
          <w:spacing w:val="-2"/>
        </w:rPr>
        <w:t>根据我国《国民经济和社会发展第十三个五年规划纲要》，“十三五”期间要实现“公共文化服务体</w:t>
      </w:r>
      <w:r>
        <w:rPr>
          <w:w w:val="100"/>
        </w:rPr>
        <w:t> </w:t>
      </w:r>
      <w:r>
        <w:rPr>
          <w:spacing w:val="-2"/>
        </w:rPr>
        <w:t>系基本建成，文化产业成为国民经济支柱性产业”的目标，表明政府在“十三五”时期大力推进文化产业</w:t>
      </w:r>
      <w:r>
        <w:rPr>
          <w:spacing w:val="-44"/>
        </w:rPr>
        <w:t> </w:t>
      </w:r>
      <w:r>
        <w:rPr>
          <w:spacing w:val="-44"/>
        </w:rPr>
      </w:r>
      <w:r>
        <w:rPr>
          <w:spacing w:val="-2"/>
        </w:rPr>
        <w:t>发展的决心。为促进我国文化产业解决结构不合理、发展不均衡的瓶颈，“十三五”规划提出“推进文化</w:t>
      </w:r>
      <w:r>
        <w:rPr>
          <w:spacing w:val="-40"/>
        </w:rPr>
        <w:t> </w:t>
      </w:r>
      <w:r>
        <w:rPr>
          <w:spacing w:val="-40"/>
        </w:rPr>
      </w:r>
      <w:r>
        <w:rPr>
          <w:spacing w:val="-2"/>
        </w:rPr>
        <w:t>业态创新，大力发展创意文化产业，促进文化与科技、信息、旅游、体育、金融等产业融合发展。推动文</w:t>
      </w:r>
      <w:r>
        <w:rPr>
          <w:spacing w:val="-50"/>
        </w:rPr>
        <w:t> </w:t>
      </w:r>
      <w:r>
        <w:rPr>
          <w:spacing w:val="-50"/>
        </w:rPr>
      </w:r>
      <w:r>
        <w:rPr/>
        <w:t>化企业兼并重组，扶持中小微文化企业发展”的具体要求。</w:t>
      </w:r>
    </w:p>
    <w:p>
      <w:pPr>
        <w:pStyle w:val="BodyText"/>
        <w:spacing w:line="400" w:lineRule="auto"/>
        <w:ind w:right="1126" w:firstLine="420"/>
        <w:jc w:val="both"/>
      </w:pPr>
      <w:r>
        <w:rPr>
          <w:spacing w:val="-3"/>
        </w:rPr>
        <w:t>根据《国家中长期教育改革和发展规划纲要（</w:t>
      </w:r>
      <w:r>
        <w:rPr>
          <w:rFonts w:ascii="Times New Roman" w:hAnsi="Times New Roman" w:cs="Times New Roman" w:eastAsia="Times New Roman" w:hint="default"/>
          <w:spacing w:val="-3"/>
        </w:rPr>
        <w:t>2010-2020 </w:t>
      </w:r>
      <w:r>
        <w:rPr>
          <w:spacing w:val="-7"/>
        </w:rPr>
        <w:t>年）》的目标，</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17"/>
        </w:rPr>
        <w:t> </w:t>
      </w:r>
      <w:r>
        <w:rPr/>
        <w:t>年中小学义务教育在校</w:t>
      </w:r>
      <w:r>
        <w:rPr>
          <w:w w:val="100"/>
        </w:rPr>
        <w:t> </w:t>
      </w:r>
      <w:r>
        <w:rPr/>
        <w:t>学生人数要达到</w:t>
      </w:r>
      <w:r>
        <w:rPr>
          <w:rFonts w:ascii="Times New Roman" w:hAnsi="Times New Roman" w:cs="Times New Roman" w:eastAsia="Times New Roman" w:hint="default"/>
        </w:rPr>
        <w:t>1.61</w:t>
      </w:r>
      <w:r>
        <w:rPr/>
        <w:t>亿人，</w:t>
      </w:r>
      <w:r>
        <w:rPr>
          <w:rFonts w:ascii="Times New Roman" w:hAnsi="Times New Roman" w:cs="Times New Roman" w:eastAsia="Times New Roman" w:hint="default"/>
        </w:rPr>
        <w:t>2020 </w:t>
      </w:r>
      <w:r>
        <w:rPr/>
        <w:t>年要达到</w:t>
      </w:r>
      <w:r>
        <w:rPr>
          <w:rFonts w:ascii="Times New Roman" w:hAnsi="Times New Roman" w:cs="Times New Roman" w:eastAsia="Times New Roman" w:hint="default"/>
        </w:rPr>
        <w:t>1.65</w:t>
      </w:r>
      <w:r>
        <w:rPr/>
        <w:t>亿人，分别相比</w:t>
      </w:r>
      <w:r>
        <w:rPr>
          <w:rFonts w:ascii="Times New Roman" w:hAnsi="Times New Roman" w:cs="Times New Roman" w:eastAsia="Times New Roman" w:hint="default"/>
        </w:rPr>
        <w:t>2009</w:t>
      </w:r>
      <w:r>
        <w:rPr>
          <w:rFonts w:ascii="Times New Roman" w:hAnsi="Times New Roman" w:cs="Times New Roman" w:eastAsia="Times New Roman" w:hint="default"/>
          <w:spacing w:val="41"/>
        </w:rPr>
        <w:t> </w:t>
      </w:r>
      <w:r>
        <w:rPr/>
        <w:t>年增加</w:t>
      </w:r>
      <w:r>
        <w:rPr>
          <w:rFonts w:ascii="Times New Roman" w:hAnsi="Times New Roman" w:cs="Times New Roman" w:eastAsia="Times New Roman" w:hint="default"/>
        </w:rPr>
        <w:t>2.08%</w:t>
      </w:r>
      <w:r>
        <w:rPr/>
        <w:t>和</w:t>
      </w:r>
      <w:r>
        <w:rPr>
          <w:rFonts w:ascii="Times New Roman" w:hAnsi="Times New Roman" w:cs="Times New Roman" w:eastAsia="Times New Roman" w:hint="default"/>
        </w:rPr>
        <w:t>4.62%</w:t>
      </w:r>
      <w:r>
        <w:rPr/>
        <w:t>。同时，随着国</w:t>
      </w:r>
      <w:r>
        <w:rPr>
          <w:w w:val="100"/>
        </w:rPr>
        <w:t> </w:t>
      </w:r>
      <w:r>
        <w:rPr>
          <w:spacing w:val="-2"/>
        </w:rPr>
        <w:t>家“两孩”政策的逐步落地，我国在校学生人数预计将出现进一步增长。随着人口年龄结构的调整，学前</w:t>
      </w:r>
      <w:r>
        <w:rPr>
          <w:spacing w:val="-43"/>
        </w:rPr>
        <w:t> </w:t>
      </w:r>
      <w:r>
        <w:rPr>
          <w:spacing w:val="-43"/>
        </w:rPr>
      </w:r>
      <w:r>
        <w:rPr>
          <w:spacing w:val="-2"/>
        </w:rPr>
        <w:t>教育、高中专教育、高等教育及职业教育的在校生人数也将处于同等上升趋势，各类教育的教材、教辅及</w:t>
      </w:r>
      <w:r>
        <w:rPr>
          <w:spacing w:val="-44"/>
        </w:rPr>
        <w:t> </w:t>
      </w:r>
      <w:r>
        <w:rPr>
          <w:spacing w:val="-44"/>
        </w:rPr>
      </w:r>
      <w:r>
        <w:rPr>
          <w:spacing w:val="-2"/>
        </w:rPr>
        <w:t>专业图书需求相应也会上升。近年来，数字出版迅猛发展，为文化产业带来了前所未有的机遇，也为出版</w:t>
      </w:r>
      <w:r>
        <w:rPr>
          <w:spacing w:val="-47"/>
        </w:rPr>
        <w:t> </w:t>
      </w:r>
      <w:r>
        <w:rPr>
          <w:spacing w:val="-47"/>
        </w:rPr>
      </w:r>
      <w:r>
        <w:rPr/>
        <w:t>业的转型和发展带来了更多机会和更大空间。</w:t>
      </w:r>
    </w:p>
    <w:p>
      <w:pPr>
        <w:pStyle w:val="BodyText"/>
        <w:spacing w:line="386" w:lineRule="auto" w:before="52"/>
        <w:ind w:right="0" w:firstLine="420"/>
        <w:jc w:val="left"/>
      </w:pPr>
      <w:r>
        <w:rPr>
          <w:spacing w:val="-3"/>
        </w:rPr>
        <w:t>虽然我国出版商的数字化转型刚刚起步，但随着互联网和</w:t>
      </w:r>
      <w:r>
        <w:rPr>
          <w:rFonts w:ascii="Times New Roman" w:hAnsi="Times New Roman" w:cs="Times New Roman" w:eastAsia="Times New Roman" w:hint="default"/>
          <w:spacing w:val="-3"/>
        </w:rPr>
        <w:t>5G</w:t>
      </w:r>
      <w:r>
        <w:rPr>
          <w:spacing w:val="-3"/>
        </w:rPr>
        <w:t>时代的到来，技术条件和版权环境的进一</w:t>
      </w:r>
      <w:r>
        <w:rPr>
          <w:w w:val="100"/>
        </w:rPr>
        <w:t> </w:t>
      </w:r>
      <w:r>
        <w:rPr/>
        <w:t>步完善，我国出版业也将在技术推动下实现跨越式发展。</w:t>
      </w:r>
    </w:p>
    <w:p>
      <w:pPr>
        <w:pStyle w:val="BodyText"/>
        <w:spacing w:line="408" w:lineRule="auto" w:before="65"/>
        <w:ind w:right="0" w:firstLine="420"/>
        <w:jc w:val="left"/>
      </w:pPr>
      <w:r>
        <w:rPr>
          <w:spacing w:val="-2"/>
        </w:rPr>
        <w:t>基于上述规划和措施，在未来一段时间内，国家对出版发行业的发展仍将保持大力支持和鼓励发展的</w:t>
      </w:r>
      <w:r>
        <w:rPr>
          <w:w w:val="100"/>
        </w:rPr>
        <w:t> </w:t>
      </w:r>
      <w:r>
        <w:rPr/>
        <w:t>态度，从政策角度提供强有力的保障。</w:t>
      </w:r>
    </w:p>
    <w:p>
      <w:pPr>
        <w:pStyle w:val="Heading6"/>
        <w:spacing w:line="345" w:lineRule="exact"/>
        <w:ind w:left="575" w:right="0"/>
        <w:jc w:val="left"/>
        <w:rPr>
          <w:b w:val="0"/>
          <w:bCs w:val="0"/>
        </w:rPr>
      </w:pPr>
      <w:r>
        <w:rPr/>
        <w:t>（二）公司未来整体发展战略目标</w:t>
      </w:r>
      <w:r>
        <w:rPr>
          <w:b w:val="0"/>
          <w:bCs w:val="0"/>
        </w:rPr>
      </w:r>
    </w:p>
    <w:p>
      <w:pPr>
        <w:pStyle w:val="BodyText"/>
        <w:spacing w:line="400" w:lineRule="auto" w:before="169"/>
        <w:ind w:right="0" w:firstLine="420"/>
        <w:jc w:val="left"/>
      </w:pP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2021</w:t>
      </w:r>
      <w:r>
        <w:rPr>
          <w:spacing w:val="-2"/>
        </w:rPr>
        <w:t>年是方直科技突破的三年，方直科技以现有的优质教育资源、人力资源、品牌渠道资源</w:t>
      </w:r>
      <w:r>
        <w:rPr>
          <w:w w:val="100"/>
        </w:rPr>
        <w:t> </w:t>
      </w:r>
      <w:r>
        <w:rPr/>
        <w:t>和资金平台资源为企业核心战略资源</w:t>
      </w:r>
      <w:r>
        <w:rPr>
          <w:rFonts w:ascii="Times New Roman" w:hAnsi="Times New Roman" w:cs="Times New Roman" w:eastAsia="Times New Roman" w:hint="default"/>
        </w:rPr>
        <w:t>,</w:t>
      </w:r>
      <w:r>
        <w:rPr/>
        <w:t>并以长期建设企业核心战略资源为指导思想制定方直科技未来的整</w:t>
      </w:r>
      <w:r>
        <w:rPr>
          <w:w w:val="100"/>
        </w:rPr>
        <w:t> </w:t>
      </w:r>
      <w:r>
        <w:rPr>
          <w:spacing w:val="-2"/>
        </w:rPr>
        <w:t>体发展战略。公司未来将充分发挥在同步教育行业的领先地位，借助品牌势能拓展全国市场，扩大优质资</w:t>
      </w:r>
      <w:r>
        <w:rPr>
          <w:spacing w:val="-43"/>
        </w:rPr>
        <w:t> </w:t>
      </w:r>
      <w:r>
        <w:rPr>
          <w:spacing w:val="-43"/>
        </w:rPr>
      </w:r>
      <w:r>
        <w:rPr>
          <w:spacing w:val="-2"/>
        </w:rPr>
        <w:t>源覆盖面，促进教育公平。积极利用公司深厚的精品资源优势及先进的技术优势，全面加速推进公司优质</w:t>
      </w:r>
      <w:r>
        <w:rPr>
          <w:spacing w:val="-45"/>
        </w:rPr>
        <w:t> </w:t>
      </w:r>
      <w:r>
        <w:rPr>
          <w:spacing w:val="-45"/>
        </w:rPr>
      </w:r>
      <w:r>
        <w:rPr>
          <w:spacing w:val="-2"/>
        </w:rPr>
        <w:t>资源建设、自主知识产权建设及平台建设，完成覆盖小学、初中、高中学段的多学科、多版本、全学段的</w:t>
      </w:r>
      <w:r>
        <w:rPr>
          <w:spacing w:val="-42"/>
        </w:rPr>
        <w:t> </w:t>
      </w:r>
      <w:r>
        <w:rPr>
          <w:spacing w:val="-42"/>
        </w:rPr>
      </w:r>
      <w:r>
        <w:rPr>
          <w:spacing w:val="-2"/>
        </w:rPr>
        <w:t>优质、同步、配套的教与学资源体系，致力于覆盖课前、课中、课后等教与学多场景需求，为全方面的教</w:t>
      </w:r>
      <w:r>
        <w:rPr>
          <w:spacing w:val="-42"/>
        </w:rPr>
        <w:t> </w:t>
      </w:r>
      <w:r>
        <w:rPr>
          <w:spacing w:val="-42"/>
        </w:rPr>
      </w:r>
      <w:r>
        <w:rPr/>
        <w:t>与学提供整体配套解决方案，推动教育服务模式变革，将公司打造成优质教育服务的龙头企业。</w:t>
      </w:r>
    </w:p>
    <w:p>
      <w:pPr>
        <w:pStyle w:val="BodyText"/>
        <w:spacing w:line="386" w:lineRule="auto" w:before="52"/>
        <w:ind w:right="0" w:firstLine="420"/>
        <w:jc w:val="left"/>
      </w:pPr>
      <w:r>
        <w:rPr>
          <w:spacing w:val="-2"/>
        </w:rPr>
        <w:t>为确保企业发展方向坚定而稳健，特此制定了</w:t>
      </w:r>
      <w:r>
        <w:rPr>
          <w:rFonts w:ascii="Times New Roman" w:hAnsi="Times New Roman" w:cs="Times New Roman" w:eastAsia="Times New Roman" w:hint="default"/>
          <w:spacing w:val="-2"/>
        </w:rPr>
        <w:t>2019</w:t>
      </w:r>
      <w:r>
        <w:rPr>
          <w:spacing w:val="-2"/>
        </w:rPr>
        <w:t>年到</w:t>
      </w:r>
      <w:r>
        <w:rPr>
          <w:rFonts w:ascii="Times New Roman" w:hAnsi="Times New Roman" w:cs="Times New Roman" w:eastAsia="Times New Roman" w:hint="default"/>
          <w:spacing w:val="-2"/>
        </w:rPr>
        <w:t>2021</w:t>
      </w:r>
      <w:r>
        <w:rPr>
          <w:spacing w:val="-2"/>
        </w:rPr>
        <w:t>年整体发展战略目标，在</w:t>
      </w:r>
      <w:r>
        <w:rPr>
          <w:rFonts w:ascii="Times New Roman" w:hAnsi="Times New Roman" w:cs="Times New Roman" w:eastAsia="Times New Roman" w:hint="default"/>
          <w:spacing w:val="-2"/>
        </w:rPr>
        <w:t>3</w:t>
      </w:r>
      <w:r>
        <w:rPr>
          <w:spacing w:val="-2"/>
        </w:rPr>
        <w:t>年内将公司建</w:t>
      </w:r>
      <w:r>
        <w:rPr>
          <w:w w:val="100"/>
        </w:rPr>
        <w:t> </w:t>
      </w:r>
      <w:r>
        <w:rPr/>
        <w:t>设成为以优质教育资源为基础的互联网在线教育企业。</w:t>
      </w:r>
    </w:p>
    <w:p>
      <w:pPr>
        <w:pStyle w:val="BodyText"/>
        <w:spacing w:line="400" w:lineRule="auto" w:before="65"/>
        <w:ind w:right="0" w:firstLine="420"/>
        <w:jc w:val="left"/>
      </w:pPr>
      <w:r>
        <w:rPr/>
        <w:t>（</w:t>
      </w:r>
      <w:r>
        <w:rPr>
          <w:rFonts w:ascii="Times New Roman" w:hAnsi="Times New Roman" w:cs="Times New Roman" w:eastAsia="Times New Roman" w:hint="default"/>
        </w:rPr>
        <w:t>1</w:t>
      </w:r>
      <w:r>
        <w:rPr/>
        <w:t>）营销服务体系：在国家教育信息化建设进入新阶段的背景下，公司继续优化营销业务结构、持</w:t>
      </w:r>
      <w:r>
        <w:rPr>
          <w:w w:val="100"/>
        </w:rPr>
        <w:t> </w:t>
      </w:r>
      <w:r>
        <w:rPr>
          <w:spacing w:val="-7"/>
        </w:rPr>
        <w:t>续完善营销运营服务体系提升营销效率，探索实现学校教育信息化项目的营销运营创新。并与合作伙伴（包</w:t>
      </w:r>
      <w:r>
        <w:rPr>
          <w:spacing w:val="-19"/>
        </w:rPr>
        <w:t> </w:t>
      </w:r>
      <w:r>
        <w:rPr>
          <w:spacing w:val="-19"/>
        </w:rPr>
      </w:r>
      <w:r>
        <w:rPr>
          <w:spacing w:val="-2"/>
        </w:rPr>
        <w:t>括代理商、终端产品商、出版发行、运营商或系统集成）合作有效地为用户提供有价值的服务，最大限度</w:t>
      </w:r>
      <w:r>
        <w:rPr>
          <w:spacing w:val="-43"/>
        </w:rPr>
        <w:t> </w:t>
      </w:r>
      <w:r>
        <w:rPr>
          <w:spacing w:val="-43"/>
        </w:rPr>
      </w:r>
      <w:r>
        <w:rPr>
          <w:spacing w:val="-2"/>
        </w:rPr>
        <w:t>的发挥资源多重渠道多种载体的价值。在重点市场，集中资源，快速规划样板工程和样板基地的建设，拿</w:t>
      </w:r>
    </w:p>
    <w:p>
      <w:pPr>
        <w:spacing w:after="0" w:line="40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下重点区域和学校。并以成熟样板为核心向全国战略重要位置的省会城市复制，进一步拓宽多渠道建设，</w:t>
      </w:r>
      <w:r>
        <w:rPr>
          <w:spacing w:val="-21"/>
        </w:rPr>
        <w:t> </w:t>
      </w:r>
      <w:r>
        <w:rPr>
          <w:spacing w:val="-21"/>
        </w:rPr>
      </w:r>
      <w:r>
        <w:rPr/>
        <w:t>全面实现新业务模式下的多学科多版本全学段的服务。</w:t>
      </w:r>
    </w:p>
    <w:p>
      <w:pPr>
        <w:pStyle w:val="BodyText"/>
        <w:spacing w:line="396" w:lineRule="auto"/>
        <w:ind w:right="0" w:firstLine="420"/>
        <w:jc w:val="left"/>
      </w:pPr>
      <w:r>
        <w:rPr/>
        <w:t>（</w:t>
      </w:r>
      <w:r>
        <w:rPr>
          <w:rFonts w:ascii="Times New Roman" w:hAnsi="Times New Roman" w:cs="Times New Roman" w:eastAsia="Times New Roman" w:hint="default"/>
        </w:rPr>
        <w:t>2</w:t>
      </w:r>
      <w:r>
        <w:rPr/>
        <w:t>）</w:t>
      </w:r>
      <w:r>
        <w:rPr>
          <w:spacing w:val="11"/>
        </w:rPr>
        <w:t> </w:t>
      </w:r>
      <w:r>
        <w:rPr>
          <w:rFonts w:ascii="Times New Roman" w:hAnsi="Times New Roman" w:cs="Times New Roman" w:eastAsia="Times New Roman" w:hint="default"/>
          <w:spacing w:val="-4"/>
        </w:rPr>
        <w:t>MOD</w:t>
      </w:r>
      <w:r>
        <w:rPr>
          <w:spacing w:val="-4"/>
        </w:rPr>
        <w:t>资源平台建设：通过知识体系图谱，使资源以知识点为纲，按照知识输入到输出的过程形</w:t>
      </w:r>
      <w:r>
        <w:rPr>
          <w:w w:val="100"/>
        </w:rPr>
        <w:t> </w:t>
      </w:r>
      <w:r>
        <w:rPr>
          <w:spacing w:val="-2"/>
        </w:rPr>
        <w:t>成有效的教学闭环。平台核心是让优质、配套和同步的资源利用互联网思维与技术得到高效利用，使资源</w:t>
      </w:r>
      <w:r>
        <w:rPr>
          <w:spacing w:val="-44"/>
        </w:rPr>
        <w:t> </w:t>
      </w:r>
      <w:r>
        <w:rPr>
          <w:spacing w:val="-44"/>
        </w:rPr>
      </w:r>
      <w:r>
        <w:rPr>
          <w:spacing w:val="-4"/>
        </w:rPr>
        <w:t>服务能提供更高的附加价值；实现五通一平台，持续对接与征订、运营商、</w:t>
      </w:r>
      <w:r>
        <w:rPr>
          <w:rFonts w:ascii="Times New Roman" w:hAnsi="Times New Roman" w:cs="Times New Roman" w:eastAsia="Times New Roman" w:hint="default"/>
          <w:spacing w:val="-4"/>
        </w:rPr>
        <w:t>C</w:t>
      </w:r>
      <w:r>
        <w:rPr>
          <w:spacing w:val="-4"/>
        </w:rPr>
        <w:t>端、</w:t>
      </w:r>
      <w:r>
        <w:rPr>
          <w:rFonts w:ascii="Times New Roman" w:hAnsi="Times New Roman" w:cs="Times New Roman" w:eastAsia="Times New Roman" w:hint="default"/>
          <w:spacing w:val="-4"/>
        </w:rPr>
        <w:t>B</w:t>
      </w:r>
      <w:r>
        <w:rPr>
          <w:spacing w:val="-4"/>
        </w:rPr>
        <w:t>端、</w:t>
      </w:r>
      <w:r>
        <w:rPr>
          <w:rFonts w:ascii="Times New Roman" w:hAnsi="Times New Roman" w:cs="Times New Roman" w:eastAsia="Times New Roman" w:hint="default"/>
          <w:spacing w:val="-4"/>
        </w:rPr>
        <w:t>VIP</w:t>
      </w:r>
      <w:r>
        <w:rPr>
          <w:spacing w:val="-4"/>
        </w:rPr>
        <w:t>的用户、资源、</w:t>
      </w:r>
      <w:r>
        <w:rPr>
          <w:spacing w:val="-36"/>
        </w:rPr>
        <w:t> </w:t>
      </w:r>
      <w:r>
        <w:rPr>
          <w:spacing w:val="-36"/>
        </w:rPr>
      </w:r>
      <w:r>
        <w:rPr/>
        <w:t>服务的平台支撑。建设教与学场景下的基于同步优质配套的多学科多版本全学段多渠道合作运营的</w:t>
      </w:r>
      <w:r>
        <w:rPr>
          <w:rFonts w:ascii="Times New Roman" w:hAnsi="Times New Roman" w:cs="Times New Roman" w:eastAsia="Times New Roman" w:hint="default"/>
        </w:rPr>
        <w:t>MOD</w:t>
      </w:r>
      <w:r>
        <w:rPr>
          <w:rFonts w:ascii="Times New Roman" w:hAnsi="Times New Roman" w:cs="Times New Roman" w:eastAsia="Times New Roman" w:hint="default"/>
          <w:w w:val="100"/>
        </w:rPr>
        <w:t> </w:t>
      </w:r>
      <w:r>
        <w:rPr>
          <w:spacing w:val="-2"/>
        </w:rPr>
        <w:t>资源运营管理平台，形成“内容资源</w:t>
      </w:r>
      <w:r>
        <w:rPr>
          <w:rFonts w:ascii="宋体" w:hAnsi="宋体" w:cs="宋体" w:eastAsia="宋体" w:hint="default"/>
          <w:spacing w:val="-2"/>
        </w:rPr>
        <w:t>+</w:t>
      </w:r>
      <w:r>
        <w:rPr>
          <w:spacing w:val="-2"/>
        </w:rPr>
        <w:t>自营平台</w:t>
      </w:r>
      <w:r>
        <w:rPr>
          <w:rFonts w:ascii="宋体" w:hAnsi="宋体" w:cs="宋体" w:eastAsia="宋体" w:hint="default"/>
          <w:spacing w:val="-2"/>
        </w:rPr>
        <w:t>+</w:t>
      </w:r>
      <w:r>
        <w:rPr>
          <w:spacing w:val="-2"/>
        </w:rPr>
        <w:t>平台对接”的运营模式，实现优质资源自建、精品资源共</w:t>
      </w:r>
      <w:r>
        <w:rPr>
          <w:spacing w:val="-41"/>
        </w:rPr>
        <w:t> </w:t>
      </w:r>
      <w:r>
        <w:rPr>
          <w:spacing w:val="-41"/>
        </w:rPr>
      </w:r>
      <w:r>
        <w:rPr/>
        <w:t>享、内外资源同生的资源运营生态，实现基于资源的多渠道合作运营和服务于多重用户云服务平台。</w:t>
      </w:r>
    </w:p>
    <w:p>
      <w:pPr>
        <w:pStyle w:val="BodyText"/>
        <w:spacing w:line="386" w:lineRule="auto" w:before="57"/>
        <w:ind w:right="0" w:firstLine="420"/>
        <w:jc w:val="left"/>
      </w:pPr>
      <w:r>
        <w:rPr>
          <w:spacing w:val="-2"/>
        </w:rPr>
        <w:t>（</w:t>
      </w:r>
      <w:r>
        <w:rPr>
          <w:rFonts w:ascii="Times New Roman" w:hAnsi="Times New Roman" w:cs="Times New Roman" w:eastAsia="Times New Roman" w:hint="default"/>
          <w:spacing w:val="-2"/>
        </w:rPr>
        <w:t>3</w:t>
      </w:r>
      <w:r>
        <w:rPr>
          <w:spacing w:val="-2"/>
        </w:rPr>
        <w:t>）自主研发产品：建立多学科、多版本、全学段建立以互联网云平台为技术基础的优质数字化教</w:t>
      </w:r>
      <w:r>
        <w:rPr>
          <w:w w:val="100"/>
        </w:rPr>
        <w:t> </w:t>
      </w:r>
      <w:r>
        <w:rPr/>
        <w:t>育产品整体解决方案</w:t>
      </w:r>
      <w:r>
        <w:rPr>
          <w:rFonts w:ascii="Times New Roman" w:hAnsi="Times New Roman" w:cs="Times New Roman" w:eastAsia="Times New Roman" w:hint="default"/>
        </w:rPr>
        <w:t>,</w:t>
      </w:r>
      <w:r>
        <w:rPr/>
        <w:t>为开放式在线教育运营奠定坚实的基础。</w:t>
      </w:r>
    </w:p>
    <w:p>
      <w:pPr>
        <w:pStyle w:val="BodyText"/>
        <w:spacing w:line="398" w:lineRule="auto" w:before="35"/>
        <w:ind w:right="1125" w:firstLine="420"/>
        <w:jc w:val="both"/>
      </w:pPr>
      <w:r>
        <w:rPr>
          <w:spacing w:val="-3"/>
        </w:rPr>
        <w:t>（</w:t>
      </w:r>
      <w:r>
        <w:rPr>
          <w:rFonts w:ascii="Times New Roman" w:hAnsi="Times New Roman" w:cs="Times New Roman" w:eastAsia="Times New Roman" w:hint="default"/>
          <w:spacing w:val="-3"/>
        </w:rPr>
        <w:t>4</w:t>
      </w:r>
      <w:r>
        <w:rPr>
          <w:spacing w:val="-3"/>
        </w:rPr>
        <w:t>）资源建设总目标：截止到</w:t>
      </w:r>
      <w:r>
        <w:rPr>
          <w:rFonts w:ascii="Times New Roman" w:hAnsi="Times New Roman" w:cs="Times New Roman" w:eastAsia="Times New Roman" w:hint="default"/>
          <w:spacing w:val="-3"/>
        </w:rPr>
        <w:t>2021</w:t>
      </w:r>
      <w:r>
        <w:rPr>
          <w:spacing w:val="-3"/>
        </w:rPr>
        <w:t>年完成覆盖小学、初中及高中学段（</w:t>
      </w:r>
      <w:r>
        <w:rPr>
          <w:rFonts w:ascii="Times New Roman" w:hAnsi="Times New Roman" w:cs="Times New Roman" w:eastAsia="Times New Roman" w:hint="default"/>
          <w:spacing w:val="-3"/>
        </w:rPr>
        <w:t>K12</w:t>
      </w:r>
      <w:r>
        <w:rPr>
          <w:spacing w:val="-3"/>
        </w:rPr>
        <w:t>）的多学科、多版本、全</w:t>
      </w:r>
      <w:r>
        <w:rPr>
          <w:w w:val="100"/>
        </w:rPr>
        <w:t> </w:t>
      </w:r>
      <w:r>
        <w:rPr>
          <w:spacing w:val="-2"/>
        </w:rPr>
        <w:t>学段的优质、同步、配套的教与学资源体系，覆盖课前、课中及课后主要教与学场景，为全方面的教与学</w:t>
      </w:r>
      <w:r>
        <w:rPr>
          <w:spacing w:val="-43"/>
        </w:rPr>
        <w:t> </w:t>
      </w:r>
      <w:r>
        <w:rPr>
          <w:spacing w:val="-43"/>
        </w:rPr>
      </w:r>
      <w:r>
        <w:rPr/>
        <w:t>提供资源服务。</w:t>
      </w:r>
    </w:p>
    <w:p>
      <w:pPr>
        <w:pStyle w:val="BodyText"/>
        <w:spacing w:line="398" w:lineRule="auto" w:before="54"/>
        <w:ind w:right="0" w:firstLine="420"/>
        <w:jc w:val="left"/>
      </w:pPr>
      <w:r>
        <w:rPr/>
        <w:t>（</w:t>
      </w:r>
      <w:r>
        <w:rPr>
          <w:rFonts w:ascii="Times New Roman" w:hAnsi="Times New Roman" w:cs="Times New Roman" w:eastAsia="Times New Roman" w:hint="default"/>
        </w:rPr>
        <w:t>5</w:t>
      </w:r>
      <w:r>
        <w:rPr/>
        <w:t>）数字教辅：数字教辅平台集教育资源建设、管理、教学评价、信息发布、教学应用为一体，实</w:t>
      </w:r>
      <w:r>
        <w:rPr>
          <w:w w:val="100"/>
        </w:rPr>
        <w:t> </w:t>
      </w:r>
      <w:r>
        <w:rPr>
          <w:spacing w:val="-2"/>
        </w:rPr>
        <w:t>现档案管理网络化；搭建了实时交互的沟通环境，为教师提供多媒体教学、以及研究、学习的平台；为学</w:t>
      </w:r>
      <w:r>
        <w:rPr>
          <w:spacing w:val="-43"/>
        </w:rPr>
        <w:t> </w:t>
      </w:r>
      <w:r>
        <w:rPr>
          <w:spacing w:val="-43"/>
        </w:rPr>
      </w:r>
      <w:r>
        <w:rPr/>
        <w:t>生提供学习、交流的空间；提供对外信息交流和社会、家长了解教育的窗口。</w:t>
      </w:r>
    </w:p>
    <w:p>
      <w:pPr>
        <w:pStyle w:val="BodyText"/>
        <w:spacing w:line="408" w:lineRule="auto" w:before="54"/>
        <w:ind w:right="0" w:firstLine="420"/>
        <w:jc w:val="left"/>
      </w:pPr>
      <w:r>
        <w:rPr>
          <w:spacing w:val="-2"/>
        </w:rPr>
        <w:t>将建立全方位评价体系，精心规划大数据在教育评价中的应用，全方位满足学校、教师、学生、家长</w:t>
      </w:r>
      <w:r>
        <w:rPr>
          <w:w w:val="100"/>
        </w:rPr>
        <w:t> </w:t>
      </w:r>
      <w:r>
        <w:rPr/>
        <w:t>的教育教学需求，将纸质教辅资源信息化，形成线下转换线上良性内容闭环。</w:t>
      </w:r>
    </w:p>
    <w:p>
      <w:pPr>
        <w:pStyle w:val="BodyText"/>
        <w:spacing w:line="408" w:lineRule="auto"/>
        <w:ind w:right="0" w:firstLine="420"/>
        <w:jc w:val="left"/>
      </w:pPr>
      <w:r>
        <w:rPr>
          <w:spacing w:val="-5"/>
        </w:rPr>
        <w:t>以全面实施素质教育为依据，以国家课程标准的基本要求为准绳，对学习和练习进行数据分析和追踪，</w:t>
      </w:r>
      <w:r>
        <w:rPr>
          <w:w w:val="100"/>
        </w:rPr>
        <w:t> </w:t>
      </w:r>
      <w:r>
        <w:rPr/>
        <w:t>为用户提供数据分析服务，满足基层部门的常态化应用，改善教学、教研和学业。</w:t>
      </w:r>
    </w:p>
    <w:p>
      <w:pPr>
        <w:pStyle w:val="BodyText"/>
        <w:spacing w:line="408" w:lineRule="auto"/>
        <w:ind w:right="0" w:firstLine="420"/>
        <w:jc w:val="left"/>
      </w:pPr>
      <w:r>
        <w:rPr/>
        <w:t>数字教辅平台将会建设成为集网络管理、教育资源、远程教育、教师培训、教学评测于一体的综合性</w:t>
      </w:r>
      <w:r>
        <w:rPr>
          <w:w w:val="100"/>
        </w:rPr>
        <w:t> </w:t>
      </w:r>
      <w:r>
        <w:rPr>
          <w:spacing w:val="-6"/>
          <w:w w:val="100"/>
        </w:rPr>
        <w:t>教育教学服务系统。平台建成以后</w:t>
      </w:r>
      <w:r>
        <w:rPr>
          <w:rFonts w:ascii="Times New Roman" w:hAnsi="Times New Roman" w:cs="Times New Roman" w:eastAsia="Times New Roman" w:hint="default"/>
          <w:spacing w:val="-6"/>
          <w:w w:val="100"/>
        </w:rPr>
        <w:t>,</w:t>
      </w:r>
      <w:r>
        <w:rPr>
          <w:spacing w:val="-6"/>
          <w:w w:val="100"/>
        </w:rPr>
        <w:t>将大大推动和促进教育信息化的发展，实现教育管理和教育资源的统一。</w:t>
      </w:r>
    </w:p>
    <w:p>
      <w:pPr>
        <w:pStyle w:val="BodyText"/>
        <w:spacing w:line="386" w:lineRule="auto" w:before="14"/>
        <w:ind w:right="175" w:firstLine="420"/>
        <w:jc w:val="left"/>
      </w:pPr>
      <w:r>
        <w:rPr>
          <w:spacing w:val="-5"/>
        </w:rPr>
        <w:t>（</w:t>
      </w:r>
      <w:r>
        <w:rPr>
          <w:rFonts w:ascii="Times New Roman" w:hAnsi="Times New Roman" w:cs="Times New Roman" w:eastAsia="Times New Roman" w:hint="default"/>
          <w:spacing w:val="-5"/>
        </w:rPr>
        <w:t>6</w:t>
      </w:r>
      <w:r>
        <w:rPr>
          <w:spacing w:val="-5"/>
        </w:rPr>
        <w:t>）木愚科技：以基于人工智能发展教育为主要目标，通过人工智能</w:t>
      </w:r>
      <w:r>
        <w:rPr>
          <w:rFonts w:ascii="Times New Roman" w:hAnsi="Times New Roman" w:cs="Times New Roman" w:eastAsia="Times New Roman" w:hint="default"/>
          <w:spacing w:val="-5"/>
        </w:rPr>
        <w:t>+</w:t>
      </w:r>
      <w:r>
        <w:rPr>
          <w:spacing w:val="-5"/>
        </w:rPr>
        <w:t>教育实现个性教学、分层教学、</w:t>
      </w:r>
      <w:r>
        <w:rPr>
          <w:w w:val="100"/>
        </w:rPr>
        <w:t> </w:t>
      </w:r>
      <w:r>
        <w:rPr/>
        <w:t>因材施教。</w:t>
      </w:r>
    </w:p>
    <w:p>
      <w:pPr>
        <w:pStyle w:val="BodyText"/>
        <w:spacing w:line="403" w:lineRule="auto" w:before="65"/>
        <w:ind w:right="1104" w:firstLine="420"/>
        <w:jc w:val="both"/>
      </w:pPr>
      <w:r>
        <w:rPr>
          <w:spacing w:val="-2"/>
        </w:rPr>
        <w:t>截止到</w:t>
      </w:r>
      <w:r>
        <w:rPr>
          <w:rFonts w:ascii="Times New Roman" w:hAnsi="Times New Roman" w:cs="Times New Roman" w:eastAsia="Times New Roman" w:hint="default"/>
          <w:spacing w:val="-2"/>
        </w:rPr>
        <w:t>2021</w:t>
      </w:r>
      <w:r>
        <w:rPr>
          <w:spacing w:val="-2"/>
        </w:rPr>
        <w:t>年，完成小学、初中学段的主流版本、主学科资源建设，完成数字教材、数字教辅等基础</w:t>
      </w:r>
      <w:r>
        <w:rPr>
          <w:w w:val="100"/>
        </w:rPr>
        <w:t> </w:t>
      </w:r>
      <w:r>
        <w:rPr>
          <w:spacing w:val="-2"/>
        </w:rPr>
        <w:t>资源的建设上，形成各科各版本的配套资源、同步题库，并打造和运营名师优课平台，进一步聚焦名师优</w:t>
      </w:r>
      <w:r>
        <w:rPr>
          <w:spacing w:val="-50"/>
        </w:rPr>
        <w:t> </w:t>
      </w:r>
      <w:r>
        <w:rPr>
          <w:spacing w:val="-50"/>
        </w:rPr>
      </w:r>
      <w:r>
        <w:rPr>
          <w:spacing w:val="-2"/>
        </w:rPr>
        <w:t>质资源。形成一方面满足传统征订、新华、数字教辅等模式的配套基础资源，继续保持公司在征订业务的</w:t>
      </w:r>
      <w:r>
        <w:rPr>
          <w:spacing w:val="-47"/>
        </w:rPr>
        <w:t> </w:t>
      </w:r>
      <w:r>
        <w:rPr>
          <w:spacing w:val="-47"/>
        </w:rPr>
      </w:r>
      <w:r>
        <w:rPr>
          <w:spacing w:val="-2"/>
        </w:rPr>
        <w:t>领先局面；另一方面，也建设形成学、练、测、评一体的自主资源体系，进一步满足个性化发展的需要。</w:t>
      </w:r>
      <w:r>
        <w:rPr>
          <w:spacing w:val="-21"/>
        </w:rPr>
        <w:t> </w:t>
      </w:r>
      <w:r>
        <w:rPr>
          <w:spacing w:val="-21"/>
        </w:rPr>
      </w:r>
      <w:r>
        <w:rPr/>
        <w:t>高中学段资源建设依托项目驱动实现。</w:t>
      </w:r>
    </w:p>
    <w:p>
      <w:pPr>
        <w:pStyle w:val="Heading6"/>
        <w:spacing w:line="349" w:lineRule="exact"/>
        <w:ind w:left="575" w:right="0"/>
        <w:jc w:val="left"/>
        <w:rPr>
          <w:b w:val="0"/>
          <w:bCs w:val="0"/>
        </w:rPr>
      </w:pPr>
      <w:r>
        <w:rPr/>
        <w:t>（三）</w:t>
      </w:r>
      <w:r>
        <w:rPr>
          <w:rFonts w:ascii="Times New Roman" w:hAnsi="Times New Roman" w:cs="Times New Roman" w:eastAsia="Times New Roman" w:hint="default"/>
        </w:rPr>
        <w:t>2019</w:t>
      </w:r>
      <w:r>
        <w:rPr/>
        <w:t>年经营工作计划</w:t>
      </w:r>
      <w:r>
        <w:rPr>
          <w:b w:val="0"/>
          <w:bCs w:val="0"/>
        </w:rPr>
      </w:r>
    </w:p>
    <w:p>
      <w:pPr>
        <w:spacing w:after="0" w:line="349" w:lineRule="exact"/>
        <w:jc w:val="left"/>
        <w:sectPr>
          <w:pgSz w:w="11910" w:h="16840"/>
          <w:pgMar w:header="880" w:footer="979" w:top="1100" w:bottom="1160" w:left="980" w:right="0"/>
        </w:sectPr>
      </w:pPr>
    </w:p>
    <w:p>
      <w:pPr>
        <w:spacing w:line="240" w:lineRule="auto" w:before="4"/>
        <w:rPr>
          <w:rFonts w:ascii="Microsoft JhengHei" w:hAnsi="Microsoft JhengHei" w:cs="Microsoft JhengHei" w:eastAsia="Microsoft JhengHei" w:hint="default"/>
          <w:b/>
          <w:bCs/>
          <w:sz w:val="20"/>
          <w:szCs w:val="20"/>
        </w:rPr>
      </w:pPr>
    </w:p>
    <w:p>
      <w:pPr>
        <w:pStyle w:val="BodyText"/>
        <w:spacing w:line="398" w:lineRule="auto" w:before="36"/>
        <w:ind w:right="0" w:firstLine="420"/>
        <w:jc w:val="left"/>
      </w:pPr>
      <w:r>
        <w:rPr>
          <w:rFonts w:ascii="Times New Roman" w:hAnsi="Times New Roman" w:cs="Times New Roman" w:eastAsia="Times New Roman" w:hint="default"/>
        </w:rPr>
        <w:t>2019</w:t>
      </w:r>
      <w:r>
        <w:rPr/>
        <w:t>年公司将继续依照科技服务于教育的经营理念大力发展在线教育资源运营和服务，紧密围绕发展</w:t>
      </w:r>
      <w:r>
        <w:rPr>
          <w:w w:val="100"/>
        </w:rPr>
        <w:t> </w:t>
      </w:r>
      <w:r>
        <w:rPr>
          <w:spacing w:val="-5"/>
        </w:rPr>
        <w:t>战略，加快业务发展，推进资源整合和投资并购，进一步推动经营业绩的快速提升和业务结构的转型跨越。 </w:t>
      </w:r>
      <w:r>
        <w:rPr>
          <w:spacing w:val="-5"/>
        </w:rPr>
      </w:r>
      <w:r>
        <w:rPr/>
        <w:t>为确保</w:t>
      </w:r>
      <w:r>
        <w:rPr>
          <w:rFonts w:ascii="Times New Roman" w:hAnsi="Times New Roman" w:cs="Times New Roman" w:eastAsia="Times New Roman" w:hint="default"/>
        </w:rPr>
        <w:t>2019</w:t>
      </w:r>
      <w:r>
        <w:rPr/>
        <w:t>年经营目标的实现，公司将着重做好以下工作：</w:t>
      </w:r>
    </w:p>
    <w:p>
      <w:pPr>
        <w:pStyle w:val="BodyText"/>
        <w:spacing w:line="400" w:lineRule="auto" w:before="24"/>
        <w:ind w:right="0" w:firstLine="420"/>
        <w:jc w:val="left"/>
      </w:pPr>
      <w:r>
        <w:rPr>
          <w:rFonts w:ascii="Times New Roman" w:hAnsi="Times New Roman" w:cs="Times New Roman" w:eastAsia="Times New Roman" w:hint="default"/>
        </w:rPr>
        <w:t>2019</w:t>
      </w:r>
      <w:r>
        <w:rPr/>
        <w:t>年公司将继续秉持“人人分享优质教育”的理念，坚持“科技服务于教育”，大力发展在线教育</w:t>
      </w:r>
      <w:r>
        <w:rPr>
          <w:w w:val="100"/>
        </w:rPr>
        <w:t> </w:t>
      </w:r>
      <w:r>
        <w:rPr>
          <w:spacing w:val="-5"/>
        </w:rPr>
        <w:t>资源运营和服务，紧密围绕公司发展战略，进一步推动互联网教育转型升级，同时加快推进优质资源整合，</w:t>
      </w:r>
      <w:r>
        <w:rPr>
          <w:spacing w:val="-6"/>
        </w:rPr>
        <w:t> </w:t>
      </w:r>
      <w:r>
        <w:rPr>
          <w:spacing w:val="-6"/>
        </w:rPr>
      </w:r>
      <w:r>
        <w:rPr>
          <w:spacing w:val="-2"/>
        </w:rPr>
        <w:t>积极探索教育行业各细分领域的投资并购机会，推动公司业务外延式发展，加速经营业绩的快速提升和业</w:t>
      </w:r>
      <w:r>
        <w:rPr>
          <w:spacing w:val="-43"/>
        </w:rPr>
        <w:t> </w:t>
      </w:r>
      <w:r>
        <w:rPr>
          <w:spacing w:val="-43"/>
        </w:rPr>
      </w:r>
      <w:r>
        <w:rPr/>
        <w:t>务结构的优化转型。</w:t>
      </w:r>
    </w:p>
    <w:p>
      <w:pPr>
        <w:pStyle w:val="BodyText"/>
        <w:spacing w:line="386" w:lineRule="auto" w:before="52"/>
        <w:ind w:right="0" w:firstLine="420"/>
        <w:jc w:val="left"/>
      </w:pPr>
      <w:r>
        <w:rPr>
          <w:rFonts w:ascii="Times New Roman" w:hAnsi="Times New Roman" w:cs="Times New Roman" w:eastAsia="Times New Roman" w:hint="default"/>
        </w:rPr>
        <w:t>1</w:t>
      </w:r>
      <w:r>
        <w:rPr/>
        <w:t>、营销建设方面：根据人人分享优质教育的企业使命，大规模发展用户，从中选择高付费用户，提</w:t>
      </w:r>
      <w:r>
        <w:rPr>
          <w:w w:val="100"/>
        </w:rPr>
        <w:t> </w:t>
      </w:r>
      <w:r>
        <w:rPr>
          <w:spacing w:val="-7"/>
        </w:rPr>
        <w:t>升高端客户服务价值。解决从普及到定制高中低端服务痛点，满足从整体到个体课内课外学习需求。在</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年重点建设深圳、广州、北京一线城市，通过</w:t>
      </w:r>
      <w:r>
        <w:rPr>
          <w:rFonts w:ascii="Times New Roman" w:hAnsi="Times New Roman" w:cs="Times New Roman" w:eastAsia="Times New Roman" w:hint="default"/>
          <w:spacing w:val="-2"/>
        </w:rPr>
        <w:t>VIP</w:t>
      </w:r>
      <w:r>
        <w:rPr>
          <w:spacing w:val="-2"/>
        </w:rPr>
        <w:t>学校服务理念更新，以及标杆案例推广加强团队服务技</w:t>
      </w:r>
      <w:r>
        <w:rPr>
          <w:spacing w:val="-21"/>
        </w:rPr>
        <w:t> </w:t>
      </w:r>
      <w:r>
        <w:rPr>
          <w:spacing w:val="-21"/>
        </w:rPr>
      </w:r>
      <w:r>
        <w:rPr/>
        <w:t>能培训，着力提升团队信息化应用素养整体水平，从而提升公司整体营销水平。</w:t>
      </w:r>
    </w:p>
    <w:p>
      <w:pPr>
        <w:pStyle w:val="BodyText"/>
        <w:spacing w:line="391" w:lineRule="auto" w:before="65"/>
        <w:ind w:right="1128" w:firstLine="420"/>
        <w:jc w:val="both"/>
      </w:pPr>
      <w:r>
        <w:rPr>
          <w:rFonts w:ascii="Times New Roman" w:hAnsi="Times New Roman" w:cs="Times New Roman" w:eastAsia="Times New Roman" w:hint="default"/>
          <w:spacing w:val="-2"/>
        </w:rPr>
        <w:t>2</w:t>
      </w:r>
      <w:r>
        <w:rPr>
          <w:spacing w:val="-2"/>
        </w:rPr>
        <w:t>、平台建设方面：持续推进</w:t>
      </w:r>
      <w:r>
        <w:rPr>
          <w:rFonts w:ascii="Times New Roman" w:hAnsi="Times New Roman" w:cs="Times New Roman" w:eastAsia="Times New Roman" w:hint="default"/>
          <w:spacing w:val="-2"/>
        </w:rPr>
        <w:t>MOD</w:t>
      </w:r>
      <w:r>
        <w:rPr>
          <w:spacing w:val="-2"/>
        </w:rPr>
        <w:t>资源平台系统建设，包括数据分析系统、产品接入管理系统、教学</w:t>
      </w:r>
      <w:r>
        <w:rPr>
          <w:w w:val="100"/>
        </w:rPr>
        <w:t> </w:t>
      </w:r>
      <w:r>
        <w:rPr>
          <w:spacing w:val="-4"/>
        </w:rPr>
        <w:t>资源系统、题库资源系统、知识点引擎的迭代与新建，实现资源平台全学科全学段覆盖。基于</w:t>
      </w:r>
      <w:r>
        <w:rPr>
          <w:rFonts w:ascii="Times New Roman" w:hAnsi="Times New Roman" w:cs="Times New Roman" w:eastAsia="Times New Roman" w:hint="default"/>
          <w:spacing w:val="-4"/>
        </w:rPr>
        <w:t>MOD</w:t>
      </w:r>
      <w:r>
        <w:rPr>
          <w:spacing w:val="-4"/>
        </w:rPr>
        <w:t>资源平</w:t>
      </w:r>
      <w:r>
        <w:rPr>
          <w:spacing w:val="-22"/>
        </w:rPr>
        <w:t> </w:t>
      </w:r>
      <w:r>
        <w:rPr>
          <w:spacing w:val="-22"/>
        </w:rPr>
      </w:r>
      <w:r>
        <w:rPr>
          <w:spacing w:val="-2"/>
        </w:rPr>
        <w:t>台规划，持续输出更多的资源标准规范，完善平台功能性建设，尝试对市场化导向的新产品预演，并优先</w:t>
      </w:r>
      <w:r>
        <w:rPr>
          <w:spacing w:val="-50"/>
        </w:rPr>
        <w:t> </w:t>
      </w:r>
      <w:r>
        <w:rPr>
          <w:spacing w:val="-50"/>
        </w:rPr>
      </w:r>
      <w:r>
        <w:rPr>
          <w:spacing w:val="-2"/>
        </w:rPr>
        <w:t>支撑收入型的产品协同开发。在持续建设平台能力的同时有序支撑</w:t>
      </w:r>
      <w:r>
        <w:rPr>
          <w:rFonts w:ascii="Times New Roman" w:hAnsi="Times New Roman" w:cs="Times New Roman" w:eastAsia="Times New Roman" w:hint="default"/>
          <w:spacing w:val="-2"/>
        </w:rPr>
        <w:t>APP</w:t>
      </w:r>
      <w:r>
        <w:rPr>
          <w:spacing w:val="-2"/>
        </w:rPr>
        <w:t>、小程序、个性辅导等产品的分模</w:t>
      </w:r>
      <w:r>
        <w:rPr>
          <w:spacing w:val="-18"/>
        </w:rPr>
        <w:t> </w:t>
      </w:r>
      <w:r>
        <w:rPr>
          <w:spacing w:val="-18"/>
        </w:rPr>
      </w:r>
      <w:r>
        <w:rPr/>
        <w:t>块接入（包括学习报告、错题集等分类模块），形成一套高效的联合开发和联调对接机制。</w:t>
      </w:r>
    </w:p>
    <w:p>
      <w:pPr>
        <w:pStyle w:val="BodyText"/>
        <w:spacing w:line="240" w:lineRule="auto" w:before="61"/>
        <w:ind w:left="573" w:right="0"/>
        <w:jc w:val="left"/>
      </w:pPr>
      <w:r>
        <w:rPr>
          <w:rFonts w:ascii="Times New Roman" w:hAnsi="Times New Roman" w:cs="Times New Roman" w:eastAsia="Times New Roman" w:hint="default"/>
        </w:rPr>
        <w:t>3</w:t>
      </w:r>
      <w:r>
        <w:rPr/>
        <w:t>、自主研发产品：构建教与学立体的产品体系</w:t>
      </w:r>
    </w:p>
    <w:p>
      <w:pPr>
        <w:pStyle w:val="BodyText"/>
        <w:spacing w:line="400" w:lineRule="auto" w:before="177"/>
        <w:ind w:right="1126" w:firstLine="420"/>
        <w:jc w:val="both"/>
      </w:pPr>
      <w:r>
        <w:rPr>
          <w:rFonts w:ascii="Times New Roman" w:hAnsi="Times New Roman" w:cs="Times New Roman" w:eastAsia="Times New Roman" w:hint="default"/>
          <w:spacing w:val="-2"/>
        </w:rPr>
        <w:t>2019</w:t>
      </w:r>
      <w:r>
        <w:rPr>
          <w:spacing w:val="-2"/>
        </w:rPr>
        <w:t>年以英语、语文语言类学科为核心自主研发产品，进一步丰富和优化小学各科资源，围绕语文学</w:t>
      </w:r>
      <w:r>
        <w:rPr>
          <w:w w:val="100"/>
        </w:rPr>
        <w:t> </w:t>
      </w:r>
      <w:r>
        <w:rPr>
          <w:spacing w:val="-2"/>
        </w:rPr>
        <w:t>科，建设和推广中华优秀传统文化资源。在英语取得突破的情况下，建设的重点转向初中。初中学段已转</w:t>
      </w:r>
      <w:r>
        <w:rPr>
          <w:spacing w:val="-50"/>
        </w:rPr>
        <w:t> </w:t>
      </w:r>
      <w:r>
        <w:rPr>
          <w:spacing w:val="-50"/>
        </w:rPr>
      </w:r>
      <w:r>
        <w:rPr>
          <w:spacing w:val="-2"/>
        </w:rPr>
        <w:t>向应试方向，初中将重点推进并完成以学科专项及中考专题为主的资源建设，名师资源的引导作用将进一</w:t>
      </w:r>
      <w:r>
        <w:rPr>
          <w:spacing w:val="-43"/>
        </w:rPr>
        <w:t> </w:t>
      </w:r>
      <w:r>
        <w:rPr>
          <w:spacing w:val="-43"/>
        </w:rPr>
      </w:r>
      <w:r>
        <w:rPr/>
        <w:t>步加强。</w:t>
      </w:r>
    </w:p>
    <w:p>
      <w:pPr>
        <w:pStyle w:val="BodyText"/>
        <w:spacing w:line="400" w:lineRule="auto" w:before="52"/>
        <w:ind w:right="1104" w:firstLine="420"/>
        <w:jc w:val="both"/>
      </w:pPr>
      <w:r>
        <w:rPr>
          <w:rFonts w:ascii="Times New Roman" w:hAnsi="Times New Roman" w:cs="Times New Roman" w:eastAsia="Times New Roman" w:hint="default"/>
          <w:spacing w:val="-2"/>
        </w:rPr>
        <w:t>4</w:t>
      </w:r>
      <w:r>
        <w:rPr>
          <w:spacing w:val="-2"/>
        </w:rPr>
        <w:t>、资源建设方面</w:t>
      </w:r>
      <w:r>
        <w:rPr>
          <w:rFonts w:ascii="Times New Roman" w:hAnsi="Times New Roman" w:cs="Times New Roman" w:eastAsia="Times New Roman" w:hint="default"/>
          <w:spacing w:val="-2"/>
        </w:rPr>
        <w:t>:</w:t>
      </w:r>
      <w:r>
        <w:rPr>
          <w:spacing w:val="-2"/>
        </w:rPr>
        <w:t>确定以小学阶段用户为主要目标用户群体，重点加快英语资源的产品化，全面推进</w:t>
      </w:r>
      <w:r>
        <w:rPr>
          <w:w w:val="100"/>
        </w:rPr>
        <w:t> </w:t>
      </w:r>
      <w:r>
        <w:rPr>
          <w:spacing w:val="-2"/>
        </w:rPr>
        <w:t>语文、数学等多学科的资源建设，在征订、数字教辅等项目驱动下，形成小学主流学科资源的整体覆盖。</w:t>
      </w:r>
      <w:r>
        <w:rPr>
          <w:spacing w:val="-21"/>
        </w:rPr>
        <w:t> </w:t>
      </w:r>
      <w:r>
        <w:rPr>
          <w:spacing w:val="-21"/>
        </w:rPr>
      </w:r>
      <w:r>
        <w:rPr>
          <w:spacing w:val="-2"/>
        </w:rPr>
        <w:t>与此同时，加快推动全学科名师优课精品资源的引进，建立与名师共同运营推广的模式，打造业内标杆名</w:t>
      </w:r>
      <w:r>
        <w:rPr>
          <w:spacing w:val="-43"/>
        </w:rPr>
        <w:t> </w:t>
      </w:r>
      <w:r>
        <w:rPr>
          <w:spacing w:val="-43"/>
        </w:rPr>
      </w:r>
      <w:r>
        <w:rPr/>
        <w:t>师，从而形成宣传带动作用。</w:t>
      </w:r>
    </w:p>
    <w:p>
      <w:pPr>
        <w:pStyle w:val="BodyText"/>
        <w:spacing w:line="386" w:lineRule="auto" w:before="52"/>
        <w:ind w:right="0" w:firstLine="420"/>
        <w:jc w:val="left"/>
      </w:pPr>
      <w:r>
        <w:rPr>
          <w:rFonts w:ascii="Times New Roman" w:hAnsi="Times New Roman" w:cs="Times New Roman" w:eastAsia="Times New Roman" w:hint="default"/>
          <w:spacing w:val="-2"/>
        </w:rPr>
        <w:t>5</w:t>
      </w:r>
      <w:r>
        <w:rPr>
          <w:spacing w:val="-2"/>
        </w:rPr>
        <w:t>、人才建设方面：根据公司发展要求，加大优秀人才的引进与培养：建立初、中、高级任职资格标</w:t>
      </w:r>
      <w:r>
        <w:rPr>
          <w:w w:val="100"/>
        </w:rPr>
        <w:t> </w:t>
      </w:r>
      <w:r>
        <w:rPr/>
        <w:t>准，完成初级人才培养计划，依据任职资格标准建立快进快出的考核机制。</w:t>
      </w:r>
    </w:p>
    <w:p>
      <w:pPr>
        <w:pStyle w:val="Heading6"/>
        <w:spacing w:line="364" w:lineRule="exact"/>
        <w:ind w:left="575" w:right="0"/>
        <w:jc w:val="left"/>
        <w:rPr>
          <w:b w:val="0"/>
          <w:bCs w:val="0"/>
        </w:rPr>
      </w:pPr>
      <w:r>
        <w:rPr/>
        <w:t>（四）公司未来发展可能面临的风险</w:t>
      </w:r>
      <w:r>
        <w:rPr>
          <w:b w:val="0"/>
          <w:bCs w:val="0"/>
        </w:rPr>
      </w:r>
    </w:p>
    <w:p>
      <w:pPr>
        <w:spacing w:line="350" w:lineRule="auto" w:before="102"/>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、市场不规范竞争风险</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近年来，在“互联网</w:t>
      </w:r>
      <w:r>
        <w:rPr>
          <w:rFonts w:ascii="宋体" w:hAnsi="宋体" w:cs="宋体" w:eastAsia="宋体" w:hint="default"/>
          <w:spacing w:val="-2"/>
          <w:sz w:val="21"/>
          <w:szCs w:val="21"/>
        </w:rPr>
        <w:t>+</w:t>
      </w:r>
      <w:r>
        <w:rPr>
          <w:rFonts w:ascii="宋体" w:hAnsi="宋体" w:cs="宋体" w:eastAsia="宋体" w:hint="default"/>
          <w:spacing w:val="-2"/>
          <w:sz w:val="21"/>
          <w:szCs w:val="21"/>
        </w:rPr>
        <w:t>”的资本热潮推波助燃下，市场上出现了很多在线教育企业，部分在线教育企</w:t>
      </w:r>
    </w:p>
    <w:p>
      <w:pPr>
        <w:spacing w:after="0" w:line="350" w:lineRule="auto"/>
        <w:jc w:val="left"/>
        <w:rPr>
          <w:rFonts w:ascii="宋体" w:hAnsi="宋体" w:cs="宋体" w:eastAsia="宋体" w:hint="default"/>
          <w:sz w:val="21"/>
          <w:szCs w:val="21"/>
        </w:rPr>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业存在含有网络游戏、商业广告、诱导性消费、内容盗版、质量粗糙、侵犯知识产权等情况，行业竞争环</w:t>
      </w:r>
      <w:r>
        <w:rPr>
          <w:spacing w:val="-42"/>
        </w:rPr>
        <w:t> </w:t>
      </w:r>
      <w:r>
        <w:rPr>
          <w:spacing w:val="-42"/>
        </w:rPr>
      </w:r>
      <w:r>
        <w:rPr>
          <w:spacing w:val="-2"/>
        </w:rPr>
        <w:t>境受到一定影响。随着政府不断完善法律法规政策，竞争环境将有所缓解。公司也将把握政策导向和市场</w:t>
      </w:r>
      <w:r>
        <w:rPr>
          <w:spacing w:val="-44"/>
        </w:rPr>
        <w:t> </w:t>
      </w:r>
      <w:r>
        <w:rPr>
          <w:spacing w:val="-44"/>
        </w:rPr>
      </w:r>
      <w:r>
        <w:rPr>
          <w:spacing w:val="-2"/>
        </w:rPr>
        <w:t>需求，加强知识产权保护，增大研发投入从而提升产品研发迭代能力以及增强持续创新的能力，同时建设</w:t>
      </w:r>
      <w:r>
        <w:rPr>
          <w:spacing w:val="-44"/>
        </w:rPr>
        <w:t> </w:t>
      </w:r>
      <w:r>
        <w:rPr>
          <w:spacing w:val="-44"/>
        </w:rPr>
      </w:r>
      <w:r>
        <w:rPr/>
        <w:t>完善的渠道服务体系以满足市场需求。</w:t>
      </w:r>
    </w:p>
    <w:p>
      <w:pPr>
        <w:pStyle w:val="Heading6"/>
        <w:spacing w:line="345" w:lineRule="exact"/>
        <w:ind w:left="575" w:right="0"/>
        <w:jc w:val="left"/>
        <w:rPr>
          <w:b w:val="0"/>
          <w:bCs w:val="0"/>
        </w:rPr>
      </w:pPr>
      <w:r>
        <w:rPr>
          <w:rFonts w:ascii="Times New Roman" w:hAnsi="Times New Roman" w:cs="Times New Roman" w:eastAsia="Times New Roman" w:hint="default"/>
        </w:rPr>
        <w:t>2</w:t>
      </w:r>
      <w:r>
        <w:rPr/>
        <w:t>、客户相对集中的风险</w:t>
      </w:r>
      <w:r>
        <w:rPr>
          <w:b w:val="0"/>
          <w:bCs w:val="0"/>
        </w:rPr>
      </w:r>
    </w:p>
    <w:p>
      <w:pPr>
        <w:pStyle w:val="BodyText"/>
        <w:spacing w:line="408" w:lineRule="auto" w:before="169"/>
        <w:ind w:right="0" w:firstLine="420"/>
        <w:jc w:val="left"/>
      </w:pPr>
      <w:r>
        <w:rPr/>
        <w:t>目前公司的销售区域仍主要以珠三角，长三角及京津地区等大中城市为主，市场区域相对集中并存在</w:t>
      </w:r>
      <w:r>
        <w:rPr>
          <w:w w:val="100"/>
        </w:rPr>
        <w:t> </w:t>
      </w:r>
      <w:r>
        <w:rPr>
          <w:spacing w:val="-2"/>
        </w:rPr>
        <w:t>一定风险，可能对本公司未来盈利能力造成影响。公司将通过技术研发和产品拓展计划，营销渠道拓展计</w:t>
      </w:r>
      <w:r>
        <w:rPr>
          <w:spacing w:val="-43"/>
        </w:rPr>
        <w:t> </w:t>
      </w:r>
      <w:r>
        <w:rPr>
          <w:spacing w:val="-43"/>
        </w:rPr>
      </w:r>
      <w:r>
        <w:rPr>
          <w:spacing w:val="-2"/>
        </w:rPr>
        <w:t>划解决上述产品及销售区域较为集中的风险。一方面通过开发语文、数学等其他学科的研发，将各学科发</w:t>
      </w:r>
      <w:r>
        <w:rPr>
          <w:spacing w:val="-44"/>
        </w:rPr>
        <w:t> </w:t>
      </w:r>
      <w:r>
        <w:rPr>
          <w:spacing w:val="-44"/>
        </w:rPr>
      </w:r>
      <w:r>
        <w:rPr>
          <w:spacing w:val="-2"/>
        </w:rPr>
        <w:t>展均衡。另一方面，公司将把开创新的销售区域作为战略重点，通过与现有的主流出版社、教研系统所建</w:t>
      </w:r>
      <w:r>
        <w:rPr>
          <w:spacing w:val="-47"/>
        </w:rPr>
        <w:t> </w:t>
      </w:r>
      <w:r>
        <w:rPr>
          <w:spacing w:val="-47"/>
        </w:rPr>
      </w:r>
      <w:r>
        <w:rPr>
          <w:spacing w:val="-5"/>
        </w:rPr>
        <w:t>立的良好的合作关系，充分把握各地中小学教材的新特点、新趋势，对潜在用户的市场需求进行调研分析， </w:t>
      </w:r>
      <w:r>
        <w:rPr>
          <w:spacing w:val="-5"/>
        </w:rPr>
      </w:r>
      <w:r>
        <w:rPr>
          <w:spacing w:val="-2"/>
        </w:rPr>
        <w:t>积极开发地方版本系列以满足二、三线城市的拓展需求。同时全面加速推进公司优质资源建设、自主知识</w:t>
      </w:r>
      <w:r>
        <w:rPr>
          <w:spacing w:val="-43"/>
        </w:rPr>
        <w:t> </w:t>
      </w:r>
      <w:r>
        <w:rPr>
          <w:spacing w:val="-43"/>
        </w:rPr>
      </w:r>
      <w:r>
        <w:rPr>
          <w:spacing w:val="-2"/>
        </w:rPr>
        <w:t>产权建设及平台建设，完成覆盖小学、初中、高中学段的多学科、多版本、全学段的优质、同步、配套的</w:t>
      </w:r>
      <w:r>
        <w:rPr>
          <w:spacing w:val="-48"/>
        </w:rPr>
        <w:t> </w:t>
      </w:r>
      <w:r>
        <w:rPr>
          <w:spacing w:val="-48"/>
        </w:rPr>
      </w:r>
      <w:r>
        <w:rPr/>
        <w:t>教与学资源体系，从而有效解决客户相对集中的风险。</w:t>
      </w:r>
    </w:p>
    <w:p>
      <w:pPr>
        <w:pStyle w:val="Heading6"/>
        <w:spacing w:line="345" w:lineRule="exact"/>
        <w:ind w:left="575" w:right="0"/>
        <w:jc w:val="left"/>
        <w:rPr>
          <w:b w:val="0"/>
          <w:bCs w:val="0"/>
        </w:rPr>
      </w:pPr>
      <w:r>
        <w:rPr>
          <w:rFonts w:ascii="Times New Roman" w:hAnsi="Times New Roman" w:cs="Times New Roman" w:eastAsia="Times New Roman" w:hint="default"/>
        </w:rPr>
        <w:t>3</w:t>
      </w:r>
      <w:r>
        <w:rPr/>
        <w:t>、新产品开发和技术更新换代的风险</w:t>
      </w:r>
      <w:r>
        <w:rPr>
          <w:b w:val="0"/>
          <w:bCs w:val="0"/>
        </w:rPr>
      </w:r>
    </w:p>
    <w:p>
      <w:pPr>
        <w:pStyle w:val="BodyText"/>
        <w:spacing w:line="408" w:lineRule="auto" w:before="169"/>
        <w:ind w:right="0" w:firstLine="420"/>
        <w:jc w:val="left"/>
      </w:pPr>
      <w:r>
        <w:rPr/>
        <w:t>市场需求不断变化，教育技术应用趋势在动态变化，如人工智能、大数据等前沿技术不断发展迭代。</w:t>
      </w:r>
      <w:r>
        <w:rPr>
          <w:w w:val="100"/>
        </w:rPr>
        <w:t> </w:t>
      </w:r>
      <w:r>
        <w:rPr>
          <w:spacing w:val="-2"/>
        </w:rPr>
        <w:t>如果公司对行业关键技术的发展动态不能及时掌控，对教育教学当中的新理念以及广大教师和学生的教学</w:t>
      </w:r>
      <w:r>
        <w:rPr>
          <w:spacing w:val="-43"/>
        </w:rPr>
        <w:t> </w:t>
      </w:r>
      <w:r>
        <w:rPr>
          <w:spacing w:val="-43"/>
        </w:rPr>
      </w:r>
      <w:r>
        <w:rPr>
          <w:spacing w:val="-2"/>
        </w:rPr>
        <w:t>需求不能正确把握，研发的产品将不具备竞争力。公司会积极投入同步教学软件及在线教育网络服务开发</w:t>
      </w:r>
      <w:r>
        <w:rPr>
          <w:spacing w:val="-42"/>
        </w:rPr>
        <w:t> </w:t>
      </w:r>
      <w:r>
        <w:rPr>
          <w:spacing w:val="-42"/>
        </w:rPr>
      </w:r>
      <w:r>
        <w:rPr>
          <w:spacing w:val="-5"/>
        </w:rPr>
        <w:t>平台的开发，使公司开发的同步教育服务类产品具有更强的针对性和实用性；同时加强基础教育项目研究， </w:t>
      </w:r>
      <w:r>
        <w:rPr>
          <w:spacing w:val="-5"/>
        </w:rPr>
      </w:r>
      <w:r>
        <w:rPr/>
        <w:t>在开发实施过程中进行有效管理、把握开发周期、降低开发成本。</w:t>
      </w:r>
    </w:p>
    <w:p>
      <w:pPr>
        <w:pStyle w:val="Heading6"/>
        <w:spacing w:line="345" w:lineRule="exact"/>
        <w:ind w:left="575" w:right="0"/>
        <w:jc w:val="left"/>
        <w:rPr>
          <w:b w:val="0"/>
          <w:bCs w:val="0"/>
        </w:rPr>
      </w:pPr>
      <w:r>
        <w:rPr>
          <w:rFonts w:ascii="Times New Roman" w:hAnsi="Times New Roman" w:cs="Times New Roman" w:eastAsia="Times New Roman" w:hint="default"/>
        </w:rPr>
        <w:t>4</w:t>
      </w:r>
      <w:r>
        <w:rPr/>
        <w:t>、募集资金投资项目风险</w:t>
      </w:r>
      <w:r>
        <w:rPr>
          <w:b w:val="0"/>
          <w:bCs w:val="0"/>
        </w:rPr>
      </w:r>
    </w:p>
    <w:p>
      <w:pPr>
        <w:pStyle w:val="BodyText"/>
        <w:spacing w:line="408" w:lineRule="auto" w:before="169"/>
        <w:ind w:right="1126" w:firstLine="420"/>
        <w:jc w:val="both"/>
      </w:pPr>
      <w:r>
        <w:rPr>
          <w:spacing w:val="-2"/>
        </w:rPr>
        <w:t>公司非公开发行的募集资金将投入“教学研云平台”、“同步资源学习系统”项目。募集资金投资项</w:t>
      </w:r>
      <w:r>
        <w:rPr>
          <w:w w:val="100"/>
        </w:rPr>
        <w:t> </w:t>
      </w:r>
      <w:r>
        <w:rPr>
          <w:spacing w:val="-2"/>
        </w:rPr>
        <w:t>目的顺利实施，将进一步增强公司的研发实力，扩大公司在既有市场的占有率并开拓新市场，提升公司的</w:t>
      </w:r>
      <w:r>
        <w:rPr>
          <w:spacing w:val="-45"/>
        </w:rPr>
        <w:t> </w:t>
      </w:r>
      <w:r>
        <w:rPr>
          <w:spacing w:val="-45"/>
        </w:rPr>
      </w:r>
      <w:r>
        <w:rPr>
          <w:spacing w:val="-2"/>
        </w:rPr>
        <w:t>综合竞争力。尽管公司对前述建设项目已有一定的技术、人才及客户资源储备，并在项目实施前进行了充</w:t>
      </w:r>
      <w:r>
        <w:rPr>
          <w:spacing w:val="-43"/>
        </w:rPr>
        <w:t> </w:t>
      </w:r>
      <w:r>
        <w:rPr>
          <w:spacing w:val="-43"/>
        </w:rPr>
      </w:r>
      <w:r>
        <w:rPr>
          <w:spacing w:val="-2"/>
        </w:rPr>
        <w:t>分的可行性论证，但该论证系基于目前的技术发展水平、国家产业政策、国内外市场环境、客户需求情况</w:t>
      </w:r>
      <w:r>
        <w:rPr>
          <w:spacing w:val="-47"/>
        </w:rPr>
        <w:t> </w:t>
      </w:r>
      <w:r>
        <w:rPr>
          <w:spacing w:val="-47"/>
        </w:rPr>
      </w:r>
      <w:r>
        <w:rPr>
          <w:spacing w:val="-2"/>
        </w:rPr>
        <w:t>等条件所作出的投资决策，在实际运营过程中，随着时间的推移，上述因素存在发生变化的可能。由于市</w:t>
      </w:r>
      <w:r>
        <w:rPr>
          <w:spacing w:val="-47"/>
        </w:rPr>
        <w:t> </w:t>
      </w:r>
      <w:r>
        <w:rPr>
          <w:spacing w:val="-47"/>
        </w:rPr>
      </w:r>
      <w:r>
        <w:rPr/>
        <w:t>场本身具有的不确定性因素，仍有可能使该项目实施后面临一定的市场风险。</w:t>
      </w:r>
    </w:p>
    <w:p>
      <w:pPr>
        <w:pStyle w:val="Heading6"/>
        <w:spacing w:line="345" w:lineRule="exact"/>
        <w:ind w:left="575" w:right="0"/>
        <w:jc w:val="left"/>
        <w:rPr>
          <w:b w:val="0"/>
          <w:bCs w:val="0"/>
        </w:rPr>
      </w:pPr>
      <w:r>
        <w:rPr>
          <w:rFonts w:ascii="Times New Roman" w:hAnsi="Times New Roman" w:cs="Times New Roman" w:eastAsia="Times New Roman" w:hint="default"/>
        </w:rPr>
        <w:t>5</w:t>
      </w:r>
      <w:r>
        <w:rPr/>
        <w:t>、千锋互联投资退股回款的风险</w:t>
      </w:r>
      <w:r>
        <w:rPr>
          <w:b w:val="0"/>
          <w:bCs w:val="0"/>
        </w:rPr>
      </w:r>
    </w:p>
    <w:p>
      <w:pPr>
        <w:pStyle w:val="BodyText"/>
        <w:spacing w:line="386" w:lineRule="auto" w:before="169"/>
        <w:ind w:right="1137"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日，公司召开第三届董事会第二十九次会议审议通过了《关于签署</w:t>
      </w:r>
      <w:r>
        <w:rPr>
          <w:rFonts w:ascii="Times New Roman" w:hAnsi="Times New Roman" w:cs="Times New Roman" w:eastAsia="Times New Roman" w:hint="default"/>
          <w:spacing w:val="-2"/>
        </w:rPr>
        <w:t>&lt;</w:t>
      </w:r>
      <w:r>
        <w:rPr>
          <w:spacing w:val="-2"/>
        </w:rPr>
        <w:t>关于北京千锋互联</w:t>
      </w:r>
      <w:r>
        <w:rPr>
          <w:w w:val="100"/>
        </w:rPr>
        <w:t> </w:t>
      </w:r>
      <w:r>
        <w:rPr>
          <w:spacing w:val="-2"/>
        </w:rPr>
        <w:t>科技有限公司之退股返还投资款协议</w:t>
      </w:r>
      <w:r>
        <w:rPr>
          <w:rFonts w:ascii="Times New Roman" w:hAnsi="Times New Roman" w:cs="Times New Roman" w:eastAsia="Times New Roman" w:hint="default"/>
          <w:spacing w:val="-2"/>
        </w:rPr>
        <w:t>&gt;</w:t>
      </w:r>
      <w:r>
        <w:rPr>
          <w:spacing w:val="-2"/>
        </w:rPr>
        <w:t>的议案》，公司与千锋互联及其原股东签署了《关于北京千锋互联</w:t>
      </w:r>
      <w:r>
        <w:rPr>
          <w:spacing w:val="-21"/>
        </w:rPr>
        <w:t> </w:t>
      </w:r>
      <w:r>
        <w:rPr>
          <w:spacing w:val="-21"/>
        </w:rPr>
      </w:r>
      <w:r>
        <w:rPr>
          <w:spacing w:val="-2"/>
        </w:rPr>
        <w:t>科技有限公司之退股返还投资款协议》，千锋互联及其原股东同意方直科技退出所占千锋互联</w:t>
      </w:r>
      <w:r>
        <w:rPr>
          <w:rFonts w:ascii="Times New Roman" w:hAnsi="Times New Roman" w:cs="Times New Roman" w:eastAsia="Times New Roman" w:hint="default"/>
          <w:spacing w:val="-2"/>
        </w:rPr>
        <w:t>12%</w:t>
      </w:r>
      <w:r>
        <w:rPr>
          <w:spacing w:val="-2"/>
        </w:rPr>
        <w:t>股份并</w:t>
      </w:r>
    </w:p>
    <w:p>
      <w:pPr>
        <w:spacing w:after="0" w:line="386"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0"/>
        <w:jc w:val="left"/>
      </w:pPr>
      <w:r>
        <w:rPr>
          <w:spacing w:val="-3"/>
        </w:rPr>
        <w:t>返还全部投资款人民币</w:t>
      </w:r>
      <w:r>
        <w:rPr>
          <w:rFonts w:ascii="Times New Roman" w:hAnsi="Times New Roman" w:cs="Times New Roman" w:eastAsia="Times New Roman" w:hint="default"/>
          <w:spacing w:val="-3"/>
        </w:rPr>
        <w:t>8,100</w:t>
      </w:r>
      <w:r>
        <w:rPr>
          <w:spacing w:val="-3"/>
        </w:rPr>
        <w:t>万元及利息。退出对千锋互联的投资不会影响公司既定的经营及投资战略，对</w:t>
      </w:r>
      <w:r>
        <w:rPr>
          <w:spacing w:val="-45"/>
        </w:rPr>
        <w:t> </w:t>
      </w:r>
      <w:r>
        <w:rPr>
          <w:spacing w:val="-45"/>
        </w:rPr>
      </w:r>
      <w:r>
        <w:rPr/>
        <w:t>公司的经营成果等无重大影响。</w:t>
      </w:r>
    </w:p>
    <w:p>
      <w:pPr>
        <w:pStyle w:val="BodyText"/>
        <w:spacing w:line="386" w:lineRule="auto" w:before="65"/>
        <w:ind w:right="0" w:firstLine="420"/>
        <w:jc w:val="left"/>
      </w:pPr>
      <w:r>
        <w:rPr>
          <w:spacing w:val="-2"/>
        </w:rPr>
        <w:t>截至到报告期末，千锋互联公司方已根据协议约定归还投资款</w:t>
      </w:r>
      <w:r>
        <w:rPr>
          <w:rFonts w:ascii="Times New Roman" w:hAnsi="Times New Roman" w:cs="Times New Roman" w:eastAsia="Times New Roman" w:hint="default"/>
          <w:spacing w:val="-2"/>
        </w:rPr>
        <w:t>49,028,288.00</w:t>
      </w:r>
      <w:r>
        <w:rPr>
          <w:spacing w:val="-2"/>
        </w:rPr>
        <w:t>元及利息</w:t>
      </w:r>
      <w:r>
        <w:rPr>
          <w:rFonts w:ascii="Times New Roman" w:hAnsi="Times New Roman" w:cs="Times New Roman" w:eastAsia="Times New Roman" w:hint="default"/>
          <w:spacing w:val="-2"/>
        </w:rPr>
        <w:t>5,701,068.05</w:t>
      </w:r>
      <w:r>
        <w:rPr>
          <w:spacing w:val="-2"/>
        </w:rPr>
        <w:t>元，</w:t>
      </w:r>
      <w:r>
        <w:rPr>
          <w:spacing w:val="-3"/>
          <w:w w:val="100"/>
        </w:rPr>
        <w:t> </w:t>
      </w:r>
      <w:r>
        <w:rPr>
          <w:spacing w:val="-2"/>
        </w:rPr>
        <w:t>千锋互联公司方归还投资款义务已履行完毕；千锋互联三位原股东目前已归还本金及利息</w:t>
      </w:r>
      <w:r>
        <w:rPr>
          <w:rFonts w:ascii="Times New Roman" w:hAnsi="Times New Roman" w:cs="Times New Roman" w:eastAsia="Times New Roman" w:hint="default"/>
          <w:spacing w:val="-2"/>
        </w:rPr>
        <w:t>4,664,021.91</w:t>
      </w:r>
      <w:r>
        <w:rPr>
          <w:spacing w:val="-2"/>
        </w:rPr>
        <w:t>元。</w:t>
      </w:r>
      <w:r>
        <w:rPr>
          <w:spacing w:val="-7"/>
        </w:rPr>
        <w:t> </w:t>
      </w:r>
      <w:r>
        <w:rPr>
          <w:spacing w:val="-3"/>
        </w:rPr>
        <w:t>已收回千锋互联公司及三位原股东退回的投资款占协议约定归还投资款的</w:t>
      </w:r>
      <w:r>
        <w:rPr>
          <w:rFonts w:ascii="Times New Roman" w:hAnsi="Times New Roman" w:cs="Times New Roman" w:eastAsia="Times New Roman" w:hint="default"/>
          <w:spacing w:val="-3"/>
        </w:rPr>
        <w:t>65.79%</w:t>
      </w:r>
      <w:r>
        <w:rPr>
          <w:spacing w:val="-3"/>
        </w:rPr>
        <w:t>。公司正积极跟进三位原</w:t>
      </w:r>
      <w:r>
        <w:rPr>
          <w:spacing w:val="-9"/>
        </w:rPr>
        <w:t> </w:t>
      </w:r>
      <w:r>
        <w:rPr>
          <w:spacing w:val="-9"/>
        </w:rPr>
      </w:r>
      <w:r>
        <w:rPr/>
        <w:t>股东按协议要求履行还款义务，并定期了解三位原股东的财务状况，降低回款风险。</w:t>
      </w: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t>十、接待调研、沟通、采访等活动登记表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right="2809"/>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126" w:firstLine="420"/>
        <w:jc w:val="both"/>
      </w:pPr>
      <w:r>
        <w:rPr>
          <w:spacing w:val="-2"/>
        </w:rPr>
        <w:t>报告期内，公司严格按照《公司章程》相关利润分配政策和审议程序实施利润分配方案，分红标准和</w:t>
      </w:r>
      <w:r>
        <w:rPr>
          <w:w w:val="100"/>
        </w:rPr>
        <w:t> </w:t>
      </w:r>
      <w:r>
        <w:rPr>
          <w:spacing w:val="-2"/>
        </w:rPr>
        <w:t>分红比例明确清晰，相关的决策程序和机制完备，相关的议案经由董事会、监事会审议过后提交股东大会</w:t>
      </w:r>
      <w:r>
        <w:rPr>
          <w:spacing w:val="-42"/>
        </w:rPr>
        <w:t> </w:t>
      </w:r>
      <w:r>
        <w:rPr>
          <w:spacing w:val="-42"/>
        </w:rPr>
      </w:r>
      <w:r>
        <w:rPr/>
        <w:t>审议，并由独立董事发表独立意见，审议通过后在规定时间内进行实施，切实保证了全体股东的利益。</w:t>
      </w:r>
    </w:p>
    <w:p>
      <w:pPr>
        <w:pStyle w:val="BodyText"/>
        <w:spacing w:line="391" w:lineRule="auto"/>
        <w:ind w:right="0" w:firstLine="420"/>
        <w:jc w:val="left"/>
      </w:pPr>
      <w:r>
        <w:rPr/>
        <w:t>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日召开了第三届董事会第三十次会议和</w:t>
      </w:r>
      <w:r>
        <w:rPr>
          <w:rFonts w:ascii="Times New Roman" w:hAnsi="Times New Roman" w:cs="Times New Roman" w:eastAsia="Times New Roman" w:hint="default"/>
        </w:rPr>
        <w:t>2017</w:t>
      </w:r>
      <w:r>
        <w:rPr/>
        <w:t>年年度股东大</w:t>
      </w:r>
      <w:r>
        <w:rPr>
          <w:w w:val="100"/>
        </w:rPr>
        <w:t> </w:t>
      </w:r>
      <w:r>
        <w:rPr>
          <w:spacing w:val="-2"/>
        </w:rPr>
        <w:t>会，审议通过了《关于公司</w:t>
      </w:r>
      <w:r>
        <w:rPr>
          <w:rFonts w:ascii="Times New Roman" w:hAnsi="Times New Roman" w:cs="Times New Roman" w:eastAsia="Times New Roman" w:hint="default"/>
          <w:spacing w:val="-2"/>
        </w:rPr>
        <w:t>2017</w:t>
      </w:r>
      <w:r>
        <w:rPr>
          <w:spacing w:val="-2"/>
        </w:rPr>
        <w:t>年度利润分配预案的议案》，根据《公司章程》第一百五十五条规定的利</w:t>
      </w:r>
      <w:r>
        <w:rPr>
          <w:spacing w:val="-38"/>
        </w:rPr>
        <w:t> </w:t>
      </w:r>
      <w:r>
        <w:rPr>
          <w:spacing w:val="-38"/>
        </w:rPr>
      </w:r>
      <w:r>
        <w:rPr>
          <w:spacing w:val="-2"/>
        </w:rPr>
        <w:t>润分配政策及分配方式：“公司每年以现金方式分配的利润不少于当年实现可供分配利润的百分之十，并</w:t>
      </w:r>
      <w:r>
        <w:rPr>
          <w:spacing w:val="-42"/>
        </w:rPr>
        <w:t> </w:t>
      </w:r>
      <w:r>
        <w:rPr>
          <w:spacing w:val="-42"/>
        </w:rPr>
      </w:r>
      <w:r>
        <w:rPr/>
        <w:t>且连续任何三个会计年度内以现金方式累计分配的利润应不少于该三年实现的年均可分配利润的百分之</w:t>
      </w:r>
      <w:r>
        <w:rPr>
          <w:w w:val="100"/>
        </w:rPr>
        <w:t> </w:t>
      </w:r>
      <w:r>
        <w:rPr/>
        <w:t>三十。”同时，公司章程规定：“公司拟实施现金分红时应同时满足以下条件：</w:t>
      </w:r>
      <w:r>
        <w:rPr>
          <w:rFonts w:ascii="Times New Roman" w:hAnsi="Times New Roman" w:cs="Times New Roman" w:eastAsia="Times New Roman" w:hint="default"/>
        </w:rPr>
        <w:t>a</w:t>
      </w:r>
      <w:r>
        <w:rPr/>
        <w:t>、当年每股收益不低于</w:t>
      </w:r>
      <w:r>
        <w:rPr>
          <w:w w:val="100"/>
        </w:rPr>
        <w:t> </w:t>
      </w:r>
      <w:r>
        <w:rPr>
          <w:rFonts w:ascii="Times New Roman" w:hAnsi="Times New Roman" w:cs="Times New Roman" w:eastAsia="Times New Roman" w:hint="default"/>
          <w:spacing w:val="-3"/>
        </w:rPr>
        <w:t>0.1</w:t>
      </w:r>
      <w:r>
        <w:rPr>
          <w:spacing w:val="-3"/>
        </w:rPr>
        <w:t>元；</w:t>
      </w:r>
      <w:r>
        <w:rPr>
          <w:rFonts w:ascii="Times New Roman" w:hAnsi="Times New Roman" w:cs="Times New Roman" w:eastAsia="Times New Roman" w:hint="default"/>
          <w:spacing w:val="-3"/>
        </w:rPr>
        <w:t>b</w:t>
      </w:r>
      <w:r>
        <w:rPr>
          <w:spacing w:val="-3"/>
        </w:rPr>
        <w:t>、审计机构对公司的该年度财务报告出具标准无保留意见的审计报告；</w:t>
      </w:r>
      <w:r>
        <w:rPr>
          <w:rFonts w:ascii="Times New Roman" w:hAnsi="Times New Roman" w:cs="Times New Roman" w:eastAsia="Times New Roman" w:hint="default"/>
          <w:spacing w:val="-3"/>
        </w:rPr>
        <w:t>c</w:t>
      </w:r>
      <w:r>
        <w:rPr>
          <w:spacing w:val="-3"/>
        </w:rPr>
        <w:t>、公司未来十二个月内拟</w:t>
      </w:r>
      <w:r>
        <w:rPr>
          <w:spacing w:val="-32"/>
        </w:rPr>
        <w:t> </w:t>
      </w:r>
      <w:r>
        <w:rPr>
          <w:spacing w:val="-32"/>
        </w:rPr>
      </w:r>
      <w:r>
        <w:rPr>
          <w:spacing w:val="-4"/>
        </w:rPr>
        <w:t>对外投资、购买或出售资产累计支出不超过公司最近一期经审计总资产的</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d</w:t>
      </w:r>
      <w:r>
        <w:rPr>
          <w:spacing w:val="-4"/>
        </w:rPr>
        <w:t>、公司未来十二个月内拟</w:t>
      </w:r>
      <w:r>
        <w:rPr>
          <w:spacing w:val="-14"/>
        </w:rPr>
        <w:t> </w:t>
      </w:r>
      <w:r>
        <w:rPr>
          <w:spacing w:val="-14"/>
        </w:rPr>
      </w:r>
      <w:r>
        <w:rPr>
          <w:spacing w:val="-4"/>
        </w:rPr>
        <w:t>对外投资、购买或出售资产累计支出不超过公司最近一期经审计净资产的</w:t>
      </w:r>
      <w:r>
        <w:rPr>
          <w:rFonts w:ascii="Times New Roman" w:hAnsi="Times New Roman" w:cs="Times New Roman" w:eastAsia="Times New Roman" w:hint="default"/>
          <w:spacing w:val="-4"/>
        </w:rPr>
        <w:t>50%</w:t>
      </w:r>
      <w:r>
        <w:rPr>
          <w:spacing w:val="-4"/>
        </w:rPr>
        <w:t>。”公司最近</w:t>
      </w:r>
      <w:r>
        <w:rPr>
          <w:rFonts w:ascii="Times New Roman" w:hAnsi="Times New Roman" w:cs="Times New Roman" w:eastAsia="Times New Roman" w:hint="default"/>
          <w:spacing w:val="-4"/>
        </w:rPr>
        <w:t>3</w:t>
      </w:r>
      <w:r>
        <w:rPr>
          <w:spacing w:val="-4"/>
        </w:rPr>
        <w:t>年的累计现金</w:t>
      </w:r>
      <w:r>
        <w:rPr>
          <w:spacing w:val="-15"/>
        </w:rPr>
        <w:t> </w:t>
      </w:r>
      <w:r>
        <w:rPr>
          <w:spacing w:val="-15"/>
        </w:rPr>
      </w:r>
      <w:r>
        <w:rPr>
          <w:spacing w:val="-2"/>
        </w:rPr>
        <w:t>分红总额为</w:t>
      </w:r>
      <w:r>
        <w:rPr>
          <w:rFonts w:ascii="Times New Roman" w:hAnsi="Times New Roman" w:cs="Times New Roman" w:eastAsia="Times New Roman" w:hint="default"/>
          <w:spacing w:val="-2"/>
        </w:rPr>
        <w:t>27,719,919.48</w:t>
      </w:r>
      <w:r>
        <w:rPr>
          <w:spacing w:val="-2"/>
        </w:rPr>
        <w:t>元，该三年实现的年均可分配利润为</w:t>
      </w:r>
      <w:r>
        <w:rPr>
          <w:rFonts w:ascii="Times New Roman" w:hAnsi="Times New Roman" w:cs="Times New Roman" w:eastAsia="Times New Roman" w:hint="default"/>
          <w:spacing w:val="-2"/>
        </w:rPr>
        <w:t>20,248,722.48</w:t>
      </w:r>
      <w:r>
        <w:rPr>
          <w:spacing w:val="-2"/>
        </w:rPr>
        <w:t>元，占比为</w:t>
      </w:r>
      <w:r>
        <w:rPr>
          <w:rFonts w:ascii="Times New Roman" w:hAnsi="Times New Roman" w:cs="Times New Roman" w:eastAsia="Times New Roman" w:hint="default"/>
          <w:spacing w:val="-2"/>
        </w:rPr>
        <w:t>136.90%</w:t>
      </w:r>
      <w:r>
        <w:rPr>
          <w:spacing w:val="-2"/>
        </w:rPr>
        <w:t>，不少于最</w:t>
      </w:r>
      <w:r>
        <w:rPr>
          <w:spacing w:val="-23"/>
        </w:rPr>
        <w:t> </w:t>
      </w:r>
      <w:r>
        <w:rPr>
          <w:spacing w:val="-23"/>
        </w:rPr>
      </w:r>
      <w:r>
        <w:rPr>
          <w:spacing w:val="-2"/>
        </w:rPr>
        <w:t>近三年实现的年均可分配利润的</w:t>
      </w:r>
      <w:r>
        <w:rPr>
          <w:rFonts w:ascii="Times New Roman" w:hAnsi="Times New Roman" w:cs="Times New Roman" w:eastAsia="Times New Roman" w:hint="default"/>
          <w:spacing w:val="-2"/>
        </w:rPr>
        <w:t>30%</w:t>
      </w:r>
      <w:r>
        <w:rPr>
          <w:spacing w:val="-2"/>
        </w:rPr>
        <w:t>。由于</w:t>
      </w:r>
      <w:r>
        <w:rPr>
          <w:rFonts w:ascii="Times New Roman" w:hAnsi="Times New Roman" w:cs="Times New Roman" w:eastAsia="Times New Roman" w:hint="default"/>
          <w:spacing w:val="-2"/>
        </w:rPr>
        <w:t>2017</w:t>
      </w:r>
      <w:r>
        <w:rPr>
          <w:spacing w:val="-2"/>
        </w:rPr>
        <w:t>年度公司每股收益为</w:t>
      </w:r>
      <w:r>
        <w:rPr>
          <w:rFonts w:ascii="Times New Roman" w:hAnsi="Times New Roman" w:cs="Times New Roman" w:eastAsia="Times New Roman" w:hint="default"/>
          <w:spacing w:val="-2"/>
        </w:rPr>
        <w:t>0.05</w:t>
      </w:r>
      <w:r>
        <w:rPr>
          <w:spacing w:val="-2"/>
        </w:rPr>
        <w:t>元，不满足章程规定的现金分红</w:t>
      </w:r>
      <w:r>
        <w:rPr>
          <w:spacing w:val="-12"/>
        </w:rPr>
        <w:t> </w:t>
      </w:r>
      <w:r>
        <w:rPr>
          <w:spacing w:val="-12"/>
        </w:rPr>
      </w:r>
      <w:r>
        <w:rPr>
          <w:spacing w:val="-2"/>
        </w:rPr>
        <w:t>条件。考虑公司</w:t>
      </w:r>
      <w:r>
        <w:rPr>
          <w:rFonts w:ascii="Times New Roman" w:hAnsi="Times New Roman" w:cs="Times New Roman" w:eastAsia="Times New Roman" w:hint="default"/>
          <w:spacing w:val="-2"/>
        </w:rPr>
        <w:t>2018</w:t>
      </w:r>
      <w:r>
        <w:rPr>
          <w:spacing w:val="-2"/>
        </w:rPr>
        <w:t>年度经营业务发展计划，对资金的需求较大，为保障公司稳健可持续发展，公司应做</w:t>
      </w:r>
      <w:r>
        <w:rPr>
          <w:spacing w:val="-48"/>
        </w:rPr>
        <w:t> </w:t>
      </w:r>
      <w:r>
        <w:rPr>
          <w:spacing w:val="-48"/>
        </w:rPr>
      </w:r>
      <w:r>
        <w:rPr>
          <w:spacing w:val="-2"/>
        </w:rPr>
        <w:t>好相应的资金储备。公司决定</w:t>
      </w:r>
      <w:r>
        <w:rPr>
          <w:rFonts w:ascii="Times New Roman" w:hAnsi="Times New Roman" w:cs="Times New Roman" w:eastAsia="Times New Roman" w:hint="default"/>
          <w:spacing w:val="-2"/>
        </w:rPr>
        <w:t>2017</w:t>
      </w:r>
      <w:r>
        <w:rPr>
          <w:spacing w:val="-2"/>
        </w:rPr>
        <w:t>年度利润分配方案为：</w:t>
      </w:r>
      <w:r>
        <w:rPr>
          <w:rFonts w:ascii="Times New Roman" w:hAnsi="Times New Roman" w:cs="Times New Roman" w:eastAsia="Times New Roman" w:hint="default"/>
          <w:spacing w:val="-2"/>
        </w:rPr>
        <w:t>2017</w:t>
      </w:r>
      <w:r>
        <w:rPr>
          <w:spacing w:val="-2"/>
        </w:rPr>
        <w:t>年度不派发现金红利、不送红股、不以资本</w:t>
      </w:r>
      <w:r>
        <w:rPr>
          <w:spacing w:val="-41"/>
        </w:rPr>
        <w:t> </w:t>
      </w:r>
      <w:r>
        <w:rPr>
          <w:spacing w:val="-41"/>
        </w:rPr>
      </w:r>
      <w:r>
        <w:rPr/>
        <w:t>公积金转增股本，未分配利润转结至下一年度。</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8"/>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r>
        <w:rPr/>
        <w:pict>
          <v:shape style="position:absolute;margin-left:218.673004pt;margin-top:225.859985pt;width:316.3pt;height:19.6pt;mso-position-horizontal-relative:page;mso-position-vertical-relative:page;z-index:-8293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p>
      <w:pPr>
        <w:spacing w:line="348" w:lineRule="auto" w:before="44"/>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8"/>
        <w:gridCol w:w="5853"/>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167,831,090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124,698,323.79</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41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89"/>
              <w:ind w:left="24" w:right="21" w:firstLine="360"/>
              <w:jc w:val="left"/>
              <w:rPr>
                <w:rFonts w:ascii="宋体" w:hAnsi="宋体" w:cs="宋体" w:eastAsia="宋体" w:hint="default"/>
                <w:sz w:val="18"/>
                <w:szCs w:val="18"/>
              </w:rPr>
            </w:pPr>
            <w:r>
              <w:rPr>
                <w:rFonts w:ascii="宋体" w:hAnsi="宋体" w:cs="宋体" w:eastAsia="宋体" w:hint="default"/>
                <w:sz w:val="18"/>
                <w:szCs w:val="18"/>
              </w:rPr>
              <w:t>考虑到公司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年的经营情况和公司未来经营发展需要，董事会拟定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年度利润分配预案为：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年度不进行利 润分配，也不进行资本公积金转增股本，年末结存的未分配利润结转下一年度。</w:t>
            </w:r>
          </w:p>
          <w:p>
            <w:pPr>
              <w:pStyle w:val="TableParagraph"/>
              <w:spacing w:line="240" w:lineRule="auto" w:before="74"/>
              <w:ind w:left="384" w:right="0"/>
              <w:jc w:val="left"/>
              <w:rPr>
                <w:rFonts w:ascii="宋体" w:hAnsi="宋体" w:cs="宋体" w:eastAsia="宋体" w:hint="default"/>
                <w:sz w:val="18"/>
                <w:szCs w:val="18"/>
              </w:rPr>
            </w:pPr>
            <w:r>
              <w:rPr>
                <w:rFonts w:ascii="宋体" w:hAnsi="宋体" w:cs="宋体" w:eastAsia="宋体" w:hint="default"/>
                <w:sz w:val="18"/>
                <w:szCs w:val="18"/>
              </w:rPr>
              <w:t>本利润分配预案尚需提交公司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w:t>
            </w:r>
          </w:p>
        </w:tc>
      </w:tr>
    </w:tbl>
    <w:p>
      <w:pPr>
        <w:spacing w:before="48"/>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5"/>
        <w:rPr>
          <w:rFonts w:ascii="宋体" w:hAnsi="宋体" w:cs="宋体" w:eastAsia="宋体" w:hint="default"/>
          <w:sz w:val="12"/>
          <w:szCs w:val="12"/>
        </w:rPr>
      </w:pPr>
    </w:p>
    <w:p>
      <w:pPr>
        <w:pStyle w:val="BodyText"/>
        <w:spacing w:line="388" w:lineRule="auto" w:before="0"/>
        <w:ind w:right="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年度利润分配方案：本次利润分配方案考虑到在满足公司未来业务发展需要的同时，又可使</w:t>
      </w:r>
      <w:r>
        <w:rPr>
          <w:w w:val="100"/>
        </w:rPr>
        <w:t> </w:t>
      </w:r>
      <w:r>
        <w:rPr/>
        <w:t>全体股东分享公司成长的经营成果，公司决定以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15,840</w:t>
      </w:r>
      <w:r>
        <w:rPr/>
        <w:t>万股为基数向全体股东</w:t>
      </w:r>
      <w:r>
        <w:rPr>
          <w:w w:val="100"/>
        </w:rPr>
        <w:t> </w:t>
      </w:r>
      <w:r>
        <w:rPr/>
        <w:t>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元人民币（含税）。本次不进行资本公积金转增股本。因公司非公开发行股票新</w:t>
      </w:r>
      <w:r>
        <w:rPr>
          <w:w w:val="100"/>
        </w:rPr>
        <w:t> </w:t>
      </w:r>
      <w:r>
        <w:rPr/>
        <w:t>增股份于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27</w:t>
      </w:r>
      <w:r>
        <w:rPr/>
        <w:t>日在深圳证券交易所上市，本次新增股份</w:t>
      </w:r>
      <w:r>
        <w:rPr>
          <w:rFonts w:ascii="Times New Roman" w:hAnsi="Times New Roman" w:cs="Times New Roman" w:eastAsia="Times New Roman" w:hint="default"/>
        </w:rPr>
        <w:t>9,431,090</w:t>
      </w:r>
      <w:r>
        <w:rPr/>
        <w:t>股，上市后公司总股本变更为</w:t>
      </w:r>
      <w:r>
        <w:rPr>
          <w:w w:val="100"/>
        </w:rPr>
        <w:t> </w:t>
      </w:r>
      <w:r>
        <w:rPr>
          <w:rFonts w:ascii="Times New Roman" w:hAnsi="Times New Roman" w:cs="Times New Roman" w:eastAsia="Times New Roman" w:hint="default"/>
          <w:spacing w:val="-2"/>
        </w:rPr>
        <w:t>167,831,090</w:t>
      </w:r>
      <w:r>
        <w:rPr>
          <w:spacing w:val="-2"/>
        </w:rPr>
        <w:t>股，根据《深圳证券交易所创业板上市公司规范运作指引》相关规定，分配方案公布后至实施</w:t>
      </w:r>
      <w:r>
        <w:rPr>
          <w:spacing w:val="-35"/>
        </w:rPr>
        <w:t> </w:t>
      </w:r>
      <w:r>
        <w:rPr>
          <w:spacing w:val="-35"/>
        </w:rPr>
      </w:r>
      <w:r>
        <w:rPr>
          <w:spacing w:val="-2"/>
        </w:rPr>
        <w:t>前，公司总股本由于增发新股等原因发生变动的，应当按照“现金分红总额、送红股总额、转增股本总额</w:t>
      </w:r>
      <w:r>
        <w:rPr>
          <w:spacing w:val="-43"/>
        </w:rPr>
        <w:t> </w:t>
      </w:r>
      <w:r>
        <w:rPr>
          <w:spacing w:val="-43"/>
        </w:rPr>
      </w:r>
      <w:r>
        <w:rPr>
          <w:spacing w:val="-2"/>
        </w:rPr>
        <w:t>固定不变”的原则，按公司最新总股本计算分派比例。故</w:t>
      </w:r>
      <w:r>
        <w:rPr>
          <w:rFonts w:ascii="Times New Roman" w:hAnsi="Times New Roman" w:cs="Times New Roman" w:eastAsia="Times New Roman" w:hint="default"/>
          <w:spacing w:val="-2"/>
        </w:rPr>
        <w:t>2016</w:t>
      </w:r>
      <w:r>
        <w:rPr>
          <w:spacing w:val="-2"/>
        </w:rPr>
        <w:t>年度利润分配方案为：本公司</w:t>
      </w:r>
      <w:r>
        <w:rPr>
          <w:rFonts w:ascii="Times New Roman" w:hAnsi="Times New Roman" w:cs="Times New Roman" w:eastAsia="Times New Roman" w:hint="default"/>
          <w:spacing w:val="-2"/>
        </w:rPr>
        <w:t>2016</w:t>
      </w:r>
      <w:r>
        <w:rPr>
          <w:spacing w:val="-2"/>
        </w:rPr>
        <w:t>年年度权</w:t>
      </w:r>
      <w:r>
        <w:rPr>
          <w:spacing w:val="-39"/>
        </w:rPr>
        <w:t> </w:t>
      </w:r>
      <w:r>
        <w:rPr>
          <w:spacing w:val="-39"/>
        </w:rPr>
      </w:r>
      <w:r>
        <w:rPr>
          <w:spacing w:val="-3"/>
        </w:rPr>
        <w:t>益分派方案为：以公司现有总股本</w:t>
      </w:r>
      <w:r>
        <w:rPr>
          <w:rFonts w:ascii="Times New Roman" w:hAnsi="Times New Roman" w:cs="Times New Roman" w:eastAsia="Times New Roman" w:hint="default"/>
          <w:spacing w:val="-3"/>
        </w:rPr>
        <w:t>167,831,090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0.141570</w:t>
      </w:r>
      <w:r>
        <w:rPr>
          <w:spacing w:val="-3"/>
        </w:rPr>
        <w:t>元人民币（含税）。</w:t>
      </w:r>
      <w:r>
        <w:rPr>
          <w:spacing w:val="-14"/>
        </w:rPr>
        <w:t> </w:t>
      </w:r>
      <w:r>
        <w:rPr>
          <w:spacing w:val="-14"/>
        </w:rPr>
      </w:r>
      <w:r>
        <w:rPr/>
        <w:t>该次利润分配的预案经公司</w:t>
      </w:r>
      <w:r>
        <w:rPr>
          <w:rFonts w:ascii="Times New Roman" w:hAnsi="Times New Roman" w:cs="Times New Roman" w:eastAsia="Times New Roman" w:hint="default"/>
        </w:rPr>
        <w:t>2016</w:t>
      </w:r>
      <w:r>
        <w:rPr/>
        <w:t>年度股东大会审议批准后实施完毕。</w:t>
      </w:r>
    </w:p>
    <w:p>
      <w:pPr>
        <w:pStyle w:val="BodyText"/>
        <w:spacing w:line="386" w:lineRule="auto" w:before="33"/>
        <w:ind w:right="0"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年度利润分配方案：</w:t>
      </w:r>
      <w:r>
        <w:rPr>
          <w:rFonts w:ascii="Times New Roman" w:hAnsi="Times New Roman" w:cs="Times New Roman" w:eastAsia="Times New Roman" w:hint="default"/>
          <w:spacing w:val="-2"/>
        </w:rPr>
        <w:t>2017</w:t>
      </w:r>
      <w:r>
        <w:rPr>
          <w:spacing w:val="-2"/>
        </w:rPr>
        <w:t>年度不进行利润分配，也不进行资本公积金转增股本，年末结存的</w:t>
      </w:r>
      <w:r>
        <w:rPr>
          <w:w w:val="100"/>
        </w:rPr>
        <w:t> </w:t>
      </w:r>
      <w:r>
        <w:rPr/>
        <w:t>未分配利润结转下一年度。</w:t>
      </w:r>
      <w:r>
        <w:rPr>
          <w:rFonts w:ascii="Times New Roman" w:hAnsi="Times New Roman" w:cs="Times New Roman" w:eastAsia="Times New Roman" w:hint="default"/>
        </w:rPr>
        <w:t>2017</w:t>
      </w:r>
      <w:r>
        <w:rPr/>
        <w:t>年年度利润分配预案经公司</w:t>
      </w:r>
      <w:r>
        <w:rPr>
          <w:rFonts w:ascii="Times New Roman" w:hAnsi="Times New Roman" w:cs="Times New Roman" w:eastAsia="Times New Roman" w:hint="default"/>
        </w:rPr>
        <w:t>2017</w:t>
      </w:r>
      <w:r>
        <w:rPr/>
        <w:t>年度股东大会审议审议通过。</w:t>
      </w:r>
    </w:p>
    <w:p>
      <w:pPr>
        <w:pStyle w:val="BodyText"/>
        <w:spacing w:line="240" w:lineRule="auto" w:before="35"/>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年度利润分配预案：</w:t>
      </w:r>
      <w:r>
        <w:rPr>
          <w:rFonts w:ascii="Times New Roman" w:hAnsi="Times New Roman" w:cs="Times New Roman" w:eastAsia="Times New Roman" w:hint="default"/>
        </w:rPr>
        <w:t>2018</w:t>
      </w:r>
      <w:r>
        <w:rPr/>
        <w:t>年度拟不进行利润分配，也不进行资本公积金转增股本，年末结存</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的未分配利润结转下一年度。</w:t>
      </w:r>
      <w:r>
        <w:rPr>
          <w:rFonts w:ascii="Times New Roman" w:hAnsi="Times New Roman" w:cs="Times New Roman" w:eastAsia="Times New Roman" w:hint="default"/>
        </w:rPr>
        <w:t>2018</w:t>
      </w:r>
      <w:r>
        <w:rPr/>
        <w:t>年年度利润分配预案尚需提交公司</w:t>
      </w:r>
      <w:r>
        <w:rPr>
          <w:rFonts w:ascii="Times New Roman" w:hAnsi="Times New Roman" w:cs="Times New Roman" w:eastAsia="Times New Roman" w:hint="default"/>
        </w:rPr>
        <w:t>2018</w:t>
      </w:r>
      <w:r>
        <w:rPr/>
        <w:t>年年度股东大会审议通过。</w:t>
      </w:r>
    </w:p>
    <w:p>
      <w:pPr>
        <w:spacing w:line="240" w:lineRule="auto" w:before="10"/>
        <w:rPr>
          <w:rFonts w:ascii="宋体" w:hAnsi="宋体" w:cs="宋体" w:eastAsia="宋体" w:hint="default"/>
          <w:sz w:val="8"/>
          <w:szCs w:val="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5"/>
        <w:gridCol w:w="1196"/>
        <w:gridCol w:w="1198"/>
        <w:gridCol w:w="1196"/>
        <w:gridCol w:w="1195"/>
        <w:gridCol w:w="1198"/>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12,316,056.55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8,822,524.60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2,375,919.48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17,682,428.82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2,375,919.48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13.44%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pict>
          <v:shape style="position:absolute;margin-left:56.424pt;margin-top:-187.988297pt;width:479.3pt;height:417.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6" w:right="44" w:hanging="989"/>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761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、根据《公司章程》和《深圳市方直科技股份有限公司</w:t>
                        </w:r>
                        <w:r>
                          <w:rPr>
                            <w:rFonts w:ascii="宋体" w:hAnsi="宋体" w:cs="宋体" w:eastAsia="宋体" w:hint="default"/>
                            <w:sz w:val="18"/>
                            <w:szCs w:val="18"/>
                          </w:rPr>
                          <w:t> 未来三年（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年）股东回报规划》所制定的利润 分配政策，公司的利润分配方案需考虑公司的长远发展，并 重视对投资者的长期合理投资回报。以可持续发展和维护股 东权益为宗旨，应保持利润分配政策的连续性和稳定性，并 符合法律、法规的相关规定。根据公司章程第一百五十五条 </w:t>
                        </w:r>
                        <w:r>
                          <w:rPr>
                            <w:rFonts w:ascii="宋体" w:hAnsi="宋体" w:cs="宋体" w:eastAsia="宋体" w:hint="default"/>
                            <w:spacing w:val="-5"/>
                            <w:sz w:val="18"/>
                            <w:szCs w:val="18"/>
                          </w:rPr>
                          <w:t>规定的利润分配政策及分配方式：“公司每年以现金方式分配</w:t>
                        </w:r>
                        <w:r>
                          <w:rPr>
                            <w:rFonts w:ascii="宋体" w:hAnsi="宋体" w:cs="宋体" w:eastAsia="宋体" w:hint="default"/>
                            <w:sz w:val="18"/>
                            <w:szCs w:val="18"/>
                          </w:rPr>
                          <w:t> 的利润不少于当年实现可供分配利润的百分之十，并且连续 任何三个会计年度内以现金方式累计分配的利润应不少于该 </w:t>
                        </w:r>
                        <w:r>
                          <w:rPr>
                            <w:rFonts w:ascii="宋体" w:hAnsi="宋体" w:cs="宋体" w:eastAsia="宋体" w:hint="default"/>
                            <w:spacing w:val="-5"/>
                            <w:sz w:val="18"/>
                            <w:szCs w:val="18"/>
                          </w:rPr>
                          <w:t>三年实现的年均可分配利润的百分之三十。”同时，公司章程</w:t>
                        </w:r>
                        <w:r>
                          <w:rPr>
                            <w:rFonts w:ascii="宋体" w:hAnsi="宋体" w:cs="宋体" w:eastAsia="宋体" w:hint="default"/>
                            <w:sz w:val="18"/>
                            <w:szCs w:val="18"/>
                          </w:rPr>
                          <w:t> </w:t>
                        </w:r>
                        <w:r>
                          <w:rPr>
                            <w:rFonts w:ascii="宋体" w:hAnsi="宋体" w:cs="宋体" w:eastAsia="宋体" w:hint="default"/>
                            <w:spacing w:val="-4"/>
                            <w:sz w:val="18"/>
                            <w:szCs w:val="18"/>
                          </w:rPr>
                          <w:t>规定：“公司拟实施现金分红时应同时满足以下条件：</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、当</w:t>
                        </w:r>
                        <w:r>
                          <w:rPr>
                            <w:rFonts w:ascii="宋体" w:hAnsi="宋体" w:cs="宋体" w:eastAsia="宋体" w:hint="default"/>
                            <w:spacing w:val="-73"/>
                            <w:sz w:val="18"/>
                            <w:szCs w:val="18"/>
                          </w:rPr>
                          <w:t> </w:t>
                        </w:r>
                        <w:r>
                          <w:rPr>
                            <w:rFonts w:ascii="宋体" w:hAnsi="宋体" w:cs="宋体" w:eastAsia="宋体" w:hint="default"/>
                            <w:sz w:val="18"/>
                            <w:szCs w:val="18"/>
                          </w:rPr>
                          <w:t>年每股收益不低于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b</w:t>
                        </w:r>
                        <w:r>
                          <w:rPr>
                            <w:rFonts w:ascii="宋体" w:hAnsi="宋体" w:cs="宋体" w:eastAsia="宋体" w:hint="default"/>
                            <w:sz w:val="18"/>
                            <w:szCs w:val="18"/>
                          </w:rPr>
                          <w:t>、审计机构对公司的该年度财务 报告出具标准无保留意见的审计报告； </w:t>
                        </w:r>
                        <w:r>
                          <w:rPr>
                            <w:rFonts w:ascii="Times New Roman" w:hAnsi="Times New Roman" w:cs="Times New Roman" w:eastAsia="Times New Roman" w:hint="default"/>
                            <w:sz w:val="18"/>
                            <w:szCs w:val="18"/>
                          </w:rPr>
                          <w:t>c</w:t>
                        </w:r>
                        <w:r>
                          <w:rPr>
                            <w:rFonts w:ascii="宋体" w:hAnsi="宋体" w:cs="宋体" w:eastAsia="宋体" w:hint="default"/>
                            <w:sz w:val="18"/>
                            <w:szCs w:val="18"/>
                          </w:rPr>
                          <w:t>、公司未来十二个 月内拟对外投资、购买或出售资产累计支出不超过公司最近 一期经审计总资产的</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、公司未来十二个月内拟对外投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资、购买或出售资产累计支出不超过公司最近一期经审计净 资产的</w:t>
                        </w:r>
                        <w:r>
                          <w:rPr>
                            <w:rFonts w:ascii="宋体" w:hAnsi="宋体" w:cs="宋体" w:eastAsia="宋体" w:hint="default"/>
                            <w:spacing w:val="-42"/>
                            <w:sz w:val="18"/>
                            <w:szCs w:val="18"/>
                          </w:rPr>
                          <w:t> </w:t>
                        </w:r>
                        <w:r>
                          <w:rPr>
                            <w:rFonts w:ascii="Times New Roman" w:hAnsi="Times New Roman" w:cs="Times New Roman" w:eastAsia="Times New Roman" w:hint="default"/>
                            <w:spacing w:val="-19"/>
                            <w:sz w:val="18"/>
                            <w:szCs w:val="18"/>
                          </w:rPr>
                          <w:t>50%</w:t>
                        </w:r>
                        <w:r>
                          <w:rPr>
                            <w:rFonts w:ascii="宋体" w:hAnsi="宋体" w:cs="宋体" w:eastAsia="宋体" w:hint="default"/>
                            <w:spacing w:val="-19"/>
                            <w:sz w:val="18"/>
                            <w:szCs w:val="18"/>
                          </w:rPr>
                          <w:t>。”</w:t>
                        </w:r>
                      </w:p>
                      <w:p>
                        <w:pPr>
                          <w:pStyle w:val="TableParagraph"/>
                          <w:spacing w:line="240" w:lineRule="auto" w:before="44"/>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、公司最近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年的累计现金分红总额为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11,879,919.48</w:t>
                        </w:r>
                      </w:p>
                      <w:p>
                        <w:pPr>
                          <w:pStyle w:val="TableParagraph"/>
                          <w:spacing w:line="300" w:lineRule="auto" w:before="63"/>
                          <w:ind w:left="24" w:right="-8"/>
                          <w:jc w:val="both"/>
                          <w:rPr>
                            <w:rFonts w:ascii="宋体" w:hAnsi="宋体" w:cs="宋体" w:eastAsia="宋体" w:hint="default"/>
                            <w:sz w:val="18"/>
                            <w:szCs w:val="18"/>
                          </w:rPr>
                        </w:pPr>
                        <w:r>
                          <w:rPr>
                            <w:rFonts w:ascii="宋体" w:hAnsi="宋体" w:cs="宋体" w:eastAsia="宋体" w:hint="default"/>
                            <w:sz w:val="18"/>
                            <w:szCs w:val="18"/>
                          </w:rPr>
                          <w:t>元，该三年实现的年均可分配利润为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15,951,263.53 </w:t>
                        </w:r>
                        <w:r>
                          <w:rPr>
                            <w:rFonts w:ascii="宋体" w:hAnsi="宋体" w:cs="宋体" w:eastAsia="宋体" w:hint="default"/>
                            <w:sz w:val="18"/>
                            <w:szCs w:val="18"/>
                          </w:rPr>
                          <w:t>元，占比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74.48%</w:t>
                        </w:r>
                        <w:r>
                          <w:rPr>
                            <w:rFonts w:ascii="宋体" w:hAnsi="宋体" w:cs="宋体" w:eastAsia="宋体" w:hint="default"/>
                            <w:sz w:val="18"/>
                            <w:szCs w:val="18"/>
                          </w:rPr>
                          <w:t>，不少于最近三年实现的年均可分配利润的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年度公司每股收益为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元，不满足章程规定的现金分</w:t>
                        </w:r>
                        <w:r>
                          <w:rPr>
                            <w:rFonts w:ascii="宋体" w:hAnsi="宋体" w:cs="宋体" w:eastAsia="宋体" w:hint="default"/>
                            <w:sz w:val="18"/>
                            <w:szCs w:val="18"/>
                          </w:rPr>
                          <w:t> 红条件。</w:t>
                        </w:r>
                      </w:p>
                      <w:p>
                        <w:pPr>
                          <w:pStyle w:val="TableParagraph"/>
                          <w:spacing w:line="300" w:lineRule="auto" w:before="72"/>
                          <w:ind w:left="24"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、综合考虑公司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年经营发展的实际状况，为保障 公司稳健可持续发展，确保战略发展目标的实现，兼顾公司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公司留存未分配利润主要用于市场开拓及投入、技术研发、 相关产业资源的整合、对外投资、收购资产、购买设备等重 </w:t>
                        </w:r>
                        <w:r>
                          <w:rPr>
                            <w:rFonts w:ascii="宋体" w:hAnsi="宋体" w:cs="宋体" w:eastAsia="宋体" w:hint="default"/>
                            <w:spacing w:val="-2"/>
                            <w:sz w:val="18"/>
                            <w:szCs w:val="18"/>
                          </w:rPr>
                          <w:t>大投资及现金支出，逐步扩大生产经营规模，优化财务结构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促进公司的快速发展，加速公司互联网转型，有计划有步骤 </w:t>
                        </w:r>
                        <w:r>
                          <w:rPr>
                            <w:rFonts w:ascii="宋体" w:hAnsi="宋体" w:cs="宋体" w:eastAsia="宋体" w:hint="default"/>
                            <w:spacing w:val="-2"/>
                            <w:sz w:val="18"/>
                            <w:szCs w:val="18"/>
                          </w:rPr>
                          <w:t>地实现公司未来的发展规划目标，最终实现股东利益最大化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今后，公司将一如既往地重视以现金分红形式对投资者进行 回报，严格按照相关法律法规和《公司章程》等规定，综合 考虑与利润分配相关的各种因素，积极履行公司的利润分配 制度，与投资者共享公司发展的成果。</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0" w:footer="979" w:top="1100" w:bottom="1160" w:left="980" w:right="0"/>
        </w:sectPr>
      </w:pPr>
    </w:p>
    <w:p>
      <w:pPr>
        <w:spacing w:line="240" w:lineRule="auto" w:before="6"/>
        <w:rPr>
          <w:rFonts w:ascii="Times New Roman" w:hAnsi="Times New Roman" w:cs="Times New Roman" w:eastAsia="Times New Roman" w:hint="default"/>
          <w:sz w:val="27"/>
          <w:szCs w:val="27"/>
        </w:rPr>
      </w:pPr>
    </w:p>
    <w:p>
      <w:pPr>
        <w:spacing w:line="1006"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79.05pt;height:50.3pt;mso-position-horizontal-relative:char;mso-position-vertical-relative:line" coordorigin="0,0" coordsize="9581,1006">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4775;height:2" coordorigin="10,996" coordsize="4775,2">
              <v:shape style="position:absolute;left:10;top:996;width:4775;height:2" coordorigin="10,996" coordsize="4775,0" path="m10,996l4784,996e" filled="false" stroked="true" strokeweight=".48pt" strokecolor="#000000">
                <v:path arrowok="t"/>
              </v:shape>
            </v:group>
            <v:group style="position:absolute;left:4789;top:5;width:2;height:997" coordorigin="4789,5" coordsize="2,997">
              <v:shape style="position:absolute;left:4789;top:5;width:2;height:997" coordorigin="4789,5" coordsize="0,997" path="m4789,5l4789,1001e" filled="false" stroked="true" strokeweight=".48001pt" strokecolor="#000000">
                <v:path arrowok="t"/>
              </v:shape>
            </v:group>
            <v:group style="position:absolute;left:4794;top:996;width:4777;height:2" coordorigin="4794,996" coordsize="4777,2">
              <v:shape style="position:absolute;left:4794;top:996;width:4777;height:2" coordorigin="4794,996" coordsize="4777,0" path="m4794,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7998pt" strokecolor="#000000">
                <v:path arrowok="t"/>
              </v:shape>
              <v:shape style="position:absolute;left:5;top:10;width:4785;height:987" type="#_x0000_t202" filled="false" stroked="false">
                <v:textbox inset="0,0,0,0">
                  <w:txbxContent>
                    <w:p>
                      <w:pPr>
                        <w:spacing w:line="309" w:lineRule="auto" w:before="15"/>
                        <w:ind w:left="28" w:right="25" w:firstLine="0"/>
                        <w:jc w:val="both"/>
                        <w:rPr>
                          <w:rFonts w:ascii="宋体" w:hAnsi="宋体" w:cs="宋体" w:eastAsia="宋体" w:hint="default"/>
                          <w:sz w:val="18"/>
                          <w:szCs w:val="18"/>
                        </w:rPr>
                      </w:pPr>
                      <w:r>
                        <w:rPr>
                          <w:rFonts w:ascii="宋体" w:hAnsi="宋体" w:cs="宋体" w:eastAsia="宋体" w:hint="default"/>
                          <w:sz w:val="18"/>
                          <w:szCs w:val="18"/>
                        </w:rPr>
                        <w:t>长远发展和全体股东利益，公司应做好相应的资金储备。公 司拟定</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年度不派发现金红利、不送红股、不以公积金转</w:t>
                      </w:r>
                      <w:r>
                        <w:rPr>
                          <w:rFonts w:ascii="宋体" w:hAnsi="宋体" w:cs="宋体" w:eastAsia="宋体" w:hint="default"/>
                          <w:sz w:val="18"/>
                          <w:szCs w:val="18"/>
                        </w:rPr>
                        <w:t> 增股本。</w:t>
                      </w:r>
                    </w:p>
                  </w:txbxContent>
                </v:textbox>
                <w10:wrap type="none"/>
              </v:shape>
            </v:group>
          </v:group>
        </w:pict>
      </w:r>
      <w:r>
        <w:rPr>
          <w:rFonts w:ascii="Times New Roman" w:hAnsi="Times New Roman" w:cs="Times New Roman" w:eastAsia="Times New Roman" w:hint="default"/>
          <w:position w:val="-19"/>
          <w:sz w:val="20"/>
          <w:szCs w:val="20"/>
        </w:rPr>
      </w:r>
    </w:p>
    <w:p>
      <w:pPr>
        <w:spacing w:after="0" w:line="1006" w:lineRule="exact"/>
        <w:rPr>
          <w:rFonts w:ascii="Times New Roman" w:hAnsi="Times New Roman" w:cs="Times New Roman" w:eastAsia="Times New Roman" w:hint="default"/>
          <w:sz w:val="20"/>
          <w:szCs w:val="20"/>
        </w:rPr>
        <w:sectPr>
          <w:pgSz w:w="11910" w:h="16840"/>
          <w:pgMar w:header="880" w:footer="979" w:top="1100" w:bottom="1160" w:left="980" w:right="0"/>
        </w:sectPr>
      </w:pPr>
    </w:p>
    <w:p>
      <w:pPr>
        <w:pStyle w:val="Heading3"/>
        <w:spacing w:line="369" w:lineRule="exact"/>
        <w:ind w:left="140" w:right="0"/>
        <w:jc w:val="left"/>
        <w:rPr>
          <w:b w:val="0"/>
          <w:bCs w:val="0"/>
        </w:rPr>
      </w:pPr>
      <w:r>
        <w:rPr/>
        <w:pict>
          <v:group style="position:absolute;margin-left:70.559998pt;margin-top:2.102063pt;width:700.9pt;height:.1pt;mso-position-horizontal-relative:page;mso-position-vertical-relative:paragraph;z-index:-829240" coordorigin="1411,42" coordsize="14018,2">
            <v:shape style="position:absolute;left:1411;top:42;width:14018;height:2" coordorigin="1411,42" coordsize="14018,0" path="m1411,42l15429,42e" filled="false" stroked="true" strokeweight=".72pt" strokecolor="#000000">
              <v:path arrowok="t"/>
            </v:shape>
            <w10:wrap type="none"/>
          </v:group>
        </w:pict>
      </w:r>
      <w:r>
        <w:rPr/>
        <w:t>二、承诺事项履行情况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pict>
          <v:shape style="position:absolute;margin-left:243.986008pt;margin-top:88.901711pt;width:95.95pt;height:269.350pt;mso-position-horizontal-relative:page;mso-position-vertical-relative:paragraph;z-index:-8292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陈克让、</w:t>
                  </w:r>
                </w:p>
              </w:txbxContent>
            </v:textbox>
            <w10:wrap type="none"/>
          </v:shape>
        </w:pict>
      </w:r>
      <w:r>
        <w:rPr/>
        <w:pict>
          <v:shape style="position:absolute;margin-left:427.72699pt;margin-top:88.901711pt;width:209.25pt;height:269.350pt;mso-position-horizontal-relative:page;mso-position-vertical-relative:paragraph;z-index:-829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也不采用其他方式损害公司利益；</w:t>
                  </w:r>
                </w:p>
                <w:p>
                  <w:pPr>
                    <w:spacing w:line="240" w:lineRule="auto" w:before="0"/>
                    <w:rPr>
                      <w:rFonts w:ascii="宋体" w:hAnsi="宋体" w:cs="宋体" w:eastAsia="宋体" w:hint="default"/>
                      <w:sz w:val="18"/>
                      <w:szCs w:val="18"/>
                    </w:rPr>
                  </w:pPr>
                </w:p>
                <w:p>
                  <w:pPr>
                    <w:spacing w:before="153"/>
                    <w:ind w:left="1260" w:right="0" w:firstLine="540"/>
                    <w:jc w:val="left"/>
                    <w:rPr>
                      <w:rFonts w:ascii="宋体" w:hAnsi="宋体" w:cs="宋体" w:eastAsia="宋体" w:hint="default"/>
                      <w:sz w:val="18"/>
                      <w:szCs w:val="18"/>
                    </w:rPr>
                  </w:pPr>
                  <w:r>
                    <w:rPr>
                      <w:rFonts w:ascii="宋体" w:hAnsi="宋体" w:cs="宋体" w:eastAsia="宋体" w:hint="default"/>
                      <w:sz w:val="18"/>
                      <w:szCs w:val="18"/>
                    </w:rPr>
                    <w:t>消费活动；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260" w:right="0" w:firstLine="0"/>
                    <w:jc w:val="left"/>
                    <w:rPr>
                      <w:rFonts w:ascii="宋体" w:hAnsi="宋体" w:cs="宋体" w:eastAsia="宋体" w:hint="default"/>
                      <w:sz w:val="18"/>
                      <w:szCs w:val="18"/>
                    </w:rPr>
                  </w:pPr>
                  <w:r>
                    <w:rPr>
                      <w:rFonts w:ascii="宋体" w:hAnsi="宋体" w:cs="宋体" w:eastAsia="宋体" w:hint="default"/>
                      <w:sz w:val="18"/>
                      <w:szCs w:val="18"/>
                    </w:rPr>
                    <w:t>若违反该等承诺。</w:t>
                  </w:r>
                </w:p>
              </w:txbxContent>
            </v:textbox>
            <w10:wrap type="none"/>
          </v:shape>
        </w:pict>
      </w:r>
      <w:r>
        <w:rPr/>
        <w:pict>
          <v:group style="position:absolute;margin-left:277.010010pt;margin-top:88.901711pt;width:62.9pt;height:269.350pt;mso-position-horizontal-relative:page;mso-position-vertical-relative:paragraph;z-index:-829216" coordorigin="5540,1778" coordsize="1258,5387">
            <v:group style="position:absolute;left:5540;top:1778;width:1258;height:5387" coordorigin="5540,1778" coordsize="1258,5387">
              <v:shape style="position:absolute;left:5540;top:1778;width:1258;height:5387" coordorigin="5540,1778" coordsize="1258,5387" path="m5540,7165l6798,7165,6798,1778,5540,1778,5540,7165xe" filled="true" fillcolor="#ffffff" stroked="false">
                <v:path arrowok="t"/>
                <v:fill type="solid"/>
              </v:shape>
            </v:group>
            <v:group style="position:absolute;left:5564;top:4274;width:1210;height:394" coordorigin="5564,4274" coordsize="1210,394">
              <v:shape style="position:absolute;left:5564;top:4274;width:1210;height:394" coordorigin="5564,4274" coordsize="1210,394" path="m5564,4668l6774,4668,6774,4274,5564,4274,5564,4668xe" filled="true" fillcolor="#ffffff" stroked="false">
                <v:path arrowok="t"/>
                <v:fill type="solid"/>
              </v:shape>
            </v:group>
            <w10:wrap type="none"/>
          </v:group>
        </w:pict>
      </w:r>
      <w:r>
        <w:rPr/>
        <w:pict>
          <v:group style="position:absolute;margin-left:559.869995pt;margin-top:88.901711pt;width:77.1pt;height:269.350pt;mso-position-horizontal-relative:page;mso-position-vertical-relative:paragraph;z-index:-829192" coordorigin="11197,1778" coordsize="1542,5387">
            <v:group style="position:absolute;left:11197;top:1778;width:1542;height:5387" coordorigin="11197,1778" coordsize="1542,5387">
              <v:shape style="position:absolute;left:11197;top:1778;width:1542;height:5387" coordorigin="11197,1778" coordsize="1542,5387" path="m11197,7165l12739,7165,12739,1778,11197,1778,11197,7165xe" filled="true" fillcolor="#ffffff" stroked="false">
                <v:path arrowok="t"/>
                <v:fill type="solid"/>
              </v:shape>
            </v:group>
            <v:group style="position:absolute;left:11221;top:4274;width:1494;height:394" coordorigin="11221,4274" coordsize="1494,394">
              <v:shape style="position:absolute;left:11221;top:4274;width:1494;height:394" coordorigin="11221,4274" coordsize="1494,394" path="m11221,4668l12715,4668,12715,4274,11221,4274,11221,4668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148"/>
        <w:gridCol w:w="1976"/>
        <w:gridCol w:w="1267"/>
        <w:gridCol w:w="4390"/>
        <w:gridCol w:w="1551"/>
        <w:gridCol w:w="898"/>
        <w:gridCol w:w="1788"/>
      </w:tblGrid>
      <w:tr>
        <w:trPr>
          <w:trHeight w:val="403"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2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32"/>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北京嘉豪伟业投资中心</w:t>
            </w:r>
          </w:p>
          <w:p>
            <w:pPr>
              <w:pStyle w:val="TableParagraph"/>
              <w:spacing w:line="316" w:lineRule="auto" w:before="76"/>
              <w:ind w:left="23" w:right="51"/>
              <w:jc w:val="left"/>
              <w:rPr>
                <w:rFonts w:ascii="宋体" w:hAnsi="宋体" w:cs="宋体" w:eastAsia="宋体" w:hint="default"/>
                <w:sz w:val="18"/>
                <w:szCs w:val="18"/>
              </w:rPr>
            </w:pPr>
            <w:r>
              <w:rPr>
                <w:rFonts w:ascii="宋体" w:hAnsi="宋体" w:cs="宋体" w:eastAsia="宋体" w:hint="default"/>
                <w:spacing w:val="-9"/>
                <w:sz w:val="18"/>
                <w:szCs w:val="18"/>
              </w:rPr>
              <w:t>（有限合伙）、前海开源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基金管理有限公司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自方直科技非公开发行股票上市之日起，本公司在本次 非公开发行过程中认购的股份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2018-03-28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21"/>
              <w:jc w:val="left"/>
              <w:rPr>
                <w:rFonts w:ascii="宋体" w:hAnsi="宋体" w:cs="宋体" w:eastAsia="宋体" w:hint="default"/>
                <w:sz w:val="18"/>
                <w:szCs w:val="18"/>
              </w:rPr>
            </w:pPr>
            <w:r>
              <w:rPr>
                <w:rFonts w:ascii="宋体" w:hAnsi="宋体" w:cs="宋体" w:eastAsia="宋体" w:hint="default"/>
                <w:spacing w:val="-7"/>
                <w:sz w:val="18"/>
                <w:szCs w:val="18"/>
              </w:rPr>
              <w:t>履行完毕，承诺期间未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有违反上述承诺的情 况。</w:t>
            </w:r>
          </w:p>
        </w:tc>
      </w:tr>
      <w:tr>
        <w:trPr>
          <w:trHeight w:val="5396" w:hRule="exact"/>
        </w:trPr>
        <w:tc>
          <w:tcPr>
            <w:tcW w:w="2148"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pacing w:val="-10"/>
                <w:sz w:val="18"/>
                <w:szCs w:val="18"/>
              </w:rPr>
              <w:t>黄元忠、黄晓峰、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陈伟强、李枫、刘勇、卢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庆华、乔东斌、许鲁光、 杨颖、杨正华</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公司董事、高级管理人员承诺忠实、勤勉地履行职责， 维护公司和全体股东的合法权益，并根据中国证监会相 关规定对公司填补即期回报措施能够得到切实履行作出 </w:t>
            </w:r>
            <w:r>
              <w:rPr>
                <w:rFonts w:ascii="宋体" w:hAnsi="宋体" w:cs="宋体" w:eastAsia="宋体" w:hint="default"/>
                <w:spacing w:val="-4"/>
                <w:sz w:val="18"/>
                <w:szCs w:val="18"/>
              </w:rPr>
              <w:t>如下承诺：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、本人承诺不无偿或以不公平条件向其他单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位或者个人输送利益，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 动用公司资产从事与其履行职责无关的投资、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、本人承诺由董事会或薪酬与考核委员会制定的薪酬制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度与公司填补回报措施的执行情况相挂钩；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、未来公司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如实施股权激励，本人承诺股权激励的行权条件与公司 </w:t>
            </w:r>
            <w:r>
              <w:rPr>
                <w:rFonts w:ascii="宋体" w:hAnsi="宋体" w:cs="宋体" w:eastAsia="宋体" w:hint="default"/>
                <w:spacing w:val="-4"/>
                <w:sz w:val="18"/>
                <w:szCs w:val="18"/>
              </w:rPr>
              <w:t>填补回报措施的执行情况相挂钩；</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、自本承诺出具日至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公司本次非公开发行股票实施完毕前，若中国证监会作 出关于填补回报措施及其承诺的其他新的监管规定的， 且上述承诺不能满足中国证监会该等规定时，本人承诺 </w:t>
            </w:r>
            <w:r>
              <w:rPr>
                <w:rFonts w:ascii="宋体" w:hAnsi="宋体" w:cs="宋体" w:eastAsia="宋体" w:hint="default"/>
                <w:spacing w:val="-5"/>
                <w:sz w:val="18"/>
                <w:szCs w:val="18"/>
              </w:rPr>
              <w:t>届时将按照中国证监会的最新规定出具补充承诺；</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w:t>
            </w:r>
            <w:r>
              <w:rPr>
                <w:rFonts w:ascii="宋体" w:hAnsi="宋体" w:cs="宋体" w:eastAsia="宋体" w:hint="default"/>
                <w:spacing w:val="-80"/>
                <w:sz w:val="18"/>
                <w:szCs w:val="18"/>
              </w:rPr>
              <w:t> </w:t>
            </w:r>
            <w:r>
              <w:rPr>
                <w:rFonts w:ascii="宋体" w:hAnsi="宋体" w:cs="宋体" w:eastAsia="宋体" w:hint="default"/>
                <w:sz w:val="18"/>
                <w:szCs w:val="18"/>
              </w:rPr>
              <w:t>人承诺切实履行公司制定的有关填补回报措施以及对此</w:t>
            </w:r>
            <w:r>
              <w:rPr>
                <w:rFonts w:ascii="宋体" w:hAnsi="宋体" w:cs="宋体" w:eastAsia="宋体" w:hint="default"/>
                <w:sz w:val="18"/>
                <w:szCs w:val="18"/>
              </w:rPr>
              <w:t> 作出的任何有关填补回报措施的承诺，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9999-12-31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截止目前，承诺方均遵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守以上承诺，未有违反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上述承诺的情况。</w:t>
            </w:r>
          </w:p>
        </w:tc>
      </w:tr>
      <w:tr>
        <w:trPr>
          <w:trHeight w:val="1025" w:hRule="exact"/>
        </w:trPr>
        <w:tc>
          <w:tcPr>
            <w:tcW w:w="2148"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pacing w:val="-6"/>
                <w:sz w:val="18"/>
                <w:szCs w:val="18"/>
              </w:rPr>
              <w:t>黄元忠、陈克让、黄晓峰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34"/>
              <w:jc w:val="both"/>
              <w:rPr>
                <w:rFonts w:ascii="宋体" w:hAnsi="宋体" w:cs="宋体" w:eastAsia="宋体" w:hint="default"/>
                <w:sz w:val="18"/>
                <w:szCs w:val="18"/>
              </w:rPr>
            </w:pPr>
            <w:r>
              <w:rPr>
                <w:rFonts w:ascii="宋体" w:hAnsi="宋体" w:cs="宋体" w:eastAsia="宋体" w:hint="default"/>
                <w:sz w:val="18"/>
                <w:szCs w:val="18"/>
              </w:rPr>
              <w:t>公司控股股东、实际控制人黄元忠及其一致行动人陈克 让、黄晓峰根据中国证监会相关规定，对公司填补回报 措施能够得到切实履行作出如下承诺：不越权干预公司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9999-12-31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截止目前，承诺方均遵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守以上承诺，未有违反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上述承诺的情况。</w:t>
            </w:r>
          </w:p>
        </w:tc>
      </w:tr>
    </w:tbl>
    <w:p>
      <w:pPr>
        <w:spacing w:after="0" w:line="319" w:lineRule="auto"/>
        <w:jc w:val="both"/>
        <w:rPr>
          <w:rFonts w:ascii="宋体" w:hAnsi="宋体" w:cs="宋体" w:eastAsia="宋体" w:hint="default"/>
          <w:sz w:val="18"/>
          <w:szCs w:val="18"/>
        </w:rPr>
        <w:sectPr>
          <w:headerReference w:type="default" r:id="rId23"/>
          <w:footerReference w:type="default" r:id="rId24"/>
          <w:pgSz w:w="16840" w:h="11910" w:orient="landscape"/>
          <w:pgMar w:header="870" w:footer="979" w:top="1060" w:bottom="1160" w:left="1300" w:right="1280"/>
          <w:pgNumType w:start="42"/>
        </w:sectPr>
      </w:pPr>
    </w:p>
    <w:p>
      <w:pPr>
        <w:spacing w:line="240" w:lineRule="auto" w:before="0"/>
        <w:rPr>
          <w:rFonts w:ascii="Times New Roman" w:hAnsi="Times New Roman" w:cs="Times New Roman" w:eastAsia="Times New Roman" w:hint="default"/>
          <w:sz w:val="3"/>
          <w:szCs w:val="3"/>
        </w:rPr>
      </w:pPr>
      <w:r>
        <w:rPr/>
        <w:pict>
          <v:shape style="position:absolute;margin-left:271.010010pt;margin-top:189.050003pt;width:68.9pt;height:144.4pt;mso-position-horizontal-relative:page;mso-position-vertical-relative:page;z-index:-829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08.736023pt;margin-top:189.050003pt;width:128.2pt;height:144.4pt;mso-position-horizontal-relative:page;mso-position-vertical-relative:page;z-index:-829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陈克让先生、</w:t>
                  </w:r>
                </w:p>
              </w:txbxContent>
            </v:textbox>
            <w10:wrap type="none"/>
          </v:shape>
        </w:pict>
      </w:r>
      <w:r>
        <w:rPr/>
        <w:pict>
          <v:group style="position:absolute;margin-left:178.220001pt;margin-top:452.860016pt;width:592.9pt;height:23.4pt;mso-position-horizontal-relative:page;mso-position-vertical-relative:page;z-index:-829048" coordorigin="3564,9057" coordsize="11858,468">
            <v:shape style="position:absolute;left:3564;top:9057;width:11858;height:468" coordorigin="3564,9057" coordsize="11858,468" path="m3564,9525l15422,9525,15422,9057,3564,9057,3564,9525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2148"/>
        <w:gridCol w:w="1976"/>
        <w:gridCol w:w="1267"/>
        <w:gridCol w:w="4390"/>
        <w:gridCol w:w="1551"/>
        <w:gridCol w:w="898"/>
        <w:gridCol w:w="1788"/>
      </w:tblGrid>
      <w:tr>
        <w:trPr>
          <w:trHeight w:val="377" w:hRule="exact"/>
        </w:trPr>
        <w:tc>
          <w:tcPr>
            <w:tcW w:w="2148" w:type="dxa"/>
            <w:vMerge w:val="restart"/>
            <w:tcBorders>
              <w:top w:val="single" w:sz="15" w:space="0" w:color="000000"/>
              <w:left w:val="single" w:sz="4" w:space="0" w:color="000000"/>
              <w:right w:val="single" w:sz="4" w:space="0" w:color="000000"/>
            </w:tcBorders>
            <w:shd w:val="clear" w:color="auto" w:fill="D2D2D2"/>
          </w:tcPr>
          <w:p>
            <w:pPr/>
          </w:p>
        </w:tc>
        <w:tc>
          <w:tcPr>
            <w:tcW w:w="1976" w:type="dxa"/>
            <w:tcBorders>
              <w:top w:val="single" w:sz="15" w:space="0" w:color="000000"/>
              <w:left w:val="single" w:sz="4" w:space="0" w:color="000000"/>
              <w:bottom w:val="single" w:sz="4" w:space="0" w:color="000000"/>
              <w:right w:val="single" w:sz="4" w:space="0" w:color="000000"/>
            </w:tcBorders>
          </w:tcPr>
          <w:p>
            <w:pPr/>
          </w:p>
        </w:tc>
        <w:tc>
          <w:tcPr>
            <w:tcW w:w="1267" w:type="dxa"/>
            <w:tcBorders>
              <w:top w:val="single" w:sz="15" w:space="0" w:color="000000"/>
              <w:left w:val="single" w:sz="4" w:space="0" w:color="000000"/>
              <w:bottom w:val="single" w:sz="4" w:space="0" w:color="000000"/>
              <w:right w:val="single" w:sz="4" w:space="0" w:color="000000"/>
            </w:tcBorders>
          </w:tcPr>
          <w:p>
            <w:pPr/>
          </w:p>
        </w:tc>
        <w:tc>
          <w:tcPr>
            <w:tcW w:w="43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经营管理活动，不侵占公司利益。</w:t>
            </w:r>
          </w:p>
        </w:tc>
        <w:tc>
          <w:tcPr>
            <w:tcW w:w="1551"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788"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2148" w:type="dxa"/>
            <w:vMerge/>
            <w:tcBorders>
              <w:left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陈克让、黄晓峰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z w:val="18"/>
                <w:szCs w:val="18"/>
              </w:rPr>
              <w:t>股东一致行动 承诺</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黄晓峰、陈克让承诺：二人为各自独立的自然人股东， 相互之间不存在关联关系，在作为发行人股东期间，不 相互转让股份，不通过受让其他股东持有的方直科技股 份、增资等途径取得方直科技的控股地位，不通过与其 他任何第三方签订一致行动协议或类似安排的方式取得 方直科技的实际控股地位，不得做出有损发行人实际控 制权及经营稳定、整体利益的行为</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9999-12-31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截止目前，承诺方均遵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守以上承诺，未有违反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上述承诺的情况。</w:t>
            </w:r>
          </w:p>
        </w:tc>
      </w:tr>
      <w:tr>
        <w:trPr>
          <w:trHeight w:val="2897" w:hRule="exact"/>
        </w:trPr>
        <w:tc>
          <w:tcPr>
            <w:tcW w:w="2148"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8"/>
              <w:jc w:val="left"/>
              <w:rPr>
                <w:rFonts w:ascii="宋体" w:hAnsi="宋体" w:cs="宋体" w:eastAsia="宋体" w:hint="default"/>
                <w:sz w:val="18"/>
                <w:szCs w:val="18"/>
              </w:rPr>
            </w:pPr>
            <w:r>
              <w:rPr>
                <w:rFonts w:ascii="宋体" w:hAnsi="宋体" w:cs="宋体" w:eastAsia="宋体" w:hint="default"/>
                <w:spacing w:val="-14"/>
                <w:sz w:val="18"/>
                <w:szCs w:val="18"/>
              </w:rPr>
              <w:t>黄元忠、陈克让、黄晓峰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杨颖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7"/>
                <w:sz w:val="18"/>
                <w:szCs w:val="18"/>
              </w:rPr>
              <w:t>关联交易、资金</w:t>
            </w:r>
            <w:r>
              <w:rPr>
                <w:rFonts w:ascii="宋体" w:hAnsi="宋体" w:cs="宋体" w:eastAsia="宋体" w:hint="default"/>
                <w:sz w:val="18"/>
                <w:szCs w:val="18"/>
              </w:rPr>
              <w:t> 占用方面的承</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诺</w:t>
            </w:r>
          </w:p>
          <w:p>
            <w:pPr>
              <w:pStyle w:val="TableParagraph"/>
              <w:spacing w:line="288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7"/>
                <w:sz w:val="20"/>
                <w:szCs w:val="20"/>
              </w:rPr>
              <w:pict>
                <v:group style="width:62.9pt;height:144.4pt;mso-position-horizontal-relative:char;mso-position-vertical-relative:line" coordorigin="0,0" coordsize="1258,2888">
                  <v:group style="position:absolute;left:0;top:0;width:1258;height:2888" coordorigin="0,0" coordsize="1258,2888">
                    <v:shape style="position:absolute;left:0;top:0;width:1258;height:2888" coordorigin="0,0" coordsize="1258,2888" path="m0,2888l1258,2888,1258,0,0,0,0,2888xe" filled="true" fillcolor="#ffffff" stroked="false">
                      <v:path arrowok="t"/>
                      <v:fill type="solid"/>
                    </v:shape>
                  </v:group>
                  <v:group style="position:absolute;left:24;top:780;width:1210;height:353" coordorigin="24,780" coordsize="1210,353">
                    <v:shape style="position:absolute;left:24;top:780;width:1210;height:353" coordorigin="24,780" coordsize="1210,353" path="m24,1133l1234,1133,1234,780,24,780,24,1133xe" filled="true" fillcolor="#ffffff" stroked="false">
                      <v:path arrowok="t"/>
                      <v:fill type="solid"/>
                    </v:shape>
                  </v:group>
                  <v:group style="position:absolute;left:24;top:1133;width:1210;height:312" coordorigin="24,1133" coordsize="1210,312">
                    <v:shape style="position:absolute;left:24;top:1133;width:1210;height:312" coordorigin="24,1133" coordsize="1210,312" path="m24,1445l1234,1445,1234,1133,24,1133,24,1445xe" filled="true" fillcolor="#ffffff" stroked="false">
                      <v:path arrowok="t"/>
                      <v:fill type="solid"/>
                    </v:shape>
                  </v:group>
                  <v:group style="position:absolute;left:24;top:1445;width:1210;height:313" coordorigin="24,1445" coordsize="1210,313">
                    <v:shape style="position:absolute;left:24;top:1445;width:1210;height:313" coordorigin="24,1445" coordsize="1210,313" path="m24,1757l1234,1757,1234,1445,24,1445,24,1757xe" filled="true" fillcolor="#ffffff" stroked="false">
                      <v:path arrowok="t"/>
                      <v:fill type="solid"/>
                    </v:shape>
                  </v:group>
                  <v:group style="position:absolute;left:24;top:1757;width:1210;height:351" coordorigin="24,1757" coordsize="1210,351">
                    <v:shape style="position:absolute;left:24;top:1757;width:1210;height:351" coordorigin="24,1757" coordsize="1210,351" path="m24,2108l1234,2108,1234,1757,24,1757,24,2108xe" filled="true" fillcolor="#ffffff" stroked="false">
                      <v:path arrowok="t"/>
                      <v:fill type="solid"/>
                    </v:shape>
                  </v:group>
                </v:group>
              </w:pict>
            </w:r>
            <w:r>
              <w:rPr>
                <w:rFonts w:ascii="Times New Roman" w:hAnsi="Times New Roman" w:cs="Times New Roman" w:eastAsia="Times New Roman" w:hint="default"/>
                <w:position w:val="-57"/>
                <w:sz w:val="20"/>
                <w:szCs w:val="20"/>
              </w:rPr>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（一）避免同业竞争的承诺</w:t>
            </w:r>
            <w:r>
              <w:rPr>
                <w:rFonts w:ascii="宋体" w:hAnsi="宋体" w:cs="宋体" w:eastAsia="宋体" w:hint="default"/>
                <w:spacing w:val="14"/>
                <w:sz w:val="18"/>
                <w:szCs w:val="18"/>
              </w:rPr>
              <w:t> </w:t>
            </w:r>
            <w:r>
              <w:rPr>
                <w:rFonts w:ascii="宋体" w:hAnsi="宋体" w:cs="宋体" w:eastAsia="宋体" w:hint="default"/>
                <w:spacing w:val="-1"/>
                <w:sz w:val="18"/>
                <w:szCs w:val="18"/>
              </w:rPr>
              <w:t>为避免同业竞争损害公司及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其他股东的利益，公司控股股东、实际控制人黄元忠先 </w:t>
            </w:r>
            <w:r>
              <w:rPr>
                <w:rFonts w:ascii="宋体" w:hAnsi="宋体" w:cs="宋体" w:eastAsia="宋体" w:hint="default"/>
                <w:spacing w:val="-3"/>
                <w:sz w:val="18"/>
                <w:szCs w:val="18"/>
              </w:rPr>
              <w:t>生及其一致行动人、主要股东黄晓峰先生、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戈尔登公司分别做出避免同业竞争的承诺。（二）不占用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公司资金承诺</w:t>
            </w:r>
            <w:r>
              <w:rPr>
                <w:rFonts w:ascii="宋体" w:hAnsi="宋体" w:cs="宋体" w:eastAsia="宋体" w:hint="default"/>
                <w:spacing w:val="9"/>
                <w:sz w:val="18"/>
                <w:szCs w:val="18"/>
              </w:rPr>
              <w:t> </w:t>
            </w:r>
            <w:r>
              <w:rPr>
                <w:rFonts w:ascii="宋体" w:hAnsi="宋体" w:cs="宋体" w:eastAsia="宋体" w:hint="default"/>
                <w:spacing w:val="-5"/>
                <w:sz w:val="18"/>
                <w:szCs w:val="18"/>
              </w:rPr>
              <w:t>公司控股股东、实际控制人黄元忠及其他</w:t>
            </w:r>
            <w:r>
              <w:rPr>
                <w:rFonts w:ascii="宋体" w:hAnsi="宋体" w:cs="宋体" w:eastAsia="宋体" w:hint="default"/>
                <w:sz w:val="18"/>
                <w:szCs w:val="18"/>
              </w:rPr>
              <w:t> 主要股东陈克让、黄晓峰、杨颖分别承诺：截止本承诺 函出具日，本人不存在占用方直科技资金的情形；自本 承诺函出具日起，本人将严格遵守相关法律、法规及公 司相关规定，不占用公司资金。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88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7"/>
                <w:sz w:val="20"/>
                <w:szCs w:val="20"/>
              </w:rPr>
              <w:pict>
                <v:group style="width:77.1pt;height:144.4pt;mso-position-horizontal-relative:char;mso-position-vertical-relative:line" coordorigin="0,0" coordsize="1542,2888">
                  <v:group style="position:absolute;left:0;top:0;width:1542;height:2888" coordorigin="0,0" coordsize="1542,2888">
                    <v:shape style="position:absolute;left:0;top:0;width:1542;height:2888" coordorigin="0,0" coordsize="1542,2888" path="m0,2888l1541,2888,1541,0,0,0,0,2888xe" filled="true" fillcolor="#ffffff" stroked="false">
                      <v:path arrowok="t"/>
                      <v:fill type="solid"/>
                    </v:shape>
                  </v:group>
                  <v:group style="position:absolute;left:24;top:1248;width:1494;height:392" coordorigin="24,1248" coordsize="1494,392">
                    <v:shape style="position:absolute;left:24;top:1248;width:1494;height:392" coordorigin="24,1248" coordsize="1494,392" path="m24,1639l1517,1639,1517,1248,24,1248,24,1639xe" filled="true" fillcolor="#ffffff" stroked="false">
                      <v:path arrowok="t"/>
                      <v:fill type="solid"/>
                    </v:shape>
                  </v:group>
                </v:group>
              </w:pict>
            </w:r>
            <w:r>
              <w:rPr>
                <w:rFonts w:ascii="Times New Roman" w:hAnsi="Times New Roman" w:cs="Times New Roman" w:eastAsia="Times New Roman" w:hint="default"/>
                <w:position w:val="-57"/>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9999-12-31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1" w:right="21"/>
              <w:jc w:val="left"/>
              <w:rPr>
                <w:rFonts w:ascii="宋体" w:hAnsi="宋体" w:cs="宋体" w:eastAsia="宋体" w:hint="default"/>
                <w:sz w:val="18"/>
                <w:szCs w:val="18"/>
              </w:rPr>
            </w:pPr>
            <w:r>
              <w:rPr>
                <w:rFonts w:ascii="宋体" w:hAnsi="宋体" w:cs="宋体" w:eastAsia="宋体" w:hint="default"/>
                <w:sz w:val="18"/>
                <w:szCs w:val="18"/>
              </w:rPr>
              <w:t>上述股东均遵守以上 </w:t>
            </w:r>
            <w:r>
              <w:rPr>
                <w:rFonts w:ascii="宋体" w:hAnsi="宋体" w:cs="宋体" w:eastAsia="宋体" w:hint="default"/>
                <w:spacing w:val="-7"/>
                <w:sz w:val="18"/>
                <w:szCs w:val="18"/>
              </w:rPr>
              <w:t>承诺，未有违反上述承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诺的情况。</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7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439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97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439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 的具体原因及下一步的工 作计划</w:t>
            </w:r>
          </w:p>
        </w:tc>
        <w:tc>
          <w:tcPr>
            <w:tcW w:w="11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92.9pt;height:23.4pt;mso-position-horizontal-relative:char;mso-position-vertical-relative:line" coordorigin="0,0" coordsize="11858,468">
                  <v:group style="position:absolute;left:0;top:0;width:11858;height:468" coordorigin="0,0" coordsize="11858,468">
                    <v:shape style="position:absolute;left:0;top:0;width:11858;height:468" coordorigin="0,0" coordsize="11858,468" path="m0,468l11857,468,11857,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11"/>
        <w:rPr>
          <w:rFonts w:ascii="Times New Roman" w:hAnsi="Times New Roman" w:cs="Times New Roman" w:eastAsia="Times New Roman" w:hint="default"/>
          <w:sz w:val="23"/>
          <w:szCs w:val="23"/>
        </w:rPr>
      </w:pPr>
    </w:p>
    <w:p>
      <w:pPr>
        <w:pStyle w:val="Heading6"/>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pict>
          <v:shape style="position:absolute;margin-left:56.424pt;margin-top:-36.508282pt;width:479.3pt;height:227.9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日颁布了《关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格式的通知</w:t>
                        </w:r>
                        <w:r>
                          <w:rPr>
                            <w:rFonts w:ascii="宋体" w:hAnsi="宋体" w:cs="宋体" w:eastAsia="宋体" w:hint="default"/>
                            <w:spacing w:val="-159"/>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24"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日发布的《关于修订印发一 </w:t>
                        </w:r>
                        <w:r>
                          <w:rPr>
                            <w:rFonts w:ascii="宋体" w:hAnsi="宋体" w:cs="宋体" w:eastAsia="宋体" w:hint="default"/>
                            <w:spacing w:val="-6"/>
                            <w:sz w:val="18"/>
                            <w:szCs w:val="18"/>
                          </w:rPr>
                          <w:t>般企业财务报表格式的通知》（财会</w:t>
                        </w:r>
                      </w:p>
                      <w:p>
                        <w:pPr>
                          <w:pStyle w:val="TableParagraph"/>
                          <w:spacing w:line="309" w:lineRule="auto" w:before="31"/>
                          <w:ind w:left="24"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号）同时废止。公司按照《修</w:t>
                        </w:r>
                        <w:r>
                          <w:rPr>
                            <w:rFonts w:ascii="宋体" w:hAnsi="宋体" w:cs="宋体" w:eastAsia="宋体" w:hint="default"/>
                            <w:sz w:val="18"/>
                            <w:szCs w:val="18"/>
                          </w:rPr>
                          <w:t> 订通知》的规定和要求，对财务报表格 式进行相应变更。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 事会第二次会议、第四届监事会第二次 会议审议通过了《关于会计政策变更的 议案》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1"/>
                            <w:sz w:val="18"/>
                            <w:szCs w:val="18"/>
                          </w:rPr>
                          <w:t>新增了“应收票据及应收账款”、“应付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2"/>
                            <w:sz w:val="18"/>
                            <w:szCs w:val="18"/>
                          </w:rPr>
                          <w:t>票据及应付账款”、“研发费用”行项目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4"/>
                            <w:sz w:val="18"/>
                            <w:szCs w:val="18"/>
                          </w:rPr>
                          <w:t>修订了“其他应收款”、“固定资产”、“在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建工程”、“其他应付款”、“长期应付款”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“管理费用”行项目的列报内容，减少</w:t>
                        </w:r>
                        <w:r>
                          <w:rPr>
                            <w:rFonts w:ascii="宋体" w:hAnsi="宋体" w:cs="宋体" w:eastAsia="宋体" w:hint="default"/>
                            <w:sz w:val="18"/>
                            <w:szCs w:val="18"/>
                          </w:rPr>
                          <w:t> </w:t>
                        </w:r>
                        <w:r>
                          <w:rPr>
                            <w:rFonts w:ascii="宋体" w:hAnsi="宋体" w:cs="宋体" w:eastAsia="宋体" w:hint="default"/>
                            <w:spacing w:val="-20"/>
                            <w:sz w:val="18"/>
                            <w:szCs w:val="18"/>
                          </w:rPr>
                          <w:t>了“应收票据”、“应收账款”、“应收股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2"/>
                            <w:sz w:val="18"/>
                            <w:szCs w:val="18"/>
                          </w:rPr>
                          <w:t>利”、“应收利息”、“固定资产清理”、“工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2"/>
                            <w:sz w:val="18"/>
                            <w:szCs w:val="18"/>
                          </w:rPr>
                          <w:t>程物资”、“应付票据”、“应付账款”、“应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付利息”、“应付股利”及“专项应付款</w:t>
                        </w:r>
                        <w:r>
                          <w:rPr>
                            <w:rFonts w:ascii="宋体" w:hAnsi="宋体" w:cs="宋体" w:eastAsia="宋体" w:hint="default"/>
                            <w:sz w:val="18"/>
                            <w:szCs w:val="18"/>
                          </w:rPr>
                          <w:t> </w:t>
                        </w:r>
                        <w:r>
                          <w:rPr>
                            <w:rFonts w:ascii="宋体" w:hAnsi="宋体" w:cs="宋体" w:eastAsia="宋体" w:hint="default"/>
                            <w:spacing w:val="-6"/>
                            <w:sz w:val="18"/>
                            <w:szCs w:val="18"/>
                          </w:rPr>
                          <w:t>行项目，在“财务费用”项目下增加“其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中：利息费用”和“利息收入”行项目 进行列报，调整了利润表部分项目的列 报位置。</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367" w:lineRule="exact"/>
        <w:ind w:right="0"/>
        <w:jc w:val="left"/>
        <w:rPr>
          <w:b w:val="0"/>
          <w:bCs w:val="0"/>
        </w:rPr>
      </w:pPr>
      <w:r>
        <w:rPr/>
        <w:t>七、与上年度财务报告相比，合并报表范围发生变化的情况说明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left="573" w:right="0"/>
        <w:jc w:val="left"/>
      </w:pPr>
      <w:r>
        <w:rPr/>
        <w:t>本公司合并报表范围与上年相比因新设增加子公司深圳市木愚科技有限公司。</w:t>
      </w:r>
      <w:r>
        <w:rPr>
          <w:w w:val="100"/>
        </w:rPr>
        <w:t> </w:t>
      </w:r>
      <w:r>
        <w:rPr>
          <w:spacing w:val="-2"/>
        </w:rPr>
        <w:t>报告期内，公司召开第三届董事会第三十二次会议审议通过了《关于公司对外投资设立全资子公司的</w:t>
      </w:r>
    </w:p>
    <w:p>
      <w:pPr>
        <w:pStyle w:val="BodyText"/>
        <w:spacing w:line="240" w:lineRule="auto"/>
        <w:ind w:right="0"/>
        <w:jc w:val="left"/>
      </w:pPr>
      <w:r>
        <w:rPr/>
        <w:t>议案》，同意公司设立全资子公司“深圳市木愚科技有限公司”（下称“木愚科技”）。并于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p>
    <w:p>
      <w:pPr>
        <w:spacing w:after="0" w:line="240" w:lineRule="auto"/>
        <w:jc w:val="left"/>
        <w:sectPr>
          <w:headerReference w:type="default" r:id="rId25"/>
          <w:footerReference w:type="default" r:id="rId26"/>
          <w:pgSz w:w="11910" w:h="16840"/>
          <w:pgMar w:header="880" w:footer="979" w:top="1100" w:bottom="1160" w:left="980" w:right="0"/>
          <w:pgNumType w:start="44"/>
        </w:sectPr>
      </w:pPr>
    </w:p>
    <w:p>
      <w:pPr>
        <w:spacing w:line="240" w:lineRule="auto" w:before="12"/>
        <w:rPr>
          <w:rFonts w:ascii="宋体" w:hAnsi="宋体" w:cs="宋体" w:eastAsia="宋体" w:hint="default"/>
          <w:sz w:val="26"/>
          <w:szCs w:val="26"/>
        </w:rPr>
      </w:pPr>
    </w:p>
    <w:p>
      <w:pPr>
        <w:pStyle w:val="BodyText"/>
        <w:spacing w:line="386" w:lineRule="auto" w:before="36"/>
        <w:ind w:right="0"/>
        <w:jc w:val="left"/>
      </w:pPr>
      <w:r>
        <w:rPr>
          <w:rFonts w:ascii="Times New Roman" w:hAnsi="Times New Roman" w:cs="Times New Roman" w:eastAsia="Times New Roman" w:hint="default"/>
          <w:spacing w:val="-2"/>
        </w:rPr>
        <w:t>16</w:t>
      </w:r>
      <w:r>
        <w:rPr>
          <w:spacing w:val="-2"/>
        </w:rPr>
        <w:t>日取得了深圳市市场监督管理局核发的《营业执照》。本次对外投资设立木愚科技是以基于人工智能发</w:t>
      </w:r>
      <w:r>
        <w:rPr>
          <w:spacing w:val="-41"/>
        </w:rPr>
        <w:t> </w:t>
      </w:r>
      <w:r>
        <w:rPr>
          <w:spacing w:val="-41"/>
        </w:rPr>
      </w:r>
      <w:r>
        <w:rPr/>
        <w:t>展教育为主要目标，开展人工智能</w:t>
      </w:r>
      <w:r>
        <w:rPr>
          <w:rFonts w:ascii="Times New Roman" w:hAnsi="Times New Roman" w:cs="Times New Roman" w:eastAsia="Times New Roman" w:hint="default"/>
        </w:rPr>
        <w:t>+</w:t>
      </w:r>
      <w:r>
        <w:rPr/>
        <w:t>教育的相关研发、服务和营销工作。</w:t>
      </w:r>
    </w:p>
    <w:p>
      <w:pPr>
        <w:pStyle w:val="Heading3"/>
        <w:spacing w:line="240" w:lineRule="auto" w:before="157"/>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9"/>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t>十六、重大合同及其履行情况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pStyle w:val="BodyText"/>
        <w:spacing w:line="408" w:lineRule="auto" w:before="99"/>
        <w:ind w:left="573" w:right="0"/>
        <w:jc w:val="left"/>
      </w:pPr>
      <w:r>
        <w:rPr/>
        <w:t>公司办事处使用的办公场所及总部库房目前是向第三方租用。</w:t>
      </w:r>
      <w:r>
        <w:rPr>
          <w:w w:val="100"/>
        </w:rPr>
        <w:t> </w:t>
      </w:r>
      <w:r>
        <w:rPr>
          <w:spacing w:val="-2"/>
        </w:rPr>
        <w:t>公司将部分办公场所对外出租，报告期收到租赁收入</w:t>
      </w:r>
      <w:r>
        <w:rPr>
          <w:rFonts w:ascii="宋体" w:hAnsi="宋体" w:cs="宋体" w:eastAsia="宋体" w:hint="default"/>
          <w:spacing w:val="-2"/>
        </w:rPr>
        <w:t>100.6</w:t>
      </w:r>
      <w:r>
        <w:rPr>
          <w:spacing w:val="-2"/>
        </w:rPr>
        <w:t>万元。</w:t>
      </w:r>
    </w:p>
    <w:p>
      <w:pPr>
        <w:spacing w:before="110"/>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38"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6"/>
          <w:szCs w:val="16"/>
        </w:rPr>
      </w:pPr>
    </w:p>
    <w:p>
      <w:pPr>
        <w:pStyle w:val="Heading6"/>
        <w:spacing w:line="335" w:lineRule="exact"/>
        <w:ind w:left="140"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left="140"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headerReference w:type="default" r:id="rId27"/>
          <w:footerReference w:type="default" r:id="rId28"/>
          <w:pgSz w:w="16840" w:h="11910" w:orient="landscape"/>
          <w:pgMar w:header="870" w:footer="979" w:top="1060" w:bottom="1160" w:left="1300" w:right="1280"/>
          <w:pgNumType w:start="48"/>
        </w:sectPr>
      </w:pPr>
    </w:p>
    <w:p>
      <w:pPr>
        <w:spacing w:line="340" w:lineRule="auto" w:before="4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160" w:left="1300" w:right="1280"/>
          <w:cols w:num="2" w:equalWidth="0">
            <w:col w:w="1941" w:space="11021"/>
            <w:col w:w="1298"/>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36"/>
        <w:gridCol w:w="2876"/>
        <w:gridCol w:w="2902"/>
        <w:gridCol w:w="2797"/>
        <w:gridCol w:w="2707"/>
      </w:tblGrid>
      <w:tr>
        <w:trPr>
          <w:trHeight w:val="401" w:hRule="exact"/>
        </w:trPr>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自有资金和募集资金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spacing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160" w:left="1300" w:right="1280"/>
          <w:cols w:num="2" w:equalWidth="0">
            <w:col w:w="6261" w:space="6701"/>
            <w:col w:w="1298"/>
          </w:cols>
        </w:sectPr>
      </w:pP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36"/>
        <w:gridCol w:w="864"/>
        <w:gridCol w:w="893"/>
        <w:gridCol w:w="564"/>
        <w:gridCol w:w="850"/>
        <w:gridCol w:w="1082"/>
        <w:gridCol w:w="1181"/>
        <w:gridCol w:w="461"/>
        <w:gridCol w:w="670"/>
        <w:gridCol w:w="852"/>
        <w:gridCol w:w="850"/>
        <w:gridCol w:w="912"/>
        <w:gridCol w:w="821"/>
        <w:gridCol w:w="804"/>
        <w:gridCol w:w="802"/>
        <w:gridCol w:w="802"/>
        <w:gridCol w:w="775"/>
      </w:tblGrid>
      <w:tr>
        <w:trPr>
          <w:trHeight w:val="1651" w:hRule="exact"/>
        </w:trPr>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6"/>
              <w:ind w:left="67" w:right="6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8"/>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6"/>
              <w:ind w:left="14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1" w:right="89"/>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7"/>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6"/>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6"/>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hanging="1"/>
              <w:jc w:val="center"/>
              <w:rPr>
                <w:rFonts w:ascii="宋体" w:hAnsi="宋体" w:cs="宋体" w:eastAsia="宋体" w:hint="default"/>
                <w:sz w:val="18"/>
                <w:szCs w:val="18"/>
              </w:rPr>
            </w:pPr>
            <w:r>
              <w:rPr>
                <w:rFonts w:ascii="宋体" w:hAnsi="宋体" w:cs="宋体" w:eastAsia="宋体" w:hint="default"/>
                <w:sz w:val="18"/>
                <w:szCs w:val="18"/>
              </w:rPr>
              <w:t>事项概 述及相 关查询 索引（如 有）</w:t>
            </w: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71.58</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65.10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16.27</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68.05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6"/>
        <w:gridCol w:w="864"/>
        <w:gridCol w:w="893"/>
        <w:gridCol w:w="564"/>
        <w:gridCol w:w="850"/>
        <w:gridCol w:w="1082"/>
        <w:gridCol w:w="1181"/>
        <w:gridCol w:w="461"/>
        <w:gridCol w:w="670"/>
        <w:gridCol w:w="852"/>
        <w:gridCol w:w="850"/>
        <w:gridCol w:w="912"/>
        <w:gridCol w:w="821"/>
        <w:gridCol w:w="804"/>
        <w:gridCol w:w="802"/>
        <w:gridCol w:w="802"/>
        <w:gridCol w:w="775"/>
      </w:tblGrid>
      <w:tr>
        <w:trPr>
          <w:trHeight w:val="730" w:hRule="exact"/>
        </w:trPr>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4.60%</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17.39</w:t>
            </w:r>
          </w:p>
        </w:tc>
        <w:tc>
          <w:tcPr>
            <w:tcW w:w="9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17.39</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17.39</w:t>
            </w:r>
          </w:p>
        </w:tc>
        <w:tc>
          <w:tcPr>
            <w:tcW w:w="804"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38.89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4.70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12.58</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4.46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57.34</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6.62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17.20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12.09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4.89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12.47</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19.85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51.04</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6"/>
        <w:gridCol w:w="864"/>
        <w:gridCol w:w="893"/>
        <w:gridCol w:w="564"/>
        <w:gridCol w:w="850"/>
        <w:gridCol w:w="1082"/>
        <w:gridCol w:w="1181"/>
        <w:gridCol w:w="461"/>
        <w:gridCol w:w="670"/>
        <w:gridCol w:w="852"/>
        <w:gridCol w:w="850"/>
        <w:gridCol w:w="912"/>
        <w:gridCol w:w="821"/>
        <w:gridCol w:w="804"/>
        <w:gridCol w:w="802"/>
        <w:gridCol w:w="802"/>
        <w:gridCol w:w="775"/>
      </w:tblGrid>
      <w:tr>
        <w:trPr>
          <w:trHeight w:val="730" w:hRule="exact"/>
        </w:trPr>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4.00%</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64.82</w:t>
            </w:r>
          </w:p>
        </w:tc>
        <w:tc>
          <w:tcPr>
            <w:tcW w:w="9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64.82</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64.82</w:t>
            </w:r>
          </w:p>
        </w:tc>
        <w:tc>
          <w:tcPr>
            <w:tcW w:w="804"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4.30%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10.72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16.83</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13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3.95%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9"/>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4.35%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62"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707.46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572.89</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十七、社会责任情况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496" w:lineRule="auto" w:before="0"/>
        <w:ind w:left="573" w:right="0" w:hanging="42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、履行社会责任情况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3"/>
        </w:rPr>
        <w:t>报告期内，公司积极履行企业社会责任，组织协调各职能部门工作，促进公司规范运作，公司在不断</w:t>
      </w:r>
    </w:p>
    <w:p>
      <w:pPr>
        <w:pStyle w:val="BodyText"/>
        <w:spacing w:line="243" w:lineRule="exact" w:before="0"/>
        <w:ind w:right="0"/>
        <w:jc w:val="left"/>
      </w:pPr>
      <w:r>
        <w:rPr/>
        <w:t>为股东创造价值的同时，也积极承担对职工、客户、社会等其他利益相关者的责任，公司严格按照《公司</w:t>
      </w:r>
    </w:p>
    <w:p>
      <w:pPr>
        <w:spacing w:line="240" w:lineRule="auto" w:before="10"/>
        <w:rPr>
          <w:rFonts w:ascii="宋体" w:hAnsi="宋体" w:cs="宋体" w:eastAsia="宋体" w:hint="default"/>
          <w:sz w:val="14"/>
          <w:szCs w:val="14"/>
        </w:rPr>
      </w:pPr>
    </w:p>
    <w:p>
      <w:pPr>
        <w:pStyle w:val="BodyText"/>
        <w:spacing w:line="408" w:lineRule="auto" w:before="0"/>
        <w:ind w:right="1104"/>
        <w:jc w:val="both"/>
      </w:pPr>
      <w:r>
        <w:rPr>
          <w:spacing w:val="-2"/>
        </w:rPr>
        <w:t>法》、《深圳证券交易所创业板股票上市规则》、《上市公司信息披露管理办法》、《公司章程》的规定</w:t>
      </w:r>
      <w:r>
        <w:rPr>
          <w:spacing w:val="-44"/>
        </w:rPr>
        <w:t> </w:t>
      </w:r>
      <w:r>
        <w:rPr>
          <w:spacing w:val="-44"/>
        </w:rPr>
      </w:r>
      <w:r>
        <w:rPr>
          <w:spacing w:val="-2"/>
        </w:rPr>
        <w:t>和要求，规范股东大会的召集、召开及表决程序，通过现场、网络等合法有效的方式，让更多的股东特别</w:t>
      </w:r>
      <w:r>
        <w:rPr>
          <w:spacing w:val="-43"/>
        </w:rPr>
        <w:t> </w:t>
      </w:r>
      <w:r>
        <w:rPr>
          <w:spacing w:val="-43"/>
        </w:rPr>
      </w:r>
      <w:r>
        <w:rPr>
          <w:spacing w:val="-2"/>
        </w:rPr>
        <w:t>是中小股东能够参加股东大会，确保股东对公司重大事项的知情权、参与权和表决权，公司认真履行信息</w:t>
      </w:r>
      <w:r>
        <w:rPr>
          <w:spacing w:val="-45"/>
        </w:rPr>
        <w:t> </w:t>
      </w:r>
      <w:r>
        <w:rPr>
          <w:spacing w:val="-45"/>
        </w:rPr>
      </w:r>
      <w:r>
        <w:rPr>
          <w:spacing w:val="-2"/>
        </w:rPr>
        <w:t>披露义务，及时、准确、真实、完整进行信息披露工作，秉持公平、公正、公开的原则对待全体投资者，</w:t>
      </w:r>
      <w:r>
        <w:rPr>
          <w:spacing w:val="-21"/>
        </w:rPr>
        <w:t> </w:t>
      </w:r>
      <w:r>
        <w:rPr>
          <w:spacing w:val="-21"/>
        </w:rPr>
      </w:r>
      <w:r>
        <w:rPr>
          <w:spacing w:val="-2"/>
        </w:rPr>
        <w:t>维护广大投资者的利益。公司亦注重员工的人身安全、劳动保护和身心健康的保护，切实履行企业主体责</w:t>
      </w:r>
      <w:r>
        <w:rPr>
          <w:spacing w:val="-42"/>
        </w:rPr>
        <w:t> </w:t>
      </w:r>
      <w:r>
        <w:rPr>
          <w:spacing w:val="-42"/>
        </w:rPr>
      </w:r>
      <w:r>
        <w:rPr>
          <w:spacing w:val="-2"/>
        </w:rPr>
        <w:t>任。公司长期以来一直重视员工的未来职业发展规划，通过多种方式为员工提供平等的发展机会，尊重和</w:t>
      </w:r>
      <w:r>
        <w:rPr>
          <w:spacing w:val="-43"/>
        </w:rPr>
        <w:t> </w:t>
      </w:r>
      <w:r>
        <w:rPr>
          <w:spacing w:val="-43"/>
        </w:rPr>
      </w:r>
      <w:r>
        <w:rPr>
          <w:spacing w:val="-2"/>
        </w:rPr>
        <w:t>维护员工的个人利益，对人员录用、员工培训、工资薪酬、福利保障等进行了详细规定，建立了较为完善</w:t>
      </w:r>
      <w:r>
        <w:rPr>
          <w:spacing w:val="-43"/>
        </w:rPr>
        <w:t> </w:t>
      </w:r>
      <w:r>
        <w:rPr>
          <w:spacing w:val="-43"/>
        </w:rPr>
      </w:r>
      <w:r>
        <w:rPr/>
        <w:t>的绩效考核体系，重视人才培养，实现员工与企业的共同成长。</w:t>
      </w:r>
    </w:p>
    <w:p>
      <w:pPr>
        <w:pStyle w:val="BodyText"/>
        <w:spacing w:line="408" w:lineRule="auto"/>
        <w:ind w:right="1126" w:firstLine="420"/>
        <w:jc w:val="both"/>
      </w:pPr>
      <w:r>
        <w:rPr>
          <w:spacing w:val="-2"/>
        </w:rPr>
        <w:t>公司在保持稳定经营实现可持续发展的同时也高度重视教育资源的可持续发展，公司在报告期内为开</w:t>
      </w:r>
      <w:r>
        <w:rPr>
          <w:w w:val="100"/>
        </w:rPr>
        <w:t> </w:t>
      </w:r>
      <w:r>
        <w:rPr>
          <w:spacing w:val="-2"/>
        </w:rPr>
        <w:t>学季的陕西省洛川县明珠中学的贫困孩子们免费赠送了同步配套教育软件，爱心助学、帮扶教育，践行企</w:t>
      </w:r>
      <w:r>
        <w:rPr>
          <w:spacing w:val="-43"/>
        </w:rPr>
        <w:t> </w:t>
      </w:r>
      <w:r>
        <w:rPr>
          <w:spacing w:val="-43"/>
        </w:rPr>
      </w:r>
      <w:r>
        <w:rPr/>
        <w:t>业社会责任，提升扶贫地区教育教学水平，以实际行动践行“人人分享优质教育资源”的理念。</w:t>
      </w:r>
    </w:p>
    <w:p>
      <w:pPr>
        <w:spacing w:line="240" w:lineRule="auto" w:before="7"/>
        <w:rPr>
          <w:rFonts w:ascii="宋体" w:hAnsi="宋体" w:cs="宋体" w:eastAsia="宋体" w:hint="default"/>
          <w:sz w:val="15"/>
          <w:szCs w:val="15"/>
        </w:rPr>
      </w:pPr>
    </w:p>
    <w:p>
      <w:pPr>
        <w:spacing w:line="496" w:lineRule="auto" w:before="0"/>
        <w:ind w:left="573" w:right="2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公司报告年度暂未开展精准扶贫工作，也暂无后续精准扶贫计划。</w:t>
      </w:r>
    </w:p>
    <w:p>
      <w:pPr>
        <w:pStyle w:val="Heading6"/>
        <w:spacing w:line="240" w:lineRule="auto" w:before="125"/>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pStyle w:val="BodyText"/>
        <w:spacing w:line="240" w:lineRule="auto" w:before="85"/>
        <w:ind w:left="573" w:right="0"/>
        <w:jc w:val="left"/>
      </w:pPr>
      <w:r>
        <w:rPr/>
        <w:t>公司及其子公司不属于环境保护部门公布的重点排污单位。</w:t>
      </w:r>
    </w:p>
    <w:p>
      <w:pPr>
        <w:spacing w:after="0" w:line="240" w:lineRule="auto"/>
        <w:jc w:val="left"/>
        <w:sectPr>
          <w:headerReference w:type="default" r:id="rId29"/>
          <w:footerReference w:type="default" r:id="rId30"/>
          <w:pgSz w:w="11910" w:h="16840"/>
          <w:pgMar w:header="880" w:footer="979" w:top="1100" w:bottom="1160" w:left="980" w:right="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367" w:lineRule="exact"/>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86" w:lineRule="auto" w:before="157"/>
        <w:ind w:left="573" w:right="0"/>
        <w:jc w:val="left"/>
      </w:pPr>
      <w:r>
        <w:rPr>
          <w:rFonts w:ascii="Times New Roman" w:hAnsi="Times New Roman" w:cs="Times New Roman" w:eastAsia="Times New Roman" w:hint="default"/>
        </w:rPr>
        <w:t>1</w:t>
      </w:r>
      <w:r>
        <w:rPr/>
        <w:t>、非公开发行股票事项</w:t>
      </w:r>
      <w:r>
        <w:rPr>
          <w:w w:val="100"/>
        </w:rPr>
        <w:t>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16</w:t>
      </w:r>
      <w:r>
        <w:rPr>
          <w:spacing w:val="-2"/>
        </w:rPr>
        <w:t>日取得中国证券监督管理委员会证监许可</w:t>
      </w:r>
      <w:r>
        <w:rPr>
          <w:rFonts w:ascii="Times New Roman" w:hAnsi="Times New Roman" w:cs="Times New Roman" w:eastAsia="Times New Roman" w:hint="default"/>
          <w:spacing w:val="-2"/>
        </w:rPr>
        <w:t>[2017]56</w:t>
      </w:r>
      <w:r>
        <w:rPr>
          <w:spacing w:val="-2"/>
        </w:rPr>
        <w:t>号文《关于核准深圳市方直科</w:t>
      </w:r>
    </w:p>
    <w:p>
      <w:pPr>
        <w:pStyle w:val="BodyText"/>
        <w:spacing w:line="386" w:lineRule="auto" w:before="35"/>
        <w:ind w:right="0"/>
        <w:jc w:val="left"/>
      </w:pPr>
      <w:r>
        <w:rPr>
          <w:spacing w:val="-3"/>
        </w:rPr>
        <w:t>技股份有限公司非公开发行股票的批复》，核准公司非公开发行不超过</w:t>
      </w:r>
      <w:r>
        <w:rPr>
          <w:rFonts w:ascii="Times New Roman" w:hAnsi="Times New Roman" w:cs="Times New Roman" w:eastAsia="Times New Roman" w:hint="default"/>
          <w:spacing w:val="-3"/>
        </w:rPr>
        <w:t>1,500</w:t>
      </w:r>
      <w:r>
        <w:rPr>
          <w:spacing w:val="-3"/>
        </w:rPr>
        <w:t>万股新股。公司向特定投资者</w:t>
      </w:r>
      <w:r>
        <w:rPr>
          <w:spacing w:val="-45"/>
        </w:rPr>
        <w:t> </w:t>
      </w:r>
      <w:r>
        <w:rPr>
          <w:spacing w:val="-45"/>
        </w:rPr>
      </w:r>
      <w:r>
        <w:rPr>
          <w:spacing w:val="-3"/>
        </w:rPr>
        <w:t>北京嘉豪伟业投资中心（有限合伙）和前海开源基金管理有限公司共发行人民币普通股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 </w:t>
      </w:r>
      <w:r>
        <w:rPr>
          <w:rFonts w:ascii="Times New Roman" w:hAnsi="Times New Roman" w:cs="Times New Roman" w:eastAsia="Times New Roman" w:hint="default"/>
        </w:rPr>
        <w:t>9,431,090</w:t>
      </w:r>
      <w:r>
        <w:rPr/>
        <w:t>股，</w:t>
      </w:r>
      <w:r>
        <w:rPr>
          <w:spacing w:val="-87"/>
        </w:rPr>
        <w:t> </w:t>
      </w:r>
      <w:r>
        <w:rPr>
          <w:spacing w:val="-3"/>
        </w:rPr>
        <w:t>每股面值人民币</w:t>
      </w:r>
      <w:r>
        <w:rPr>
          <w:rFonts w:ascii="Times New Roman" w:hAnsi="Times New Roman" w:cs="Times New Roman" w:eastAsia="Times New Roman" w:hint="default"/>
          <w:spacing w:val="-3"/>
        </w:rPr>
        <w:t>1.00</w:t>
      </w:r>
      <w:r>
        <w:rPr>
          <w:spacing w:val="-3"/>
        </w:rPr>
        <w:t>元，每股发行认购价格为人民币</w:t>
      </w:r>
      <w:r>
        <w:rPr>
          <w:rFonts w:ascii="Times New Roman" w:hAnsi="Times New Roman" w:cs="Times New Roman" w:eastAsia="Times New Roman" w:hint="default"/>
          <w:spacing w:val="-3"/>
        </w:rPr>
        <w:t>25.30</w:t>
      </w:r>
      <w:r>
        <w:rPr>
          <w:spacing w:val="-3"/>
        </w:rPr>
        <w:t>元，共计募集人民币</w:t>
      </w:r>
      <w:r>
        <w:rPr>
          <w:rFonts w:ascii="Times New Roman" w:hAnsi="Times New Roman" w:cs="Times New Roman" w:eastAsia="Times New Roman" w:hint="default"/>
          <w:spacing w:val="-3"/>
        </w:rPr>
        <w:t>238,606,577.00</w:t>
      </w:r>
      <w:r>
        <w:rPr>
          <w:spacing w:val="-3"/>
        </w:rPr>
        <w:t>元，扣除与发</w:t>
      </w:r>
      <w:r>
        <w:rPr>
          <w:spacing w:val="-17"/>
        </w:rPr>
        <w:t> </w:t>
      </w:r>
      <w:r>
        <w:rPr>
          <w:spacing w:val="-17"/>
        </w:rPr>
      </w:r>
      <w:r>
        <w:rPr/>
        <w:t>行有关的费用人民币</w:t>
      </w:r>
      <w:r>
        <w:rPr>
          <w:rFonts w:ascii="Times New Roman" w:hAnsi="Times New Roman" w:cs="Times New Roman" w:eastAsia="Times New Roman" w:hint="default"/>
        </w:rPr>
        <w:t>10,609,431.09</w:t>
      </w:r>
      <w:r>
        <w:rPr/>
        <w:t>元，公司实际募集资金净额为人民币</w:t>
      </w:r>
      <w:r>
        <w:rPr>
          <w:rFonts w:ascii="Times New Roman" w:hAnsi="Times New Roman" w:cs="Times New Roman" w:eastAsia="Times New Roman" w:hint="default"/>
        </w:rPr>
        <w:t>227,997,145.91</w:t>
      </w:r>
      <w:r>
        <w:rPr/>
        <w:t>元。</w:t>
      </w:r>
    </w:p>
    <w:p>
      <w:pPr>
        <w:pStyle w:val="BodyText"/>
        <w:spacing w:line="386" w:lineRule="auto" w:before="35"/>
        <w:ind w:right="1105" w:firstLine="42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09</w:t>
      </w:r>
      <w:r>
        <w:rPr>
          <w:spacing w:val="-2"/>
        </w:rPr>
        <w:t>日止，公司上述发行募集的资金已全部到位，大华会计师事务所（特殊普通合伙）</w:t>
      </w:r>
      <w:r>
        <w:rPr>
          <w:w w:val="100"/>
        </w:rPr>
        <w:t> </w:t>
      </w:r>
      <w:r>
        <w:rPr>
          <w:spacing w:val="-2"/>
        </w:rPr>
        <w:t>出具了大华验字</w:t>
      </w:r>
      <w:r>
        <w:rPr>
          <w:rFonts w:ascii="Times New Roman" w:hAnsi="Times New Roman" w:cs="Times New Roman" w:eastAsia="Times New Roman" w:hint="default"/>
          <w:spacing w:val="-2"/>
        </w:rPr>
        <w:t>[2017]000150</w:t>
      </w:r>
      <w:r>
        <w:rPr>
          <w:spacing w:val="-2"/>
        </w:rPr>
        <w:t>号《验资报告》验证确认。本次非公开发行新增股份</w:t>
      </w:r>
      <w:r>
        <w:rPr>
          <w:rFonts w:ascii="Times New Roman" w:hAnsi="Times New Roman" w:cs="Times New Roman" w:eastAsia="Times New Roman" w:hint="default"/>
          <w:spacing w:val="-2"/>
        </w:rPr>
        <w:t>9,431,090</w:t>
      </w:r>
      <w:r>
        <w:rPr>
          <w:spacing w:val="-2"/>
        </w:rPr>
        <w:t>股，已于</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24</w:t>
      </w:r>
      <w:r>
        <w:rPr>
          <w:spacing w:val="-2"/>
        </w:rPr>
        <w:t>日在中国证券登记结算有限责任公司深圳分公司办理完毕股份登记手续，并于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27</w:t>
      </w:r>
      <w:r>
        <w:rPr>
          <w:spacing w:val="-2"/>
        </w:rPr>
        <w:t>日在</w:t>
      </w:r>
      <w:r>
        <w:rPr>
          <w:spacing w:val="-32"/>
        </w:rPr>
        <w:t> </w:t>
      </w:r>
      <w:r>
        <w:rPr>
          <w:spacing w:val="-2"/>
        </w:rPr>
        <w:t>深圳证券交易所上市。在上述非公开发行股票前公司总股本为</w:t>
      </w:r>
      <w:r>
        <w:rPr>
          <w:rFonts w:ascii="Times New Roman" w:hAnsi="Times New Roman" w:cs="Times New Roman" w:eastAsia="Times New Roman" w:hint="default"/>
          <w:spacing w:val="-2"/>
        </w:rPr>
        <w:t>158,400,000</w:t>
      </w:r>
      <w:r>
        <w:rPr>
          <w:spacing w:val="-2"/>
        </w:rPr>
        <w:t>股，非公开发行股票后公司总股</w:t>
      </w:r>
      <w:r>
        <w:rPr>
          <w:spacing w:val="-32"/>
        </w:rPr>
        <w:t> </w:t>
      </w:r>
      <w:r>
        <w:rPr>
          <w:spacing w:val="-32"/>
        </w:rPr>
      </w:r>
      <w:r>
        <w:rPr/>
        <w:t>本变更为</w:t>
      </w:r>
      <w:r>
        <w:rPr>
          <w:rFonts w:ascii="Times New Roman" w:hAnsi="Times New Roman" w:cs="Times New Roman" w:eastAsia="Times New Roman" w:hint="default"/>
        </w:rPr>
        <w:t>167,831,090</w:t>
      </w:r>
      <w:r>
        <w:rPr/>
        <w:t>股。</w:t>
      </w:r>
    </w:p>
    <w:p>
      <w:pPr>
        <w:pStyle w:val="BodyText"/>
        <w:spacing w:line="398" w:lineRule="auto" w:before="35"/>
        <w:ind w:right="1125" w:firstLine="420"/>
        <w:jc w:val="both"/>
      </w:pPr>
      <w:r>
        <w:rPr>
          <w:spacing w:val="-2"/>
        </w:rPr>
        <w:t>北京嘉豪伟业投资中心（有限合伙）和前海开源基金管理有限公司均承诺：“自方直科技非公开发行</w:t>
      </w:r>
      <w:r>
        <w:rPr>
          <w:w w:val="100"/>
        </w:rPr>
        <w:t> </w:t>
      </w:r>
      <w:r>
        <w:rPr>
          <w:spacing w:val="-2"/>
        </w:rPr>
        <w:t>股票上市之日起，本公司在本次非公开发行过程中认购的方直科技股票</w:t>
      </w:r>
      <w:r>
        <w:rPr>
          <w:rFonts w:ascii="Times New Roman" w:hAnsi="Times New Roman" w:cs="Times New Roman" w:eastAsia="Times New Roman" w:hint="default"/>
          <w:spacing w:val="-2"/>
        </w:rPr>
        <w:t>12</w:t>
      </w:r>
      <w:r>
        <w:rPr>
          <w:spacing w:val="-2"/>
        </w:rPr>
        <w:t>个月内不予转让。”上述股东均</w:t>
      </w:r>
      <w:r>
        <w:rPr>
          <w:spacing w:val="-43"/>
        </w:rPr>
        <w:t> </w:t>
      </w:r>
      <w:r>
        <w:rPr>
          <w:spacing w:val="-43"/>
        </w:rPr>
      </w:r>
      <w:r>
        <w:rPr/>
        <w:t>已严格履行上述承诺。</w:t>
      </w:r>
    </w:p>
    <w:p>
      <w:pPr>
        <w:pStyle w:val="BodyText"/>
        <w:spacing w:line="386" w:lineRule="auto" w:before="54"/>
        <w:ind w:right="1106" w:firstLine="420"/>
        <w:jc w:val="both"/>
      </w:pPr>
      <w:r>
        <w:rPr>
          <w:spacing w:val="-2"/>
        </w:rPr>
        <w:t>本次非公开发行股份的限售股份已于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28</w:t>
      </w:r>
      <w:r>
        <w:rPr>
          <w:spacing w:val="-2"/>
        </w:rPr>
        <w:t>日办理解除限售，可上市流通数量为</w:t>
      </w:r>
      <w:r>
        <w:rPr>
          <w:rFonts w:ascii="Times New Roman" w:hAnsi="Times New Roman" w:cs="Times New Roman" w:eastAsia="Times New Roman" w:hint="default"/>
          <w:spacing w:val="-2"/>
        </w:rPr>
        <w:t>9,431,090</w:t>
      </w:r>
      <w:r>
        <w:rPr>
          <w:spacing w:val="-2"/>
        </w:rPr>
        <w:t>股，</w:t>
      </w:r>
      <w:r>
        <w:rPr>
          <w:spacing w:val="-3"/>
          <w:w w:val="100"/>
        </w:rPr>
        <w:t> </w:t>
      </w:r>
      <w:r>
        <w:rPr/>
        <w:t>占公司总股本的比例为</w:t>
      </w:r>
      <w:r>
        <w:rPr>
          <w:rFonts w:ascii="Times New Roman" w:hAnsi="Times New Roman" w:cs="Times New Roman" w:eastAsia="Times New Roman" w:hint="default"/>
        </w:rPr>
        <w:t>5.62%</w:t>
      </w:r>
      <w:r>
        <w:rPr/>
        <w:t>。本次解除限售的股份不存在质押、冻结的情况。</w:t>
      </w:r>
    </w:p>
    <w:p>
      <w:pPr>
        <w:pStyle w:val="BodyText"/>
        <w:spacing w:line="386" w:lineRule="auto" w:before="35"/>
        <w:ind w:right="1128" w:firstLine="420"/>
        <w:jc w:val="both"/>
      </w:pPr>
      <w:r>
        <w:rPr>
          <w:spacing w:val="-2"/>
        </w:rPr>
        <w:t>非公开发行股份事项的具体情况详见公司分别于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22</w:t>
      </w:r>
      <w:r>
        <w:rPr>
          <w:spacing w:val="-2"/>
        </w:rPr>
        <w:t>日</w:t>
      </w:r>
      <w:r>
        <w:rPr>
          <w:w w:val="100"/>
        </w:rPr>
        <w:t> </w:t>
      </w:r>
      <w:r>
        <w:rPr/>
        <w:t>在巨潮资讯网披露的相关公告（公告编码：</w:t>
      </w:r>
      <w:r>
        <w:rPr>
          <w:rFonts w:ascii="Times New Roman" w:hAnsi="Times New Roman" w:cs="Times New Roman" w:eastAsia="Times New Roman" w:hint="default"/>
        </w:rPr>
        <w:t>2017-001</w:t>
      </w:r>
      <w:r>
        <w:rPr/>
        <w:t>、</w:t>
      </w:r>
      <w:r>
        <w:rPr>
          <w:rFonts w:ascii="Times New Roman" w:hAnsi="Times New Roman" w:cs="Times New Roman" w:eastAsia="Times New Roman" w:hint="default"/>
        </w:rPr>
        <w:t>2017-013</w:t>
      </w:r>
      <w:r>
        <w:rPr/>
        <w:t>、</w:t>
      </w:r>
      <w:r>
        <w:rPr>
          <w:rFonts w:ascii="Times New Roman" w:hAnsi="Times New Roman" w:cs="Times New Roman" w:eastAsia="Times New Roman" w:hint="default"/>
        </w:rPr>
        <w:t>2017-014</w:t>
      </w:r>
      <w:r>
        <w:rPr/>
        <w:t>、</w:t>
      </w:r>
      <w:r>
        <w:rPr>
          <w:rFonts w:ascii="Times New Roman" w:hAnsi="Times New Roman" w:cs="Times New Roman" w:eastAsia="Times New Roman" w:hint="default"/>
        </w:rPr>
        <w:t>2018-011</w:t>
      </w:r>
      <w:r>
        <w:rPr/>
        <w:t>）。</w:t>
      </w:r>
    </w:p>
    <w:p>
      <w:pPr>
        <w:pStyle w:val="BodyText"/>
        <w:spacing w:line="240" w:lineRule="auto" w:before="35"/>
        <w:ind w:left="573" w:right="0"/>
        <w:jc w:val="left"/>
      </w:pPr>
      <w:r>
        <w:rPr>
          <w:rFonts w:ascii="Times New Roman" w:hAnsi="Times New Roman" w:cs="Times New Roman" w:eastAsia="Times New Roman" w:hint="default"/>
        </w:rPr>
        <w:t>2</w:t>
      </w:r>
      <w:r>
        <w:rPr/>
        <w:t>、投资北京千锋互联科技有限公司事项</w:t>
      </w:r>
    </w:p>
    <w:p>
      <w:pPr>
        <w:pStyle w:val="BodyText"/>
        <w:spacing w:line="386" w:lineRule="auto" w:before="177"/>
        <w:ind w:right="1128"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日，公司召开第三届董事会第二十九次会议审议通过了《关于签署</w:t>
      </w:r>
      <w:r>
        <w:rPr>
          <w:rFonts w:ascii="Times New Roman" w:hAnsi="Times New Roman" w:cs="Times New Roman" w:eastAsia="Times New Roman" w:hint="default"/>
          <w:spacing w:val="-2"/>
        </w:rPr>
        <w:t>&lt;</w:t>
      </w:r>
      <w:r>
        <w:rPr>
          <w:spacing w:val="-2"/>
        </w:rPr>
        <w:t>关于北京千锋互联</w:t>
      </w:r>
      <w:r>
        <w:rPr>
          <w:w w:val="100"/>
        </w:rPr>
        <w:t> </w:t>
      </w:r>
      <w:r>
        <w:rPr>
          <w:spacing w:val="-2"/>
        </w:rPr>
        <w:t>科技有限公司之退股返还投资款协议</w:t>
      </w:r>
      <w:r>
        <w:rPr>
          <w:rFonts w:ascii="Times New Roman" w:hAnsi="Times New Roman" w:cs="Times New Roman" w:eastAsia="Times New Roman" w:hint="default"/>
          <w:spacing w:val="-2"/>
        </w:rPr>
        <w:t>&gt;</w:t>
      </w:r>
      <w:r>
        <w:rPr>
          <w:spacing w:val="-2"/>
        </w:rPr>
        <w:t>的议案》，公司与千锋互联及其原股东签署了《关于北京千锋互联</w:t>
      </w:r>
      <w:r>
        <w:rPr>
          <w:spacing w:val="-21"/>
        </w:rPr>
        <w:t> </w:t>
      </w:r>
      <w:r>
        <w:rPr>
          <w:spacing w:val="-21"/>
        </w:rPr>
      </w:r>
      <w:r>
        <w:rPr>
          <w:spacing w:val="-2"/>
        </w:rPr>
        <w:t>科技有限公司之退股返还投资款协议》，千锋互联及其原股东同意方直科技退出所占千锋互联</w:t>
      </w:r>
      <w:r>
        <w:rPr>
          <w:rFonts w:ascii="Times New Roman" w:hAnsi="Times New Roman" w:cs="Times New Roman" w:eastAsia="Times New Roman" w:hint="default"/>
          <w:spacing w:val="-2"/>
        </w:rPr>
        <w:t>12%</w:t>
      </w:r>
      <w:r>
        <w:rPr>
          <w:spacing w:val="-2"/>
        </w:rPr>
        <w:t>股份并</w:t>
      </w:r>
      <w:r>
        <w:rPr>
          <w:spacing w:val="-17"/>
        </w:rPr>
        <w:t> </w:t>
      </w:r>
      <w:r>
        <w:rPr>
          <w:spacing w:val="-17"/>
        </w:rPr>
      </w:r>
      <w:r>
        <w:rPr>
          <w:spacing w:val="-3"/>
        </w:rPr>
        <w:t>返还全部投资款人民币</w:t>
      </w:r>
      <w:r>
        <w:rPr>
          <w:rFonts w:ascii="Times New Roman" w:hAnsi="Times New Roman" w:cs="Times New Roman" w:eastAsia="Times New Roman" w:hint="default"/>
          <w:spacing w:val="-3"/>
        </w:rPr>
        <w:t>8,100</w:t>
      </w:r>
      <w:r>
        <w:rPr>
          <w:spacing w:val="-3"/>
        </w:rPr>
        <w:t>万元及利息。退出对千锋互联的投资不会影响公司既定的经营及投资战略，对</w:t>
      </w:r>
      <w:r>
        <w:rPr>
          <w:spacing w:val="-45"/>
        </w:rPr>
        <w:t> </w:t>
      </w:r>
      <w:r>
        <w:rPr>
          <w:spacing w:val="-45"/>
        </w:rPr>
      </w:r>
      <w:r>
        <w:rPr/>
        <w:t>公司的经营成果等无重大影响。</w:t>
      </w:r>
    </w:p>
    <w:p>
      <w:pPr>
        <w:pStyle w:val="BodyText"/>
        <w:spacing w:line="386" w:lineRule="auto" w:before="65"/>
        <w:ind w:right="1051" w:firstLine="420"/>
        <w:jc w:val="both"/>
      </w:pPr>
      <w:r>
        <w:rPr>
          <w:spacing w:val="-2"/>
        </w:rPr>
        <w:t>截至到报告期末，千锋互联公司方已根据协议约定归还投资款</w:t>
      </w:r>
      <w:r>
        <w:rPr>
          <w:rFonts w:ascii="Times New Roman" w:hAnsi="Times New Roman" w:cs="Times New Roman" w:eastAsia="Times New Roman" w:hint="default"/>
          <w:spacing w:val="-2"/>
        </w:rPr>
        <w:t>49,028,288.00</w:t>
      </w:r>
      <w:r>
        <w:rPr>
          <w:spacing w:val="-2"/>
        </w:rPr>
        <w:t>元及利息</w:t>
      </w:r>
      <w:r>
        <w:rPr>
          <w:rFonts w:ascii="Times New Roman" w:hAnsi="Times New Roman" w:cs="Times New Roman" w:eastAsia="Times New Roman" w:hint="default"/>
          <w:spacing w:val="-2"/>
        </w:rPr>
        <w:t>5,701,068.05</w:t>
      </w:r>
      <w:r>
        <w:rPr>
          <w:spacing w:val="-2"/>
        </w:rPr>
        <w:t>元，</w:t>
      </w:r>
      <w:r>
        <w:rPr>
          <w:spacing w:val="-3"/>
          <w:w w:val="100"/>
        </w:rPr>
        <w:t> </w:t>
      </w:r>
      <w:r>
        <w:rPr>
          <w:spacing w:val="-2"/>
        </w:rPr>
        <w:t>千锋互联公司方归还投资款义务已履行完毕；千锋互联三位原股东目前已归还本金及利息</w:t>
      </w:r>
      <w:r>
        <w:rPr>
          <w:rFonts w:ascii="Times New Roman" w:hAnsi="Times New Roman" w:cs="Times New Roman" w:eastAsia="Times New Roman" w:hint="default"/>
          <w:spacing w:val="-2"/>
        </w:rPr>
        <w:t>4,664,021.91</w:t>
      </w:r>
      <w:r>
        <w:rPr>
          <w:spacing w:val="-2"/>
        </w:rPr>
        <w:t>元。</w:t>
      </w:r>
    </w:p>
    <w:p>
      <w:pPr>
        <w:spacing w:after="0" w:line="386"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0"/>
        <w:jc w:val="left"/>
      </w:pPr>
      <w:r>
        <w:rPr>
          <w:spacing w:val="-3"/>
        </w:rPr>
        <w:t>已收回千锋互联公司及三位原股东退回的投资款占协议约定归还投资款的</w:t>
      </w:r>
      <w:r>
        <w:rPr>
          <w:rFonts w:ascii="Times New Roman" w:hAnsi="Times New Roman" w:cs="Times New Roman" w:eastAsia="Times New Roman" w:hint="default"/>
          <w:spacing w:val="-3"/>
        </w:rPr>
        <w:t>65.79%</w:t>
      </w:r>
      <w:r>
        <w:rPr>
          <w:spacing w:val="-3"/>
        </w:rPr>
        <w:t>。公司正积极跟进三位原</w:t>
      </w:r>
      <w:r>
        <w:rPr>
          <w:spacing w:val="-9"/>
        </w:rPr>
        <w:t> </w:t>
      </w:r>
      <w:r>
        <w:rPr>
          <w:spacing w:val="-9"/>
        </w:rPr>
      </w:r>
      <w:r>
        <w:rPr/>
        <w:t>股东按协议要求履行还款义务，并定期了解三位原股东的财务状况，降低回款风险。</w:t>
      </w:r>
    </w:p>
    <w:p>
      <w:pPr>
        <w:pStyle w:val="BodyText"/>
        <w:spacing w:line="386" w:lineRule="auto" w:before="65"/>
        <w:ind w:left="573" w:right="0"/>
        <w:jc w:val="left"/>
      </w:pPr>
      <w:r>
        <w:rPr>
          <w:rFonts w:ascii="Times New Roman" w:hAnsi="Times New Roman" w:cs="Times New Roman" w:eastAsia="Times New Roman" w:hint="default"/>
        </w:rPr>
        <w:t>3</w:t>
      </w:r>
      <w:r>
        <w:rPr/>
        <w:t>、募集资金投资项目延期</w:t>
      </w:r>
      <w:r>
        <w:rPr>
          <w:w w:val="100"/>
        </w:rPr>
        <w:t> </w:t>
      </w:r>
      <w:r>
        <w:rPr>
          <w:spacing w:val="-2"/>
        </w:rPr>
        <w:t>报告期内，公司召开第四届董事会第三次会议、第四届监事会第三次会议审议通过了《关于募集资金</w:t>
      </w:r>
    </w:p>
    <w:p>
      <w:pPr>
        <w:pStyle w:val="BodyText"/>
        <w:spacing w:line="400" w:lineRule="auto" w:before="65"/>
        <w:ind w:right="1118"/>
        <w:jc w:val="left"/>
      </w:pPr>
      <w:r>
        <w:rPr>
          <w:spacing w:val="-2"/>
        </w:rPr>
        <w:t>投资项目延期的议案》，为降低募集资金投资风险、保障资金安全，本着对投资者负责的原则，结合项目</w:t>
      </w:r>
      <w:r>
        <w:rPr>
          <w:spacing w:val="-43"/>
        </w:rPr>
        <w:t> </w:t>
      </w:r>
      <w:r>
        <w:rPr>
          <w:spacing w:val="-43"/>
        </w:rPr>
      </w:r>
      <w:r>
        <w:rPr>
          <w:spacing w:val="-2"/>
        </w:rPr>
        <w:t>实际开展情况，在项目实施主体、募集资金投资用途、项目实施地点等不发生变更的情况下，将公司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年非公开发行募集资金投资项目“</w:t>
      </w:r>
      <w:r>
        <w:rPr>
          <w:spacing w:val="-5"/>
        </w:rPr>
        <w:t> </w:t>
      </w:r>
      <w:r>
        <w:rPr/>
        <w:t>教学研云平台”、“同步资源学习系统”进行延期，同意公司对募集</w:t>
      </w:r>
      <w:r>
        <w:rPr>
          <w:w w:val="100"/>
        </w:rPr>
        <w:t> </w:t>
      </w:r>
      <w:r>
        <w:rPr>
          <w:spacing w:val="-2"/>
        </w:rPr>
        <w:t>资金投资项目的实施进度进行调整，将公司募集资金投资项目预计可使用状态时间调整为</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38"/>
        </w:rPr>
        <w:t> </w:t>
      </w:r>
      <w:r>
        <w:rPr>
          <w:spacing w:val="-2"/>
        </w:rPr>
        <w:t>前。独立董事均发表了同意的独立意见。保荐机构和保荐代表人对公司“募投项目延期事项”的计划表示</w:t>
      </w:r>
      <w:r>
        <w:rPr>
          <w:spacing w:val="-50"/>
        </w:rPr>
        <w:t> </w:t>
      </w:r>
      <w:r>
        <w:rPr>
          <w:spacing w:val="-50"/>
        </w:rPr>
      </w:r>
      <w:r>
        <w:rPr/>
        <w:t>无异议。</w:t>
      </w:r>
    </w:p>
    <w:p>
      <w:pPr>
        <w:pStyle w:val="BodyText"/>
        <w:spacing w:line="408" w:lineRule="auto" w:before="52"/>
        <w:ind w:right="1126" w:firstLine="420"/>
        <w:jc w:val="both"/>
      </w:pPr>
      <w:r>
        <w:rPr>
          <w:spacing w:val="-2"/>
        </w:rPr>
        <w:t>本次部分募投项目延期是公司根据项目的实际进展情况作出的审慎决定，项目的延期未改变项目的内</w:t>
      </w:r>
      <w:r>
        <w:rPr>
          <w:w w:val="100"/>
        </w:rPr>
        <w:t> </w:t>
      </w:r>
      <w:r>
        <w:rPr>
          <w:spacing w:val="-2"/>
        </w:rPr>
        <w:t>容、投资总额、实施主体、实施地点，不存在变相改变募集资金投向，损害其他股东特别是中小股东利益</w:t>
      </w:r>
      <w:r>
        <w:rPr>
          <w:spacing w:val="-42"/>
        </w:rPr>
        <w:t> </w:t>
      </w:r>
      <w:r>
        <w:rPr>
          <w:spacing w:val="-42"/>
        </w:rPr>
      </w:r>
      <w:r>
        <w:rPr>
          <w:spacing w:val="-2"/>
        </w:rPr>
        <w:t>的情形，不会对募投项目的实施造成实质性的影响。本次募投项目延期不会对公司的正常经营产生不利影</w:t>
      </w:r>
      <w:r>
        <w:rPr>
          <w:spacing w:val="-44"/>
        </w:rPr>
        <w:t> </w:t>
      </w:r>
      <w:r>
        <w:rPr>
          <w:spacing w:val="-44"/>
        </w:rPr>
      </w:r>
      <w:r>
        <w:rPr/>
        <w:t>响。</w:t>
      </w:r>
    </w:p>
    <w:p>
      <w:pPr>
        <w:pStyle w:val="BodyText"/>
        <w:spacing w:line="386" w:lineRule="auto"/>
        <w:ind w:left="573" w:right="0"/>
        <w:jc w:val="left"/>
      </w:pPr>
      <w:r>
        <w:rPr>
          <w:rFonts w:ascii="Times New Roman" w:hAnsi="Times New Roman" w:cs="Times New Roman" w:eastAsia="Times New Roman" w:hint="default"/>
        </w:rPr>
        <w:t>4</w:t>
      </w:r>
      <w:r>
        <w:rPr/>
        <w:t>、教育产业投资基金投资项目</w:t>
      </w:r>
      <w:r>
        <w:rPr>
          <w:w w:val="100"/>
        </w:rPr>
        <w:t> </w:t>
      </w:r>
      <w:r>
        <w:rPr>
          <w:spacing w:val="-2"/>
        </w:rPr>
        <w:t>公司以有限合伙人身份用自有资金人民币</w:t>
      </w:r>
      <w:r>
        <w:rPr>
          <w:rFonts w:ascii="Times New Roman" w:hAnsi="Times New Roman" w:cs="Times New Roman" w:eastAsia="Times New Roman" w:hint="default"/>
          <w:spacing w:val="-2"/>
        </w:rPr>
        <w:t>12,000</w:t>
      </w:r>
      <w:r>
        <w:rPr>
          <w:spacing w:val="-2"/>
        </w:rPr>
        <w:t>万元，与深圳嘉道谷投资管理有限公司、深圳嘉道功</w:t>
      </w:r>
    </w:p>
    <w:p>
      <w:pPr>
        <w:pStyle w:val="BodyText"/>
        <w:spacing w:line="398" w:lineRule="auto" w:before="35"/>
        <w:ind w:right="1051"/>
        <w:jc w:val="both"/>
      </w:pPr>
      <w:r>
        <w:rPr>
          <w:spacing w:val="-2"/>
        </w:rPr>
        <w:t>程股权投资基金（有限合伙）共同发起设立深圳嘉道方直教育产业投资企业（有限合伙），该基金认缴出</w:t>
      </w:r>
      <w:r>
        <w:rPr>
          <w:spacing w:val="-43"/>
        </w:rPr>
        <w:t> </w:t>
      </w:r>
      <w:r>
        <w:rPr>
          <w:spacing w:val="-43"/>
        </w:rPr>
      </w:r>
      <w:r>
        <w:rPr/>
        <w:t>资总规模为人民币</w:t>
      </w:r>
      <w:r>
        <w:rPr>
          <w:rFonts w:ascii="Times New Roman" w:hAnsi="Times New Roman" w:cs="Times New Roman" w:eastAsia="Times New Roman" w:hint="default"/>
        </w:rPr>
        <w:t>30,100</w:t>
      </w:r>
      <w:r>
        <w:rPr/>
        <w:t>万元。公司持有合伙企业</w:t>
      </w:r>
      <w:r>
        <w:rPr>
          <w:rFonts w:ascii="Times New Roman" w:hAnsi="Times New Roman" w:cs="Times New Roman" w:eastAsia="Times New Roman" w:hint="default"/>
        </w:rPr>
        <w:t>39.87%</w:t>
      </w:r>
      <w:r>
        <w:rPr/>
        <w:t>的股份。按合伙协议约定，从合伙企业成立之日</w:t>
      </w:r>
      <w:r>
        <w:rPr>
          <w:w w:val="100"/>
        </w:rPr>
        <w:t> </w:t>
      </w:r>
      <w:r>
        <w:rPr>
          <w:spacing w:val="-2"/>
        </w:rPr>
        <w:t>起，分四年缴足，目前已投资</w:t>
      </w:r>
      <w:r>
        <w:rPr>
          <w:rFonts w:ascii="Times New Roman" w:hAnsi="Times New Roman" w:cs="Times New Roman" w:eastAsia="Times New Roman" w:hint="default"/>
          <w:spacing w:val="-2"/>
        </w:rPr>
        <w:t>4,200</w:t>
      </w:r>
      <w:r>
        <w:rPr>
          <w:spacing w:val="-2"/>
        </w:rPr>
        <w:t>万元。按照合伙协议，公司对合伙企业具有重大影响，按权益法核算。</w:t>
      </w:r>
    </w:p>
    <w:p>
      <w:pPr>
        <w:pStyle w:val="BodyText"/>
        <w:spacing w:line="396" w:lineRule="auto" w:before="24"/>
        <w:ind w:right="1104"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月，嘉道方直以增资的方式投资了北京诺加科技开发有限公司，投资总额共计</w:t>
      </w:r>
      <w:r>
        <w:rPr>
          <w:rFonts w:ascii="Times New Roman" w:hAnsi="Times New Roman" w:cs="Times New Roman" w:eastAsia="Times New Roman" w:hint="default"/>
          <w:spacing w:val="-2"/>
        </w:rPr>
        <w:t>1,000</w:t>
      </w:r>
      <w:r>
        <w:rPr>
          <w:spacing w:val="-2"/>
        </w:rPr>
        <w:t>万元并取</w:t>
      </w:r>
      <w:r>
        <w:rPr>
          <w:w w:val="100"/>
        </w:rPr>
        <w:t> </w:t>
      </w:r>
      <w:r>
        <w:rPr>
          <w:spacing w:val="-2"/>
        </w:rPr>
        <w:t>得本次增资后北京诺加科技开发有限公司基于完全摊薄基础共计</w:t>
      </w:r>
      <w:r>
        <w:rPr>
          <w:rFonts w:ascii="Times New Roman" w:hAnsi="Times New Roman" w:cs="Times New Roman" w:eastAsia="Times New Roman" w:hint="default"/>
          <w:spacing w:val="-2"/>
        </w:rPr>
        <w:t>20%</w:t>
      </w:r>
      <w:r>
        <w:rPr>
          <w:spacing w:val="-2"/>
        </w:rPr>
        <w:t>的股权。橘郡美高作为诺加国际教育</w:t>
      </w:r>
      <w:r>
        <w:rPr>
          <w:spacing w:val="-17"/>
        </w:rPr>
        <w:t> </w:t>
      </w:r>
      <w:r>
        <w:rPr>
          <w:spacing w:val="-17"/>
        </w:rPr>
      </w:r>
      <w:r>
        <w:rPr>
          <w:spacing w:val="-3"/>
        </w:rPr>
        <w:t>旗下主营</w:t>
      </w:r>
      <w:r>
        <w:rPr>
          <w:rFonts w:ascii="Times New Roman" w:hAnsi="Times New Roman" w:cs="Times New Roman" w:eastAsia="Times New Roman" w:hint="default"/>
          <w:spacing w:val="-3"/>
        </w:rPr>
        <w:t>K-12</w:t>
      </w:r>
      <w:r>
        <w:rPr>
          <w:spacing w:val="-3"/>
        </w:rPr>
        <w:t>国际化教育的核心品牌，与美国加州橘郡国际教育发展署及下属学区全美名校全面系统化合 </w:t>
      </w:r>
      <w:r>
        <w:rPr>
          <w:spacing w:val="-2"/>
        </w:rPr>
        <w:t>作，以自主研发的特色个性化学习支持系统架构为核心，采取国际教育管理公司的综合运营模式，为实行</w:t>
      </w:r>
      <w:r>
        <w:rPr>
          <w:spacing w:val="-44"/>
        </w:rPr>
        <w:t> </w:t>
      </w:r>
      <w:r>
        <w:rPr>
          <w:spacing w:val="-44"/>
        </w:rPr>
      </w:r>
      <w:r>
        <w:rPr>
          <w:spacing w:val="-2"/>
        </w:rPr>
        <w:t>国际化教育的单体与连锁学校或机构提供从品牌、理念、资源、研发、教学、技术等角度的全方位支持，</w:t>
      </w:r>
      <w:r>
        <w:rPr>
          <w:spacing w:val="-21"/>
        </w:rPr>
        <w:t> </w:t>
      </w:r>
      <w:r>
        <w:rPr>
          <w:spacing w:val="-21"/>
        </w:rPr>
      </w:r>
      <w:r>
        <w:rPr/>
        <w:t>完成从学术</w:t>
      </w:r>
      <w:r>
        <w:rPr>
          <w:rFonts w:ascii="Times New Roman" w:hAnsi="Times New Roman" w:cs="Times New Roman" w:eastAsia="Times New Roman" w:hint="default"/>
        </w:rPr>
        <w:t>-</w:t>
      </w:r>
      <w:r>
        <w:rPr/>
        <w:t>教研</w:t>
      </w:r>
      <w:r>
        <w:rPr>
          <w:rFonts w:ascii="Times New Roman" w:hAnsi="Times New Roman" w:cs="Times New Roman" w:eastAsia="Times New Roman" w:hint="default"/>
        </w:rPr>
        <w:t>-</w:t>
      </w:r>
      <w:r>
        <w:rPr/>
        <w:t>教学</w:t>
      </w:r>
      <w:r>
        <w:rPr>
          <w:rFonts w:ascii="Times New Roman" w:hAnsi="Times New Roman" w:cs="Times New Roman" w:eastAsia="Times New Roman" w:hint="default"/>
        </w:rPr>
        <w:t>-</w:t>
      </w:r>
      <w:r>
        <w:rPr/>
        <w:t>教务</w:t>
      </w:r>
      <w:r>
        <w:rPr>
          <w:rFonts w:ascii="Times New Roman" w:hAnsi="Times New Roman" w:cs="Times New Roman" w:eastAsia="Times New Roman" w:hint="default"/>
        </w:rPr>
        <w:t>-</w:t>
      </w:r>
      <w:r>
        <w:rPr/>
        <w:t>传播的教学研传闭环建设，对学生、教师和学校进行全方位成长赋能。</w:t>
      </w:r>
    </w:p>
    <w:p>
      <w:pPr>
        <w:pStyle w:val="BodyText"/>
        <w:spacing w:line="408" w:lineRule="auto" w:before="26"/>
        <w:ind w:right="1126" w:firstLine="420"/>
        <w:jc w:val="both"/>
      </w:pPr>
      <w:r>
        <w:rPr>
          <w:spacing w:val="-2"/>
        </w:rPr>
        <w:t>以上投资行为是公司参与设立的教育产业投资基金对外投资项目，属于教育产业投资基金的正常投资</w:t>
      </w:r>
      <w:r>
        <w:rPr>
          <w:w w:val="100"/>
        </w:rPr>
        <w:t> </w:t>
      </w:r>
      <w:r>
        <w:rPr>
          <w:spacing w:val="-2"/>
        </w:rPr>
        <w:t>经营行为，产业投资基金产生的投资收益可以为上市公司带来新的利润增长点，对公司无不利影响。投资</w:t>
      </w:r>
      <w:r>
        <w:rPr>
          <w:spacing w:val="-43"/>
        </w:rPr>
        <w:t> </w:t>
      </w:r>
      <w:r>
        <w:rPr>
          <w:spacing w:val="-43"/>
        </w:rPr>
      </w:r>
      <w:r>
        <w:rPr>
          <w:spacing w:val="-2"/>
        </w:rPr>
        <w:t>行为符合公司内生式增长与外延式扩张相结合的发展思路，目标公司是具有良好发展前景的优质项目，为</w:t>
      </w:r>
      <w:r>
        <w:rPr>
          <w:spacing w:val="-44"/>
        </w:rPr>
        <w:t> </w:t>
      </w:r>
      <w:r>
        <w:rPr>
          <w:spacing w:val="-44"/>
        </w:rPr>
      </w:r>
      <w:r>
        <w:rPr/>
        <w:t>公司进一步推进在教育行业的资源整合和协同发展，加快实现公司业务结构的多元化起到积极作用。</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710"/>
        <w:gridCol w:w="850"/>
        <w:gridCol w:w="566"/>
        <w:gridCol w:w="994"/>
        <w:gridCol w:w="850"/>
        <w:gridCol w:w="852"/>
        <w:gridCol w:w="982"/>
        <w:gridCol w:w="792"/>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71,740,914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-9,146,378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62,594,536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71,740,914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-9,146,378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62,594,536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9,431,090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-9,431,090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-9,431,090</w:t>
            </w:r>
          </w:p>
        </w:tc>
        <w:tc>
          <w:tcPr>
            <w:tcW w:w="98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62,309,824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284,712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62,594,536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96,090,176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9,146,378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105,236,554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96,090,176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9,146,378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9,146,378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105,236,554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167,831,090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167,831,090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60"/>
        <w:ind w:left="57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日，根据各董事、监事、高管的承诺，其持有的公司股份每年度解除限售</w:t>
      </w:r>
      <w:r>
        <w:rPr>
          <w:rFonts w:ascii="Times New Roman" w:hAnsi="Times New Roman" w:cs="Times New Roman" w:eastAsia="Times New Roman" w:hint="default"/>
        </w:rPr>
        <w:t>25%</w:t>
      </w:r>
      <w:r>
        <w:rPr/>
        <w:t>。</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23</w:t>
      </w:r>
      <w:r>
        <w:rPr/>
        <w:t>日，公司披露了《关于非公开发行新增股份变动报告及上市公告书》，公司向特</w:t>
      </w:r>
      <w:r>
        <w:rPr>
          <w:w w:val="100"/>
        </w:rPr>
        <w:t> </w:t>
      </w:r>
      <w:r>
        <w:rPr/>
        <w:t>定投资者北京嘉豪伟业投资中心（有限合伙）和前海开源基金管理有限公司共发行人民币普通股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w w:val="100"/>
        </w:rPr>
        <w:t> </w:t>
      </w:r>
      <w:r>
        <w:rPr>
          <w:spacing w:val="-3"/>
        </w:rPr>
        <w:t>股</w:t>
      </w:r>
      <w:r>
        <w:rPr>
          <w:rFonts w:ascii="Times New Roman" w:hAnsi="Times New Roman" w:cs="Times New Roman" w:eastAsia="Times New Roman" w:hint="default"/>
          <w:spacing w:val="-3"/>
        </w:rPr>
        <w:t>)9,431,090</w:t>
      </w:r>
      <w:r>
        <w:rPr>
          <w:spacing w:val="-3"/>
        </w:rPr>
        <w:t>股，本次非公开发行股票新增股份已于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03</w:t>
      </w:r>
      <w:r>
        <w:rPr>
          <w:spacing w:val="-3"/>
        </w:rPr>
        <w:t>月</w:t>
      </w:r>
      <w:r>
        <w:rPr>
          <w:rFonts w:ascii="Times New Roman" w:hAnsi="Times New Roman" w:cs="Times New Roman" w:eastAsia="Times New Roman" w:hint="default"/>
          <w:spacing w:val="-3"/>
        </w:rPr>
        <w:t>27</w:t>
      </w:r>
      <w:r>
        <w:rPr>
          <w:spacing w:val="-3"/>
        </w:rPr>
        <w:t>日在深圳证券交易所上市，北京嘉豪伟业</w:t>
      </w:r>
      <w:r>
        <w:rPr>
          <w:spacing w:val="-42"/>
        </w:rPr>
        <w:t> </w:t>
      </w:r>
      <w:r>
        <w:rPr>
          <w:spacing w:val="-42"/>
        </w:rPr>
      </w:r>
      <w:r>
        <w:rPr>
          <w:spacing w:val="-2"/>
        </w:rPr>
        <w:t>投资中心（有限合伙）和前海开源基金管理有限公司认购本次发行的股份自愿承诺自上市之日起</w:t>
      </w:r>
      <w:r>
        <w:rPr>
          <w:rFonts w:ascii="Times New Roman" w:hAnsi="Times New Roman" w:cs="Times New Roman" w:eastAsia="Times New Roman" w:hint="default"/>
          <w:spacing w:val="-2"/>
        </w:rPr>
        <w:t>12</w:t>
      </w:r>
      <w:r>
        <w:rPr>
          <w:spacing w:val="-2"/>
        </w:rPr>
        <w:t>个月内</w:t>
      </w:r>
      <w:r>
        <w:rPr>
          <w:spacing w:val="-40"/>
        </w:rPr>
        <w:t> </w:t>
      </w:r>
      <w:r>
        <w:rPr>
          <w:spacing w:val="-40"/>
        </w:rPr>
      </w:r>
      <w:r>
        <w:rPr/>
        <w:t>不转让，上述股东均已严格履行上述承诺。</w:t>
      </w:r>
    </w:p>
    <w:p>
      <w:pPr>
        <w:pStyle w:val="BodyText"/>
        <w:spacing w:line="386" w:lineRule="auto" w:before="65"/>
        <w:ind w:right="0" w:firstLine="420"/>
        <w:jc w:val="left"/>
      </w:pPr>
      <w:r>
        <w:rPr>
          <w:spacing w:val="-2"/>
        </w:rPr>
        <w:t>本次非公开发行股份的限售股份已于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28</w:t>
      </w:r>
      <w:r>
        <w:rPr>
          <w:spacing w:val="-2"/>
        </w:rPr>
        <w:t>日办理解除限售，可上市流通数量为</w:t>
      </w:r>
      <w:r>
        <w:rPr>
          <w:rFonts w:ascii="Times New Roman" w:hAnsi="Times New Roman" w:cs="Times New Roman" w:eastAsia="Times New Roman" w:hint="default"/>
          <w:spacing w:val="-2"/>
        </w:rPr>
        <w:t>9,431,090</w:t>
      </w:r>
      <w:r>
        <w:rPr>
          <w:spacing w:val="-2"/>
        </w:rPr>
        <w:t>股，</w:t>
      </w:r>
      <w:r>
        <w:rPr>
          <w:spacing w:val="-3"/>
          <w:w w:val="100"/>
        </w:rPr>
        <w:t> </w:t>
      </w:r>
      <w:r>
        <w:rPr/>
        <w:t>占公司总股本的比例为</w:t>
      </w:r>
      <w:r>
        <w:rPr>
          <w:rFonts w:ascii="Times New Roman" w:hAnsi="Times New Roman" w:cs="Times New Roman" w:eastAsia="Times New Roman" w:hint="default"/>
        </w:rPr>
        <w:t>5.62%</w:t>
      </w:r>
      <w:r>
        <w:rPr/>
        <w:t>。本次解除限售的股份不存在质押、冻结的情况。</w:t>
      </w:r>
    </w:p>
    <w:p>
      <w:pPr>
        <w:pStyle w:val="BodyText"/>
        <w:spacing w:line="400" w:lineRule="auto" w:before="35"/>
        <w:ind w:right="0" w:firstLine="42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28</w:t>
      </w:r>
      <w:r>
        <w:rPr>
          <w:spacing w:val="-4"/>
        </w:rPr>
        <w:t>日，公司召开了</w:t>
      </w:r>
      <w:r>
        <w:rPr>
          <w:rFonts w:ascii="Times New Roman" w:hAnsi="Times New Roman" w:cs="Times New Roman" w:eastAsia="Times New Roman" w:hint="default"/>
          <w:spacing w:val="-4"/>
        </w:rPr>
        <w:t>2018</w:t>
      </w:r>
      <w:r>
        <w:rPr>
          <w:spacing w:val="-4"/>
        </w:rPr>
        <w:t>年第一次临时股东大会及第四届董事会第一次会议进行了董事、</w:t>
      </w:r>
      <w:r>
        <w:rPr>
          <w:w w:val="100"/>
        </w:rPr>
        <w:t> </w:t>
      </w:r>
      <w:r>
        <w:rPr>
          <w:spacing w:val="-2"/>
        </w:rPr>
        <w:t>监事及高级管理人员的换届，离任监事、高级管理人员的股份根据《深圳证券交易所创业板上市公司规范</w:t>
      </w:r>
      <w:r>
        <w:rPr>
          <w:spacing w:val="-43"/>
        </w:rPr>
        <w:t> </w:t>
      </w:r>
      <w:r>
        <w:rPr>
          <w:spacing w:val="-43"/>
        </w:rPr>
      </w:r>
      <w:r>
        <w:rPr>
          <w:spacing w:val="-2"/>
        </w:rPr>
        <w:t>运作指引》、《上市公司董事、监事和高级管理人员所持本公司股份及其变动管理规则》等相应法律、法</w:t>
      </w:r>
      <w:r>
        <w:rPr>
          <w:spacing w:val="-45"/>
        </w:rPr>
        <w:t> </w:t>
      </w:r>
      <w:r>
        <w:rPr>
          <w:spacing w:val="-45"/>
        </w:rPr>
      </w:r>
      <w:r>
        <w:rPr/>
        <w:t>规及相关承诺进行管理。</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0" w:firstLine="42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16</w:t>
      </w:r>
      <w:r>
        <w:rPr/>
        <w:t>日取得中国证券监督管理委员会证监许可</w:t>
      </w:r>
      <w:r>
        <w:rPr>
          <w:rFonts w:ascii="Times New Roman" w:hAnsi="Times New Roman" w:cs="Times New Roman" w:eastAsia="Times New Roman" w:hint="default"/>
        </w:rPr>
        <w:t>[2017]56</w:t>
      </w:r>
      <w:r>
        <w:rPr/>
        <w:t>号文《关于核准深圳市方直科</w:t>
      </w:r>
      <w:r>
        <w:rPr>
          <w:w w:val="100"/>
        </w:rPr>
        <w:t> </w:t>
      </w:r>
      <w:r>
        <w:rPr>
          <w:spacing w:val="-3"/>
        </w:rPr>
        <w:t>技股份有限公司非公开发行股票的批复》，核准公司非公开发行不超过</w:t>
      </w:r>
      <w:r>
        <w:rPr>
          <w:rFonts w:ascii="Times New Roman" w:hAnsi="Times New Roman" w:cs="Times New Roman" w:eastAsia="Times New Roman" w:hint="default"/>
          <w:spacing w:val="-3"/>
        </w:rPr>
        <w:t>1,500</w:t>
      </w:r>
      <w:r>
        <w:rPr>
          <w:spacing w:val="-3"/>
        </w:rPr>
        <w:t>万股新股。公司向特定投资者</w:t>
      </w:r>
      <w:r>
        <w:rPr>
          <w:spacing w:val="-45"/>
        </w:rPr>
        <w:t> </w:t>
      </w:r>
      <w:r>
        <w:rPr>
          <w:spacing w:val="-45"/>
        </w:rPr>
      </w:r>
      <w:r>
        <w:rPr>
          <w:spacing w:val="-3"/>
        </w:rPr>
        <w:t>北京嘉豪伟业投资中心（有限合伙）和前海开源基金管理有限公司共发行人民币普通股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 </w:t>
      </w:r>
      <w:r>
        <w:rPr>
          <w:rFonts w:ascii="Times New Roman" w:hAnsi="Times New Roman" w:cs="Times New Roman" w:eastAsia="Times New Roman" w:hint="default"/>
        </w:rPr>
        <w:t>9,431,090</w:t>
      </w:r>
      <w:r>
        <w:rPr/>
        <w:t>股，</w:t>
      </w:r>
      <w:r>
        <w:rPr>
          <w:spacing w:val="-87"/>
        </w:rPr>
        <w:t> </w:t>
      </w:r>
      <w:r>
        <w:rPr>
          <w:spacing w:val="-3"/>
        </w:rPr>
        <w:t>每股面值人民币</w:t>
      </w:r>
      <w:r>
        <w:rPr>
          <w:rFonts w:ascii="Times New Roman" w:hAnsi="Times New Roman" w:cs="Times New Roman" w:eastAsia="Times New Roman" w:hint="default"/>
          <w:spacing w:val="-3"/>
        </w:rPr>
        <w:t>1.00</w:t>
      </w:r>
      <w:r>
        <w:rPr>
          <w:spacing w:val="-3"/>
        </w:rPr>
        <w:t>元，每股发行认购价格为人民币</w:t>
      </w:r>
      <w:r>
        <w:rPr>
          <w:rFonts w:ascii="Times New Roman" w:hAnsi="Times New Roman" w:cs="Times New Roman" w:eastAsia="Times New Roman" w:hint="default"/>
          <w:spacing w:val="-3"/>
        </w:rPr>
        <w:t>25.30</w:t>
      </w:r>
      <w:r>
        <w:rPr>
          <w:spacing w:val="-3"/>
        </w:rPr>
        <w:t>元，共计募集人民币</w:t>
      </w:r>
      <w:r>
        <w:rPr>
          <w:rFonts w:ascii="Times New Roman" w:hAnsi="Times New Roman" w:cs="Times New Roman" w:eastAsia="Times New Roman" w:hint="default"/>
          <w:spacing w:val="-3"/>
        </w:rPr>
        <w:t>238,606,577.00</w:t>
      </w:r>
      <w:r>
        <w:rPr>
          <w:spacing w:val="-3"/>
        </w:rPr>
        <w:t>元，扣除与发</w:t>
      </w:r>
      <w:r>
        <w:rPr>
          <w:spacing w:val="-17"/>
        </w:rPr>
        <w:t> </w:t>
      </w:r>
      <w:r>
        <w:rPr>
          <w:spacing w:val="-17"/>
        </w:rPr>
      </w:r>
      <w:r>
        <w:rPr/>
        <w:t>行有关的费用人民币</w:t>
      </w:r>
      <w:r>
        <w:rPr>
          <w:rFonts w:ascii="Times New Roman" w:hAnsi="Times New Roman" w:cs="Times New Roman" w:eastAsia="Times New Roman" w:hint="default"/>
        </w:rPr>
        <w:t>10,609,431.09</w:t>
      </w:r>
      <w:r>
        <w:rPr/>
        <w:t>元，公司实际募集资金净额为人民币</w:t>
      </w:r>
      <w:r>
        <w:rPr>
          <w:rFonts w:ascii="Times New Roman" w:hAnsi="Times New Roman" w:cs="Times New Roman" w:eastAsia="Times New Roman" w:hint="default"/>
        </w:rPr>
        <w:t>227,997,145.91</w:t>
      </w:r>
      <w:r>
        <w:rPr/>
        <w:t>元。</w:t>
      </w:r>
    </w:p>
    <w:p>
      <w:pPr>
        <w:pStyle w:val="BodyText"/>
        <w:spacing w:line="386" w:lineRule="auto" w:before="35"/>
        <w:ind w:right="1105" w:firstLine="42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09</w:t>
      </w:r>
      <w:r>
        <w:rPr>
          <w:spacing w:val="-2"/>
        </w:rPr>
        <w:t>日止，公司上述发行募集的资金已全部到位，大华会计师事务所（特殊普通合伙）</w:t>
      </w:r>
      <w:r>
        <w:rPr>
          <w:w w:val="100"/>
        </w:rPr>
        <w:t> </w:t>
      </w:r>
      <w:r>
        <w:rPr/>
        <w:t>出具了大华验字 </w:t>
      </w:r>
      <w:r>
        <w:rPr>
          <w:rFonts w:ascii="Times New Roman" w:hAnsi="Times New Roman" w:cs="Times New Roman" w:eastAsia="Times New Roman" w:hint="default"/>
          <w:spacing w:val="-3"/>
        </w:rPr>
        <w:t>[2017]000150</w:t>
      </w:r>
      <w:r>
        <w:rPr>
          <w:spacing w:val="-3"/>
        </w:rPr>
        <w:t>号《验资报告》验证确认。本次非公开发行新增股份</w:t>
      </w:r>
      <w:r>
        <w:rPr>
          <w:rFonts w:ascii="Times New Roman" w:hAnsi="Times New Roman" w:cs="Times New Roman" w:eastAsia="Times New Roman" w:hint="default"/>
          <w:spacing w:val="-3"/>
        </w:rPr>
        <w:t>9,431,090</w:t>
      </w:r>
      <w:r>
        <w:rPr>
          <w:spacing w:val="-3"/>
        </w:rPr>
        <w:t>股，已于</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24</w:t>
      </w:r>
      <w:r>
        <w:rPr>
          <w:spacing w:val="-2"/>
        </w:rPr>
        <w:t>日在中国证券登记结算有限责任公司深圳分公司办理完毕股份登记手续，并于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27</w:t>
      </w:r>
      <w:r>
        <w:rPr>
          <w:spacing w:val="-2"/>
        </w:rPr>
        <w:t>日在</w:t>
      </w:r>
      <w:r>
        <w:rPr>
          <w:spacing w:val="-32"/>
        </w:rPr>
        <w:t> </w:t>
      </w:r>
      <w:r>
        <w:rPr/>
        <w:t>深圳证券交易所上市。</w:t>
      </w:r>
    </w:p>
    <w:p>
      <w:pPr>
        <w:pStyle w:val="BodyText"/>
        <w:spacing w:line="398" w:lineRule="auto" w:before="65"/>
        <w:ind w:right="1126" w:firstLine="420"/>
        <w:jc w:val="both"/>
      </w:pPr>
      <w:r>
        <w:rPr>
          <w:spacing w:val="-2"/>
        </w:rPr>
        <w:t>北京嘉豪伟业投资中心（有限合伙）和前海开源基金管理有限公司均承诺：“自方直科技非公开发行</w:t>
      </w:r>
      <w:r>
        <w:rPr>
          <w:w w:val="100"/>
        </w:rPr>
        <w:t> </w:t>
      </w:r>
      <w:r>
        <w:rPr>
          <w:spacing w:val="-2"/>
        </w:rPr>
        <w:t>股票上市之日起，本公司在本次非公开发行过程中认购的方直科技股票</w:t>
      </w:r>
      <w:r>
        <w:rPr>
          <w:rFonts w:ascii="Times New Roman" w:hAnsi="Times New Roman" w:cs="Times New Roman" w:eastAsia="Times New Roman" w:hint="default"/>
          <w:spacing w:val="-2"/>
        </w:rPr>
        <w:t>12</w:t>
      </w:r>
      <w:r>
        <w:rPr>
          <w:spacing w:val="-2"/>
        </w:rPr>
        <w:t>个月内不予转让。”截至本公告</w:t>
      </w:r>
      <w:r>
        <w:rPr>
          <w:spacing w:val="-42"/>
        </w:rPr>
        <w:t> </w:t>
      </w:r>
      <w:r>
        <w:rPr>
          <w:spacing w:val="-42"/>
        </w:rPr>
      </w:r>
      <w:r>
        <w:rPr/>
        <w:t>日，上述股东均已严格履行上述承诺。</w:t>
      </w:r>
    </w:p>
    <w:p>
      <w:pPr>
        <w:pStyle w:val="BodyText"/>
        <w:spacing w:line="386" w:lineRule="auto" w:before="54"/>
        <w:ind w:right="1106" w:firstLine="420"/>
        <w:jc w:val="both"/>
      </w:pPr>
      <w:r>
        <w:rPr>
          <w:spacing w:val="-2"/>
        </w:rPr>
        <w:t>本次非公开发行股份的限售股份已于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28</w:t>
      </w:r>
      <w:r>
        <w:rPr>
          <w:spacing w:val="-2"/>
        </w:rPr>
        <w:t>日办理解除限售，可上市流通数量为</w:t>
      </w:r>
      <w:r>
        <w:rPr>
          <w:rFonts w:ascii="Times New Roman" w:hAnsi="Times New Roman" w:cs="Times New Roman" w:eastAsia="Times New Roman" w:hint="default"/>
          <w:spacing w:val="-2"/>
        </w:rPr>
        <w:t>9,431,090</w:t>
      </w:r>
      <w:r>
        <w:rPr>
          <w:spacing w:val="-2"/>
        </w:rPr>
        <w:t>股，</w:t>
      </w:r>
      <w:r>
        <w:rPr>
          <w:spacing w:val="-3"/>
          <w:w w:val="100"/>
        </w:rPr>
        <w:t> </w:t>
      </w:r>
      <w:r>
        <w:rPr/>
        <w:t>占公司总股本的比例为</w:t>
      </w:r>
      <w:r>
        <w:rPr>
          <w:rFonts w:ascii="Times New Roman" w:hAnsi="Times New Roman" w:cs="Times New Roman" w:eastAsia="Times New Roman" w:hint="default"/>
        </w:rPr>
        <w:t>5.62%</w:t>
      </w:r>
      <w:r>
        <w:rPr/>
        <w:t>。本次解除限售的股份不存在质押、冻结的情况。</w:t>
      </w:r>
    </w:p>
    <w:p>
      <w:pPr>
        <w:pStyle w:val="BodyText"/>
        <w:spacing w:line="240" w:lineRule="auto" w:before="35"/>
        <w:ind w:left="573" w:right="0"/>
        <w:jc w:val="left"/>
      </w:pPr>
      <w:r>
        <w:rPr/>
        <w:t>本次非公开发行股份解除限售及上市流通具体情况如下：</w:t>
      </w:r>
    </w:p>
    <w:p>
      <w:pPr>
        <w:spacing w:line="240" w:lineRule="auto" w:before="9"/>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478"/>
        <w:gridCol w:w="2213"/>
        <w:gridCol w:w="2962"/>
        <w:gridCol w:w="1277"/>
        <w:gridCol w:w="1274"/>
        <w:gridCol w:w="1436"/>
      </w:tblGrid>
      <w:tr>
        <w:trPr>
          <w:trHeight w:val="740"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发行对象</w:t>
            </w:r>
            <w:r>
              <w:rPr>
                <w:rFonts w:ascii="Microsoft JhengHei" w:hAnsi="Microsoft JhengHei" w:cs="Microsoft JhengHei" w:eastAsia="Microsoft JhengHei" w:hint="default"/>
                <w:sz w:val="18"/>
                <w:szCs w:val="18"/>
              </w:rPr>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证券账户名称</w:t>
            </w:r>
            <w:r>
              <w:rPr>
                <w:rFonts w:ascii="Microsoft JhengHei" w:hAnsi="Microsoft JhengHei" w:cs="Microsoft JhengHei" w:eastAsia="Microsoft JhengHei"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88" w:right="8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所持限售股股</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份总数（股）</w:t>
            </w:r>
            <w:r>
              <w:rPr>
                <w:rFonts w:ascii="Microsoft JhengHei" w:hAnsi="Microsoft JhengHei" w:cs="Microsoft JhengHei" w:eastAsia="Microsoft JhengHei"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77" w:right="87"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本次解除限售</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数量（股）</w:t>
            </w:r>
            <w:r>
              <w:rPr>
                <w:rFonts w:ascii="Microsoft JhengHei" w:hAnsi="Microsoft JhengHei" w:cs="Microsoft JhengHei" w:eastAsia="Microsoft JhengHei" w:hint="default"/>
                <w:sz w:val="18"/>
                <w:szCs w:val="18"/>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79" w:right="7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本次实际可上市</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流通数量（股）</w:t>
            </w:r>
            <w:r>
              <w:rPr>
                <w:rFonts w:ascii="Microsoft JhengHei" w:hAnsi="Microsoft JhengHei" w:cs="Microsoft JhengHei" w:eastAsia="Microsoft JhengHei" w:hint="default"/>
                <w:sz w:val="18"/>
                <w:szCs w:val="18"/>
              </w:rPr>
            </w:r>
          </w:p>
        </w:tc>
      </w:tr>
      <w:tr>
        <w:trPr>
          <w:trHeight w:val="739"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739" w:right="17" w:hanging="720"/>
              <w:jc w:val="left"/>
              <w:rPr>
                <w:rFonts w:ascii="宋体" w:hAnsi="宋体" w:cs="宋体" w:eastAsia="宋体" w:hint="default"/>
                <w:sz w:val="18"/>
                <w:szCs w:val="18"/>
              </w:rPr>
            </w:pPr>
            <w:r>
              <w:rPr>
                <w:rFonts w:ascii="宋体" w:hAnsi="宋体" w:cs="宋体" w:eastAsia="宋体" w:hint="default"/>
                <w:sz w:val="18"/>
                <w:szCs w:val="18"/>
              </w:rPr>
              <w:t>北京嘉豪伟业投资中心（有 限合伙）</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北京嘉豪伟业投资中心（有限合伙）</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9"/>
              <w:jc w:val="right"/>
              <w:rPr>
                <w:rFonts w:ascii="Times New Roman" w:hAnsi="Times New Roman" w:cs="Times New Roman" w:eastAsia="Times New Roman" w:hint="default"/>
                <w:sz w:val="18"/>
                <w:szCs w:val="18"/>
              </w:rPr>
            </w:pPr>
            <w:r>
              <w:rPr>
                <w:rFonts w:ascii="Times New Roman"/>
                <w:spacing w:val="-1"/>
                <w:sz w:val="18"/>
              </w:rPr>
              <w:t>7,905,138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8"/>
              <w:jc w:val="right"/>
              <w:rPr>
                <w:rFonts w:ascii="Times New Roman" w:hAnsi="Times New Roman" w:cs="Times New Roman" w:eastAsia="Times New Roman" w:hint="default"/>
                <w:sz w:val="18"/>
                <w:szCs w:val="18"/>
              </w:rPr>
            </w:pPr>
            <w:r>
              <w:rPr>
                <w:rFonts w:ascii="Times New Roman"/>
                <w:spacing w:val="-1"/>
                <w:sz w:val="18"/>
              </w:rPr>
              <w:t>7,905,138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46"/>
              <w:jc w:val="right"/>
              <w:rPr>
                <w:rFonts w:ascii="Times New Roman" w:hAnsi="Times New Roman" w:cs="Times New Roman" w:eastAsia="Times New Roman" w:hint="default"/>
                <w:sz w:val="18"/>
                <w:szCs w:val="18"/>
              </w:rPr>
            </w:pPr>
            <w:r>
              <w:rPr>
                <w:rFonts w:ascii="Times New Roman"/>
                <w:spacing w:val="-1"/>
                <w:sz w:val="18"/>
              </w:rPr>
              <w:t>7,905,138</w:t>
            </w:r>
          </w:p>
        </w:tc>
      </w:tr>
      <w:tr>
        <w:trPr>
          <w:trHeight w:val="739" w:hRule="exact"/>
        </w:trPr>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前海开源基金管理有限公司</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5" w:right="29"/>
              <w:jc w:val="left"/>
              <w:rPr>
                <w:rFonts w:ascii="宋体" w:hAnsi="宋体" w:cs="宋体" w:eastAsia="宋体" w:hint="default"/>
                <w:sz w:val="18"/>
                <w:szCs w:val="18"/>
              </w:rPr>
            </w:pPr>
            <w:r>
              <w:rPr>
                <w:rFonts w:ascii="宋体" w:hAnsi="宋体" w:cs="宋体" w:eastAsia="宋体" w:hint="default"/>
                <w:sz w:val="18"/>
                <w:szCs w:val="18"/>
              </w:rPr>
              <w:t>前海开源基金－浦发银行－中融国际 信托－中融－融珲</w:t>
            </w:r>
            <w:r>
              <w:rPr>
                <w:rFonts w:ascii="Times New Roman" w:hAnsi="Times New Roman" w:cs="Times New Roman" w:eastAsia="Times New Roman" w:hint="default"/>
                <w:sz w:val="18"/>
                <w:szCs w:val="18"/>
              </w:rPr>
              <w:t>60</w:t>
            </w:r>
            <w:r>
              <w:rPr>
                <w:rFonts w:ascii="宋体" w:hAnsi="宋体" w:cs="宋体" w:eastAsia="宋体" w:hint="default"/>
                <w:sz w:val="18"/>
                <w:szCs w:val="18"/>
              </w:rPr>
              <w:t>号单一资金信托</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9"/>
              <w:jc w:val="right"/>
              <w:rPr>
                <w:rFonts w:ascii="Times New Roman" w:hAnsi="Times New Roman" w:cs="Times New Roman" w:eastAsia="Times New Roman" w:hint="default"/>
                <w:sz w:val="18"/>
                <w:szCs w:val="18"/>
              </w:rPr>
            </w:pPr>
            <w:r>
              <w:rPr>
                <w:rFonts w:ascii="Times New Roman"/>
                <w:spacing w:val="-1"/>
                <w:sz w:val="18"/>
              </w:rPr>
              <w:t>1,525,952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8"/>
              <w:jc w:val="right"/>
              <w:rPr>
                <w:rFonts w:ascii="Times New Roman" w:hAnsi="Times New Roman" w:cs="Times New Roman" w:eastAsia="Times New Roman" w:hint="default"/>
                <w:sz w:val="18"/>
                <w:szCs w:val="18"/>
              </w:rPr>
            </w:pPr>
            <w:r>
              <w:rPr>
                <w:rFonts w:ascii="Times New Roman"/>
                <w:spacing w:val="-1"/>
                <w:sz w:val="18"/>
              </w:rPr>
              <w:t>1,525,952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46"/>
              <w:jc w:val="right"/>
              <w:rPr>
                <w:rFonts w:ascii="Times New Roman" w:hAnsi="Times New Roman" w:cs="Times New Roman" w:eastAsia="Times New Roman" w:hint="default"/>
                <w:sz w:val="18"/>
                <w:szCs w:val="18"/>
              </w:rPr>
            </w:pPr>
            <w:r>
              <w:rPr>
                <w:rFonts w:ascii="Times New Roman"/>
                <w:spacing w:val="-1"/>
                <w:sz w:val="18"/>
              </w:rPr>
              <w:t>1,525,952</w:t>
            </w:r>
          </w:p>
        </w:tc>
      </w:tr>
      <w:tr>
        <w:trPr>
          <w:trHeight w:val="427" w:hRule="exact"/>
        </w:trPr>
        <w:tc>
          <w:tcPr>
            <w:tcW w:w="56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69"/>
              <w:jc w:val="right"/>
              <w:rPr>
                <w:rFonts w:ascii="Times New Roman" w:hAnsi="Times New Roman" w:cs="Times New Roman" w:eastAsia="Times New Roman" w:hint="default"/>
                <w:sz w:val="18"/>
                <w:szCs w:val="18"/>
              </w:rPr>
            </w:pPr>
            <w:r>
              <w:rPr>
                <w:rFonts w:ascii="Times New Roman"/>
                <w:b/>
                <w:spacing w:val="-1"/>
                <w:sz w:val="18"/>
              </w:rPr>
              <w:t>9,431,090</w:t>
            </w:r>
            <w:r>
              <w:rPr>
                <w:rFonts w:ascii="Times New Roman"/>
                <w:spacing w:val="-1"/>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68"/>
              <w:jc w:val="right"/>
              <w:rPr>
                <w:rFonts w:ascii="Times New Roman" w:hAnsi="Times New Roman" w:cs="Times New Roman" w:eastAsia="Times New Roman" w:hint="default"/>
                <w:sz w:val="18"/>
                <w:szCs w:val="18"/>
              </w:rPr>
            </w:pPr>
            <w:r>
              <w:rPr>
                <w:rFonts w:ascii="Times New Roman"/>
                <w:b/>
                <w:spacing w:val="-1"/>
                <w:sz w:val="18"/>
              </w:rPr>
              <w:t>9,431,090</w:t>
            </w:r>
            <w:r>
              <w:rPr>
                <w:rFonts w:ascii="Times New Roman"/>
                <w:spacing w:val="-1"/>
                <w:sz w:val="18"/>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46"/>
              <w:jc w:val="right"/>
              <w:rPr>
                <w:rFonts w:ascii="Times New Roman" w:hAnsi="Times New Roman" w:cs="Times New Roman" w:eastAsia="Times New Roman" w:hint="default"/>
                <w:sz w:val="18"/>
                <w:szCs w:val="18"/>
              </w:rPr>
            </w:pPr>
            <w:r>
              <w:rPr>
                <w:rFonts w:ascii="Times New Roman"/>
                <w:b/>
                <w:spacing w:val="-1"/>
                <w:sz w:val="18"/>
              </w:rPr>
              <w:t>9,431,090</w:t>
            </w:r>
            <w:r>
              <w:rPr>
                <w:rFonts w:ascii="Times New Roman"/>
                <w:spacing w:val="-1"/>
                <w:sz w:val="18"/>
              </w:rPr>
            </w:r>
          </w:p>
        </w:tc>
      </w:tr>
    </w:tbl>
    <w:p>
      <w:pPr>
        <w:pStyle w:val="BodyText"/>
        <w:spacing w:line="379" w:lineRule="auto" w:before="66"/>
        <w:ind w:right="1128" w:firstLine="420"/>
        <w:jc w:val="left"/>
        <w:rPr>
          <w:sz w:val="18"/>
          <w:szCs w:val="18"/>
        </w:rPr>
      </w:pPr>
      <w:r>
        <w:rPr>
          <w:spacing w:val="-2"/>
        </w:rPr>
        <w:t>非公开发行股份事项的具体情况详见公司分别于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23</w:t>
      </w:r>
      <w:r>
        <w:rPr>
          <w:spacing w:val="-2"/>
        </w:rPr>
        <w:t>日</w:t>
      </w:r>
      <w:r>
        <w:rPr>
          <w:w w:val="100"/>
        </w:rPr>
        <w:t> </w:t>
      </w:r>
      <w:r>
        <w:rPr/>
        <w:t>在巨潮资讯网披露的相关公告（公告编码：</w:t>
      </w:r>
      <w:r>
        <w:rPr>
          <w:rFonts w:ascii="Times New Roman" w:hAnsi="Times New Roman" w:cs="Times New Roman" w:eastAsia="Times New Roman" w:hint="default"/>
        </w:rPr>
        <w:t>2017-001</w:t>
      </w:r>
      <w:r>
        <w:rPr/>
        <w:t>、</w:t>
      </w:r>
      <w:r>
        <w:rPr>
          <w:rFonts w:ascii="Times New Roman" w:hAnsi="Times New Roman" w:cs="Times New Roman" w:eastAsia="Times New Roman" w:hint="default"/>
        </w:rPr>
        <w:t>2017-013</w:t>
      </w:r>
      <w:r>
        <w:rPr/>
        <w:t>、</w:t>
      </w:r>
      <w:r>
        <w:rPr>
          <w:rFonts w:ascii="Times New Roman" w:hAnsi="Times New Roman" w:cs="Times New Roman" w:eastAsia="Times New Roman" w:hint="default"/>
        </w:rPr>
        <w:t>2017-014</w:t>
      </w:r>
      <w:r>
        <w:rPr/>
        <w:t>、</w:t>
      </w:r>
      <w:r>
        <w:rPr>
          <w:rFonts w:ascii="Times New Roman" w:hAnsi="Times New Roman" w:cs="Times New Roman" w:eastAsia="Times New Roman" w:hint="default"/>
        </w:rPr>
        <w:t>2018-011</w:t>
      </w:r>
      <w:r>
        <w:rPr/>
        <w:t>）。</w:t>
      </w:r>
      <w:r>
        <w:rPr>
          <w:w w:val="100"/>
        </w:rPr>
        <w:t> </w:t>
      </w:r>
      <w:r>
        <w:rPr>
          <w:sz w:val="18"/>
          <w:szCs w:val="18"/>
        </w:rPr>
        <w:t>股份变动的过户情况</w:t>
      </w:r>
    </w:p>
    <w:p>
      <w:pPr>
        <w:spacing w:line="340" w:lineRule="auto" w:before="13"/>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38" w:lineRule="auto" w:before="41"/>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3"/>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after="0" w:line="340"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135"/>
        <w:gridCol w:w="1133"/>
        <w:gridCol w:w="1277"/>
        <w:gridCol w:w="1702"/>
        <w:gridCol w:w="1488"/>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北京嘉豪伟业投资 中心（有限合伙）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7,905,138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7,905,138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首发后机构类限售股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6"/>
              <w:jc w:val="both"/>
              <w:rPr>
                <w:rFonts w:ascii="宋体" w:hAnsi="宋体" w:cs="宋体" w:eastAsia="宋体" w:hint="default"/>
                <w:sz w:val="18"/>
                <w:szCs w:val="18"/>
              </w:rPr>
            </w:pPr>
            <w:r>
              <w:rPr>
                <w:rFonts w:ascii="宋体" w:hAnsi="宋体" w:cs="宋体" w:eastAsia="宋体" w:hint="default"/>
                <w:sz w:val="18"/>
                <w:szCs w:val="18"/>
              </w:rPr>
              <w:t>前海开源基金－浦 发银行－中融国际 信托－中融－融珲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号单一资金信托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1,525,952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首发后机构类限售股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27,227,391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27,227,391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每年年初按上年 末所持股份总数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解除高管锁定</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16,378,858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16,378,858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每年年初按上年 末所持股份总数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解除高管锁定</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16,003,858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16,003,858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92"/>
              <w:jc w:val="both"/>
              <w:rPr>
                <w:rFonts w:ascii="宋体" w:hAnsi="宋体" w:cs="宋体" w:eastAsia="宋体" w:hint="default"/>
                <w:sz w:val="18"/>
                <w:szCs w:val="18"/>
              </w:rPr>
            </w:pPr>
            <w:r>
              <w:rPr>
                <w:rFonts w:ascii="宋体" w:hAnsi="宋体" w:cs="宋体" w:eastAsia="宋体" w:hint="default"/>
                <w:sz w:val="18"/>
                <w:szCs w:val="18"/>
              </w:rPr>
              <w:t>每年年初按上年 末所持股份总数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 定；</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1,061,053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每年年初按上年 末所持股份总数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解除高管锁定</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409,291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1,227,873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锁定至任期结束</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监事会换届离任 锁定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2019</w:t>
            </w:r>
          </w:p>
          <w:p>
            <w:pPr>
              <w:pStyle w:val="TableParagraph"/>
              <w:spacing w:line="300" w:lineRule="auto"/>
              <w:ind w:left="24"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 限售</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监事会换届离任 锁定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2019</w:t>
            </w:r>
          </w:p>
          <w:p>
            <w:pPr>
              <w:pStyle w:val="TableParagraph"/>
              <w:spacing w:line="300" w:lineRule="auto" w:before="1"/>
              <w:ind w:left="24" w:right="9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 限售</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692,903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692,903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每年年初按上年 末所持股份总数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解除高管锁定</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每年年初按上年 末所持股份总数</w:t>
            </w:r>
          </w:p>
        </w:tc>
      </w:tr>
    </w:tbl>
    <w:p>
      <w:pPr>
        <w:spacing w:after="0" w:line="316"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135"/>
        <w:gridCol w:w="1133"/>
        <w:gridCol w:w="1277"/>
        <w:gridCol w:w="1702"/>
        <w:gridCol w:w="1488"/>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解除高管锁定</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71,740,914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9,840,606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694,228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62,594,536</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3"/>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pict>
          <v:shape style="position:absolute;margin-left:449.256989pt;margin-top:19.787716pt;width:85.75pt;height:82pt;mso-position-horizontal-relative:page;mso-position-vertical-relative:paragraph;z-index:-828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19.787716pt;width:52.5pt;height:82pt;mso-position-horizontal-relative:page;mso-position-vertical-relative:paragraph;z-index:-828952" coordorigin="9650,396" coordsize="1050,1640">
            <v:group style="position:absolute;left:9650;top:396;width:1050;height:1640" coordorigin="9650,396" coordsize="1050,1640">
              <v:shape style="position:absolute;left:9650;top:396;width:1050;height:1640" coordorigin="9650,396" coordsize="1050,1640" path="m9650,2035l10699,2035,10699,396,9650,396,9650,2035xe" filled="true" fillcolor="#ffffff" stroked="false">
                <v:path arrowok="t"/>
                <v:fill type="solid"/>
              </v:shape>
            </v:group>
            <v:group style="position:absolute;left:9672;top:1020;width:1004;height:392" coordorigin="9672,1020" coordsize="1004,392">
              <v:shape style="position:absolute;left:9672;top:1020;width:1004;height:392" coordorigin="9672,1020" coordsize="1004,392" path="m9672,1411l10675,1411,10675,1020,9672,1020,9672,1411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826"/>
        <w:gridCol w:w="279"/>
        <w:gridCol w:w="852"/>
        <w:gridCol w:w="331"/>
        <w:gridCol w:w="660"/>
        <w:gridCol w:w="536"/>
        <w:gridCol w:w="456"/>
        <w:gridCol w:w="871"/>
        <w:gridCol w:w="406"/>
        <w:gridCol w:w="659"/>
        <w:gridCol w:w="618"/>
        <w:gridCol w:w="710"/>
        <w:gridCol w:w="139"/>
        <w:gridCol w:w="920"/>
      </w:tblGrid>
      <w:tr>
        <w:trPr>
          <w:trHeight w:val="165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4" w:lineRule="auto"/>
              <w:ind w:left="24" w:right="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14,308</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6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14,480</w:t>
            </w:r>
          </w:p>
        </w:tc>
        <w:tc>
          <w:tcPr>
            <w:tcW w:w="13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9" w:type="dxa"/>
            <w:tcBorders>
              <w:top w:val="single" w:sz="4" w:space="0" w:color="000000"/>
              <w:left w:val="single" w:sz="4" w:space="0" w:color="000000"/>
              <w:bottom w:val="single" w:sz="4" w:space="0" w:color="000000"/>
              <w:right w:val="nil" w:sz="6" w:space="0" w:color="auto"/>
            </w:tcBorders>
          </w:tcPr>
          <w:p>
            <w:pPr/>
          </w:p>
        </w:tc>
        <w:tc>
          <w:tcPr>
            <w:tcW w:w="9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4"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105"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31,872,343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-4,430,845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27,227,391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4,644,952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23,660,000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21,838,477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16,378,858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5,459,619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5,850,000</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11.74%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8" w:right="0"/>
              <w:jc w:val="left"/>
              <w:rPr>
                <w:rFonts w:ascii="Times New Roman" w:hAnsi="Times New Roman" w:cs="Times New Roman" w:eastAsia="Times New Roman" w:hint="default"/>
                <w:sz w:val="18"/>
                <w:szCs w:val="18"/>
              </w:rPr>
            </w:pPr>
            <w:r>
              <w:rPr>
                <w:rFonts w:ascii="Times New Roman"/>
                <w:sz w:val="18"/>
              </w:rPr>
              <w:t>19,698,478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-1,640,000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16,003,858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3,694,620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6,650,000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北京嘉豪伟业 </w:t>
            </w:r>
            <w:r>
              <w:rPr>
                <w:rFonts w:ascii="宋体" w:hAnsi="宋体" w:cs="宋体" w:eastAsia="宋体" w:hint="default"/>
                <w:spacing w:val="-6"/>
                <w:sz w:val="18"/>
                <w:szCs w:val="18"/>
              </w:rPr>
              <w:t>投资中心（有限</w:t>
            </w:r>
            <w:r>
              <w:rPr>
                <w:rFonts w:ascii="宋体" w:hAnsi="宋体" w:cs="宋体" w:eastAsia="宋体" w:hint="default"/>
                <w:sz w:val="18"/>
                <w:szCs w:val="18"/>
              </w:rPr>
              <w:t> 合伙）</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7,905,138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7,905,138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胡文慧</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1,772,000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1,772,000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衷唯菁</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1,640,000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1,640,000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1,637,164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1,227,873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8" w:right="0"/>
              <w:jc w:val="left"/>
              <w:rPr>
                <w:rFonts w:ascii="Times New Roman" w:hAnsi="Times New Roman" w:cs="Times New Roman" w:eastAsia="Times New Roman" w:hint="default"/>
                <w:sz w:val="18"/>
                <w:szCs w:val="18"/>
              </w:rPr>
            </w:pPr>
            <w:r>
              <w:rPr>
                <w:rFonts w:ascii="Times New Roman"/>
                <w:sz w:val="18"/>
              </w:rPr>
              <w:t>409,291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刘天舒</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1,613,200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1,613,200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710"/>
        <w:gridCol w:w="142"/>
        <w:gridCol w:w="991"/>
        <w:gridCol w:w="992"/>
        <w:gridCol w:w="1135"/>
        <w:gridCol w:w="142"/>
        <w:gridCol w:w="1277"/>
        <w:gridCol w:w="283"/>
        <w:gridCol w:w="566"/>
        <w:gridCol w:w="920"/>
      </w:tblGrid>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前海开源基金</w:t>
            </w:r>
          </w:p>
          <w:p>
            <w:pPr>
              <w:pStyle w:val="TableParagraph"/>
              <w:spacing w:line="316" w:lineRule="auto" w:before="77"/>
              <w:ind w:left="24" w:right="161"/>
              <w:jc w:val="both"/>
              <w:rPr>
                <w:rFonts w:ascii="宋体" w:hAnsi="宋体" w:cs="宋体" w:eastAsia="宋体" w:hint="default"/>
                <w:sz w:val="18"/>
                <w:szCs w:val="18"/>
              </w:rPr>
            </w:pPr>
            <w:r>
              <w:rPr>
                <w:rFonts w:ascii="宋体" w:hAnsi="宋体" w:cs="宋体" w:eastAsia="宋体" w:hint="default"/>
                <w:sz w:val="18"/>
                <w:szCs w:val="18"/>
              </w:rPr>
              <w:t>－浦发银行－ 中融国际信托</w:t>
            </w:r>
          </w:p>
          <w:p>
            <w:pPr>
              <w:pStyle w:val="TableParagraph"/>
              <w:spacing w:line="309" w:lineRule="auto" w:before="19"/>
              <w:ind w:left="24" w:right="113"/>
              <w:jc w:val="both"/>
              <w:rPr>
                <w:rFonts w:ascii="宋体" w:hAnsi="宋体" w:cs="宋体" w:eastAsia="宋体" w:hint="default"/>
                <w:sz w:val="18"/>
                <w:szCs w:val="18"/>
              </w:rPr>
            </w:pPr>
            <w:r>
              <w:rPr>
                <w:rFonts w:ascii="宋体" w:hAnsi="宋体" w:cs="宋体" w:eastAsia="宋体" w:hint="default"/>
                <w:sz w:val="18"/>
                <w:szCs w:val="18"/>
              </w:rPr>
              <w:t>－中融－融珲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1,525,952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1,414,737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1,061,053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353,684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5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58" w:type="dxa"/>
            <w:gridSpan w:val="10"/>
            <w:vMerge w:val="restart"/>
            <w:tcBorders>
              <w:top w:val="single" w:sz="4" w:space="0" w:color="000000"/>
              <w:left w:val="single" w:sz="4" w:space="0" w:color="000000"/>
              <w:right w:val="single" w:sz="4" w:space="0" w:color="000000"/>
            </w:tcBorders>
          </w:tcPr>
          <w:p>
            <w:pPr>
              <w:pStyle w:val="TableParagraph"/>
              <w:spacing w:line="316" w:lineRule="auto" w:before="53"/>
              <w:ind w:left="23" w:right="102"/>
              <w:jc w:val="both"/>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公司实际控制人黄元忠先生同黄晓峰先生、陈克让先生为一致行动人。公司未知上述其他 股东间是否存在关联关系或属于《上市公司股东持股变动信息披露管理办法》中规定的一 致行动人。</w:t>
            </w:r>
          </w:p>
        </w:tc>
      </w:tr>
      <w:tr>
        <w:trPr>
          <w:trHeight w:val="704" w:hRule="exact"/>
        </w:trPr>
        <w:tc>
          <w:tcPr>
            <w:tcW w:w="24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2"/>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8" w:type="dxa"/>
            <w:gridSpan w:val="10"/>
            <w:vMerge/>
            <w:tcBorders>
              <w:left w:val="single" w:sz="4" w:space="0" w:color="000000"/>
              <w:right w:val="single" w:sz="4" w:space="0" w:color="000000"/>
            </w:tcBorders>
          </w:tcPr>
          <w:p>
            <w:pPr/>
          </w:p>
        </w:tc>
      </w:tr>
      <w:tr>
        <w:trPr>
          <w:trHeight w:val="161"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58" w:type="dxa"/>
            <w:gridSpan w:val="10"/>
            <w:vMerge/>
            <w:tcBorders>
              <w:left w:val="single" w:sz="4" w:space="0" w:color="000000"/>
              <w:bottom w:val="single" w:sz="4" w:space="0" w:color="000000"/>
              <w:right w:val="single" w:sz="4" w:space="0" w:color="000000"/>
            </w:tcBorders>
          </w:tcPr>
          <w:p>
            <w:pP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12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88" w:type="dxa"/>
            <w:gridSpan w:val="5"/>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121" w:type="dxa"/>
            <w:gridSpan w:val="3"/>
            <w:vMerge/>
            <w:tcBorders>
              <w:left w:val="single" w:sz="4" w:space="0" w:color="000000"/>
              <w:bottom w:val="nil" w:sz="6" w:space="0" w:color="auto"/>
              <w:right w:val="single" w:sz="4" w:space="0" w:color="000000"/>
            </w:tcBorders>
            <w:shd w:val="clear" w:color="auto" w:fill="D2D2D2"/>
          </w:tcPr>
          <w:p>
            <w:pPr/>
          </w:p>
        </w:tc>
        <w:tc>
          <w:tcPr>
            <w:tcW w:w="3260" w:type="dxa"/>
            <w:gridSpan w:val="4"/>
            <w:vMerge/>
            <w:tcBorders>
              <w:left w:val="single" w:sz="4" w:space="0" w:color="000000"/>
              <w:bottom w:val="nil" w:sz="6" w:space="0" w:color="auto"/>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12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2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gridSpan w:val="3"/>
            <w:vMerge/>
            <w:tcBorders>
              <w:left w:val="single" w:sz="4" w:space="0" w:color="000000"/>
              <w:bottom w:val="single" w:sz="4" w:space="0" w:color="000000"/>
              <w:right w:val="single" w:sz="4" w:space="0" w:color="000000"/>
            </w:tcBorders>
            <w:shd w:val="clear" w:color="auto" w:fill="D2D2D2"/>
          </w:tcPr>
          <w:p>
            <w:pPr/>
          </w:p>
        </w:tc>
        <w:tc>
          <w:tcPr>
            <w:tcW w:w="1486"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北京嘉豪伟业投资中心（有限合伙）</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7,905,138</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7,905,138</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5,459,619</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5,459,619</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4,644,952</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4,644,952</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3,694,620</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3,694,620</w:t>
            </w:r>
          </w:p>
        </w:tc>
      </w:tr>
      <w:tr>
        <w:trPr>
          <w:trHeight w:val="404"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胡文慧</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1,772,000</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4" w:right="0"/>
              <w:jc w:val="left"/>
              <w:rPr>
                <w:rFonts w:ascii="Times New Roman" w:hAnsi="Times New Roman" w:cs="Times New Roman" w:eastAsia="Times New Roman" w:hint="default"/>
                <w:sz w:val="18"/>
                <w:szCs w:val="18"/>
              </w:rPr>
            </w:pPr>
            <w:r>
              <w:rPr>
                <w:rFonts w:ascii="Times New Roman"/>
                <w:sz w:val="18"/>
              </w:rPr>
              <w:t>1,772,000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衷唯菁</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1,640,000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刘天舒</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1,613,200</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1,613,200</w:t>
            </w:r>
          </w:p>
        </w:tc>
      </w:tr>
      <w:tr>
        <w:trPr>
          <w:trHeight w:val="71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前海开源基金－浦发银行－中融国际信 托－中融－融珲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号单一资金信托</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1,525,952</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周成武</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1,360,967</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1,360,967</w:t>
            </w:r>
          </w:p>
        </w:tc>
      </w:tr>
      <w:tr>
        <w:trPr>
          <w:trHeight w:val="71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中国建设银行股份有限公司－博时裕富 沪深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指数证券投资基金</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1,165,900</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1,165,900</w:t>
            </w:r>
          </w:p>
        </w:tc>
      </w:tr>
      <w:tr>
        <w:trPr>
          <w:trHeight w:val="1028" w:hRule="exact"/>
        </w:trPr>
        <w:tc>
          <w:tcPr>
            <w:tcW w:w="3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1"/>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4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3"/>
                <w:sz w:val="18"/>
                <w:szCs w:val="18"/>
              </w:rPr>
              <w:t>公司实际控制人黄元忠先生同黄晓峰先生、陈克让先生为一致行动人。公司未知上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述其他无限售条件股东间是否存在关联关系或属于《上市公司股东持股变动信息披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露管理办法》中规定的一致行动人。</w:t>
            </w:r>
          </w:p>
        </w:tc>
      </w:tr>
      <w:tr>
        <w:trPr>
          <w:trHeight w:val="715" w:hRule="exact"/>
        </w:trPr>
        <w:tc>
          <w:tcPr>
            <w:tcW w:w="3121" w:type="dxa"/>
            <w:gridSpan w:val="3"/>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448" w:type="dxa"/>
            <w:gridSpan w:val="9"/>
            <w:tcBorders>
              <w:top w:val="single" w:sz="4" w:space="0" w:color="000000"/>
              <w:left w:val="single" w:sz="10" w:space="0" w:color="FFFFFF"/>
              <w:bottom w:val="single" w:sz="4" w:space="0" w:color="000000"/>
              <w:right w:val="single" w:sz="10" w:space="0" w:color="FFFFFF"/>
            </w:tcBorders>
            <w:shd w:val="clear" w:color="auto" w:fill="FFFFFF"/>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公 用</w:t>
            </w:r>
          </w:p>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司股东周成武通过普通证券账户持有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股，通过招商证券股份有限公司客户信</w:t>
            </w:r>
          </w:p>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1,360,967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1,360,967 </w:t>
            </w:r>
            <w:r>
              <w:rPr>
                <w:rFonts w:ascii="宋体" w:hAnsi="宋体" w:cs="宋体" w:eastAsia="宋体" w:hint="default"/>
                <w:sz w:val="18"/>
                <w:szCs w:val="18"/>
              </w:rPr>
              <w:t>股。</w:t>
            </w:r>
          </w:p>
        </w:tc>
      </w:tr>
    </w:tbl>
    <w:p>
      <w:pPr>
        <w:spacing w:before="49"/>
        <w:ind w:left="153" w:right="0" w:firstLine="0"/>
        <w:jc w:val="left"/>
        <w:rPr>
          <w:rFonts w:ascii="宋体" w:hAnsi="宋体" w:cs="宋体" w:eastAsia="宋体" w:hint="default"/>
          <w:sz w:val="18"/>
          <w:szCs w:val="18"/>
        </w:rPr>
      </w:pPr>
      <w:r>
        <w:rPr/>
        <w:pict>
          <v:shape style="position:absolute;margin-left:179.784012pt;margin-top:-35.758278pt;width:355.2pt;height:35.2pt;mso-position-horizontal-relative:page;mso-position-vertical-relative:paragraph;z-index:-8289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7"/>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8"/>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0" w:right="1140" w:firstLine="0"/>
        <w:jc w:val="right"/>
        <w:rPr>
          <w:rFonts w:ascii="宋体" w:hAnsi="宋体" w:cs="宋体" w:eastAsia="宋体" w:hint="default"/>
          <w:sz w:val="18"/>
          <w:szCs w:val="18"/>
        </w:rPr>
      </w:pPr>
      <w:r>
        <w:rPr/>
        <w:pict>
          <v:shape style="position:absolute;margin-left:56.424pt;margin-top:-96.748268pt;width:479.3pt;height:152.3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3687"/>
                    <w:gridCol w:w="1505"/>
                    <w:gridCol w:w="2393"/>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5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黄元忠为公司董事长；黄晓峰为公司董事、总经理；陈克让为公司董事兼子公司连邦信息总经理</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 外上市公司情况</w:t>
                        </w:r>
                      </w:p>
                    </w:tc>
                    <w:tc>
                      <w:tcPr>
                        <w:tcW w:w="75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5"/>
          <w:szCs w:val="15"/>
        </w:rPr>
      </w:pPr>
    </w:p>
    <w:p>
      <w:pPr>
        <w:spacing w:line="1524" w:lineRule="exact"/>
        <w:ind w:left="153"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2018045" cy="967739"/>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31" cstate="print"/>
                    <a:stretch>
                      <a:fillRect/>
                    </a:stretch>
                  </pic:blipFill>
                  <pic:spPr>
                    <a:xfrm>
                      <a:off x="0" y="0"/>
                      <a:ext cx="2018045" cy="967739"/>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3"/>
        <w:rPr>
          <w:rFonts w:ascii="宋体" w:hAnsi="宋体" w:cs="宋体" w:eastAsia="宋体" w:hint="default"/>
          <w:sz w:val="21"/>
          <w:szCs w:val="21"/>
        </w:rPr>
      </w:pPr>
    </w:p>
    <w:p>
      <w:pPr>
        <w:pStyle w:val="BodyText"/>
        <w:spacing w:line="398" w:lineRule="auto" w:before="0"/>
        <w:ind w:right="1125" w:firstLine="420"/>
        <w:jc w:val="both"/>
      </w:pPr>
      <w:r>
        <w:rPr>
          <w:spacing w:val="-2"/>
        </w:rPr>
        <w:t>公司实际控制人黄元忠先生与黄晓峰先生、陈克让先生为一致行动人，黄元忠先生持有公司股份比例</w:t>
      </w:r>
      <w:r>
        <w:rPr>
          <w:w w:val="100"/>
        </w:rPr>
        <w:t> </w:t>
      </w:r>
      <w:r>
        <w:rPr>
          <w:spacing w:val="-3"/>
        </w:rPr>
        <w:t>为</w:t>
      </w:r>
      <w:r>
        <w:rPr>
          <w:rFonts w:ascii="Times New Roman" w:hAnsi="Times New Roman" w:cs="Times New Roman" w:eastAsia="Times New Roman" w:hint="default"/>
          <w:spacing w:val="-3"/>
        </w:rPr>
        <w:t>18.99%</w:t>
      </w:r>
      <w:r>
        <w:rPr>
          <w:spacing w:val="-3"/>
        </w:rPr>
        <w:t>，黄晓峰先生持有公司股份比例为</w:t>
      </w:r>
      <w:r>
        <w:rPr>
          <w:rFonts w:ascii="Times New Roman" w:hAnsi="Times New Roman" w:cs="Times New Roman" w:eastAsia="Times New Roman" w:hint="default"/>
          <w:spacing w:val="-3"/>
        </w:rPr>
        <w:t>13.01%</w:t>
      </w:r>
      <w:r>
        <w:rPr>
          <w:spacing w:val="-3"/>
        </w:rPr>
        <w:t>、陈克让先生持有公司股份比例为</w:t>
      </w:r>
      <w:r>
        <w:rPr>
          <w:rFonts w:ascii="Times New Roman" w:hAnsi="Times New Roman" w:cs="Times New Roman" w:eastAsia="Times New Roman" w:hint="default"/>
          <w:spacing w:val="-3"/>
        </w:rPr>
        <w:t>11.74%</w:t>
      </w:r>
      <w:r>
        <w:rPr>
          <w:spacing w:val="-3"/>
        </w:rPr>
        <w:t>，合计持有上</w:t>
      </w:r>
      <w:r>
        <w:rPr>
          <w:spacing w:val="-25"/>
        </w:rPr>
        <w:t> </w:t>
      </w:r>
      <w:r>
        <w:rPr>
          <w:spacing w:val="-25"/>
        </w:rPr>
      </w:r>
      <w:r>
        <w:rPr/>
        <w:t>市公司股份比例为</w:t>
      </w:r>
      <w:r>
        <w:rPr>
          <w:rFonts w:ascii="Times New Roman" w:hAnsi="Times New Roman" w:cs="Times New Roman" w:eastAsia="Times New Roman" w:hint="default"/>
        </w:rPr>
        <w:t>43.74%</w:t>
      </w:r>
      <w:r>
        <w:rPr/>
        <w:t>。</w:t>
      </w:r>
    </w:p>
    <w:p>
      <w:pPr>
        <w:spacing w:after="0" w:line="39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实际控制人通过信托或其他资产管理方式控制公司</w:t>
      </w:r>
    </w:p>
    <w:p>
      <w:pPr>
        <w:spacing w:before="17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61"/>
        <w:ind w:left="3776" w:right="0"/>
        <w:jc w:val="left"/>
        <w:rPr>
          <w:b w:val="0"/>
          <w:bCs w:val="0"/>
        </w:rPr>
      </w:pPr>
      <w:bookmarkStart w:name="_bookmark7" w:id="8"/>
      <w:bookmarkEnd w:id="8"/>
      <w:r>
        <w:rPr>
          <w:b w:val="0"/>
          <w:bCs w:val="0"/>
        </w:rPr>
      </w:r>
      <w:r>
        <w:rPr/>
        <w:t>第八节 </w:t>
      </w:r>
      <w:r>
        <w:rPr>
          <w:spacing w:val="19"/>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left="140"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1169"/>
        <w:gridCol w:w="1836"/>
        <w:gridCol w:w="853"/>
        <w:gridCol w:w="566"/>
        <w:gridCol w:w="569"/>
        <w:gridCol w:w="1558"/>
        <w:gridCol w:w="1620"/>
        <w:gridCol w:w="1169"/>
        <w:gridCol w:w="1169"/>
        <w:gridCol w:w="1169"/>
        <w:gridCol w:w="1169"/>
        <w:gridCol w:w="1171"/>
      </w:tblGrid>
      <w:tr>
        <w:trPr>
          <w:trHeight w:val="713"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9" w:right="36"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9" w:right="38"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36,303,188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4,430,845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31,872,343</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21,338,478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19,698,478</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21,838,477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1,414,737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1,414,737</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1,414,737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1,414,737</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870" w:footer="979" w:top="1060" w:bottom="1200" w:left="1300" w:right="1280"/>
          <w:pgNumType w:start="63"/>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169"/>
        <w:gridCol w:w="1836"/>
        <w:gridCol w:w="853"/>
        <w:gridCol w:w="566"/>
        <w:gridCol w:w="569"/>
        <w:gridCol w:w="1558"/>
        <w:gridCol w:w="1620"/>
        <w:gridCol w:w="1169"/>
        <w:gridCol w:w="1169"/>
        <w:gridCol w:w="1169"/>
        <w:gridCol w:w="1169"/>
        <w:gridCol w:w="1171"/>
      </w:tblGrid>
      <w:tr>
        <w:trPr>
          <w:trHeight w:val="418" w:hRule="exact"/>
        </w:trPr>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1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923,871</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贺林英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83,236,188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6,070,845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55,326,866</w:t>
            </w:r>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left="140"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06"/>
        <w:gridCol w:w="1274"/>
        <w:gridCol w:w="1419"/>
        <w:gridCol w:w="2554"/>
        <w:gridCol w:w="7465"/>
      </w:tblGrid>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日期</w:t>
            </w:r>
          </w:p>
        </w:tc>
        <w:tc>
          <w:tcPr>
            <w:tcW w:w="7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第三届董事会换届，任期届满离任</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第三届董事会换届，任期届满离任</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高级管理人员换届，任期届满离任；经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年第一次股东大会选举当选第四届监事会监事</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第三届监事会换届，任期届满离任</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第三届监事会换届，任期届满离任</w:t>
            </w:r>
          </w:p>
        </w:tc>
      </w:tr>
    </w:tbl>
    <w:p>
      <w:pPr>
        <w:spacing w:line="240" w:lineRule="auto" w:before="3"/>
        <w:rPr>
          <w:rFonts w:ascii="宋体" w:hAnsi="宋体" w:cs="宋体" w:eastAsia="宋体" w:hint="default"/>
          <w:sz w:val="18"/>
          <w:szCs w:val="18"/>
        </w:rPr>
      </w:pPr>
    </w:p>
    <w:p>
      <w:pPr>
        <w:pStyle w:val="Heading3"/>
        <w:spacing w:line="367" w:lineRule="exact"/>
        <w:ind w:left="140" w:right="0"/>
        <w:jc w:val="left"/>
        <w:rPr>
          <w:b w:val="0"/>
          <w:bCs w:val="0"/>
        </w:rPr>
      </w:pPr>
      <w:r>
        <w:rPr/>
        <w:t>三、任职情况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386" w:lineRule="auto" w:before="0"/>
        <w:ind w:left="560" w:right="0" w:firstLine="12"/>
        <w:jc w:val="left"/>
      </w:pPr>
      <w:r>
        <w:rPr>
          <w:rFonts w:ascii="Times New Roman" w:hAnsi="Times New Roman" w:cs="Times New Roman" w:eastAsia="Times New Roman" w:hint="default"/>
        </w:rPr>
        <w:t>1</w:t>
      </w:r>
      <w:r>
        <w:rPr/>
        <w:t>、董事会成员介绍</w:t>
      </w:r>
      <w:r>
        <w:rPr>
          <w:w w:val="100"/>
        </w:rPr>
        <w:t> </w:t>
      </w:r>
      <w:r>
        <w:rPr>
          <w:spacing w:val="-2"/>
        </w:rPr>
        <w:t>黄元忠先生，</w:t>
      </w:r>
      <w:r>
        <w:rPr>
          <w:rFonts w:ascii="Times New Roman" w:hAnsi="Times New Roman" w:cs="Times New Roman" w:eastAsia="Times New Roman" w:hint="default"/>
          <w:spacing w:val="-2"/>
        </w:rPr>
        <w:t>1964</w:t>
      </w:r>
      <w:r>
        <w:rPr>
          <w:spacing w:val="-2"/>
        </w:rPr>
        <w:t>年生，中国国籍，毕业于华中科技大学计算机系，硕士研究生，。曾任中国长城计算机集团深圳昆仑公司副经理。黄元忠先生是</w:t>
      </w:r>
    </w:p>
    <w:p>
      <w:pPr>
        <w:pStyle w:val="BodyText"/>
        <w:spacing w:line="386" w:lineRule="auto" w:before="35"/>
        <w:ind w:left="140" w:right="0"/>
        <w:jc w:val="left"/>
      </w:pPr>
      <w:r>
        <w:rPr>
          <w:spacing w:val="-2"/>
        </w:rPr>
        <w:t>本公司创始人之一，自</w:t>
      </w:r>
      <w:r>
        <w:rPr>
          <w:rFonts w:ascii="Times New Roman" w:hAnsi="Times New Roman" w:cs="Times New Roman" w:eastAsia="Times New Roman" w:hint="default"/>
          <w:spacing w:val="-2"/>
        </w:rPr>
        <w:t>1993</w:t>
      </w:r>
      <w:r>
        <w:rPr>
          <w:spacing w:val="-2"/>
        </w:rPr>
        <w:t>年深圳市方直科技有限公司成立以来，长期担任执行董事、总经理、董事长等职务，全面负责公司的运营管理和研发工作，</w:t>
      </w:r>
      <w:r>
        <w:rPr>
          <w:spacing w:val="16"/>
        </w:rPr>
        <w:t> </w:t>
      </w:r>
      <w:r>
        <w:rPr>
          <w:spacing w:val="16"/>
        </w:rPr>
      </w:r>
      <w:r>
        <w:rPr/>
        <w:t>系公司技术骨干。深圳市科技专家委员会成员，深圳市南山区科技专家，现任本公司董事长。</w:t>
      </w:r>
    </w:p>
    <w:p>
      <w:pPr>
        <w:pStyle w:val="BodyText"/>
        <w:spacing w:line="240" w:lineRule="auto" w:before="65"/>
        <w:ind w:left="560" w:right="0"/>
        <w:jc w:val="left"/>
      </w:pPr>
      <w:r>
        <w:rPr>
          <w:spacing w:val="-3"/>
        </w:rPr>
        <w:t>黄晓峰先生，</w:t>
      </w:r>
      <w:r>
        <w:rPr>
          <w:rFonts w:ascii="Times New Roman" w:hAnsi="Times New Roman" w:cs="Times New Roman" w:eastAsia="Times New Roman" w:hint="default"/>
          <w:spacing w:val="-3"/>
        </w:rPr>
        <w:t>1968</w:t>
      </w:r>
      <w:r>
        <w:rPr>
          <w:spacing w:val="-3"/>
        </w:rPr>
        <w:t>年生，中国国籍，毕业于东北财经大学，</w:t>
      </w:r>
      <w:r>
        <w:rPr>
          <w:rFonts w:ascii="Times New Roman" w:hAnsi="Times New Roman" w:cs="Times New Roman" w:eastAsia="Times New Roman" w:hint="default"/>
          <w:spacing w:val="-3"/>
        </w:rPr>
        <w:t>EMBA</w:t>
      </w:r>
      <w:r>
        <w:rPr>
          <w:spacing w:val="-3"/>
        </w:rPr>
        <w:t>。曾任中国长城计算机集团深圳昆仑公司研发部经理，自本公司成立以来担任公司</w:t>
      </w:r>
    </w:p>
    <w:p>
      <w:pPr>
        <w:spacing w:after="0" w:line="240" w:lineRule="auto"/>
        <w:jc w:val="left"/>
        <w:sectPr>
          <w:pgSz w:w="16840" w:h="11910" w:orient="landscape"/>
          <w:pgMar w:header="870" w:footer="979" w:top="1060" w:bottom="1160" w:left="1300" w:right="128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5"/>
        <w:ind w:left="560" w:right="0" w:hanging="421"/>
        <w:jc w:val="left"/>
      </w:pPr>
      <w:r>
        <w:rPr/>
        <w:t>销售总监、开发中心总经理、副总经理，具有丰富的市场营销经验及销售团队管理经验，为广东省融智库专家。现任本公司董事、总经理。</w:t>
      </w:r>
      <w:r>
        <w:rPr>
          <w:w w:val="100"/>
        </w:rPr>
        <w:t> </w:t>
      </w:r>
      <w:r>
        <w:rPr>
          <w:spacing w:val="-3"/>
        </w:rPr>
        <w:t>陈克让先生，</w:t>
      </w:r>
      <w:r>
        <w:rPr>
          <w:rFonts w:ascii="Times New Roman" w:hAnsi="Times New Roman" w:cs="Times New Roman" w:eastAsia="Times New Roman" w:hint="default"/>
          <w:spacing w:val="-3"/>
        </w:rPr>
        <w:t>1965</w:t>
      </w:r>
      <w:r>
        <w:rPr>
          <w:spacing w:val="-3"/>
        </w:rPr>
        <w:t>年生，中国国籍，香港中文大学</w:t>
      </w:r>
      <w:r>
        <w:rPr>
          <w:rFonts w:ascii="Times New Roman" w:hAnsi="Times New Roman" w:cs="Times New Roman" w:eastAsia="Times New Roman" w:hint="default"/>
          <w:spacing w:val="-3"/>
        </w:rPr>
        <w:t>FMBA</w:t>
      </w:r>
      <w:r>
        <w:rPr>
          <w:spacing w:val="-3"/>
        </w:rPr>
        <w:t>。曾任中国长城计算机集团深圳昆仑公司技术部经理，长期负责连邦信息的总体运营管理工</w:t>
      </w:r>
    </w:p>
    <w:p>
      <w:pPr>
        <w:pStyle w:val="BodyText"/>
        <w:spacing w:line="408" w:lineRule="auto" w:before="14"/>
        <w:ind w:left="560" w:right="0" w:hanging="421"/>
        <w:jc w:val="left"/>
      </w:pPr>
      <w:r>
        <w:rPr/>
        <w:t>作，担任连邦信息总经理，历任本公司副总经理、董事会秘书，现任本公司董事。</w:t>
      </w:r>
      <w:r>
        <w:rPr>
          <w:w w:val="100"/>
        </w:rPr>
        <w:t> </w:t>
      </w:r>
      <w:r>
        <w:rPr>
          <w:spacing w:val="-2"/>
        </w:rPr>
        <w:t>乔东斌先生，</w:t>
      </w:r>
      <w:r>
        <w:rPr>
          <w:rFonts w:ascii="Times New Roman" w:hAnsi="Times New Roman" w:cs="Times New Roman" w:eastAsia="Times New Roman" w:hint="default"/>
          <w:spacing w:val="-2"/>
        </w:rPr>
        <w:t>1965</w:t>
      </w:r>
      <w:r>
        <w:rPr>
          <w:spacing w:val="-2"/>
        </w:rPr>
        <w:t>年生，中国国籍，毕业于华中科技大学计算机系，硕士学位。</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年在深圳（蛇口）新欣软件产业有限公司任研发部经</w:t>
      </w:r>
    </w:p>
    <w:p>
      <w:pPr>
        <w:pStyle w:val="BodyText"/>
        <w:spacing w:line="386" w:lineRule="auto" w:before="15"/>
        <w:ind w:left="140" w:right="0"/>
        <w:jc w:val="left"/>
      </w:pPr>
      <w:r>
        <w:rPr>
          <w:spacing w:val="-2"/>
        </w:rPr>
        <w:t>理；</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年在蛇口新亚电脑工程有限公司任总经理；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年在深圳市盛亚电脑技术有限公司任总经理；现任深圳市齐普生信息科技有</w:t>
      </w:r>
      <w:r>
        <w:rPr>
          <w:spacing w:val="33"/>
        </w:rPr>
        <w:t> </w:t>
      </w:r>
      <w:r>
        <w:rPr>
          <w:spacing w:val="33"/>
        </w:rPr>
      </w:r>
      <w:r>
        <w:rPr/>
        <w:t>限公司董事、总经理。现任本公司第四届董事会董事。</w:t>
      </w:r>
    </w:p>
    <w:p>
      <w:pPr>
        <w:pStyle w:val="BodyText"/>
        <w:spacing w:line="240" w:lineRule="auto" w:before="65"/>
        <w:ind w:left="560" w:right="0"/>
        <w:jc w:val="left"/>
      </w:pPr>
      <w:r>
        <w:rPr/>
        <w:t>陈伟强先生，</w:t>
      </w:r>
      <w:r>
        <w:rPr>
          <w:rFonts w:ascii="Times New Roman" w:hAnsi="Times New Roman" w:cs="Times New Roman" w:eastAsia="Times New Roman" w:hint="default"/>
        </w:rPr>
        <w:t>1962</w:t>
      </w:r>
      <w:r>
        <w:rPr/>
        <w:t>年生，中国国籍，法学研究生，民建会员，</w:t>
      </w:r>
      <w:r>
        <w:rPr>
          <w:rFonts w:ascii="Times New Roman" w:hAnsi="Times New Roman" w:cs="Times New Roman" w:eastAsia="Times New Roman" w:hint="default"/>
        </w:rPr>
        <w:t>1987</w:t>
      </w:r>
      <w:r>
        <w:rPr/>
        <w:t>年毕业于中国人民大学，大专学位，</w:t>
      </w:r>
      <w:r>
        <w:rPr>
          <w:rFonts w:ascii="Times New Roman" w:hAnsi="Times New Roman" w:cs="Times New Roman" w:eastAsia="Times New Roman" w:hint="default"/>
        </w:rPr>
        <w:t>2002</w:t>
      </w:r>
      <w:r>
        <w:rPr/>
        <w:t>年取得河南大学诉讼法学研究生学位，</w:t>
      </w:r>
    </w:p>
    <w:p>
      <w:pPr>
        <w:pStyle w:val="BodyText"/>
        <w:spacing w:line="386" w:lineRule="auto" w:before="177"/>
        <w:ind w:left="560" w:right="0" w:hanging="421"/>
        <w:jc w:val="left"/>
      </w:pPr>
      <w:r>
        <w:rPr>
          <w:rFonts w:ascii="Times New Roman" w:hAnsi="Times New Roman" w:cs="Times New Roman" w:eastAsia="Times New Roman" w:hint="default"/>
        </w:rPr>
        <w:t>1987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月河南省开封市第一律师事务所律师；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月至今广东深天正律师事务所律师、任主任。现任本公司第四届董事会独立董事。</w:t>
      </w:r>
      <w:r>
        <w:rPr>
          <w:w w:val="100"/>
        </w:rPr>
        <w:t> </w:t>
      </w:r>
      <w:r>
        <w:rPr>
          <w:spacing w:val="-2"/>
        </w:rPr>
        <w:t>吴永平先生，</w:t>
      </w:r>
      <w:r>
        <w:rPr>
          <w:rFonts w:ascii="Times New Roman" w:hAnsi="Times New Roman" w:cs="Times New Roman" w:eastAsia="Times New Roman" w:hint="default"/>
          <w:spacing w:val="-2"/>
        </w:rPr>
        <w:t>1976</w:t>
      </w:r>
      <w:r>
        <w:rPr>
          <w:spacing w:val="-2"/>
        </w:rPr>
        <w:t>年生，中国国籍，</w:t>
      </w:r>
      <w:r>
        <w:rPr>
          <w:rFonts w:ascii="Times New Roman" w:hAnsi="Times New Roman" w:cs="Times New Roman" w:eastAsia="Times New Roman" w:hint="default"/>
          <w:spacing w:val="-2"/>
        </w:rPr>
        <w:t>2001</w:t>
      </w:r>
      <w:r>
        <w:rPr>
          <w:spacing w:val="-2"/>
        </w:rPr>
        <w:t>年毕业于南京大学国际经济法专业，硕士学位。自</w:t>
      </w:r>
      <w:r>
        <w:rPr>
          <w:rFonts w:ascii="Times New Roman" w:hAnsi="Times New Roman" w:cs="Times New Roman" w:eastAsia="Times New Roman" w:hint="default"/>
          <w:spacing w:val="-2"/>
        </w:rPr>
        <w:t>2004</w:t>
      </w:r>
      <w:r>
        <w:rPr>
          <w:spacing w:val="-2"/>
        </w:rPr>
        <w:t>年起至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月在平安证券股份有限公司工作，曾</w:t>
      </w:r>
    </w:p>
    <w:p>
      <w:pPr>
        <w:pStyle w:val="BodyText"/>
        <w:spacing w:line="398" w:lineRule="auto" w:before="36"/>
        <w:ind w:left="140" w:right="0"/>
        <w:jc w:val="left"/>
      </w:pPr>
      <w:r>
        <w:rPr>
          <w:spacing w:val="-2"/>
        </w:rPr>
        <w:t>任投资银行事业部执行总经理等职务。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月起入职深圳日海智能科技股份有限公司，目前任深圳日海智能科技股份有限公司董事、副总经理；同时</w:t>
      </w:r>
      <w:r>
        <w:rPr>
          <w:spacing w:val="12"/>
        </w:rPr>
        <w:t> </w:t>
      </w:r>
      <w:r>
        <w:rPr>
          <w:spacing w:val="12"/>
        </w:rPr>
      </w:r>
      <w:r>
        <w:rPr>
          <w:spacing w:val="-2"/>
        </w:rPr>
        <w:t>任上海润良泰物联网科技合伙企业（有限合伙）的高级合伙人（非执行职务）、深圳兆日科技股份有限公司独立董事。现任本公司第四届董事会独立董</w:t>
      </w:r>
      <w:r>
        <w:rPr>
          <w:spacing w:val="19"/>
        </w:rPr>
        <w:t> </w:t>
      </w:r>
      <w:r>
        <w:rPr>
          <w:spacing w:val="19"/>
        </w:rPr>
      </w:r>
      <w:r>
        <w:rPr/>
        <w:t>事。</w:t>
      </w:r>
    </w:p>
    <w:p>
      <w:pPr>
        <w:pStyle w:val="BodyText"/>
        <w:spacing w:line="386" w:lineRule="auto" w:before="54"/>
        <w:ind w:left="140" w:right="0" w:firstLine="420"/>
        <w:jc w:val="left"/>
      </w:pPr>
      <w:r>
        <w:rPr>
          <w:spacing w:val="-2"/>
        </w:rPr>
        <w:t>周俊祥先生，</w:t>
      </w:r>
      <w:r>
        <w:rPr>
          <w:rFonts w:ascii="Times New Roman" w:hAnsi="Times New Roman" w:cs="Times New Roman" w:eastAsia="Times New Roman" w:hint="default"/>
          <w:spacing w:val="-2"/>
        </w:rPr>
        <w:t>1965</w:t>
      </w:r>
      <w:r>
        <w:rPr>
          <w:spacing w:val="-2"/>
        </w:rPr>
        <w:t>年生，中国国籍，经济学硕士，中国注册会计师，中国注册资产评估师。</w:t>
      </w:r>
      <w:r>
        <w:rPr>
          <w:rFonts w:ascii="Times New Roman" w:hAnsi="Times New Roman" w:cs="Times New Roman" w:eastAsia="Times New Roman" w:hint="default"/>
          <w:spacing w:val="-2"/>
        </w:rPr>
        <w:t>1989</w:t>
      </w:r>
      <w:r>
        <w:rPr>
          <w:spacing w:val="-2"/>
        </w:rPr>
        <w:t>年毕业于财政部中国财政科学研究院会计学专业，</w:t>
      </w:r>
      <w:r>
        <w:rPr>
          <w:w w:val="100"/>
        </w:rPr>
        <w:t> </w:t>
      </w:r>
      <w:r>
        <w:rPr>
          <w:spacing w:val="-2"/>
        </w:rPr>
        <w:t>硕士学位。</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12</w:t>
      </w:r>
      <w:r>
        <w:rPr>
          <w:spacing w:val="-2"/>
        </w:rPr>
        <w:t>月在珠海市会计师事务所任经理；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月在珠海中诚信评估咨询有限公司任总经理；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w:t>
      </w:r>
      <w:r>
        <w:rPr>
          <w:rFonts w:ascii="Times New Roman" w:hAnsi="Times New Roman" w:cs="Times New Roman" w:eastAsia="Times New Roman" w:hint="default"/>
          <w:spacing w:val="-2"/>
        </w:rPr>
        <w:t>9</w:t>
      </w:r>
      <w:r>
        <w:rPr>
          <w:spacing w:val="-2"/>
        </w:rPr>
        <w:t>月在珠海立信合伙会计师事务所任合伙人；</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月在深圳银华会计师事务所任合伙人；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月在天健正信会计师事务</w:t>
      </w:r>
      <w:r>
        <w:rPr>
          <w:spacing w:val="27"/>
        </w:rPr>
        <w:t> </w:t>
      </w:r>
      <w:r>
        <w:rPr>
          <w:spacing w:val="27"/>
        </w:rPr>
      </w:r>
      <w:r>
        <w:rPr>
          <w:spacing w:val="-2"/>
        </w:rPr>
        <w:t>所任合伙人；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月至今任立信会计师事务所（特殊普通合伙）合伙人。现任立信会计师事务所（特殊普通合伙）合伙人，深圳市裕同包装科技股份</w:t>
      </w:r>
      <w:r>
        <w:rPr>
          <w:spacing w:val="11"/>
        </w:rPr>
        <w:t> </w:t>
      </w:r>
      <w:r>
        <w:rPr>
          <w:spacing w:val="11"/>
        </w:rPr>
      </w:r>
      <w:r>
        <w:rPr/>
        <w:t>有限公司独立董事，深圳市政府引导基金专家组成员、评审委员。现任本公司第四届董事会独立董事。</w:t>
      </w:r>
    </w:p>
    <w:p>
      <w:pPr>
        <w:pStyle w:val="BodyText"/>
        <w:spacing w:line="386" w:lineRule="auto" w:before="65"/>
        <w:ind w:left="560" w:right="0"/>
        <w:jc w:val="left"/>
      </w:pPr>
      <w:r>
        <w:rPr>
          <w:rFonts w:ascii="Times New Roman" w:hAnsi="Times New Roman" w:cs="Times New Roman" w:eastAsia="Times New Roman" w:hint="default"/>
        </w:rPr>
        <w:t>2</w:t>
      </w:r>
      <w:r>
        <w:rPr/>
        <w:t>、监事会成员介绍</w:t>
      </w:r>
      <w:r>
        <w:rPr>
          <w:w w:val="100"/>
        </w:rPr>
        <w:t> </w:t>
      </w:r>
      <w:r>
        <w:rPr>
          <w:spacing w:val="-2"/>
        </w:rPr>
        <w:t>艾倩兰女士，</w:t>
      </w:r>
      <w:r>
        <w:rPr>
          <w:rFonts w:ascii="Times New Roman" w:hAnsi="Times New Roman" w:cs="Times New Roman" w:eastAsia="Times New Roman" w:hint="default"/>
          <w:spacing w:val="-2"/>
        </w:rPr>
        <w:t>1984</w:t>
      </w:r>
      <w:r>
        <w:rPr>
          <w:spacing w:val="-2"/>
        </w:rPr>
        <w:t>年生，中国国籍，教研专员，</w:t>
      </w:r>
      <w:r>
        <w:rPr>
          <w:rFonts w:ascii="Times New Roman" w:hAnsi="Times New Roman" w:cs="Times New Roman" w:eastAsia="Times New Roman" w:hint="default"/>
          <w:spacing w:val="-2"/>
        </w:rPr>
        <w:t>2006</w:t>
      </w:r>
      <w:r>
        <w:rPr>
          <w:spacing w:val="-2"/>
        </w:rPr>
        <w:t>年毕业于西北民族大学，全日制大学本科学位，</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月至今在深圳方直科技股份有限公司分</w:t>
      </w:r>
    </w:p>
    <w:p>
      <w:pPr>
        <w:pStyle w:val="BodyText"/>
        <w:spacing w:line="240" w:lineRule="auto" w:before="36"/>
        <w:ind w:left="140" w:right="0"/>
        <w:jc w:val="left"/>
      </w:pPr>
      <w:r>
        <w:rPr/>
        <w:t>别担任过软件策划、项目经理、产品经理，现任教研专员。现任本公司第四届监事会监事。</w:t>
      </w:r>
    </w:p>
    <w:p>
      <w:pPr>
        <w:spacing w:after="0" w:line="240" w:lineRule="auto"/>
        <w:jc w:val="left"/>
        <w:sectPr>
          <w:pgSz w:w="16840" w:h="11910" w:orient="landscape"/>
          <w:pgMar w:header="870" w:footer="979" w:top="1060" w:bottom="1160" w:left="1300" w:right="1300"/>
        </w:sectPr>
      </w:pPr>
    </w:p>
    <w:p>
      <w:pPr>
        <w:pStyle w:val="BodyText"/>
        <w:spacing w:line="386" w:lineRule="auto" w:before="130"/>
        <w:ind w:left="140" w:right="0" w:firstLine="420"/>
        <w:jc w:val="left"/>
      </w:pPr>
      <w:r>
        <w:rPr>
          <w:spacing w:val="-2"/>
        </w:rPr>
        <w:t>杨颖女士，</w:t>
      </w:r>
      <w:r>
        <w:rPr>
          <w:rFonts w:ascii="Times New Roman" w:hAnsi="Times New Roman" w:cs="Times New Roman" w:eastAsia="Times New Roman" w:hint="default"/>
          <w:spacing w:val="-2"/>
        </w:rPr>
        <w:t>1964</w:t>
      </w:r>
      <w:r>
        <w:rPr>
          <w:spacing w:val="-2"/>
        </w:rPr>
        <w:t>年生，中国国籍，曾任重庆建安公司经济员，中国长城计算机集团深圳昆仑公司会计，</w:t>
      </w:r>
      <w:r>
        <w:rPr>
          <w:rFonts w:ascii="Times New Roman" w:hAnsi="Times New Roman" w:cs="Times New Roman" w:eastAsia="Times New Roman" w:hint="default"/>
          <w:spacing w:val="-2"/>
        </w:rPr>
        <w:t>1996</w:t>
      </w:r>
      <w:r>
        <w:rPr>
          <w:spacing w:val="-2"/>
        </w:rPr>
        <w:t>年加入深圳方直科技股份有限公司，历</w:t>
      </w:r>
      <w:r>
        <w:rPr>
          <w:w w:val="100"/>
        </w:rPr>
        <w:t> </w:t>
      </w:r>
      <w:r>
        <w:rPr/>
        <w:t>任本公司会计、行政人事总监。现任本公司第四届监事会监事。</w:t>
      </w:r>
    </w:p>
    <w:p>
      <w:pPr>
        <w:pStyle w:val="BodyText"/>
        <w:spacing w:line="386" w:lineRule="auto" w:before="65"/>
        <w:ind w:left="140" w:right="0" w:firstLine="420"/>
        <w:jc w:val="left"/>
      </w:pPr>
      <w:r>
        <w:rPr>
          <w:spacing w:val="-2"/>
        </w:rPr>
        <w:t>刘念女士，</w:t>
      </w:r>
      <w:r>
        <w:rPr>
          <w:rFonts w:ascii="Times New Roman" w:hAnsi="Times New Roman" w:cs="Times New Roman" w:eastAsia="Times New Roman" w:hint="default"/>
          <w:spacing w:val="-2"/>
        </w:rPr>
        <w:t>1986</w:t>
      </w:r>
      <w:r>
        <w:rPr>
          <w:spacing w:val="-2"/>
        </w:rPr>
        <w:t>年生，中国国籍，</w:t>
      </w:r>
      <w:r>
        <w:rPr>
          <w:rFonts w:ascii="Times New Roman" w:hAnsi="Times New Roman" w:cs="Times New Roman" w:eastAsia="Times New Roman" w:hint="default"/>
          <w:spacing w:val="-2"/>
        </w:rPr>
        <w:t>2012</w:t>
      </w:r>
      <w:r>
        <w:rPr>
          <w:spacing w:val="-2"/>
        </w:rPr>
        <w:t>年毕业于中国地质大学（武汉），硕士学位，</w:t>
      </w:r>
      <w:r>
        <w:rPr>
          <w:rFonts w:ascii="Times New Roman" w:hAnsi="Times New Roman" w:cs="Times New Roman" w:eastAsia="Times New Roman" w:hint="default"/>
          <w:spacing w:val="-2"/>
        </w:rPr>
        <w:t>2012</w:t>
      </w:r>
      <w:r>
        <w:rPr>
          <w:spacing w:val="-2"/>
        </w:rPr>
        <w:t>年年</w:t>
      </w:r>
      <w:r>
        <w:rPr>
          <w:rFonts w:ascii="Times New Roman" w:hAnsi="Times New Roman" w:cs="Times New Roman" w:eastAsia="Times New Roman" w:hint="default"/>
          <w:spacing w:val="-2"/>
        </w:rPr>
        <w:t>8</w:t>
      </w:r>
      <w:r>
        <w:rPr>
          <w:spacing w:val="-2"/>
        </w:rPr>
        <w:t>月至今在深圳市方直科技股份有限公司先后任职培训</w:t>
      </w:r>
      <w:r>
        <w:rPr>
          <w:w w:val="100"/>
        </w:rPr>
        <w:t> </w:t>
      </w:r>
      <w:r>
        <w:rPr/>
        <w:t>中心副经理、人力资源部经理职位，现任本公司第四届监事会职工代表监事。</w:t>
      </w:r>
    </w:p>
    <w:p>
      <w:pPr>
        <w:pStyle w:val="BodyText"/>
        <w:spacing w:line="386" w:lineRule="auto" w:before="65"/>
        <w:ind w:left="560" w:right="0"/>
        <w:jc w:val="left"/>
      </w:pPr>
      <w:r>
        <w:rPr>
          <w:rFonts w:ascii="Times New Roman" w:hAnsi="Times New Roman" w:cs="Times New Roman" w:eastAsia="Times New Roman" w:hint="default"/>
        </w:rPr>
        <w:t>3</w:t>
      </w:r>
      <w:r>
        <w:rPr/>
        <w:t>、高级管理人员介绍</w:t>
      </w:r>
      <w:r>
        <w:rPr>
          <w:w w:val="100"/>
        </w:rPr>
        <w:t> </w:t>
      </w:r>
      <w:r>
        <w:rPr>
          <w:spacing w:val="-3"/>
        </w:rPr>
        <w:t>黄晓峰先生，</w:t>
      </w:r>
      <w:r>
        <w:rPr>
          <w:rFonts w:ascii="Times New Roman" w:hAnsi="Times New Roman" w:cs="Times New Roman" w:eastAsia="Times New Roman" w:hint="default"/>
          <w:spacing w:val="-3"/>
        </w:rPr>
        <w:t>1968</w:t>
      </w:r>
      <w:r>
        <w:rPr>
          <w:spacing w:val="-3"/>
        </w:rPr>
        <w:t>年生，中国国籍，毕业于东北财经大学，</w:t>
      </w:r>
      <w:r>
        <w:rPr>
          <w:rFonts w:ascii="Times New Roman" w:hAnsi="Times New Roman" w:cs="Times New Roman" w:eastAsia="Times New Roman" w:hint="default"/>
          <w:spacing w:val="-3"/>
        </w:rPr>
        <w:t>EMBA</w:t>
      </w:r>
      <w:r>
        <w:rPr>
          <w:spacing w:val="-3"/>
        </w:rPr>
        <w:t>。曾任中国长城计算机集团深圳昆仑公司研发部经理，自本公司成立以来担任公司</w:t>
      </w:r>
    </w:p>
    <w:p>
      <w:pPr>
        <w:pStyle w:val="BodyText"/>
        <w:spacing w:line="408" w:lineRule="auto" w:before="35"/>
        <w:ind w:left="560" w:right="0" w:hanging="421"/>
        <w:jc w:val="left"/>
      </w:pPr>
      <w:r>
        <w:rPr/>
        <w:t>销售总监、开发中心总经理、副总经理，具有丰富的市场营销经验及销售团队管理经验，为广东省融智库专家。现任本公司董事、总经理。</w:t>
      </w:r>
      <w:r>
        <w:rPr>
          <w:w w:val="100"/>
        </w:rPr>
        <w:t> </w:t>
      </w:r>
      <w:r>
        <w:rPr>
          <w:spacing w:val="-2"/>
        </w:rPr>
        <w:t>张文凯先生，</w:t>
      </w:r>
      <w:r>
        <w:rPr>
          <w:rFonts w:ascii="Times New Roman" w:hAnsi="Times New Roman" w:cs="Times New Roman" w:eastAsia="Times New Roman" w:hint="default"/>
          <w:spacing w:val="-2"/>
        </w:rPr>
        <w:t>1968</w:t>
      </w:r>
      <w:r>
        <w:rPr>
          <w:spacing w:val="-2"/>
        </w:rPr>
        <w:t>年生，中国国籍。专科。曾任株洲汽车制造厂技术员。</w:t>
      </w:r>
      <w:r>
        <w:rPr>
          <w:rFonts w:ascii="Times New Roman" w:hAnsi="Times New Roman" w:cs="Times New Roman" w:eastAsia="Times New Roman" w:hint="default"/>
          <w:spacing w:val="-2"/>
        </w:rPr>
        <w:t>1993</w:t>
      </w:r>
      <w:r>
        <w:rPr>
          <w:spacing w:val="-2"/>
        </w:rPr>
        <w:t>年加入本公司，曾任本公司营销总监，总经理助理，副总经理，现任</w:t>
      </w:r>
    </w:p>
    <w:p>
      <w:pPr>
        <w:pStyle w:val="BodyText"/>
        <w:spacing w:line="408" w:lineRule="auto" w:before="14"/>
        <w:ind w:left="560" w:right="0" w:hanging="421"/>
        <w:jc w:val="left"/>
      </w:pPr>
      <w:r>
        <w:rPr/>
        <w:t>本公司常务副总经理。</w:t>
      </w:r>
      <w:r>
        <w:rPr>
          <w:w w:val="100"/>
        </w:rPr>
        <w:t> </w:t>
      </w:r>
      <w:r>
        <w:rPr>
          <w:spacing w:val="-3"/>
        </w:rPr>
        <w:t>李枫女士，</w:t>
      </w:r>
      <w:r>
        <w:rPr>
          <w:rFonts w:ascii="Times New Roman" w:hAnsi="Times New Roman" w:cs="Times New Roman" w:eastAsia="Times New Roman" w:hint="default"/>
          <w:spacing w:val="-3"/>
        </w:rPr>
        <w:t>1974</w:t>
      </w:r>
      <w:r>
        <w:rPr>
          <w:spacing w:val="-3"/>
        </w:rPr>
        <w:t>年生，中国国籍。毕业于北京交通大学工商管理专业，本科学历，北京大学汇丰商学院</w:t>
      </w:r>
      <w:r>
        <w:rPr>
          <w:rFonts w:ascii="Times New Roman" w:hAnsi="Times New Roman" w:cs="Times New Roman" w:eastAsia="Times New Roman" w:hint="default"/>
          <w:spacing w:val="-3"/>
        </w:rPr>
        <w:t>EMBA</w:t>
      </w:r>
      <w:r>
        <w:rPr>
          <w:spacing w:val="-3"/>
        </w:rPr>
        <w:t>，无境外永久居留权。</w:t>
      </w:r>
      <w:r>
        <w:rPr>
          <w:rFonts w:ascii="Times New Roman" w:hAnsi="Times New Roman" w:cs="Times New Roman" w:eastAsia="Times New Roman" w:hint="default"/>
          <w:spacing w:val="-3"/>
        </w:rPr>
        <w:t>1997</w:t>
      </w:r>
      <w:r>
        <w:rPr>
          <w:spacing w:val="-3"/>
        </w:rPr>
        <w:t>年加入深圳</w:t>
      </w:r>
    </w:p>
    <w:p>
      <w:pPr>
        <w:pStyle w:val="BodyText"/>
        <w:spacing w:line="408" w:lineRule="auto" w:before="14"/>
        <w:ind w:left="140" w:right="0"/>
        <w:jc w:val="left"/>
      </w:pPr>
      <w:r>
        <w:rPr>
          <w:spacing w:val="-2"/>
        </w:rPr>
        <w:t>市方直科技股份有限公司，历任本公司行政部经理、证券事务代表、证券部经理，现任本公司副总经理、董事会秘书。持有深圳证券交易所颁发的《董</w:t>
      </w:r>
      <w:r>
        <w:rPr>
          <w:spacing w:val="19"/>
        </w:rPr>
        <w:t> </w:t>
      </w:r>
      <w:r>
        <w:rPr>
          <w:spacing w:val="19"/>
        </w:rPr>
      </w:r>
      <w:r>
        <w:rPr/>
        <w:t>事会秘书资格证书》。</w:t>
      </w:r>
    </w:p>
    <w:p>
      <w:pPr>
        <w:pStyle w:val="BodyText"/>
        <w:spacing w:line="386" w:lineRule="auto"/>
        <w:ind w:left="140" w:right="0" w:firstLine="420"/>
        <w:jc w:val="left"/>
      </w:pPr>
      <w:r>
        <w:rPr/>
        <w:t>贺林英女士，</w:t>
      </w:r>
      <w:r>
        <w:rPr>
          <w:rFonts w:ascii="Times New Roman" w:hAnsi="Times New Roman" w:cs="Times New Roman" w:eastAsia="Times New Roman" w:hint="default"/>
        </w:rPr>
        <w:t>1975</w:t>
      </w:r>
      <w:r>
        <w:rPr/>
        <w:t>年生，中国国籍。毕业于湖南财经学院，国际会计师，理财规划师；</w:t>
      </w:r>
      <w:r>
        <w:rPr>
          <w:rFonts w:ascii="Times New Roman" w:hAnsi="Times New Roman" w:cs="Times New Roman" w:eastAsia="Times New Roman" w:hint="default"/>
        </w:rPr>
        <w:t>1996</w:t>
      </w:r>
      <w:r>
        <w:rPr/>
        <w:t>年开始从事财务工作，曾任深圳市佳野实业发展有限公</w:t>
      </w:r>
      <w:r>
        <w:rPr>
          <w:w w:val="100"/>
        </w:rPr>
        <w:t> </w:t>
      </w:r>
      <w:r>
        <w:rPr>
          <w:spacing w:val="-1"/>
        </w:rPr>
        <w:t>司财务总监</w:t>
      </w:r>
      <w:r>
        <w:rPr>
          <w:spacing w:val="89"/>
        </w:rPr>
        <w:t> </w:t>
      </w:r>
      <w:r>
        <w:rPr>
          <w:spacing w:val="-2"/>
        </w:rPr>
        <w:t>、深圳市谱尼测试科技股份有限公司高级财务经理；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月至今在本公司先后担任财务经理、代理财务总监一职。现任本公司副总经理、</w:t>
      </w:r>
      <w:r>
        <w:rPr>
          <w:spacing w:val="-83"/>
        </w:rPr>
        <w:t> </w:t>
      </w:r>
      <w:r>
        <w:rPr>
          <w:spacing w:val="-83"/>
        </w:rPr>
      </w:r>
      <w:r>
        <w:rPr/>
        <w:t>财务总监。</w:t>
      </w:r>
    </w:p>
    <w:p>
      <w:pPr>
        <w:pStyle w:val="BodyText"/>
        <w:spacing w:line="386" w:lineRule="auto" w:before="65"/>
        <w:ind w:left="140" w:right="0" w:firstLine="420"/>
        <w:jc w:val="left"/>
      </w:pPr>
      <w:r>
        <w:rPr>
          <w:spacing w:val="-2"/>
        </w:rPr>
        <w:t>卢庆华先生，</w:t>
      </w:r>
      <w:r>
        <w:rPr>
          <w:rFonts w:ascii="Times New Roman" w:hAnsi="Times New Roman" w:cs="Times New Roman" w:eastAsia="Times New Roman" w:hint="default"/>
          <w:spacing w:val="-2"/>
        </w:rPr>
        <w:t>1975</w:t>
      </w:r>
      <w:r>
        <w:rPr>
          <w:spacing w:val="-2"/>
        </w:rPr>
        <w:t>年生，中国国籍。毕业于北京工业大学，工学硕士，无境外永久居留权。曾在华为技术有限公司、广州市优拓计算机科技有限公</w:t>
      </w:r>
      <w:r>
        <w:rPr>
          <w:w w:val="100"/>
        </w:rPr>
        <w:t> </w:t>
      </w:r>
      <w:r>
        <w:rPr/>
        <w:t>司、江苏中科梦兰电子科技有限公司任职。现任本公司副总经理兼技术总监。</w:t>
      </w:r>
    </w:p>
    <w:p>
      <w:pPr>
        <w:pStyle w:val="BodyText"/>
        <w:spacing w:line="386" w:lineRule="auto" w:before="65"/>
        <w:ind w:left="140" w:right="210" w:firstLine="420"/>
        <w:jc w:val="both"/>
      </w:pPr>
      <w:r>
        <w:rPr>
          <w:spacing w:val="-2"/>
        </w:rPr>
        <w:t>杨正华先生，</w:t>
      </w:r>
      <w:r>
        <w:rPr>
          <w:rFonts w:ascii="Times New Roman" w:hAnsi="Times New Roman" w:cs="Times New Roman" w:eastAsia="Times New Roman" w:hint="default"/>
          <w:spacing w:val="-2"/>
        </w:rPr>
        <w:t>1973</w:t>
      </w:r>
      <w:r>
        <w:rPr>
          <w:spacing w:val="-2"/>
        </w:rPr>
        <w:t>年生，中国国籍。毕业于湖北大学，经济学学士、副研究员，无境外永久居留权。</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月在武汉启明星科技有限</w:t>
      </w:r>
      <w:r>
        <w:rPr>
          <w:w w:val="100"/>
        </w:rPr>
        <w:t> </w:t>
      </w:r>
      <w:r>
        <w:rPr>
          <w:spacing w:val="-2"/>
        </w:rPr>
        <w:t>公司任程序员职位；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月在深圳正普信息技术有限公司任部门经理职位，</w:t>
      </w:r>
      <w:r>
        <w:rPr>
          <w:rFonts w:ascii="Times New Roman" w:hAnsi="Times New Roman" w:cs="Times New Roman" w:eastAsia="Times New Roman" w:hint="default"/>
          <w:spacing w:val="-2"/>
        </w:rPr>
        <w:t>2004</w:t>
      </w:r>
      <w:r>
        <w:rPr>
          <w:spacing w:val="-2"/>
        </w:rPr>
        <w:t>年加入本公司，历任研发部经理、总经理助理；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5"/>
        </w:rPr>
        <w:t> </w:t>
      </w:r>
      <w:r>
        <w:rPr/>
        <w:t>月任深圳市方直课程教学研究院副理事长、财务负责人，现任本公司副总经理。</w:t>
      </w:r>
    </w:p>
    <w:p>
      <w:pPr>
        <w:spacing w:after="0" w:line="386" w:lineRule="auto"/>
        <w:jc w:val="both"/>
        <w:sectPr>
          <w:pgSz w:w="16840" w:h="11910" w:orient="landscape"/>
          <w:pgMar w:header="870" w:footer="979" w:top="1060" w:bottom="1160" w:left="1300" w:right="1220"/>
        </w:sectPr>
      </w:pPr>
    </w:p>
    <w:p>
      <w:pPr>
        <w:pStyle w:val="BodyText"/>
        <w:spacing w:line="386" w:lineRule="auto" w:before="130"/>
        <w:ind w:left="140" w:right="0" w:firstLine="420"/>
        <w:jc w:val="left"/>
      </w:pPr>
      <w:r>
        <w:rPr>
          <w:spacing w:val="-2"/>
        </w:rPr>
        <w:t>武文静女士，</w:t>
      </w:r>
      <w:r>
        <w:rPr>
          <w:rFonts w:ascii="Times New Roman" w:hAnsi="Times New Roman" w:cs="Times New Roman" w:eastAsia="Times New Roman" w:hint="default"/>
          <w:spacing w:val="-2"/>
        </w:rPr>
        <w:t>1982</w:t>
      </w:r>
      <w:r>
        <w:rPr>
          <w:spacing w:val="-2"/>
        </w:rPr>
        <w:t>年生。中国国籍。企业人力资源管理师，毕业于东北师范大学。</w:t>
      </w:r>
      <w:r>
        <w:rPr>
          <w:rFonts w:ascii="Times New Roman" w:hAnsi="Times New Roman" w:cs="Times New Roman" w:eastAsia="Times New Roman" w:hint="default"/>
          <w:spacing w:val="-2"/>
        </w:rPr>
        <w:t>2003</w:t>
      </w:r>
      <w:r>
        <w:rPr>
          <w:spacing w:val="-2"/>
        </w:rPr>
        <w:t>年加入深圳方直科技股份有限公司，历任本公司人事部副经</w:t>
      </w:r>
      <w:r>
        <w:rPr>
          <w:w w:val="100"/>
        </w:rPr>
        <w:t> </w:t>
      </w:r>
      <w:r>
        <w:rPr/>
        <w:t>理、行政人力部经理，人力资源部经理，现任本公司副总经理。</w:t>
      </w:r>
    </w:p>
    <w:p>
      <w:pPr>
        <w:spacing w:line="240" w:lineRule="auto" w:before="6"/>
        <w:rPr>
          <w:rFonts w:ascii="宋体" w:hAnsi="宋体" w:cs="宋体" w:eastAsia="宋体" w:hint="default"/>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9"/>
        <w:ind w:left="140" w:right="12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760"/>
        <w:gridCol w:w="4673"/>
        <w:gridCol w:w="1556"/>
        <w:gridCol w:w="1752"/>
        <w:gridCol w:w="1942"/>
        <w:gridCol w:w="2335"/>
      </w:tblGrid>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2" w:right="51"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0" w:right="83" w:hanging="989"/>
              <w:jc w:val="left"/>
              <w:rPr>
                <w:rFonts w:ascii="宋体" w:hAnsi="宋体" w:cs="宋体" w:eastAsia="宋体" w:hint="default"/>
                <w:sz w:val="18"/>
                <w:szCs w:val="18"/>
              </w:rPr>
            </w:pPr>
            <w:r>
              <w:rPr>
                <w:rFonts w:ascii="宋体" w:hAnsi="宋体" w:cs="宋体" w:eastAsia="宋体" w:hint="default"/>
                <w:sz w:val="18"/>
                <w:szCs w:val="18"/>
              </w:rPr>
              <w:t>在其他单位是否领取报酬津 贴</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深圳市齐普生信息科技有限公司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深圳市裕同包装科技股份有限公司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日海智能科技股份有限公司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深圳兆日科技股份有限公司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上海润良泰物联网科技合伙企业（有限合伙）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高级合伙人（非执 行职务）</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105"/>
              <w:jc w:val="left"/>
              <w:rPr>
                <w:rFonts w:ascii="宋体" w:hAnsi="宋体" w:cs="宋体" w:eastAsia="宋体" w:hint="default"/>
                <w:sz w:val="18"/>
                <w:szCs w:val="18"/>
              </w:rPr>
            </w:pPr>
            <w:r>
              <w:rPr>
                <w:rFonts w:ascii="宋体" w:hAnsi="宋体" w:cs="宋体" w:eastAsia="宋体" w:hint="default"/>
                <w:sz w:val="18"/>
                <w:szCs w:val="18"/>
              </w:rPr>
              <w:t>在其他单位任职情况 的说明</w:t>
            </w:r>
          </w:p>
        </w:tc>
        <w:tc>
          <w:tcPr>
            <w:tcW w:w="12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0"/>
          <w:szCs w:val="10"/>
        </w:rPr>
      </w:pPr>
    </w:p>
    <w:p>
      <w:pPr>
        <w:spacing w:before="44"/>
        <w:ind w:left="0" w:right="834" w:firstLine="0"/>
        <w:jc w:val="right"/>
        <w:rPr>
          <w:rFonts w:ascii="宋体" w:hAnsi="宋体" w:cs="宋体" w:eastAsia="宋体" w:hint="default"/>
          <w:sz w:val="18"/>
          <w:szCs w:val="18"/>
        </w:rPr>
      </w:pPr>
      <w:r>
        <w:rPr/>
        <w:pict>
          <v:shape style="position:absolute;margin-left:56.304001pt;margin-top:-1.688272pt;width:493.9pt;height:127.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6"/>
                    <w:gridCol w:w="7341"/>
                  </w:tblGrid>
                  <w:tr>
                    <w:trPr>
                      <w:trHeight w:val="73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的决策程序</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90"/>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董事、监事、高级管理人员报酬的决策程序以及确定依据均按照方直科技董事、监事薪酬方案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方直科技高级管理人员薪酬方案执行；董事、监事、高级管理人员报酬由公司支付；</w:t>
                        </w:r>
                      </w:p>
                    </w:tc>
                  </w:tr>
                  <w:tr>
                    <w:trPr>
                      <w:trHeight w:val="1051"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确定依据</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8"/>
                            <w:sz w:val="18"/>
                            <w:szCs w:val="18"/>
                          </w:rPr>
                          <w:t>根据《公司法》、《关于在上市公司建立独立董事制度的指导意见》</w:t>
                        </w:r>
                        <w:r>
                          <w:rPr>
                            <w:rFonts w:ascii="宋体" w:hAnsi="宋体" w:cs="宋体" w:eastAsia="宋体" w:hint="default"/>
                            <w:spacing w:val="-67"/>
                            <w:sz w:val="18"/>
                            <w:szCs w:val="18"/>
                          </w:rPr>
                          <w:t> </w:t>
                        </w:r>
                        <w:r>
                          <w:rPr>
                            <w:rFonts w:ascii="宋体" w:hAnsi="宋体" w:cs="宋体" w:eastAsia="宋体" w:hint="default"/>
                            <w:spacing w:val="-6"/>
                            <w:sz w:val="18"/>
                            <w:szCs w:val="18"/>
                          </w:rPr>
                          <w:t>等有关法律、法规以及</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司章程》、《独立董事工作制度》等公司制度的规定，公司董事、监事和高级管理人员的报酬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结合其经营绩效、工作能力、岗位职级等为依据考核确定并发放。</w:t>
                        </w:r>
                      </w:p>
                    </w:tc>
                  </w:tr>
                  <w:tr>
                    <w:trPr>
                      <w:trHeight w:val="73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的实际支付情况</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薪酬均已按公司规定发放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983"/>
        <w:gridCol w:w="1128"/>
        <w:gridCol w:w="1366"/>
        <w:gridCol w:w="1369"/>
        <w:gridCol w:w="1366"/>
        <w:gridCol w:w="1368"/>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副总经理兼董事会秘书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贺林英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副总经理兼财务总监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9"/>
              <w:jc w:val="righ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34"/>
          <w:footerReference w:type="default" r:id="rId35"/>
          <w:pgSz w:w="11910" w:h="16840"/>
          <w:pgMar w:header="880" w:footer="979" w:top="1100" w:bottom="1160" w:left="980" w:right="0"/>
          <w:pgNumType w:start="68"/>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高中及高中以下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bl>
    <w:p>
      <w:pPr>
        <w:spacing w:line="240" w:lineRule="auto" w:before="11"/>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1126" w:firstLine="420"/>
        <w:jc w:val="both"/>
      </w:pPr>
      <w:r>
        <w:rPr>
          <w:spacing w:val="-2"/>
        </w:rPr>
        <w:t>为了吸引、激励和保留优秀人才以帮助公司达成战略目标，公司在兼顾市场竞争力和内部公平性的基</w:t>
      </w:r>
      <w:r>
        <w:rPr>
          <w:w w:val="100"/>
        </w:rPr>
        <w:t> </w:t>
      </w:r>
      <w:r>
        <w:rPr>
          <w:spacing w:val="-2"/>
        </w:rPr>
        <w:t>础上，为员工提供全面的、富有竞争力的报酬，包括经济性报酬：工资、绩效奖金、提成、福利等，非经</w:t>
      </w:r>
      <w:r>
        <w:rPr>
          <w:spacing w:val="-50"/>
        </w:rPr>
        <w:t> </w:t>
      </w:r>
      <w:r>
        <w:rPr>
          <w:spacing w:val="-50"/>
        </w:rPr>
      </w:r>
      <w:r>
        <w:rPr>
          <w:spacing w:val="-2"/>
        </w:rPr>
        <w:t>济性报酬：培训机会、晋升机会、良好的工作环境和氛围等，以提高核心员工的满意度，提升骨干员工的</w:t>
      </w:r>
      <w:r>
        <w:rPr>
          <w:spacing w:val="-43"/>
        </w:rPr>
        <w:t> </w:t>
      </w:r>
      <w:r>
        <w:rPr>
          <w:spacing w:val="-43"/>
        </w:rPr>
      </w:r>
      <w:r>
        <w:rPr/>
        <w:t>积极性和创造性。</w:t>
      </w:r>
    </w:p>
    <w:p>
      <w:pPr>
        <w:spacing w:after="0" w:line="408" w:lineRule="auto"/>
        <w:jc w:val="both"/>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0" w:lineRule="auto" w:before="0"/>
        <w:ind w:right="1126" w:firstLine="420"/>
        <w:jc w:val="both"/>
      </w:pPr>
      <w:r>
        <w:rPr>
          <w:spacing w:val="-2"/>
        </w:rPr>
        <w:t>公司年度培训计划由人力资源部组织制定，经审核、批准后，人力资源部正式发布并组织执行。各部</w:t>
      </w:r>
      <w:r>
        <w:rPr>
          <w:w w:val="100"/>
        </w:rPr>
        <w:t> </w:t>
      </w:r>
      <w:r>
        <w:rPr>
          <w:spacing w:val="-2"/>
        </w:rPr>
        <w:t>门根据本部门年度工作计划，与部门内员工进行沟通交流后，拟定部门培训需求，并详细、完整地提交部</w:t>
      </w:r>
      <w:r>
        <w:rPr>
          <w:spacing w:val="-47"/>
        </w:rPr>
        <w:t> </w:t>
      </w:r>
      <w:r>
        <w:rPr>
          <w:spacing w:val="-47"/>
        </w:rPr>
      </w:r>
      <w:r>
        <w:rPr>
          <w:spacing w:val="-3"/>
        </w:rPr>
        <w:t>门年度培训计划至人力资源部部。部门年度培训计划需详细说明培训方式</w:t>
      </w:r>
      <w:r>
        <w:rPr>
          <w:rFonts w:ascii="Times New Roman" w:hAnsi="Times New Roman" w:cs="Times New Roman" w:eastAsia="Times New Roman" w:hint="default"/>
          <w:spacing w:val="-3"/>
        </w:rPr>
        <w:t>,</w:t>
      </w:r>
      <w:r>
        <w:rPr>
          <w:spacing w:val="-3"/>
        </w:rPr>
        <w:t>、培训时间、</w:t>
      </w:r>
      <w:r>
        <w:rPr>
          <w:spacing w:val="12"/>
        </w:rPr>
        <w:t> </w:t>
      </w:r>
      <w:r>
        <w:rPr/>
        <w:t>培训地点、</w:t>
      </w:r>
      <w:r>
        <w:rPr>
          <w:spacing w:val="14"/>
        </w:rPr>
        <w:t> </w:t>
      </w:r>
      <w:r>
        <w:rPr/>
        <w:t>培训</w:t>
      </w:r>
      <w:r>
        <w:rPr>
          <w:spacing w:val="-97"/>
        </w:rPr>
        <w:t> </w:t>
      </w:r>
      <w:r>
        <w:rPr>
          <w:spacing w:val="-97"/>
        </w:rPr>
      </w:r>
      <w:r>
        <w:rPr/>
        <w:t>内容、培训讲师、培训对象、培训预算、其它需协调事项等。</w:t>
      </w:r>
    </w:p>
    <w:p>
      <w:pPr>
        <w:spacing w:line="240" w:lineRule="auto" w:before="1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right="2809"/>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240" w:lineRule="auto" w:before="0"/>
        <w:ind w:left="573" w:right="0"/>
        <w:jc w:val="left"/>
      </w:pPr>
      <w:r>
        <w:rPr>
          <w:spacing w:val="-9"/>
        </w:rPr>
        <w:t>报告期内，公司严格按照《公司法》、《证券法》、《上市公司治理准则》、《创业板股票上市规则》、</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《创业板上市公司规范运作指引》等相关法律法规、规范性文件的要求，不断提高公司规范运作水平，完</w:t>
      </w:r>
      <w:r>
        <w:rPr>
          <w:spacing w:val="-44"/>
        </w:rPr>
        <w:t> </w:t>
      </w:r>
      <w:r>
        <w:rPr>
          <w:spacing w:val="-44"/>
        </w:rPr>
      </w:r>
      <w:r>
        <w:rPr>
          <w:spacing w:val="-5"/>
        </w:rPr>
        <w:t>善公司法人治理结构，建立健全公司内部管理和控制制度，加强信息披露，积极开展投资者关系管理工作，</w:t>
      </w:r>
      <w:r>
        <w:rPr>
          <w:spacing w:val="-6"/>
        </w:rPr>
        <w:t> </w:t>
      </w:r>
      <w:r>
        <w:rPr>
          <w:spacing w:val="-6"/>
        </w:rPr>
      </w:r>
      <w:r>
        <w:rPr>
          <w:spacing w:val="-2"/>
        </w:rPr>
        <w:t>提升公司治理水平。公司按要求设立了股东大会、董事会、监事会和董事会下设的专门委员会。公司股东</w:t>
      </w:r>
      <w:r>
        <w:rPr>
          <w:spacing w:val="-50"/>
        </w:rPr>
        <w:t> </w:t>
      </w:r>
      <w:r>
        <w:rPr>
          <w:spacing w:val="-50"/>
        </w:rPr>
      </w:r>
      <w:r>
        <w:rPr>
          <w:spacing w:val="-2"/>
        </w:rPr>
        <w:t>大会、董事会、监事会和经营层责权分明，根据董事会、监事会议事规则及董事会专门委员会实施细则明</w:t>
      </w:r>
      <w:r>
        <w:rPr>
          <w:spacing w:val="-47"/>
        </w:rPr>
        <w:t> </w:t>
      </w:r>
      <w:r>
        <w:rPr>
          <w:spacing w:val="-47"/>
        </w:rPr>
      </w:r>
      <w:r>
        <w:rPr>
          <w:spacing w:val="-2"/>
        </w:rPr>
        <w:t>确了各级机构在决策、监督、执行等方面的职责权限、程序以及应履行的义务。同时，以规范岗位说明书</w:t>
      </w:r>
      <w:r>
        <w:rPr>
          <w:spacing w:val="-42"/>
        </w:rPr>
        <w:t> </w:t>
      </w:r>
      <w:r>
        <w:rPr>
          <w:spacing w:val="-42"/>
        </w:rPr>
      </w:r>
      <w:r>
        <w:rPr>
          <w:spacing w:val="-2"/>
        </w:rPr>
        <w:t>形式明确各部门、岗位的职责、权限和目标，建立完善严密的制衡和监督机制，确保公司各层级均在授权</w:t>
      </w:r>
      <w:r>
        <w:rPr>
          <w:spacing w:val="-47"/>
        </w:rPr>
        <w:t> </w:t>
      </w:r>
      <w:r>
        <w:rPr>
          <w:spacing w:val="-47"/>
        </w:rPr>
      </w:r>
      <w:r>
        <w:rPr/>
        <w:t>范围内履行职责，形成了科学有效、权责明确、相互制衡、相互协调的治理结构。</w:t>
      </w:r>
    </w:p>
    <w:p>
      <w:pPr>
        <w:pStyle w:val="Heading6"/>
        <w:spacing w:line="345" w:lineRule="exact"/>
        <w:ind w:left="575" w:right="0"/>
        <w:jc w:val="left"/>
        <w:rPr>
          <w:b w:val="0"/>
          <w:bCs w:val="0"/>
        </w:rPr>
      </w:pPr>
      <w:r>
        <w:rPr>
          <w:rFonts w:ascii="Times New Roman" w:hAnsi="Times New Roman" w:cs="Times New Roman" w:eastAsia="Times New Roman" w:hint="default"/>
        </w:rPr>
        <w:t>1</w:t>
      </w:r>
      <w:r>
        <w:rPr/>
        <w:t>、关于股东与股东大会</w:t>
      </w:r>
      <w:r>
        <w:rPr>
          <w:b w:val="0"/>
          <w:bCs w:val="0"/>
        </w:rPr>
      </w:r>
    </w:p>
    <w:p>
      <w:pPr>
        <w:pStyle w:val="BodyText"/>
        <w:spacing w:line="408" w:lineRule="auto" w:before="169"/>
        <w:ind w:right="1126" w:firstLine="420"/>
        <w:jc w:val="both"/>
      </w:pPr>
      <w:r>
        <w:rPr>
          <w:spacing w:val="-2"/>
        </w:rPr>
        <w:t>公司严格按照《公司法》、《上市公司股东大会规则》以及《公司章程》、《股东大会议事规则》和</w:t>
      </w:r>
      <w:r>
        <w:rPr>
          <w:w w:val="100"/>
        </w:rPr>
        <w:t> </w:t>
      </w:r>
      <w:r>
        <w:rPr>
          <w:spacing w:val="-2"/>
        </w:rPr>
        <w:t>深圳证券交易所创业板的相关规定和要求，规范股东大会的召集、召开和表决程序。报告期内，公司召开</w:t>
      </w:r>
      <w:r>
        <w:rPr>
          <w:spacing w:val="-47"/>
        </w:rPr>
        <w:t> </w:t>
      </w:r>
      <w:r>
        <w:rPr>
          <w:spacing w:val="-47"/>
        </w:rPr>
      </w:r>
      <w:r>
        <w:rPr>
          <w:spacing w:val="-2"/>
        </w:rPr>
        <w:t>的股东大会均由公司董事会召集召开，董事长主持，邀请见证律师进行现场见证并出具了法律意见书。股</w:t>
      </w:r>
      <w:r>
        <w:rPr>
          <w:spacing w:val="-43"/>
        </w:rPr>
        <w:t> </w:t>
      </w:r>
      <w:r>
        <w:rPr>
          <w:spacing w:val="-43"/>
        </w:rPr>
      </w:r>
      <w:r>
        <w:rPr>
          <w:spacing w:val="-2"/>
        </w:rPr>
        <w:t>东大会召开日同时进行股东大会网络投票。在股东大会上能够保证各位股东有充分的发言权，确保全体股</w:t>
      </w:r>
      <w:r>
        <w:rPr>
          <w:spacing w:val="-44"/>
        </w:rPr>
        <w:t> </w:t>
      </w:r>
      <w:r>
        <w:rPr>
          <w:spacing w:val="-44"/>
        </w:rPr>
      </w:r>
      <w:r>
        <w:rPr/>
        <w:t>东特别是中小股东享有平等地位，充分行使自己的权力。</w:t>
      </w:r>
    </w:p>
    <w:p>
      <w:pPr>
        <w:pStyle w:val="BodyText"/>
        <w:spacing w:line="400" w:lineRule="auto"/>
        <w:ind w:right="1130" w:firstLine="420"/>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17"/>
        </w:rPr>
        <w:t> </w:t>
      </w:r>
      <w:r>
        <w:rPr>
          <w:spacing w:val="-17"/>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pStyle w:val="Heading6"/>
        <w:spacing w:line="351" w:lineRule="exact"/>
        <w:ind w:left="575" w:right="0"/>
        <w:jc w:val="left"/>
        <w:rPr>
          <w:b w:val="0"/>
          <w:bCs w:val="0"/>
        </w:rPr>
      </w:pPr>
      <w:r>
        <w:rPr>
          <w:rFonts w:ascii="Times New Roman" w:hAnsi="Times New Roman" w:cs="Times New Roman" w:eastAsia="Times New Roman" w:hint="default"/>
        </w:rPr>
        <w:t>2</w:t>
      </w:r>
      <w:r>
        <w:rPr/>
        <w:t>、关于公司与控股股东</w:t>
      </w:r>
      <w:r>
        <w:rPr>
          <w:b w:val="0"/>
          <w:bCs w:val="0"/>
        </w:rPr>
      </w:r>
    </w:p>
    <w:p>
      <w:pPr>
        <w:pStyle w:val="BodyText"/>
        <w:spacing w:line="408" w:lineRule="auto" w:before="170"/>
        <w:ind w:right="1104" w:firstLine="420"/>
        <w:jc w:val="both"/>
      </w:pPr>
      <w:r>
        <w:rPr>
          <w:spacing w:val="-2"/>
        </w:rPr>
        <w:t>公司控股股东黄元忠先生担任公司董事长，其严格按照《上市公司治理准则》、《深圳证券交易所创</w:t>
      </w:r>
      <w:r>
        <w:rPr>
          <w:w w:val="100"/>
        </w:rPr>
        <w:t> </w:t>
      </w:r>
      <w:r>
        <w:rPr>
          <w:spacing w:val="-2"/>
        </w:rPr>
        <w:t>业板股票上市规则》、《深圳证券交易所创业板上市公司规范运作指引》、《公司章程》等规定和要求，</w:t>
      </w:r>
      <w:r>
        <w:rPr>
          <w:spacing w:val="-21"/>
        </w:rPr>
        <w:t> </w:t>
      </w:r>
      <w:r>
        <w:rPr>
          <w:spacing w:val="-21"/>
        </w:rPr>
      </w:r>
      <w:r>
        <w:rPr>
          <w:spacing w:val="-2"/>
        </w:rPr>
        <w:t>在担任公司董事长期间，严格规范自己的行为，不存在超越公司股东大会直接或间接干预公司的决策和经</w:t>
      </w:r>
      <w:r>
        <w:rPr>
          <w:spacing w:val="-43"/>
        </w:rPr>
        <w:t> </w:t>
      </w:r>
      <w:r>
        <w:rPr>
          <w:spacing w:val="-43"/>
        </w:rPr>
      </w:r>
      <w:r>
        <w:rPr>
          <w:spacing w:val="-2"/>
        </w:rPr>
        <w:t>营活动的行为，未损害公司及其他股东的利益，不存在控股股东占用公司资金的现象，公司亦无为控股股</w:t>
      </w:r>
      <w:r>
        <w:rPr>
          <w:spacing w:val="-45"/>
        </w:rPr>
        <w:t> </w:t>
      </w:r>
      <w:r>
        <w:rPr>
          <w:spacing w:val="-45"/>
        </w:rPr>
      </w:r>
      <w:r>
        <w:rPr>
          <w:spacing w:val="-2"/>
        </w:rPr>
        <w:t>东提供担保的情形。公司拥有独立完整的业务和自主经营能力，在业务、资产、人员、机构、财务上独立</w:t>
      </w:r>
      <w:r>
        <w:rPr>
          <w:spacing w:val="-42"/>
        </w:rPr>
        <w:t> </w:t>
      </w:r>
      <w:r>
        <w:rPr>
          <w:spacing w:val="-42"/>
        </w:rPr>
      </w:r>
      <w:r>
        <w:rPr/>
        <w:t>于控股股东，公司董事会、监事会和内部机构独立运作。</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Heading6"/>
        <w:spacing w:line="335" w:lineRule="exact"/>
        <w:ind w:left="575" w:right="0"/>
        <w:jc w:val="left"/>
        <w:rPr>
          <w:b w:val="0"/>
          <w:bCs w:val="0"/>
        </w:rPr>
      </w:pPr>
      <w:r>
        <w:rPr>
          <w:rFonts w:ascii="Times New Roman" w:hAnsi="Times New Roman" w:cs="Times New Roman" w:eastAsia="Times New Roman" w:hint="default"/>
        </w:rPr>
        <w:t>3</w:t>
      </w:r>
      <w:r>
        <w:rPr/>
        <w:t>、关于董事与董事会</w:t>
      </w:r>
      <w:r>
        <w:rPr>
          <w:b w:val="0"/>
          <w:bCs w:val="0"/>
        </w:rPr>
      </w:r>
    </w:p>
    <w:p>
      <w:pPr>
        <w:pStyle w:val="BodyText"/>
        <w:spacing w:line="398" w:lineRule="auto" w:before="169"/>
        <w:ind w:right="1104" w:firstLine="420"/>
        <w:jc w:val="both"/>
      </w:pPr>
      <w:r>
        <w:rPr>
          <w:spacing w:val="-2"/>
        </w:rPr>
        <w:t>报告期内，根据《公司章程》、《独立董事制度》等相关制度规定，董事每届任期三年，董事任期届</w:t>
      </w:r>
      <w:r>
        <w:rPr>
          <w:w w:val="100"/>
        </w:rPr>
        <w:t> </w:t>
      </w:r>
      <w:r>
        <w:rPr>
          <w:spacing w:val="-2"/>
        </w:rPr>
        <w:t>满连选可连任，但连任时间不得超过六年。第三届董事会于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日任期届满。经公司董事长提名及</w:t>
      </w:r>
      <w:r>
        <w:rPr>
          <w:spacing w:val="-39"/>
        </w:rPr>
        <w:t> </w:t>
      </w:r>
      <w:r>
        <w:rPr>
          <w:spacing w:val="-39"/>
        </w:rPr>
      </w:r>
      <w:r>
        <w:rPr>
          <w:spacing w:val="-2"/>
        </w:rPr>
        <w:t>提名委员会审核任职资格，经第三届董事会第三十四次会议、</w:t>
      </w:r>
      <w:r>
        <w:rPr>
          <w:rFonts w:ascii="Times New Roman" w:hAnsi="Times New Roman" w:cs="Times New Roman" w:eastAsia="Times New Roman" w:hint="default"/>
          <w:spacing w:val="-2"/>
        </w:rPr>
        <w:t>2018</w:t>
      </w:r>
      <w:r>
        <w:rPr>
          <w:spacing w:val="-2"/>
        </w:rPr>
        <w:t>年第一次临时股东大会审议通过，选举</w:t>
      </w:r>
      <w:r>
        <w:rPr>
          <w:spacing w:val="-41"/>
        </w:rPr>
        <w:t> </w:t>
      </w:r>
      <w:r>
        <w:rPr>
          <w:spacing w:val="-41"/>
        </w:rPr>
      </w:r>
      <w:r>
        <w:rPr>
          <w:spacing w:val="-2"/>
        </w:rPr>
        <w:t>出第四届董事会董事，公司董事选聘程序规范、透明，董事选聘过程公开、公平、独立，董事资料真实、</w:t>
      </w:r>
      <w:r>
        <w:rPr>
          <w:spacing w:val="-21"/>
        </w:rPr>
        <w:t> </w:t>
      </w:r>
      <w:r>
        <w:rPr>
          <w:spacing w:val="-21"/>
        </w:rPr>
      </w:r>
      <w:r>
        <w:rPr/>
        <w:t>完整，董事人选事前均获得相关部门审核，并签署书面承诺。</w:t>
      </w:r>
    </w:p>
    <w:p>
      <w:pPr>
        <w:pStyle w:val="BodyText"/>
        <w:spacing w:line="400" w:lineRule="auto" w:before="54"/>
        <w:ind w:right="1126" w:firstLine="420"/>
        <w:jc w:val="both"/>
      </w:pPr>
      <w:r>
        <w:rPr>
          <w:spacing w:val="-2"/>
        </w:rPr>
        <w:t>公司第三届董事会设董事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名，独董陈伟强、许鲁光、刘勇均已获取上市公司独立</w:t>
      </w:r>
      <w:r>
        <w:rPr>
          <w:w w:val="100"/>
        </w:rPr>
        <w:t> </w:t>
      </w:r>
      <w:r>
        <w:rPr>
          <w:spacing w:val="-2"/>
        </w:rPr>
        <w:t>董事培训证书；第四届董事会设董事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名，独董陈伟强、周俊祥、吴永平均已获取上市</w:t>
      </w:r>
      <w:r>
        <w:rPr>
          <w:spacing w:val="-44"/>
        </w:rPr>
        <w:t> </w:t>
      </w:r>
      <w:r>
        <w:rPr>
          <w:spacing w:val="-44"/>
        </w:rPr>
      </w:r>
      <w:r>
        <w:rPr>
          <w:spacing w:val="-2"/>
        </w:rPr>
        <w:t>公司独立董事培训证书。各届董事会的人数及人员构成符合法律、法规和《公司章程》的要求。各位董事</w:t>
      </w:r>
      <w:r>
        <w:rPr>
          <w:spacing w:val="-43"/>
        </w:rPr>
        <w:t> </w:t>
      </w:r>
      <w:r>
        <w:rPr>
          <w:spacing w:val="-43"/>
        </w:rPr>
      </w:r>
      <w:r>
        <w:rPr>
          <w:spacing w:val="-2"/>
        </w:rPr>
        <w:t>能够依据《公司章程》《董事会议事规则》、《独立董事制度》、《创业板上市公司规范运作指引》等规</w:t>
      </w:r>
      <w:r>
        <w:rPr>
          <w:spacing w:val="-44"/>
        </w:rPr>
        <w:t> </w:t>
      </w:r>
      <w:r>
        <w:rPr>
          <w:spacing w:val="-44"/>
        </w:rPr>
      </w:r>
      <w:r>
        <w:rPr>
          <w:spacing w:val="-2"/>
        </w:rPr>
        <w:t>定开展工作，出席董事会、董事会专门委员会和股东大会，勤勉尽责地履行职责和义务，同时积极参加相</w:t>
      </w:r>
      <w:r>
        <w:rPr>
          <w:spacing w:val="-50"/>
        </w:rPr>
        <w:t> </w:t>
      </w:r>
      <w:r>
        <w:rPr>
          <w:spacing w:val="-50"/>
        </w:rPr>
      </w:r>
      <w:r>
        <w:rPr/>
        <w:t>关培训，熟悉相关法律法规。</w:t>
      </w:r>
    </w:p>
    <w:p>
      <w:pPr>
        <w:pStyle w:val="BodyText"/>
        <w:spacing w:line="408" w:lineRule="auto" w:before="52"/>
        <w:ind w:right="1126" w:firstLine="420"/>
        <w:jc w:val="both"/>
      </w:pPr>
      <w:r>
        <w:rPr>
          <w:spacing w:val="-2"/>
        </w:rPr>
        <w:t>公司按照《深圳证券交易所创业板上市公司规范运作指引》的要求，下设有审计委员会、薪酬与考核</w:t>
      </w:r>
      <w:r>
        <w:rPr>
          <w:w w:val="100"/>
        </w:rPr>
        <w:t> </w:t>
      </w:r>
      <w:r>
        <w:rPr>
          <w:spacing w:val="-2"/>
        </w:rPr>
        <w:t>委员会和提名委员会三个专门委员会。专门委员会成员全部由董事组成，且独立董事人数占其他专门委员</w:t>
      </w:r>
      <w:r>
        <w:rPr>
          <w:spacing w:val="-44"/>
        </w:rPr>
        <w:t> </w:t>
      </w:r>
      <w:r>
        <w:rPr>
          <w:spacing w:val="-44"/>
        </w:rPr>
      </w:r>
      <w:r>
        <w:rPr>
          <w:spacing w:val="-2"/>
        </w:rPr>
        <w:t>会委员的比例均达到三分之二，为董事会的决策提供了科学和专业的意见和参考。各委员会依据《公司章</w:t>
      </w:r>
      <w:r>
        <w:rPr>
          <w:spacing w:val="-44"/>
        </w:rPr>
        <w:t> </w:t>
      </w:r>
      <w:r>
        <w:rPr>
          <w:spacing w:val="-44"/>
        </w:rPr>
      </w:r>
      <w:r>
        <w:rPr/>
        <w:t>程》和各委员会议事规则的规定履行职权，不受公司任何其他部门和个人的干预。</w:t>
      </w:r>
    </w:p>
    <w:p>
      <w:pPr>
        <w:pStyle w:val="Heading6"/>
        <w:spacing w:line="345" w:lineRule="exact"/>
        <w:ind w:left="575" w:right="0"/>
        <w:jc w:val="left"/>
        <w:rPr>
          <w:b w:val="0"/>
          <w:bCs w:val="0"/>
        </w:rPr>
      </w:pPr>
      <w:r>
        <w:rPr>
          <w:rFonts w:ascii="Times New Roman" w:hAnsi="Times New Roman" w:cs="Times New Roman" w:eastAsia="Times New Roman" w:hint="default"/>
        </w:rPr>
        <w:t>4</w:t>
      </w:r>
      <w:r>
        <w:rPr/>
        <w:t>、关于监事与监事会</w:t>
      </w:r>
      <w:r>
        <w:rPr>
          <w:b w:val="0"/>
          <w:bCs w:val="0"/>
        </w:rPr>
      </w:r>
    </w:p>
    <w:p>
      <w:pPr>
        <w:pStyle w:val="BodyText"/>
        <w:spacing w:line="400" w:lineRule="auto" w:before="169"/>
        <w:ind w:right="1125" w:firstLine="420"/>
        <w:jc w:val="both"/>
      </w:pPr>
      <w:r>
        <w:rPr>
          <w:spacing w:val="-2"/>
        </w:rPr>
        <w:t>报告期内，根据《公司章程》等相关制度规定，监事每届任期三年，监事任期届满，连选可连任。第</w:t>
      </w:r>
      <w:r>
        <w:rPr>
          <w:w w:val="100"/>
        </w:rPr>
        <w:t> </w:t>
      </w:r>
      <w:r>
        <w:rPr>
          <w:spacing w:val="-2"/>
        </w:rPr>
        <w:t>三届监事会于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日任期届满。经第三届监事会提名，第三届监事会第三十次会议、</w:t>
      </w:r>
      <w:r>
        <w:rPr>
          <w:rFonts w:ascii="Times New Roman" w:hAnsi="Times New Roman" w:cs="Times New Roman" w:eastAsia="Times New Roman" w:hint="default"/>
          <w:spacing w:val="-2"/>
        </w:rPr>
        <w:t>2018</w:t>
      </w:r>
      <w:r>
        <w:rPr>
          <w:spacing w:val="-2"/>
        </w:rPr>
        <w:t>年第一次</w:t>
      </w:r>
      <w:r>
        <w:rPr>
          <w:spacing w:val="-35"/>
        </w:rPr>
        <w:t> </w:t>
      </w:r>
      <w:r>
        <w:rPr>
          <w:spacing w:val="-35"/>
        </w:rPr>
      </w:r>
      <w:r>
        <w:rPr>
          <w:spacing w:val="-2"/>
        </w:rPr>
        <w:t>临时股东大会审议，选举出第四届监事会非职工代表监事，与公司职工代表大会选举产生的职工监事共同</w:t>
      </w:r>
      <w:r>
        <w:rPr>
          <w:spacing w:val="-43"/>
        </w:rPr>
        <w:t> </w:t>
      </w:r>
      <w:r>
        <w:rPr>
          <w:spacing w:val="-43"/>
        </w:rPr>
      </w:r>
      <w:r>
        <w:rPr/>
        <w:t>组成公司第四届监事会。</w:t>
      </w:r>
    </w:p>
    <w:p>
      <w:pPr>
        <w:pStyle w:val="BodyText"/>
        <w:spacing w:line="400" w:lineRule="auto" w:before="52"/>
        <w:ind w:right="0" w:firstLine="420"/>
        <w:jc w:val="left"/>
      </w:pPr>
      <w:r>
        <w:rPr>
          <w:spacing w:val="-2"/>
        </w:rPr>
        <w:t>公司第三届监事会设监事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名；第四届监事会设监事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rFonts w:ascii="Times New Roman" w:hAnsi="Times New Roman" w:cs="Times New Roman" w:eastAsia="Times New Roman" w:hint="default"/>
          <w:w w:val="100"/>
        </w:rPr>
        <w:t> </w:t>
      </w:r>
      <w:r>
        <w:rPr>
          <w:spacing w:val="-2"/>
        </w:rPr>
        <w:t>名。监事会的人数和构成符合法律、法规的要求。公司监事会成员都具有相关专业知识和工作经验，各位</w:t>
      </w:r>
      <w:r>
        <w:rPr>
          <w:spacing w:val="-47"/>
        </w:rPr>
        <w:t> </w:t>
      </w:r>
      <w:r>
        <w:rPr>
          <w:spacing w:val="-47"/>
        </w:rPr>
      </w:r>
      <w:r>
        <w:rPr>
          <w:spacing w:val="-5"/>
        </w:rPr>
        <w:t>监事能够按照《公司章程》、《监事会议事规则》等规定的要求，认真履行自己的职责，对公司重大事项、</w:t>
      </w:r>
      <w:r>
        <w:rPr>
          <w:spacing w:val="-9"/>
        </w:rPr>
        <w:t> </w:t>
      </w:r>
      <w:r>
        <w:rPr>
          <w:spacing w:val="-9"/>
        </w:rPr>
      </w:r>
      <w:r>
        <w:rPr/>
        <w:t>财务状况以及董事、高管人员履行职责的合法合规性进行监督。</w:t>
      </w:r>
    </w:p>
    <w:p>
      <w:pPr>
        <w:pStyle w:val="Heading6"/>
        <w:spacing w:line="351" w:lineRule="exact"/>
        <w:ind w:left="575" w:right="0"/>
        <w:jc w:val="left"/>
        <w:rPr>
          <w:b w:val="0"/>
          <w:bCs w:val="0"/>
        </w:rPr>
      </w:pPr>
      <w:r>
        <w:rPr>
          <w:rFonts w:ascii="Times New Roman" w:hAnsi="Times New Roman" w:cs="Times New Roman" w:eastAsia="Times New Roman" w:hint="default"/>
        </w:rPr>
        <w:t>5</w:t>
      </w:r>
      <w:r>
        <w:rPr/>
        <w:t>、关于绩效评价与激励约束机制</w:t>
      </w:r>
      <w:r>
        <w:rPr>
          <w:b w:val="0"/>
          <w:bCs w:val="0"/>
        </w:rPr>
      </w:r>
    </w:p>
    <w:p>
      <w:pPr>
        <w:pStyle w:val="BodyText"/>
        <w:spacing w:line="408" w:lineRule="auto" w:before="169"/>
        <w:ind w:right="1126" w:firstLine="420"/>
        <w:jc w:val="both"/>
      </w:pPr>
      <w:r>
        <w:rPr>
          <w:spacing w:val="-2"/>
        </w:rPr>
        <w:t>公司逐步完善公正、透明的高级管理人员的绩效考核标准和激励约束机制，高级管理人员的薪酬直接</w:t>
      </w:r>
      <w:r>
        <w:rPr>
          <w:w w:val="100"/>
        </w:rPr>
        <w:t> </w:t>
      </w:r>
      <w:r>
        <w:rPr>
          <w:spacing w:val="-2"/>
        </w:rPr>
        <w:t>与其业绩挂钩；高级管理人员的聘任公开、透明，符合法律、法规的规定。同时，为鼓励高级管理人员工</w:t>
      </w:r>
      <w:r>
        <w:rPr>
          <w:spacing w:val="-43"/>
        </w:rPr>
        <w:t> </w:t>
      </w:r>
      <w:r>
        <w:rPr>
          <w:spacing w:val="-43"/>
        </w:rPr>
      </w:r>
      <w:r>
        <w:rPr>
          <w:spacing w:val="-2"/>
        </w:rPr>
        <w:t>作方向与公司战略要求同步，公司还针对不同岗位制定了不同的绩效考核指标。公司严格按规定对高级管</w:t>
      </w:r>
      <w:r>
        <w:rPr>
          <w:spacing w:val="-44"/>
        </w:rPr>
        <w:t> </w:t>
      </w:r>
      <w:r>
        <w:rPr>
          <w:spacing w:val="-44"/>
        </w:rPr>
      </w:r>
      <w:r>
        <w:rPr>
          <w:spacing w:val="-2"/>
        </w:rPr>
        <w:t>理人员进行绩效评价与考核，在强化对高级管理人员的考评激励作用的同时，保证了公司近远期目标的达</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成。</w:t>
      </w:r>
    </w:p>
    <w:p>
      <w:pPr>
        <w:spacing w:line="350" w:lineRule="auto" w:before="126"/>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、关于信息披露与透明度</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公司高度重视信息披露与投资者关系管理工作，严格按照《上市公司信息披露管理办法》、深圳证券</w:t>
      </w:r>
    </w:p>
    <w:p>
      <w:pPr>
        <w:pStyle w:val="BodyText"/>
        <w:spacing w:line="408" w:lineRule="auto" w:before="96"/>
        <w:ind w:right="0"/>
        <w:jc w:val="left"/>
      </w:pPr>
      <w:r>
        <w:rPr>
          <w:spacing w:val="-2"/>
        </w:rPr>
        <w:t>交易所创业板上市公司的信息披露格式指引等规定以及公司制定的《信息披露制度》、《投资者关系管理</w:t>
      </w:r>
      <w:r>
        <w:rPr>
          <w:spacing w:val="-44"/>
        </w:rPr>
        <w:t> </w:t>
      </w:r>
      <w:r>
        <w:rPr>
          <w:spacing w:val="-44"/>
        </w:rPr>
      </w:r>
      <w:r>
        <w:rPr>
          <w:spacing w:val="-5"/>
        </w:rPr>
        <w:t>制度》、《投资者接待和推广制度》、《重大信息内部报告制度》等操作文件的要求，真实、准确、完整、</w:t>
      </w:r>
      <w:r>
        <w:rPr>
          <w:spacing w:val="-11"/>
        </w:rPr>
        <w:t> </w:t>
      </w:r>
      <w:r>
        <w:rPr>
          <w:spacing w:val="-11"/>
        </w:rPr>
      </w:r>
      <w:r>
        <w:rPr/>
        <w:t>及时地披露信息。</w:t>
      </w:r>
    </w:p>
    <w:p>
      <w:pPr>
        <w:pStyle w:val="BodyText"/>
        <w:spacing w:line="398" w:lineRule="auto"/>
        <w:ind w:right="0" w:firstLine="420"/>
        <w:jc w:val="left"/>
      </w:pPr>
      <w:r>
        <w:rPr/>
        <w:t>同时，明确董事长为公司信息披露第一责任人，董事会秘书为信息披露负责人，证券部负责信息披露</w:t>
      </w:r>
      <w:r>
        <w:rPr>
          <w:w w:val="100"/>
        </w:rPr>
        <w:t> </w:t>
      </w:r>
      <w:r>
        <w:rPr>
          <w:spacing w:val="-6"/>
        </w:rPr>
        <w:t>日常事务。公司指定《证券时报》、《证券日报》为信息披露报纸，巨潮资讯网（</w:t>
      </w:r>
      <w:hyperlink r:id="rId13">
        <w:r>
          <w:rPr>
            <w:rFonts w:ascii="Times New Roman" w:hAnsi="Times New Roman" w:cs="Times New Roman" w:eastAsia="Times New Roman" w:hint="default"/>
            <w:spacing w:val="-6"/>
          </w:rPr>
          <w:t>http://www.cninfo.com.cn</w:t>
        </w:r>
      </w:hyperlink>
      <w:r>
        <w:rPr>
          <w:spacing w:val="-6"/>
        </w:rPr>
        <w:t>）</w:t>
      </w:r>
      <w:r>
        <w:rPr>
          <w:spacing w:val="5"/>
        </w:rPr>
        <w:t> </w:t>
      </w:r>
      <w:r>
        <w:rPr/>
        <w:t>为信息披露网站。</w:t>
      </w:r>
    </w:p>
    <w:p>
      <w:pPr>
        <w:pStyle w:val="BodyText"/>
        <w:spacing w:line="408" w:lineRule="auto" w:before="54"/>
        <w:ind w:right="1126" w:firstLine="420"/>
        <w:jc w:val="both"/>
      </w:pPr>
      <w:r>
        <w:rPr>
          <w:spacing w:val="-2"/>
        </w:rPr>
        <w:t>公司上市以来，不断尝试更加有效、充分地开展投资者关系管理工作，指定专人负责与投资者进行沟</w:t>
      </w:r>
      <w:r>
        <w:rPr>
          <w:w w:val="100"/>
        </w:rPr>
        <w:t> </w:t>
      </w:r>
      <w:r>
        <w:rPr>
          <w:spacing w:val="-2"/>
        </w:rPr>
        <w:t>通和交流，设立了电话专线、专用邮箱等多种渠道，采取积极回复投资者咨询、接受投资者来访与调研等</w:t>
      </w:r>
      <w:r>
        <w:rPr>
          <w:spacing w:val="-50"/>
        </w:rPr>
        <w:t> </w:t>
      </w:r>
      <w:r>
        <w:rPr>
          <w:spacing w:val="-50"/>
        </w:rPr>
      </w:r>
      <w:r>
        <w:rPr>
          <w:spacing w:val="-2"/>
        </w:rPr>
        <w:t>多种形式。作为公众公司，在资本市场需要与投资者建立良性互动的关系，公司仍需要进一步加强投资者</w:t>
      </w:r>
      <w:r>
        <w:rPr>
          <w:spacing w:val="-44"/>
        </w:rPr>
        <w:t> </w:t>
      </w:r>
      <w:r>
        <w:rPr>
          <w:spacing w:val="-44"/>
        </w:rPr>
      </w:r>
      <w:r>
        <w:rPr/>
        <w:t>关系管理工作，以提高公司信息透明度，保障全体股东的合法权益。</w:t>
      </w:r>
    </w:p>
    <w:p>
      <w:pPr>
        <w:pStyle w:val="Heading6"/>
        <w:spacing w:line="345" w:lineRule="exact"/>
        <w:ind w:left="575" w:right="0"/>
        <w:jc w:val="left"/>
        <w:rPr>
          <w:b w:val="0"/>
          <w:bCs w:val="0"/>
        </w:rPr>
      </w:pPr>
      <w:r>
        <w:rPr>
          <w:rFonts w:ascii="Times New Roman" w:hAnsi="Times New Roman" w:cs="Times New Roman" w:eastAsia="Times New Roman" w:hint="default"/>
        </w:rPr>
        <w:t>7</w:t>
      </w:r>
      <w:r>
        <w:rPr/>
        <w:t>、关于相关利益者</w:t>
      </w:r>
      <w:r>
        <w:rPr>
          <w:b w:val="0"/>
          <w:bCs w:val="0"/>
        </w:rPr>
      </w:r>
    </w:p>
    <w:p>
      <w:pPr>
        <w:pStyle w:val="BodyText"/>
        <w:spacing w:line="408" w:lineRule="auto" w:before="169"/>
        <w:ind w:right="0" w:firstLine="420"/>
        <w:jc w:val="left"/>
      </w:pPr>
      <w:r>
        <w:rPr>
          <w:spacing w:val="-2"/>
        </w:rPr>
        <w:t>公司充分尊重和维护相关利益者的合法权益，重视公司的社会责任，积极与相关利益者合作，加强与</w:t>
      </w:r>
      <w:r>
        <w:rPr>
          <w:w w:val="100"/>
        </w:rPr>
        <w:t> </w:t>
      </w:r>
      <w:r>
        <w:rPr/>
        <w:t>各方的沟通和交流，实现股东、员工、社会等各方利益的协调平衡，共同推动公司持续、健康的发展。</w:t>
      </w:r>
    </w:p>
    <w:p>
      <w:pPr>
        <w:pStyle w:val="Heading6"/>
        <w:spacing w:line="345" w:lineRule="exact"/>
        <w:ind w:left="575" w:right="0"/>
        <w:jc w:val="left"/>
        <w:rPr>
          <w:b w:val="0"/>
          <w:bCs w:val="0"/>
        </w:rPr>
      </w:pPr>
      <w:r>
        <w:rPr>
          <w:rFonts w:ascii="Times New Roman" w:hAnsi="Times New Roman" w:cs="Times New Roman" w:eastAsia="Times New Roman" w:hint="default"/>
        </w:rPr>
        <w:t>8</w:t>
      </w:r>
      <w:r>
        <w:rPr/>
        <w:t>、投资者关系管理</w:t>
      </w:r>
      <w:r>
        <w:rPr>
          <w:b w:val="0"/>
          <w:bCs w:val="0"/>
        </w:rPr>
      </w:r>
    </w:p>
    <w:p>
      <w:pPr>
        <w:pStyle w:val="BodyText"/>
        <w:spacing w:line="408" w:lineRule="auto" w:before="169"/>
        <w:ind w:right="1126" w:firstLine="420"/>
        <w:jc w:val="both"/>
      </w:pPr>
      <w:r>
        <w:rPr>
          <w:spacing w:val="-2"/>
        </w:rPr>
        <w:t>投资者关系工作是一项长期、持续的重要工作，公司不断学习先进投资者关系管理经验，便于以更好</w:t>
      </w:r>
      <w:r>
        <w:rPr>
          <w:w w:val="100"/>
        </w:rPr>
        <w:t> </w:t>
      </w:r>
      <w:r>
        <w:rPr>
          <w:spacing w:val="-2"/>
        </w:rPr>
        <w:t>的方式和途径使广大投资者能够平等地获取公司经营管理、未来发展等信息，构建与投资者的良好互动关</w:t>
      </w:r>
      <w:r>
        <w:rPr>
          <w:spacing w:val="-43"/>
        </w:rPr>
        <w:t> </w:t>
      </w:r>
      <w:r>
        <w:rPr>
          <w:spacing w:val="-43"/>
        </w:rPr>
      </w:r>
      <w:r>
        <w:rPr>
          <w:spacing w:val="-2"/>
        </w:rPr>
        <w:t>系，树立公司在资本市场的规范形象。报告期内，公司严格执行《投资者关系管理制度》，认真做好投资</w:t>
      </w:r>
      <w:r>
        <w:rPr>
          <w:spacing w:val="-42"/>
        </w:rPr>
        <w:t> </w:t>
      </w:r>
      <w:r>
        <w:rPr>
          <w:spacing w:val="-42"/>
        </w:rPr>
      </w:r>
      <w:r>
        <w:rPr/>
        <w:t>者关系管理工作。</w:t>
      </w:r>
    </w:p>
    <w:p>
      <w:pPr>
        <w:pStyle w:val="BodyText"/>
        <w:spacing w:line="398" w:lineRule="auto"/>
        <w:ind w:right="0" w:firstLine="420"/>
        <w:jc w:val="left"/>
      </w:pPr>
      <w:r>
        <w:rPr/>
        <w:t>（</w:t>
      </w:r>
      <w:r>
        <w:rPr>
          <w:rFonts w:ascii="Times New Roman" w:hAnsi="Times New Roman" w:cs="Times New Roman" w:eastAsia="Times New Roman" w:hint="default"/>
        </w:rPr>
        <w:t>1</w:t>
      </w:r>
      <w:r>
        <w:rPr/>
        <w:t>）公司指定董事会秘书作为投资者关系管理的负责人，负责投资者来访接待工作，合理、妥善地</w:t>
      </w:r>
      <w:r>
        <w:rPr>
          <w:w w:val="100"/>
        </w:rPr>
        <w:t> </w:t>
      </w:r>
      <w:r>
        <w:rPr>
          <w:spacing w:val="-2"/>
        </w:rPr>
        <w:t>安排个人投资者、机构投资者、行业分析师等相关人员到公司进行调研，做好调研的会议记录和相关信息</w:t>
      </w:r>
      <w:r>
        <w:rPr>
          <w:spacing w:val="-45"/>
        </w:rPr>
        <w:t> </w:t>
      </w:r>
      <w:r>
        <w:rPr>
          <w:spacing w:val="-45"/>
        </w:rPr>
      </w:r>
      <w:r>
        <w:rPr/>
        <w:t>的保密工作，并对调研会议记录上传深交所报备，公司进行存档保管。</w:t>
      </w:r>
    </w:p>
    <w:p>
      <w:pPr>
        <w:pStyle w:val="BodyText"/>
        <w:spacing w:line="386" w:lineRule="auto" w:before="54"/>
        <w:ind w:right="0" w:firstLine="420"/>
        <w:jc w:val="left"/>
      </w:pPr>
      <w:r>
        <w:rPr>
          <w:spacing w:val="-2"/>
        </w:rPr>
        <w:t>（</w:t>
      </w:r>
      <w:r>
        <w:rPr>
          <w:rFonts w:ascii="Times New Roman" w:hAnsi="Times New Roman" w:cs="Times New Roman" w:eastAsia="Times New Roman" w:hint="default"/>
          <w:spacing w:val="-2"/>
        </w:rPr>
        <w:t>2</w:t>
      </w:r>
      <w:r>
        <w:rPr>
          <w:spacing w:val="-2"/>
        </w:rPr>
        <w:t>）通过公司网站、投资者关系管理电话、电子信箱、互动平台等多种渠道与投资者加强沟通，尽</w:t>
      </w:r>
      <w:r>
        <w:rPr>
          <w:w w:val="100"/>
        </w:rPr>
        <w:t> </w:t>
      </w:r>
      <w:r>
        <w:rPr/>
        <w:t>职解答投资者的疑问。</w:t>
      </w:r>
    </w:p>
    <w:p>
      <w:pPr>
        <w:pStyle w:val="BodyText"/>
        <w:spacing w:line="386" w:lineRule="auto" w:before="65"/>
        <w:ind w:left="573" w:right="0"/>
        <w:jc w:val="left"/>
      </w:pPr>
      <w:r>
        <w:rPr/>
        <w:t>（</w:t>
      </w:r>
      <w:r>
        <w:rPr>
          <w:rFonts w:ascii="Times New Roman" w:hAnsi="Times New Roman" w:cs="Times New Roman" w:eastAsia="Times New Roman" w:hint="default"/>
        </w:rPr>
        <w:t>3</w:t>
      </w:r>
      <w:r>
        <w:rPr/>
        <w:t>）报告期内公司治理专项活动开展情况</w:t>
      </w:r>
      <w:r>
        <w:rPr>
          <w:w w:val="100"/>
        </w:rPr>
        <w:t> </w:t>
      </w:r>
      <w:r>
        <w:rPr>
          <w:spacing w:val="-2"/>
        </w:rPr>
        <w:t>报告期内，公司证券事务部组织全体董事、监事、高级管理人员开展了《内幕交易防控》、《董监高</w:t>
      </w:r>
    </w:p>
    <w:p>
      <w:pPr>
        <w:pStyle w:val="BodyText"/>
        <w:spacing w:line="408" w:lineRule="auto" w:before="65"/>
        <w:ind w:right="0"/>
        <w:jc w:val="left"/>
      </w:pPr>
      <w:r>
        <w:rPr>
          <w:spacing w:val="-2"/>
        </w:rPr>
        <w:t>股票操作法律法规》、《董监高行为规范》等培训讲座，组织董监高等参加深圳上市公司信息披露、基础</w:t>
      </w:r>
      <w:r>
        <w:rPr>
          <w:spacing w:val="-45"/>
        </w:rPr>
        <w:t> </w:t>
      </w:r>
      <w:r>
        <w:rPr>
          <w:spacing w:val="-45"/>
        </w:rPr>
      </w:r>
      <w:r>
        <w:rPr>
          <w:spacing w:val="-2"/>
        </w:rPr>
        <w:t>法律法规培训及财务会计基础工作专项会议，强化法制意识，加强了公司全体董监高及财务人员的内幕交</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0" w:hanging="420"/>
        <w:jc w:val="left"/>
      </w:pPr>
      <w:r>
        <w:rPr/>
        <w:t>易防控意识。通过培训学习，吸收消化典型案例，为公司规范运作打下良好的基础。</w:t>
      </w:r>
      <w:r>
        <w:rPr>
          <w:w w:val="100"/>
        </w:rPr>
        <w:t> </w:t>
      </w:r>
      <w:r>
        <w:rPr>
          <w:spacing w:val="-2"/>
        </w:rPr>
        <w:t>截至本报告期末，公司依法运作，能够切实履行应尽的职责和义务，公司治理的实际状况符合中国证</w:t>
      </w:r>
    </w:p>
    <w:p>
      <w:pPr>
        <w:pStyle w:val="BodyText"/>
        <w:spacing w:line="408" w:lineRule="auto"/>
        <w:ind w:right="1126"/>
        <w:jc w:val="both"/>
      </w:pPr>
      <w:r>
        <w:rPr>
          <w:spacing w:val="-2"/>
        </w:rPr>
        <w:t>监会《上市公司治理准则》和深圳证券交易所《创业板上市公司规范运作指引》的要求，不存在尚未解决</w:t>
      </w:r>
      <w:r>
        <w:rPr>
          <w:spacing w:val="-43"/>
        </w:rPr>
        <w:t> </w:t>
      </w:r>
      <w:r>
        <w:rPr>
          <w:spacing w:val="-43"/>
        </w:rPr>
      </w:r>
      <w:r>
        <w:rPr>
          <w:spacing w:val="-2"/>
        </w:rPr>
        <w:t>的公司治理问题。不存在因部分改制、行业特性、国家政策或收购兼并等原因导致的同业竞争和关联交易</w:t>
      </w:r>
      <w:r>
        <w:rPr>
          <w:spacing w:val="-43"/>
        </w:rPr>
        <w:t> </w:t>
      </w:r>
      <w:r>
        <w:rPr>
          <w:spacing w:val="-43"/>
        </w:rPr>
      </w:r>
      <w:r>
        <w:rPr/>
        <w:t>问题。</w:t>
      </w:r>
    </w:p>
    <w:p>
      <w:pPr>
        <w:spacing w:before="28"/>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1104" w:firstLine="420"/>
        <w:jc w:val="both"/>
      </w:pPr>
      <w:r>
        <w:rPr>
          <w:spacing w:val="-2"/>
        </w:rPr>
        <w:t>公司自成立以来严格按照《公司法》、《证券法》等相关法律法规和《公司章程》的要求规范运作，</w:t>
      </w:r>
      <w:r>
        <w:rPr>
          <w:w w:val="100"/>
        </w:rPr>
        <w:t> </w:t>
      </w:r>
      <w:r>
        <w:rPr>
          <w:spacing w:val="-2"/>
        </w:rPr>
        <w:t>在业务、资产、人员、机构和财务等方面与公司股东相互独立，保证了公司人员独立、资产完整、财务独</w:t>
      </w:r>
      <w:r>
        <w:rPr>
          <w:spacing w:val="-41"/>
        </w:rPr>
        <w:t> </w:t>
      </w:r>
      <w:r>
        <w:rPr>
          <w:spacing w:val="-41"/>
        </w:rPr>
      </w:r>
      <w:r>
        <w:rPr/>
        <w:t>立、机构独立运作和业务独立完整，具备面向市场自主经营的能力。</w:t>
      </w:r>
    </w:p>
    <w:p>
      <w:pPr>
        <w:pStyle w:val="BodyText"/>
        <w:spacing w:line="400" w:lineRule="auto"/>
        <w:ind w:right="1125" w:firstLine="420"/>
        <w:jc w:val="both"/>
      </w:pPr>
      <w:r>
        <w:rPr>
          <w:rFonts w:ascii="Times New Roman" w:hAnsi="Times New Roman" w:cs="Times New Roman" w:eastAsia="Times New Roman" w:hint="default"/>
        </w:rPr>
        <w:t>1</w:t>
      </w:r>
      <w:r>
        <w:rPr/>
        <w:t>、人员独立：公司的董事、监事均严格按照《公司法》、《公司章程》的有关规定选举，</w:t>
      </w:r>
      <w:r>
        <w:rPr>
          <w:spacing w:val="-26"/>
        </w:rPr>
        <w:t> </w:t>
      </w:r>
      <w:r>
        <w:rPr/>
        <w:t>履行了合</w:t>
      </w:r>
      <w:r>
        <w:rPr>
          <w:w w:val="100"/>
        </w:rPr>
        <w:t> </w:t>
      </w:r>
      <w:r>
        <w:rPr>
          <w:spacing w:val="-2"/>
        </w:rPr>
        <w:t>法程序；公司的人事及工资管理与股东完全分开，总经理、副总经理、董事会秘书、财务负责人等高级管</w:t>
      </w:r>
      <w:r>
        <w:rPr>
          <w:spacing w:val="-43"/>
        </w:rPr>
        <w:t> </w:t>
      </w:r>
      <w:r>
        <w:rPr>
          <w:spacing w:val="-43"/>
        </w:rPr>
      </w:r>
      <w:r>
        <w:rPr>
          <w:spacing w:val="-2"/>
        </w:rPr>
        <w:t>理人员均未在股东单位兼职或领取薪酬；公司在员工管理、社会保障、工资报酬等方面独立于股东和其他</w:t>
      </w:r>
      <w:r>
        <w:rPr>
          <w:spacing w:val="-44"/>
        </w:rPr>
        <w:t> </w:t>
      </w:r>
      <w:r>
        <w:rPr>
          <w:spacing w:val="-44"/>
        </w:rPr>
      </w:r>
      <w:r>
        <w:rPr/>
        <w:t>关联方。</w:t>
      </w:r>
    </w:p>
    <w:p>
      <w:pPr>
        <w:pStyle w:val="BodyText"/>
        <w:spacing w:line="384" w:lineRule="auto" w:before="52"/>
        <w:ind w:right="1210" w:firstLine="420"/>
        <w:jc w:val="both"/>
      </w:pPr>
      <w:r>
        <w:rPr>
          <w:rFonts w:ascii="Times New Roman" w:hAnsi="Times New Roman" w:cs="Times New Roman" w:eastAsia="Times New Roman" w:hint="default"/>
          <w:spacing w:val="-2"/>
        </w:rPr>
        <w:t>2</w:t>
      </w:r>
      <w:r>
        <w:rPr>
          <w:spacing w:val="-2"/>
        </w:rPr>
        <w:t>、资产独立：公司拥有独立、完整的生产经营场所及商标，不存在资产资金被股东占用而损害公司</w:t>
      </w:r>
      <w:r>
        <w:rPr>
          <w:w w:val="100"/>
        </w:rPr>
        <w:t> </w:t>
      </w:r>
      <w:r>
        <w:rPr/>
        <w:t>利益的情况。</w:t>
      </w:r>
    </w:p>
    <w:p>
      <w:pPr>
        <w:pStyle w:val="BodyText"/>
        <w:spacing w:line="386" w:lineRule="auto" w:before="67"/>
        <w:ind w:right="1210" w:firstLine="420"/>
        <w:jc w:val="both"/>
      </w:pPr>
      <w:r>
        <w:rPr>
          <w:rFonts w:ascii="Times New Roman" w:hAnsi="Times New Roman" w:cs="Times New Roman" w:eastAsia="Times New Roman" w:hint="default"/>
          <w:spacing w:val="-2"/>
        </w:rPr>
        <w:t>3</w:t>
      </w:r>
      <w:r>
        <w:rPr>
          <w:spacing w:val="-2"/>
        </w:rPr>
        <w:t>、财务独立：公司设有独立的财务会计部门，配备了专门的财务人员，建立了符合有关会计制度要</w:t>
      </w:r>
      <w:r>
        <w:rPr>
          <w:w w:val="100"/>
        </w:rPr>
        <w:t> </w:t>
      </w:r>
      <w:r>
        <w:rPr/>
        <w:t>求、独立的会计核算体系和财务管理制度。</w:t>
      </w:r>
    </w:p>
    <w:p>
      <w:pPr>
        <w:pStyle w:val="BodyText"/>
        <w:spacing w:line="398" w:lineRule="auto" w:before="65"/>
        <w:ind w:right="0" w:firstLine="420"/>
        <w:jc w:val="left"/>
      </w:pPr>
      <w:r>
        <w:rPr>
          <w:rFonts w:ascii="Times New Roman" w:hAnsi="Times New Roman" w:cs="Times New Roman" w:eastAsia="Times New Roman" w:hint="default"/>
        </w:rPr>
        <w:t>4</w:t>
      </w:r>
      <w:r>
        <w:rPr/>
        <w:t>、机构独立：公司健全了股东大会、董事会、监事会等法人治理机构，各组织机构依法行使各自的</w:t>
      </w:r>
      <w:r>
        <w:rPr>
          <w:w w:val="100"/>
        </w:rPr>
        <w:t> </w:t>
      </w:r>
      <w:r>
        <w:rPr>
          <w:spacing w:val="-2"/>
        </w:rPr>
        <w:t>职权；公司建立了独立的、适应自身发展需要的组织机构，制订了完善的岗位职责和管理制度，各部门按</w:t>
      </w:r>
      <w:r>
        <w:rPr>
          <w:spacing w:val="-50"/>
        </w:rPr>
        <w:t> </w:t>
      </w:r>
      <w:r>
        <w:rPr>
          <w:spacing w:val="-50"/>
        </w:rPr>
      </w:r>
      <w:r>
        <w:rPr/>
        <w:t>照规定的职责独立运作。</w:t>
      </w:r>
    </w:p>
    <w:p>
      <w:pPr>
        <w:pStyle w:val="BodyText"/>
        <w:spacing w:line="398" w:lineRule="auto" w:before="55"/>
        <w:ind w:right="1126" w:firstLine="420"/>
        <w:jc w:val="both"/>
      </w:pPr>
      <w:r>
        <w:rPr>
          <w:rFonts w:ascii="Times New Roman" w:hAnsi="Times New Roman" w:cs="Times New Roman" w:eastAsia="Times New Roman" w:hint="default"/>
        </w:rPr>
        <w:t>5</w:t>
      </w:r>
      <w:r>
        <w:rPr/>
        <w:t>、业务独立：公司已经建立了符合现代企业制度要求的法人治理结构和内部组织结构，</w:t>
      </w:r>
      <w:r>
        <w:rPr>
          <w:spacing w:val="-26"/>
        </w:rPr>
        <w:t> </w:t>
      </w:r>
      <w:r>
        <w:rPr/>
        <w:t>在经营管理</w:t>
      </w:r>
      <w:r>
        <w:rPr>
          <w:w w:val="100"/>
        </w:rPr>
        <w:t> </w:t>
      </w:r>
      <w:r>
        <w:rPr>
          <w:spacing w:val="-2"/>
        </w:rPr>
        <w:t>上独立运作。公司独立对外签订合同，开展业务，形成了独立完整的业务体系，具备面向市场自主经营的</w:t>
      </w:r>
      <w:r>
        <w:rPr>
          <w:spacing w:val="-47"/>
        </w:rPr>
        <w:t> </w:t>
      </w:r>
      <w:r>
        <w:rPr>
          <w:spacing w:val="-47"/>
        </w:rPr>
      </w:r>
      <w:r>
        <w:rPr/>
        <w:t>能力。</w:t>
      </w:r>
    </w:p>
    <w:p>
      <w:pPr>
        <w:pStyle w:val="Heading3"/>
        <w:spacing w:line="240" w:lineRule="auto" w:before="176"/>
        <w:ind w:right="0"/>
        <w:jc w:val="both"/>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四、报告期内召开的年度股东大会和临时股东大会的有关情况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269"/>
        <w:gridCol w:w="1277"/>
        <w:gridCol w:w="1133"/>
        <w:gridCol w:w="1702"/>
        <w:gridCol w:w="1594"/>
        <w:gridCol w:w="1594"/>
      </w:tblGrid>
      <w:tr>
        <w:trPr>
          <w:trHeight w:val="715"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08"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 议公告</w:t>
            </w:r>
            <w:r>
              <w:rPr>
                <w:rFonts w:ascii="宋体" w:hAnsi="宋体" w:cs="宋体" w:eastAsia="宋体" w:hint="default"/>
                <w:spacing w:val="2"/>
                <w:sz w:val="18"/>
                <w:szCs w:val="18"/>
              </w:rPr>
              <w:t> </w:t>
            </w:r>
            <w:r>
              <w:rPr>
                <w:rFonts w:ascii="宋体" w:hAnsi="宋体" w:cs="宋体" w:eastAsia="宋体" w:hint="default"/>
                <w:spacing w:val="-19"/>
                <w:sz w:val="18"/>
                <w:szCs w:val="18"/>
              </w:rPr>
              <w:t>》（公告编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2018-034</w:t>
            </w:r>
            <w:r>
              <w:rPr>
                <w:rFonts w:ascii="宋体" w:hAnsi="宋体" w:cs="宋体" w:eastAsia="宋体" w:hint="default"/>
                <w:sz w:val="18"/>
                <w:szCs w:val="18"/>
              </w:rPr>
              <w:t>）</w:t>
            </w:r>
          </w:p>
        </w:tc>
      </w:tr>
      <w:tr>
        <w:trPr>
          <w:trHeight w:val="134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大会决议公告</w:t>
            </w:r>
            <w:r>
              <w:rPr>
                <w:rFonts w:ascii="宋体" w:hAnsi="宋体" w:cs="宋体" w:eastAsia="宋体" w:hint="default"/>
                <w:spacing w:val="1"/>
                <w:sz w:val="18"/>
                <w:szCs w:val="18"/>
              </w:rPr>
              <w:t> </w:t>
            </w:r>
            <w:r>
              <w:rPr>
                <w:rFonts w:ascii="宋体" w:hAnsi="宋体" w:cs="宋体" w:eastAsia="宋体" w:hint="default"/>
                <w:spacing w:val="-58"/>
                <w:sz w:val="18"/>
                <w:szCs w:val="18"/>
              </w:rPr>
              <w:t>》（公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2018-054</w:t>
            </w:r>
            <w:r>
              <w:rPr>
                <w:rFonts w:ascii="宋体" w:hAnsi="宋体" w:cs="宋体" w:eastAsia="宋体" w:hint="default"/>
                <w:sz w:val="18"/>
                <w:szCs w:val="18"/>
              </w:rPr>
              <w:t>）</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许鲁光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360" w:lineRule="auto" w:before="49"/>
        <w:ind w:left="153" w:right="805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8"/>
        <w:ind w:right="1126" w:firstLine="420"/>
        <w:jc w:val="both"/>
      </w:pPr>
      <w:r>
        <w:rPr>
          <w:spacing w:val="-3"/>
        </w:rPr>
        <w:t>报告期内，公司独立董事积极出席相关会议，认真审阅各项议案，客观地发表自己的看法和观点，了</w:t>
      </w:r>
      <w:r>
        <w:rPr>
          <w:w w:val="100"/>
        </w:rPr>
        <w:t> </w:t>
      </w:r>
      <w:r>
        <w:rPr>
          <w:spacing w:val="-2"/>
        </w:rPr>
        <w:t>解公司运营、经营状况、内部控制建设以及董事会决议和股东会决议的执行情况，并利用自己的专业知识</w:t>
      </w:r>
      <w:r>
        <w:rPr>
          <w:spacing w:val="-43"/>
        </w:rPr>
        <w:t> </w:t>
      </w:r>
      <w:r>
        <w:rPr>
          <w:spacing w:val="-43"/>
        </w:rPr>
      </w:r>
      <w:r>
        <w:rPr>
          <w:spacing w:val="-2"/>
        </w:rPr>
        <w:t>对公司的内部管理积极提出建议，包括：加强公司内部管理制度、加强业务流程管理、加强现金流量和应</w:t>
      </w:r>
      <w:r>
        <w:rPr>
          <w:spacing w:val="-47"/>
        </w:rPr>
        <w:t> </w:t>
      </w:r>
      <w:r>
        <w:rPr>
          <w:spacing w:val="-47"/>
        </w:rPr>
      </w:r>
      <w:r>
        <w:rPr>
          <w:spacing w:val="-2"/>
        </w:rPr>
        <w:t>收款项管理、对外投资、关联交易、募集资金的使用管理等等，公司认真采纳独立董事的建议，不断完善</w:t>
      </w:r>
      <w:r>
        <w:rPr>
          <w:spacing w:val="-43"/>
        </w:rPr>
        <w:t> </w:t>
      </w:r>
      <w:r>
        <w:rPr>
          <w:spacing w:val="-43"/>
        </w:rPr>
      </w:r>
      <w:r>
        <w:rPr/>
        <w:t>和提高公司的管理水平。</w:t>
      </w:r>
    </w:p>
    <w:p>
      <w:pPr>
        <w:pStyle w:val="Heading3"/>
        <w:spacing w:line="240" w:lineRule="auto" w:before="167"/>
        <w:ind w:right="0"/>
        <w:jc w:val="left"/>
        <w:rPr>
          <w:b w:val="0"/>
          <w:bCs w:val="0"/>
        </w:rPr>
      </w:pPr>
      <w:r>
        <w:rPr/>
        <w:t>六、董事会下设专门委员会在报告期内履行职责情况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386" w:lineRule="auto" w:before="0"/>
        <w:ind w:left="573" w:right="0"/>
        <w:jc w:val="left"/>
      </w:pPr>
      <w:r>
        <w:rPr>
          <w:rFonts w:ascii="Times New Roman" w:hAnsi="Times New Roman" w:cs="Times New Roman" w:eastAsia="Times New Roman" w:hint="default"/>
        </w:rPr>
        <w:t>1</w:t>
      </w:r>
      <w:r>
        <w:rPr/>
        <w:t>、审计委员会的履职情况</w:t>
      </w:r>
      <w:r>
        <w:rPr>
          <w:w w:val="100"/>
        </w:rPr>
        <w:t> </w:t>
      </w:r>
      <w:r>
        <w:rPr>
          <w:spacing w:val="-2"/>
        </w:rPr>
        <w:t>根据公司《董事会审计委员会工作细则》，审计委员会充分发挥了审核与监督作用，主要负责公司财</w:t>
      </w:r>
    </w:p>
    <w:p>
      <w:pPr>
        <w:pStyle w:val="BodyText"/>
        <w:spacing w:line="391" w:lineRule="auto" w:before="65"/>
        <w:ind w:right="1106"/>
        <w:jc w:val="both"/>
      </w:pPr>
      <w:r>
        <w:rPr>
          <w:spacing w:val="-2"/>
        </w:rPr>
        <w:t>务监督和核查工作及与外部审计机构的沟通、协调工作。审计委员会对公司</w:t>
      </w:r>
      <w:r>
        <w:rPr>
          <w:rFonts w:ascii="Times New Roman" w:hAnsi="Times New Roman" w:cs="Times New Roman" w:eastAsia="Times New Roman" w:hint="default"/>
          <w:spacing w:val="-2"/>
        </w:rPr>
        <w:t>2018</w:t>
      </w:r>
      <w:r>
        <w:rPr>
          <w:spacing w:val="-2"/>
        </w:rPr>
        <w:t>年内控情况进行了核查，</w:t>
      </w:r>
      <w:r>
        <w:rPr>
          <w:spacing w:val="-20"/>
        </w:rPr>
        <w:t> </w:t>
      </w:r>
      <w:r>
        <w:rPr>
          <w:spacing w:val="-20"/>
        </w:rPr>
      </w:r>
      <w:r>
        <w:rPr>
          <w:spacing w:val="-2"/>
        </w:rPr>
        <w:t>认为公司已经建立的内控制度体系符合相关法规的规定，并能有效控制相关风险。</w:t>
      </w:r>
      <w:r>
        <w:rPr>
          <w:rFonts w:ascii="Times New Roman" w:hAnsi="Times New Roman" w:cs="Times New Roman" w:eastAsia="Times New Roman" w:hint="default"/>
          <w:spacing w:val="-2"/>
        </w:rPr>
        <w:t>2018</w:t>
      </w:r>
      <w:r>
        <w:rPr>
          <w:spacing w:val="-2"/>
        </w:rPr>
        <w:t>年，审计委员会重</w:t>
      </w:r>
      <w:r>
        <w:rPr>
          <w:spacing w:val="-41"/>
        </w:rPr>
        <w:t> </w:t>
      </w:r>
      <w:r>
        <w:rPr>
          <w:spacing w:val="-41"/>
        </w:rPr>
      </w:r>
      <w:r>
        <w:rPr>
          <w:spacing w:val="-2"/>
        </w:rPr>
        <w:t>点对公司定期财务报告、生产经营控制、募集资金使用情况、控股股东及关联方资金占用、聘任</w:t>
      </w:r>
      <w:r>
        <w:rPr>
          <w:rFonts w:ascii="Times New Roman" w:hAnsi="Times New Roman" w:cs="Times New Roman" w:eastAsia="Times New Roman" w:hint="default"/>
          <w:spacing w:val="-2"/>
        </w:rPr>
        <w:t>2018</w:t>
      </w:r>
      <w:r>
        <w:rPr>
          <w:spacing w:val="-2"/>
        </w:rPr>
        <w:t>年度</w:t>
      </w:r>
      <w:r>
        <w:rPr>
          <w:spacing w:val="-46"/>
        </w:rPr>
        <w:t> </w:t>
      </w:r>
      <w:r>
        <w:rPr>
          <w:spacing w:val="-2"/>
        </w:rPr>
        <w:t>会计师事务所等事项进行审议。审计委员会就会计师事务所从事公司年度审计的工作进行了总结评价，提</w:t>
      </w:r>
      <w:r>
        <w:rPr>
          <w:spacing w:val="-43"/>
        </w:rPr>
        <w:t> </w:t>
      </w:r>
      <w:r>
        <w:rPr>
          <w:spacing w:val="-43"/>
        </w:rPr>
      </w:r>
      <w:r>
        <w:rPr/>
        <w:t>出续聘会计事务所的建议。</w:t>
      </w:r>
    </w:p>
    <w:p>
      <w:pPr>
        <w:pStyle w:val="BodyText"/>
        <w:spacing w:line="386" w:lineRule="auto" w:before="61"/>
        <w:ind w:left="573" w:right="0"/>
        <w:jc w:val="left"/>
      </w:pPr>
      <w:r>
        <w:rPr>
          <w:rFonts w:ascii="Times New Roman" w:hAnsi="Times New Roman" w:cs="Times New Roman" w:eastAsia="Times New Roman" w:hint="default"/>
        </w:rPr>
        <w:t>2</w:t>
      </w:r>
      <w:r>
        <w:rPr/>
        <w:t>、薪酬与考核委员会的履职情况</w:t>
      </w:r>
      <w:r>
        <w:rPr>
          <w:w w:val="100"/>
        </w:rPr>
        <w:t> </w:t>
      </w:r>
      <w:r>
        <w:rPr>
          <w:spacing w:val="-2"/>
        </w:rPr>
        <w:t>报告期内，公司董事会薪酬与考核委员会依照相关法规以及《公司章程》、《董事会薪酬与考核委员</w:t>
      </w:r>
    </w:p>
    <w:p>
      <w:pPr>
        <w:pStyle w:val="BodyText"/>
        <w:spacing w:line="386" w:lineRule="auto" w:before="65"/>
        <w:ind w:left="573" w:right="0" w:hanging="420"/>
        <w:jc w:val="left"/>
      </w:pPr>
      <w:r>
        <w:rPr/>
        <w:t>会工作细则》的规定勤勉履行职责，对</w:t>
      </w:r>
      <w:r>
        <w:rPr>
          <w:rFonts w:ascii="Times New Roman" w:hAnsi="Times New Roman" w:cs="Times New Roman" w:eastAsia="Times New Roman" w:hint="default"/>
        </w:rPr>
        <w:t>2018</w:t>
      </w:r>
      <w:r>
        <w:rPr/>
        <w:t>年度董事和高级管理人员薪酬情况等事项进行审核。</w:t>
      </w:r>
      <w:r>
        <w:rPr>
          <w:w w:val="100"/>
        </w:rPr>
        <w:t> </w:t>
      </w:r>
      <w:r>
        <w:rPr>
          <w:rFonts w:ascii="Times New Roman" w:hAnsi="Times New Roman" w:cs="Times New Roman" w:eastAsia="Times New Roman" w:hint="default"/>
        </w:rPr>
        <w:t>3</w:t>
      </w:r>
      <w:r>
        <w:rPr/>
        <w:t>、提名委员会的履职情况</w:t>
      </w:r>
      <w:r>
        <w:rPr>
          <w:w w:val="100"/>
        </w:rPr>
        <w:t> </w:t>
      </w:r>
      <w:r>
        <w:rPr>
          <w:spacing w:val="-3"/>
        </w:rPr>
        <w:t>报告期内，因第三届董事会董事、高级管理人员任期届满，董事会提名委员会依照相关法规以及《公</w:t>
      </w:r>
    </w:p>
    <w:p>
      <w:pPr>
        <w:pStyle w:val="BodyText"/>
        <w:spacing w:line="408" w:lineRule="auto" w:before="65"/>
        <w:ind w:right="0"/>
        <w:jc w:val="left"/>
      </w:pPr>
      <w:r>
        <w:rPr>
          <w:spacing w:val="-2"/>
        </w:rPr>
        <w:t>司章程》、《董事会提名委员会工作细则》的规定勤勉履行职责，分别召开了提名委员会审核第四届拟任</w:t>
      </w:r>
      <w:r>
        <w:rPr>
          <w:spacing w:val="-43"/>
        </w:rPr>
        <w:t> </w:t>
      </w:r>
      <w:r>
        <w:rPr>
          <w:spacing w:val="-43"/>
        </w:rPr>
      </w:r>
      <w:r>
        <w:rPr/>
        <w:t>董事任职资格及新一届高级管理人员名单。</w:t>
      </w:r>
    </w:p>
    <w:p>
      <w:pPr>
        <w:pStyle w:val="Heading3"/>
        <w:spacing w:line="240" w:lineRule="auto" w:before="167"/>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2"/>
        <w:rPr>
          <w:rFonts w:ascii="宋体" w:hAnsi="宋体" w:cs="宋体" w:eastAsia="宋体" w:hint="default"/>
          <w:sz w:val="19"/>
          <w:szCs w:val="19"/>
        </w:rPr>
      </w:pPr>
      <w:r>
        <w:rPr/>
        <w:pict>
          <v:shape style="position:absolute;margin-left:250.727005pt;margin-top:486.189972pt;width:284.25pt;height:97.7pt;mso-position-horizontal-relative:page;mso-position-vertical-relative:page;z-index:-828808" type="#_x0000_t202" filled="false" stroked="false">
            <v:textbox inset="0,0,0,0">
              <w:txbxContent>
                <w:p>
                  <w:pPr>
                    <w:spacing w:line="240" w:lineRule="auto" w:before="16"/>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（指一个或多个控制缺陷的组合，</w:t>
                  </w:r>
                </w:p>
              </w:txbxContent>
            </v:textbox>
            <w10:wrap type="none"/>
          </v:shape>
        </w:pict>
      </w:r>
    </w:p>
    <w:p>
      <w:pPr>
        <w:pStyle w:val="Heading3"/>
        <w:spacing w:line="367" w:lineRule="exact"/>
        <w:ind w:right="0"/>
        <w:jc w:val="left"/>
        <w:rPr>
          <w:b w:val="0"/>
          <w:bCs w:val="0"/>
        </w:rPr>
      </w:pPr>
      <w:r>
        <w:rPr/>
        <w:t>八、高级管理人员的考评及激励情况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1104" w:firstLine="420"/>
        <w:jc w:val="both"/>
      </w:pPr>
      <w:r>
        <w:rPr>
          <w:spacing w:val="-2"/>
        </w:rPr>
        <w:t>为切实达成公司的中长期战略目标，公司对高级管理建立以绩效目标考核为主的激励和约束机制，制</w:t>
      </w:r>
      <w:r>
        <w:rPr>
          <w:w w:val="100"/>
        </w:rPr>
        <w:t> </w:t>
      </w:r>
      <w:r>
        <w:rPr/>
        <w:t>定《方直科技高级管理人员薪酬方案》 ，通过绩效考核的方式激励高级管理人员达成考核目标。</w:t>
      </w:r>
      <w:r>
        <w:rPr>
          <w:spacing w:val="-24"/>
        </w:rPr>
        <w:t> </w:t>
      </w:r>
      <w:r>
        <w:rPr>
          <w:spacing w:val="-3"/>
        </w:rPr>
        <w:t>自激励</w:t>
      </w:r>
      <w:r>
        <w:rPr>
          <w:spacing w:val="-3"/>
          <w:w w:val="100"/>
        </w:rPr>
        <w:t> </w:t>
      </w:r>
      <w:r>
        <w:rPr>
          <w:spacing w:val="-2"/>
        </w:rPr>
        <w:t>机制建立以来，公司每年依据年度经营目标层层分解，对每位高级管理人员制定绩效考核指标，并进行过</w:t>
      </w:r>
      <w:r>
        <w:rPr>
          <w:spacing w:val="-43"/>
        </w:rPr>
        <w:t> </w:t>
      </w:r>
      <w:r>
        <w:rPr>
          <w:spacing w:val="-43"/>
        </w:rPr>
      </w:r>
      <w:r>
        <w:rPr>
          <w:spacing w:val="-2"/>
        </w:rPr>
        <w:t>程监督、调控、促进公司目标达成。</w:t>
      </w:r>
      <w:r>
        <w:rPr>
          <w:rFonts w:ascii="Times New Roman" w:hAnsi="Times New Roman" w:cs="Times New Roman" w:eastAsia="Times New Roman" w:hint="default"/>
          <w:spacing w:val="-2"/>
        </w:rPr>
        <w:t>2018</w:t>
      </w:r>
      <w:r>
        <w:rPr>
          <w:spacing w:val="-2"/>
        </w:rPr>
        <w:t>年度公司高级管理人员薪酬方案严格执行了公司崭融管理制度。</w:t>
      </w:r>
    </w:p>
    <w:p>
      <w:pPr>
        <w:pStyle w:val="Heading3"/>
        <w:spacing w:line="240" w:lineRule="auto" w:before="136"/>
        <w:ind w:right="0"/>
        <w:jc w:val="left"/>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8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9" w:right="39"/>
              <w:jc w:val="left"/>
              <w:rPr>
                <w:rFonts w:ascii="宋体" w:hAnsi="宋体" w:cs="宋体" w:eastAsia="宋体" w:hint="default"/>
                <w:sz w:val="18"/>
                <w:szCs w:val="18"/>
              </w:rPr>
            </w:pPr>
            <w:r>
              <w:rPr>
                <w:rFonts w:ascii="宋体" w:hAnsi="宋体" w:cs="宋体" w:eastAsia="宋体" w:hint="default"/>
                <w:sz w:val="18"/>
                <w:szCs w:val="18"/>
              </w:rPr>
              <w:t>重大缺陷 可能导致企业严重偏离控制目标）重要缺 陷（指一个或多个控制缺陷的组合，其严 重程度和经济后果低于重大缺陷但仍有可 </w:t>
            </w:r>
            <w:r>
              <w:rPr>
                <w:rFonts w:ascii="宋体" w:hAnsi="宋体" w:cs="宋体" w:eastAsia="宋体" w:hint="default"/>
                <w:spacing w:val="-8"/>
                <w:sz w:val="18"/>
                <w:szCs w:val="18"/>
              </w:rPr>
              <w:t>能导致企业偏离控制目标。）</w:t>
            </w:r>
          </w:p>
        </w:tc>
        <w:tc>
          <w:tcPr>
            <w:tcW w:w="3054" w:type="dxa"/>
            <w:vMerge w:val="restart"/>
            <w:tcBorders>
              <w:top w:val="single" w:sz="4" w:space="0" w:color="000000"/>
              <w:left w:val="single" w:sz="10" w:space="0" w:color="FFFFFF"/>
              <w:right w:val="single" w:sz="10" w:space="0" w:color="FFFFFF"/>
            </w:tcBorders>
          </w:tcPr>
          <w:p>
            <w:pPr>
              <w:pStyle w:val="TableParagraph"/>
              <w:spacing w:line="316" w:lineRule="auto" w:before="51"/>
              <w:ind w:left="19" w:right="-50"/>
              <w:jc w:val="left"/>
              <w:rPr>
                <w:rFonts w:ascii="宋体" w:hAnsi="宋体" w:cs="宋体" w:eastAsia="宋体" w:hint="default"/>
                <w:sz w:val="18"/>
                <w:szCs w:val="18"/>
              </w:rPr>
            </w:pPr>
            <w:r>
              <w:rPr>
                <w:rFonts w:ascii="宋体" w:hAnsi="宋体" w:cs="宋体" w:eastAsia="宋体" w:hint="default"/>
                <w:spacing w:val="-4"/>
                <w:sz w:val="18"/>
                <w:szCs w:val="18"/>
              </w:rPr>
              <w:t>重大缺陷（指一个或多个控制缺陷的组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合，可能导致企业严重偏离控制目标） </w:t>
            </w:r>
            <w:r>
              <w:rPr>
                <w:rFonts w:ascii="宋体" w:hAnsi="宋体" w:cs="宋体" w:eastAsia="宋体" w:hint="default"/>
                <w:spacing w:val="-4"/>
                <w:sz w:val="18"/>
                <w:szCs w:val="18"/>
              </w:rPr>
              <w:t>重要缺陷（指一个或多个控制缺陷的组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合，其严重程度和经济后果低于重大缺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陷，但是仍有可能导致企业偏离控制目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标。）</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4" w:type="dxa"/>
            <w:vMerge/>
            <w:tcBorders>
              <w:left w:val="single" w:sz="10" w:space="0" w:color="FFFFFF"/>
              <w:right w:val="single" w:sz="10" w:space="0" w:color="FFFFFF"/>
            </w:tcBorders>
          </w:tcPr>
          <w:p>
            <w:pPr/>
          </w:p>
        </w:tc>
      </w:tr>
      <w:tr>
        <w:trPr>
          <w:trHeight w:val="78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4" w:type="dxa"/>
            <w:vMerge/>
            <w:tcBorders>
              <w:left w:val="single" w:sz="10" w:space="0" w:color="FFFFFF"/>
              <w:bottom w:val="single" w:sz="4" w:space="0" w:color="000000"/>
              <w:right w:val="single" w:sz="10" w:space="0" w:color="FFFFFF"/>
            </w:tcBorders>
          </w:tcPr>
          <w:p>
            <w:pPr/>
          </w:p>
        </w:tc>
      </w:tr>
      <w:tr>
        <w:trPr>
          <w:trHeight w:val="47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51"/>
              <w:ind w:left="29"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 额大于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且绝对金额大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c>
          <w:tcPr>
            <w:tcW w:w="3054" w:type="dxa"/>
            <w:vMerge w:val="restart"/>
            <w:tcBorders>
              <w:top w:val="single" w:sz="4" w:space="0" w:color="000000"/>
              <w:left w:val="single" w:sz="4" w:space="0" w:color="000000"/>
              <w:right w:val="single" w:sz="4" w:space="0" w:color="000000"/>
            </w:tcBorders>
          </w:tcPr>
          <w:p>
            <w:pPr>
              <w:pStyle w:val="TableParagraph"/>
              <w:spacing w:line="300" w:lineRule="auto" w:before="51"/>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金额大于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47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6"/>
        <w:rPr>
          <w:rFonts w:ascii="Microsoft JhengHei" w:hAnsi="Microsoft JhengHei" w:cs="Microsoft JhengHei" w:eastAsia="Microsoft JhengHei" w:hint="default"/>
          <w:b/>
          <w:bCs/>
          <w:sz w:val="14"/>
          <w:szCs w:val="14"/>
        </w:rPr>
      </w:pPr>
    </w:p>
    <w:p>
      <w:pPr>
        <w:pStyle w:val="Heading3"/>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456" w:lineRule="exact"/>
        <w:ind w:left="3607" w:right="0"/>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XYZH/2019SZA10261</w:t>
            </w:r>
          </w:p>
        </w:tc>
      </w:tr>
    </w:tbl>
    <w:p>
      <w:pPr>
        <w:spacing w:before="49"/>
        <w:ind w:left="1831" w:right="280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2"/>
        <w:spacing w:line="240" w:lineRule="auto" w:before="105"/>
        <w:ind w:left="1829" w:right="2809"/>
        <w:jc w:val="center"/>
        <w:rPr>
          <w:b w:val="0"/>
          <w:bCs w:val="0"/>
        </w:rPr>
      </w:pPr>
      <w:r>
        <w:rPr/>
        <w:t>审计报告</w:t>
      </w:r>
      <w:r>
        <w:rPr>
          <w:b w:val="0"/>
          <w:bCs w:val="0"/>
        </w:rPr>
      </w:r>
    </w:p>
    <w:p>
      <w:pPr>
        <w:spacing w:line="240" w:lineRule="auto" w:before="7"/>
        <w:rPr>
          <w:rFonts w:ascii="Microsoft JhengHei" w:hAnsi="Microsoft JhengHei" w:cs="Microsoft JhengHei" w:eastAsia="Microsoft JhengHei" w:hint="default"/>
          <w:b/>
          <w:bCs/>
          <w:sz w:val="23"/>
          <w:szCs w:val="23"/>
        </w:rPr>
      </w:pPr>
    </w:p>
    <w:p>
      <w:pPr>
        <w:pStyle w:val="Heading5"/>
        <w:spacing w:line="240" w:lineRule="auto" w:before="72"/>
        <w:ind w:right="1131"/>
        <w:jc w:val="right"/>
        <w:rPr>
          <w:rFonts w:ascii="Times New Roman" w:hAnsi="Times New Roman" w:cs="Times New Roman" w:eastAsia="Times New Roman" w:hint="default"/>
        </w:rPr>
      </w:pPr>
      <w:r>
        <w:rPr>
          <w:rFonts w:ascii="Times New Roman"/>
          <w:spacing w:val="-1"/>
        </w:rPr>
        <w:t>XYZH/2019SZA10261</w:t>
      </w:r>
    </w:p>
    <w:p>
      <w:pPr>
        <w:spacing w:line="240" w:lineRule="auto" w:before="7"/>
        <w:rPr>
          <w:rFonts w:ascii="Times New Roman" w:hAnsi="Times New Roman" w:cs="Times New Roman" w:eastAsia="Times New Roman" w:hint="default"/>
          <w:sz w:val="25"/>
          <w:szCs w:val="25"/>
        </w:rPr>
      </w:pPr>
    </w:p>
    <w:p>
      <w:pPr>
        <w:pStyle w:val="Heading6"/>
        <w:spacing w:line="335" w:lineRule="exact"/>
        <w:ind w:right="0"/>
        <w:jc w:val="left"/>
        <w:rPr>
          <w:b w:val="0"/>
          <w:bCs w:val="0"/>
        </w:rPr>
      </w:pPr>
      <w:r>
        <w:rPr/>
        <w:t>深圳市方直科技股份有限公司全体股东：</w:t>
      </w:r>
      <w:r>
        <w:rPr>
          <w:b w:val="0"/>
          <w:bCs w:val="0"/>
        </w:rPr>
      </w:r>
    </w:p>
    <w:p>
      <w:pPr>
        <w:pStyle w:val="BodyText"/>
        <w:spacing w:line="540" w:lineRule="atLeast" w:before="12"/>
        <w:ind w:left="573" w:right="1118" w:firstLine="2"/>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、审计意见</w:t>
      </w:r>
      <w:r>
        <w:rPr>
          <w:rFonts w:ascii="Microsoft JhengHei" w:hAnsi="Microsoft JhengHei" w:cs="Microsoft JhengHei" w:eastAsia="Microsoft JhengHei" w:hint="default"/>
          <w:b/>
          <w:bCs/>
          <w:spacing w:val="-48"/>
        </w:rPr>
        <w:t> </w:t>
      </w:r>
      <w:r>
        <w:rPr>
          <w:spacing w:val="-2"/>
        </w:rPr>
        <w:t>我们审计了深圳市方直科技股份有限公司（以下简称方直科技公司）财务报表，包括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p>
    <w:p>
      <w:pPr>
        <w:pStyle w:val="BodyText"/>
        <w:spacing w:line="256" w:lineRule="auto" w:before="21"/>
        <w:ind w:right="0"/>
        <w:jc w:val="left"/>
      </w:pPr>
      <w:r>
        <w:rPr>
          <w:spacing w:val="-2"/>
        </w:rPr>
        <w:t>的合并及母公司资产负债表，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w:t>
      </w:r>
      <w:r>
        <w:rPr>
          <w:spacing w:val="-40"/>
        </w:rPr>
        <w:t> </w:t>
      </w:r>
      <w:r>
        <w:rPr>
          <w:spacing w:val="-40"/>
        </w:rPr>
      </w:r>
      <w:r>
        <w:rPr/>
        <w:t>股东权益变动表，以及相关财务报表附注。</w:t>
      </w:r>
    </w:p>
    <w:p>
      <w:pPr>
        <w:spacing w:line="240" w:lineRule="auto" w:before="1"/>
        <w:rPr>
          <w:rFonts w:ascii="宋体" w:hAnsi="宋体" w:cs="宋体" w:eastAsia="宋体" w:hint="default"/>
          <w:sz w:val="20"/>
          <w:szCs w:val="20"/>
        </w:rPr>
      </w:pPr>
    </w:p>
    <w:p>
      <w:pPr>
        <w:pStyle w:val="BodyText"/>
        <w:spacing w:line="240" w:lineRule="auto" w:before="0"/>
        <w:ind w:left="573" w:right="0"/>
        <w:jc w:val="left"/>
      </w:pPr>
      <w:r>
        <w:rPr/>
        <w:t>我们认为，后附的财务报表在所有重大方面按照企业会计准则的规定编制，公允反映了方直科技公司</w:t>
      </w:r>
    </w:p>
    <w:p>
      <w:pPr>
        <w:pStyle w:val="BodyText"/>
        <w:spacing w:line="240" w:lineRule="auto" w:before="37"/>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spacing w:line="540" w:lineRule="atLeast" w:before="2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、形成审计意见的基础</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我们按照中国注册会计师审计准则的规定执行了审计工作。审计报告的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注册会计师对财务报表审计</w:t>
      </w:r>
    </w:p>
    <w:p>
      <w:pPr>
        <w:pStyle w:val="BodyText"/>
        <w:spacing w:line="266" w:lineRule="auto" w:before="21"/>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部分进一步阐述了我们在这些准则下的责任。按照中国注册会计师职业道德守则，我们独立于方</w:t>
      </w:r>
      <w:r>
        <w:rPr>
          <w:w w:val="100"/>
        </w:rPr>
        <w:t> </w:t>
      </w:r>
      <w:r>
        <w:rPr>
          <w:spacing w:val="-2"/>
        </w:rPr>
        <w:t>直科技公司，并履行了职业道德方面的其他责任。我们相信，我们获取的审计证据是充分、适当的，为发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530" w:lineRule="atLeast" w:before="22"/>
        <w:ind w:left="573" w:right="0" w:firstLine="2"/>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、关键审计事项</w:t>
      </w:r>
      <w:r>
        <w:rPr>
          <w:rFonts w:ascii="Microsoft JhengHei" w:hAnsi="Microsoft JhengHei" w:cs="Microsoft JhengHei" w:eastAsia="Microsoft JhengHei" w:hint="default"/>
          <w:b/>
          <w:bCs/>
          <w:spacing w:val="-46"/>
        </w:rPr>
        <w:t> </w:t>
      </w:r>
      <w:r>
        <w:rPr>
          <w:spacing w:val="-2"/>
        </w:rPr>
        <w:t>关键审计事项是我们根据职业判断，认为对本期财务报表审计最为重要的事项。这些事项的应对以对</w:t>
      </w:r>
    </w:p>
    <w:p>
      <w:pPr>
        <w:pStyle w:val="BodyText"/>
        <w:spacing w:line="240" w:lineRule="auto" w:before="37"/>
        <w:ind w:right="0"/>
        <w:jc w:val="left"/>
      </w:pPr>
      <w:r>
        <w:rPr/>
        <w:t>财务报表整体进行审计并形成审计意见为背景，我们不对这些事项单独发表意见。</w:t>
      </w:r>
    </w:p>
    <w:p>
      <w:pPr>
        <w:spacing w:line="240" w:lineRule="auto" w:before="12"/>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4650"/>
        <w:gridCol w:w="4551"/>
      </w:tblGrid>
      <w:tr>
        <w:trPr>
          <w:trHeight w:val="34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审计中的应对</w:t>
            </w:r>
            <w:r>
              <w:rPr>
                <w:rFonts w:ascii="Microsoft JhengHei" w:hAnsi="Microsoft JhengHei" w:cs="Microsoft JhengHei" w:eastAsia="Microsoft JhengHei" w:hint="default"/>
                <w:sz w:val="18"/>
                <w:szCs w:val="18"/>
              </w:rPr>
            </w:r>
          </w:p>
        </w:tc>
      </w:tr>
      <w:tr>
        <w:trPr>
          <w:trHeight w:val="97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方直科技公司主要从事同步教育软件产品的研发和销售。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年度销售产品确认的营业收入为人民币</w:t>
            </w:r>
            <w:r>
              <w:rPr>
                <w:rFonts w:ascii="Times New Roman" w:hAnsi="Times New Roman" w:cs="Times New Roman" w:eastAsia="Times New Roman" w:hint="default"/>
                <w:sz w:val="18"/>
                <w:szCs w:val="18"/>
              </w:rPr>
              <w:t>107,245,103.63 </w:t>
            </w:r>
            <w:r>
              <w:rPr>
                <w:rFonts w:ascii="宋体" w:hAnsi="宋体" w:cs="宋体" w:eastAsia="宋体" w:hint="default"/>
                <w:spacing w:val="-3"/>
                <w:sz w:val="18"/>
                <w:szCs w:val="18"/>
              </w:rPr>
              <w:t>元。鉴于收入是方直科技公司的关键业绩指标之一，从而存</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我们执行的主要审计程序：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）评价并测试了管理层与收入确认相关的关键内部控制的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设计和运行有效性；</w:t>
            </w:r>
          </w:p>
        </w:tc>
      </w:tr>
    </w:tbl>
    <w:p>
      <w:pPr>
        <w:spacing w:after="0" w:line="309"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650"/>
        <w:gridCol w:w="4551"/>
      </w:tblGrid>
      <w:tr>
        <w:trPr>
          <w:trHeight w:val="409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在管理层为了达到特定目标或期望而操纵收入确认时点的 </w:t>
            </w:r>
            <w:r>
              <w:rPr>
                <w:rFonts w:ascii="宋体" w:hAnsi="宋体" w:cs="宋体" w:eastAsia="宋体" w:hint="default"/>
                <w:spacing w:val="-2"/>
                <w:sz w:val="18"/>
                <w:szCs w:val="18"/>
              </w:rPr>
              <w:t>固有风险，我们将方直科技公司收入确认识别为关键审计事</w:t>
            </w:r>
            <w:r>
              <w:rPr>
                <w:rFonts w:ascii="宋体" w:hAnsi="宋体" w:cs="宋体" w:eastAsia="宋体" w:hint="default"/>
                <w:sz w:val="18"/>
                <w:szCs w:val="18"/>
              </w:rPr>
              <w:t> 项。</w:t>
            </w:r>
          </w:p>
          <w:p>
            <w:pPr>
              <w:pStyle w:val="TableParagraph"/>
              <w:spacing w:line="300"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参见财务报表附注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四、重要会计政策和会计估计</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所述的</w:t>
            </w:r>
            <w:r>
              <w:rPr>
                <w:rFonts w:ascii="宋体" w:hAnsi="宋体" w:cs="宋体" w:eastAsia="宋体" w:hint="default"/>
                <w:spacing w:val="-65"/>
                <w:sz w:val="18"/>
                <w:szCs w:val="18"/>
              </w:rPr>
              <w:t> </w:t>
            </w:r>
            <w:r>
              <w:rPr>
                <w:rFonts w:ascii="宋体" w:hAnsi="宋体" w:cs="宋体" w:eastAsia="宋体" w:hint="default"/>
                <w:sz w:val="18"/>
                <w:szCs w:val="18"/>
              </w:rPr>
              <w:t>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七、合并财务报表主要项目注释</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）选取样本检查业务合同，识别与商品所有权上的风险和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报酬转移相关的合同条款与条件，评价方直科技的收入确 认时点是否符合企业会计准则的要求；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）对销售收入执行月度波动分析，结合行业特征识别和调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查异常波动；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）核对财务系统收入记录与业务系统订单信息及发货记录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的一致性，识别和调查异常业务记录；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）对本年记录的收入交易选取样本，核对发票、销售合同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及出库单，评价相关收入确认是否符合方直科技公司收入 确认的会计政策；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）就资产负债表日前后记录的收入交易，选取样本，核对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出库单及其他支持性文件，以评价收入是否被记录于恰当 的会计期间。</w:t>
            </w:r>
          </w:p>
        </w:tc>
      </w:tr>
      <w:tr>
        <w:trPr>
          <w:trHeight w:val="346" w:hRule="exact"/>
        </w:trPr>
        <w:tc>
          <w:tcPr>
            <w:tcW w:w="92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4"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  </w:t>
            </w:r>
            <w:r>
              <w:rPr>
                <w:rFonts w:ascii="Trebuchet MS" w:hAnsi="Trebuchet MS" w:cs="Trebuchet MS" w:eastAsia="Trebuchet MS" w:hint="default"/>
                <w:b/>
                <w:bCs/>
                <w:spacing w:val="31"/>
                <w:sz w:val="18"/>
                <w:szCs w:val="18"/>
              </w:rPr>
              <w:t> </w:t>
            </w:r>
            <w:r>
              <w:rPr>
                <w:rFonts w:ascii="Microsoft JhengHei" w:hAnsi="Microsoft JhengHei" w:cs="Microsoft JhengHei" w:eastAsia="Microsoft JhengHei" w:hint="default"/>
                <w:b/>
                <w:bCs/>
                <w:sz w:val="18"/>
                <w:szCs w:val="18"/>
              </w:rPr>
              <w:t>应收款项的减值事项</w:t>
            </w:r>
            <w:r>
              <w:rPr>
                <w:rFonts w:ascii="Microsoft JhengHei" w:hAnsi="Microsoft JhengHei" w:cs="Microsoft JhengHei" w:eastAsia="Microsoft JhengHei" w:hint="default"/>
                <w:sz w:val="18"/>
                <w:szCs w:val="18"/>
              </w:rPr>
            </w:r>
          </w:p>
        </w:tc>
      </w:tr>
      <w:tr>
        <w:trPr>
          <w:trHeight w:val="34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审计中的应对</w:t>
            </w:r>
            <w:r>
              <w:rPr>
                <w:rFonts w:ascii="Microsoft JhengHei" w:hAnsi="Microsoft JhengHei" w:cs="Microsoft JhengHei" w:eastAsia="Microsoft JhengHei" w:hint="default"/>
                <w:sz w:val="18"/>
                <w:szCs w:val="18"/>
              </w:rPr>
            </w:r>
          </w:p>
        </w:tc>
      </w:tr>
      <w:tr>
        <w:trPr>
          <w:trHeight w:val="440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日，方直科技合并财务报表中应收款项的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原值合计为</w:t>
            </w:r>
            <w:r>
              <w:rPr>
                <w:rFonts w:ascii="Times New Roman" w:hAnsi="Times New Roman" w:cs="Times New Roman" w:eastAsia="Times New Roman" w:hint="default"/>
                <w:sz w:val="18"/>
                <w:szCs w:val="18"/>
              </w:rPr>
              <w:t>67,860,278.12</w:t>
            </w:r>
            <w:r>
              <w:rPr>
                <w:rFonts w:ascii="宋体" w:hAnsi="宋体" w:cs="宋体" w:eastAsia="宋体" w:hint="default"/>
                <w:sz w:val="18"/>
                <w:szCs w:val="18"/>
              </w:rPr>
              <w:t>元，坏账准备合计为</w:t>
            </w:r>
            <w:r>
              <w:rPr>
                <w:rFonts w:ascii="Times New Roman" w:hAnsi="Times New Roman" w:cs="Times New Roman" w:eastAsia="Times New Roman" w:hint="default"/>
                <w:sz w:val="18"/>
                <w:szCs w:val="18"/>
              </w:rPr>
              <w:t>4,699,247.03 </w:t>
            </w:r>
            <w:r>
              <w:rPr>
                <w:rFonts w:ascii="宋体" w:hAnsi="宋体" w:cs="宋体" w:eastAsia="宋体" w:hint="default"/>
                <w:spacing w:val="-2"/>
                <w:sz w:val="18"/>
                <w:szCs w:val="18"/>
              </w:rPr>
              <w:t>元。由于应收款项金额重大，且管理层在确定应收款项减值</w:t>
            </w:r>
            <w:r>
              <w:rPr>
                <w:rFonts w:ascii="宋体" w:hAnsi="宋体" w:cs="宋体" w:eastAsia="宋体" w:hint="default"/>
                <w:sz w:val="18"/>
                <w:szCs w:val="18"/>
              </w:rPr>
              <w:t> </w:t>
            </w:r>
            <w:r>
              <w:rPr>
                <w:rFonts w:ascii="宋体" w:hAnsi="宋体" w:cs="宋体" w:eastAsia="宋体" w:hint="default"/>
                <w:spacing w:val="-2"/>
                <w:sz w:val="18"/>
                <w:szCs w:val="18"/>
              </w:rPr>
              <w:t>时作出了重大判断，我们将应收款项的减值确定为关键审计</w:t>
            </w:r>
            <w:r>
              <w:rPr>
                <w:rFonts w:ascii="宋体" w:hAnsi="宋体" w:cs="宋体" w:eastAsia="宋体" w:hint="default"/>
                <w:sz w:val="18"/>
                <w:szCs w:val="18"/>
              </w:rPr>
              <w:t> 事项。</w:t>
            </w:r>
          </w:p>
          <w:p>
            <w:pPr>
              <w:pStyle w:val="TableParagraph"/>
              <w:spacing w:line="300"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参见财务报表附注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四、重要会计政策及会计估计</w:t>
            </w:r>
            <w:r>
              <w:rPr>
                <w:rFonts w:ascii="Times New Roman" w:hAnsi="Times New Roman" w:cs="Times New Roman" w:eastAsia="Times New Roman" w:hint="default"/>
                <w:sz w:val="18"/>
                <w:szCs w:val="18"/>
              </w:rPr>
              <w:t>9”</w:t>
            </w:r>
            <w:r>
              <w:rPr>
                <w:rFonts w:ascii="宋体" w:hAnsi="宋体" w:cs="宋体" w:eastAsia="宋体" w:hint="default"/>
                <w:sz w:val="18"/>
                <w:szCs w:val="18"/>
              </w:rPr>
              <w:t>所述的 </w:t>
            </w:r>
            <w:r>
              <w:rPr>
                <w:rFonts w:ascii="宋体" w:hAnsi="宋体" w:cs="宋体" w:eastAsia="宋体" w:hint="default"/>
                <w:spacing w:val="-1"/>
                <w:sz w:val="18"/>
                <w:szCs w:val="18"/>
              </w:rPr>
              <w:t>会计政策、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七、合并财务报表主要项目注释</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七、合并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财务报表主要项目注释</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5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我们执行的主要审计程序：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）评价并测试了管理层复核、评估和确定应收款项减值的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内部控制，包括有关识别减值客观证据和计算减值准备的 控制。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）采用抽样方法，检查管理层编制的应收款项账龄分析表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的准确性。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）选取金额重大或高风险的应收款项，独立测试其可收回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性。在评估应收款项的可回收性时，检查相关的支持性证 据，包括期后收款、客户的信用历史、经营情况和还款能 力。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）通过考虑历史上同类应收款项组合的实际坏账发生金额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及情况，结合客户回款情况和市场条件等因素，评估管理 层对应收款项按照组合进行减值评估的方法和计算是否适 当。</w:t>
            </w:r>
          </w:p>
        </w:tc>
      </w:tr>
    </w:tbl>
    <w:p>
      <w:pPr>
        <w:spacing w:line="240" w:lineRule="auto" w:before="10"/>
        <w:rPr>
          <w:rFonts w:ascii="宋体" w:hAnsi="宋体" w:cs="宋体" w:eastAsia="宋体" w:hint="default"/>
          <w:sz w:val="14"/>
          <w:szCs w:val="14"/>
        </w:rPr>
      </w:pPr>
    </w:p>
    <w:p>
      <w:pPr>
        <w:pStyle w:val="Heading6"/>
        <w:spacing w:line="335" w:lineRule="exact"/>
        <w:ind w:left="518" w:right="0"/>
        <w:jc w:val="left"/>
        <w:rPr>
          <w:b w:val="0"/>
          <w:bCs w:val="0"/>
        </w:rPr>
      </w:pPr>
      <w:r>
        <w:rPr>
          <w:rFonts w:ascii="Times New Roman" w:hAnsi="Times New Roman" w:cs="Times New Roman" w:eastAsia="Times New Roman" w:hint="default"/>
        </w:rPr>
        <w:t>4</w:t>
      </w:r>
      <w:r>
        <w:rPr/>
        <w:t>、其他信息</w:t>
      </w:r>
      <w:r>
        <w:rPr>
          <w:b w:val="0"/>
          <w:bCs w:val="0"/>
        </w:rPr>
      </w:r>
    </w:p>
    <w:p>
      <w:pPr>
        <w:spacing w:line="240" w:lineRule="auto" w:before="10"/>
        <w:rPr>
          <w:rFonts w:ascii="Microsoft JhengHei" w:hAnsi="Microsoft JhengHei" w:cs="Microsoft JhengHei" w:eastAsia="Microsoft JhengHei" w:hint="default"/>
          <w:b/>
          <w:bCs/>
          <w:sz w:val="14"/>
          <w:szCs w:val="14"/>
        </w:rPr>
      </w:pPr>
    </w:p>
    <w:p>
      <w:pPr>
        <w:pStyle w:val="BodyText"/>
        <w:spacing w:line="256" w:lineRule="auto" w:before="0"/>
        <w:ind w:right="0" w:firstLine="439"/>
        <w:jc w:val="left"/>
      </w:pPr>
      <w:r>
        <w:rPr>
          <w:spacing w:val="-2"/>
        </w:rPr>
        <w:t>方直科技公司管理层</w:t>
      </w:r>
      <w:r>
        <w:rPr>
          <w:rFonts w:ascii="Times New Roman" w:hAnsi="Times New Roman" w:cs="Times New Roman" w:eastAsia="Times New Roman" w:hint="default"/>
          <w:spacing w:val="-2"/>
        </w:rPr>
        <w:t>(</w:t>
      </w:r>
      <w:r>
        <w:rPr>
          <w:spacing w:val="-2"/>
        </w:rPr>
        <w:t>以下简称管理层</w:t>
      </w:r>
      <w:r>
        <w:rPr>
          <w:rFonts w:ascii="Times New Roman" w:hAnsi="Times New Roman" w:cs="Times New Roman" w:eastAsia="Times New Roman" w:hint="default"/>
          <w:spacing w:val="-2"/>
        </w:rPr>
        <w:t>)</w:t>
      </w:r>
      <w:r>
        <w:rPr>
          <w:spacing w:val="-2"/>
        </w:rPr>
        <w:t>对其他信息负责。其他信息包括方直科技公司</w:t>
      </w:r>
      <w:r>
        <w:rPr>
          <w:rFonts w:ascii="Times New Roman" w:hAnsi="Times New Roman" w:cs="Times New Roman" w:eastAsia="Times New Roman" w:hint="default"/>
          <w:spacing w:val="-2"/>
        </w:rPr>
        <w:t>2018</w:t>
      </w:r>
      <w:r>
        <w:rPr>
          <w:spacing w:val="-2"/>
        </w:rPr>
        <w:t>年年度报告</w:t>
      </w:r>
      <w:r>
        <w:rPr>
          <w:w w:val="100"/>
        </w:rPr>
        <w:t> </w:t>
      </w:r>
      <w:r>
        <w:rPr/>
        <w:t>中涵盖的信息，但不包括财务报表和我们的审计报告。</w:t>
      </w:r>
    </w:p>
    <w:p>
      <w:pPr>
        <w:pStyle w:val="BodyText"/>
        <w:spacing w:line="552" w:lineRule="exact" w:before="66"/>
        <w:ind w:left="592" w:right="0"/>
        <w:jc w:val="left"/>
      </w:pPr>
      <w:r>
        <w:rPr/>
        <w:t>我们对财务报表发表的审计意见不涵盖其他信息，我们也不对其他信息发表任何形式的鉴证结论。</w:t>
      </w:r>
      <w:r>
        <w:rPr>
          <w:w w:val="100"/>
        </w:rPr>
        <w:t> </w:t>
      </w:r>
      <w:r>
        <w:rPr>
          <w:spacing w:val="-3"/>
        </w:rPr>
        <w:t>结合我们对财务报表的审计，我们的责任是阅读其他信息，在此过程中，考虑其他信息是否与财务报</w:t>
      </w:r>
    </w:p>
    <w:p>
      <w:pPr>
        <w:pStyle w:val="BodyText"/>
        <w:spacing w:line="231" w:lineRule="exact" w:before="0"/>
        <w:ind w:right="0"/>
        <w:jc w:val="left"/>
      </w:pPr>
      <w:r>
        <w:rPr/>
        <w:t>表或我们在审计过程中了解到的情况存在重大不一致或者似乎存在重大错报。</w:t>
      </w:r>
    </w:p>
    <w:p>
      <w:pPr>
        <w:spacing w:line="240" w:lineRule="auto" w:before="2"/>
        <w:rPr>
          <w:rFonts w:ascii="宋体" w:hAnsi="宋体" w:cs="宋体" w:eastAsia="宋体" w:hint="default"/>
          <w:sz w:val="21"/>
          <w:szCs w:val="21"/>
        </w:rPr>
      </w:pPr>
    </w:p>
    <w:p>
      <w:pPr>
        <w:pStyle w:val="BodyText"/>
        <w:spacing w:line="273" w:lineRule="auto" w:before="0"/>
        <w:ind w:right="0" w:firstLine="439"/>
        <w:jc w:val="left"/>
      </w:pPr>
      <w:r>
        <w:rPr>
          <w:spacing w:val="-3"/>
        </w:rPr>
        <w:t>基于我们已执行的工作，如果我们确定其他信息存在重大错报，我们应当报告该事实。在这方面，我</w:t>
      </w:r>
      <w:r>
        <w:rPr>
          <w:w w:val="100"/>
        </w:rPr>
        <w:t> </w:t>
      </w:r>
      <w:r>
        <w:rPr/>
        <w:t>们无任何事项需要报告。</w:t>
      </w:r>
    </w:p>
    <w:p>
      <w:pPr>
        <w:spacing w:line="240" w:lineRule="auto" w:before="11"/>
        <w:rPr>
          <w:rFonts w:ascii="宋体" w:hAnsi="宋体" w:cs="宋体" w:eastAsia="宋体" w:hint="default"/>
          <w:sz w:val="13"/>
          <w:szCs w:val="13"/>
        </w:rPr>
      </w:pPr>
    </w:p>
    <w:p>
      <w:pPr>
        <w:pStyle w:val="Heading6"/>
        <w:spacing w:line="240" w:lineRule="auto"/>
        <w:ind w:left="508" w:right="0"/>
        <w:jc w:val="left"/>
        <w:rPr>
          <w:b w:val="0"/>
          <w:bCs w:val="0"/>
        </w:rPr>
      </w:pPr>
      <w:r>
        <w:rPr>
          <w:rFonts w:ascii="Times New Roman" w:hAnsi="Times New Roman" w:cs="Times New Roman" w:eastAsia="Times New Roman" w:hint="default"/>
        </w:rPr>
        <w:t>5</w:t>
      </w:r>
      <w:r>
        <w:rPr/>
        <w:t>、管理层和治理层对财务报表的责任</w:t>
      </w:r>
      <w:r>
        <w:rPr>
          <w:b w:val="0"/>
          <w:bCs w:val="0"/>
        </w:rPr>
      </w:r>
    </w:p>
    <w:p>
      <w:pPr>
        <w:spacing w:after="0" w:line="240" w:lineRule="auto"/>
        <w:jc w:val="left"/>
        <w:sectPr>
          <w:pgSz w:w="11910" w:h="16840"/>
          <w:pgMar w:header="880" w:footer="979" w:top="1100" w:bottom="1160" w:left="980" w:right="0"/>
        </w:sectPr>
      </w:pPr>
    </w:p>
    <w:p>
      <w:pPr>
        <w:spacing w:line="240" w:lineRule="auto" w:before="14"/>
        <w:rPr>
          <w:rFonts w:ascii="Microsoft JhengHei" w:hAnsi="Microsoft JhengHei" w:cs="Microsoft JhengHei" w:eastAsia="Microsoft JhengHei" w:hint="default"/>
          <w:b/>
          <w:bCs/>
          <w:sz w:val="15"/>
          <w:szCs w:val="15"/>
        </w:rPr>
      </w:pPr>
    </w:p>
    <w:p>
      <w:pPr>
        <w:pStyle w:val="BodyText"/>
        <w:spacing w:line="273" w:lineRule="auto" w:before="36"/>
        <w:ind w:right="1126" w:firstLine="439"/>
        <w:jc w:val="both"/>
      </w:pPr>
      <w:r>
        <w:rPr>
          <w:spacing w:val="-3"/>
        </w:rPr>
        <w:t>方直科技公司管理层（以下简称管理层）负责按照企业会计准则的规定编制财务报表，使其实现公允</w:t>
      </w:r>
      <w:r>
        <w:rPr>
          <w:w w:val="100"/>
        </w:rPr>
        <w:t> </w:t>
      </w:r>
      <w:r>
        <w:rPr/>
        <w:t>反映，并设计、执行和维护必要的内部控制，以使财务报表不存在由于舞弊或错误导致的重大错报。</w:t>
      </w:r>
    </w:p>
    <w:p>
      <w:pPr>
        <w:spacing w:line="240" w:lineRule="auto" w:before="12"/>
        <w:rPr>
          <w:rFonts w:ascii="宋体" w:hAnsi="宋体" w:cs="宋体" w:eastAsia="宋体" w:hint="default"/>
          <w:sz w:val="18"/>
          <w:szCs w:val="18"/>
        </w:rPr>
      </w:pPr>
    </w:p>
    <w:p>
      <w:pPr>
        <w:pStyle w:val="BodyText"/>
        <w:spacing w:line="273" w:lineRule="auto" w:before="0"/>
        <w:ind w:right="1126" w:firstLine="439"/>
        <w:jc w:val="both"/>
      </w:pPr>
      <w:r>
        <w:rPr>
          <w:spacing w:val="-3"/>
        </w:rPr>
        <w:t>在编制财务报表时，管理层负责评估方直科技公司的持续经营能力，披露与持续经营相关的事项（如</w:t>
      </w:r>
      <w:r>
        <w:rPr>
          <w:w w:val="100"/>
        </w:rPr>
        <w:t> </w:t>
      </w:r>
      <w:r>
        <w:rPr/>
        <w:t>适用），并运用持续经营假设，除非管理层计划清算方直科技公司、终止运营或别无其他现实的选择。</w:t>
      </w:r>
    </w:p>
    <w:p>
      <w:pPr>
        <w:spacing w:line="240" w:lineRule="auto" w:before="12"/>
        <w:rPr>
          <w:rFonts w:ascii="宋体" w:hAnsi="宋体" w:cs="宋体" w:eastAsia="宋体" w:hint="default"/>
          <w:sz w:val="18"/>
          <w:szCs w:val="18"/>
        </w:rPr>
      </w:pPr>
    </w:p>
    <w:p>
      <w:pPr>
        <w:pStyle w:val="BodyText"/>
        <w:spacing w:line="240" w:lineRule="auto" w:before="0"/>
        <w:ind w:left="592" w:right="0"/>
        <w:jc w:val="left"/>
      </w:pPr>
      <w:r>
        <w:rPr/>
        <w:t>治理层负责监督方直科技公司的财务报告过程。</w:t>
      </w:r>
    </w:p>
    <w:p>
      <w:pPr>
        <w:spacing w:line="530" w:lineRule="atLeast" w:before="46"/>
        <w:ind w:left="592" w:right="0" w:hanging="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、注册会计师对财务报表审计的责任</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3"/>
          <w:sz w:val="21"/>
          <w:szCs w:val="21"/>
        </w:rPr>
        <w:t>我们的目标是对财务报表整体是否不存在由于舞弊或错误导致的重大错报获取合理保证，并出具包含</w:t>
      </w:r>
    </w:p>
    <w:p>
      <w:pPr>
        <w:pStyle w:val="BodyText"/>
        <w:spacing w:line="273" w:lineRule="auto" w:before="37"/>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spacing w:line="240" w:lineRule="auto" w:before="12"/>
        <w:rPr>
          <w:rFonts w:ascii="宋体" w:hAnsi="宋体" w:cs="宋体" w:eastAsia="宋体" w:hint="default"/>
          <w:sz w:val="18"/>
          <w:szCs w:val="18"/>
        </w:rPr>
      </w:pPr>
    </w:p>
    <w:p>
      <w:pPr>
        <w:pStyle w:val="BodyText"/>
        <w:spacing w:line="273" w:lineRule="auto" w:before="0"/>
        <w:ind w:right="1128" w:firstLine="439"/>
        <w:jc w:val="both"/>
      </w:pPr>
      <w:r>
        <w:rPr>
          <w:spacing w:val="-3"/>
        </w:rPr>
        <w:t>在按照审计准则执行审计工作的过程中，我们运用职业判断，并保持职业怀疑。同时，我们也执行以</w:t>
      </w:r>
      <w:r>
        <w:rPr>
          <w:w w:val="100"/>
        </w:rPr>
        <w:t> </w:t>
      </w:r>
      <w:r>
        <w:rPr/>
        <w:t>下工作：</w:t>
      </w:r>
    </w:p>
    <w:p>
      <w:pPr>
        <w:spacing w:line="240" w:lineRule="auto" w:before="12"/>
        <w:rPr>
          <w:rFonts w:ascii="宋体" w:hAnsi="宋体" w:cs="宋体" w:eastAsia="宋体" w:hint="default"/>
          <w:sz w:val="18"/>
          <w:szCs w:val="18"/>
        </w:rPr>
      </w:pPr>
    </w:p>
    <w:p>
      <w:pPr>
        <w:pStyle w:val="BodyText"/>
        <w:spacing w:line="273" w:lineRule="auto" w:before="0"/>
        <w:ind w:right="1104" w:firstLine="420"/>
        <w:jc w:val="both"/>
      </w:pPr>
      <w:r>
        <w:rPr>
          <w:rFonts w:ascii="宋体" w:hAnsi="宋体" w:cs="宋体" w:eastAsia="宋体" w:hint="default"/>
          <w:spacing w:val="-2"/>
        </w:rPr>
        <w:t>1.</w:t>
      </w:r>
      <w:r>
        <w:rPr>
          <w:spacing w:val="-2"/>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spacing w:val="-2"/>
        </w:rPr>
        <w:t>假陈述或凌驾于内部控制之上，未能发现由于舞弊导致的重大错报的风险高于未能发现由于错误导致的重</w:t>
      </w:r>
      <w:r>
        <w:rPr>
          <w:spacing w:val="-43"/>
        </w:rPr>
        <w:t> </w:t>
      </w:r>
      <w:r>
        <w:rPr>
          <w:spacing w:val="-43"/>
        </w:rPr>
      </w:r>
      <w:r>
        <w:rPr/>
        <w:t>大错报的风险。</w:t>
      </w:r>
    </w:p>
    <w:p>
      <w:pPr>
        <w:spacing w:line="240" w:lineRule="auto" w:before="12"/>
        <w:rPr>
          <w:rFonts w:ascii="宋体" w:hAnsi="宋体" w:cs="宋体" w:eastAsia="宋体" w:hint="default"/>
          <w:sz w:val="18"/>
          <w:szCs w:val="18"/>
        </w:rPr>
      </w:pPr>
    </w:p>
    <w:p>
      <w:pPr>
        <w:pStyle w:val="BodyText"/>
        <w:spacing w:line="240" w:lineRule="auto" w:before="0"/>
        <w:ind w:left="573" w:right="0"/>
        <w:jc w:val="left"/>
      </w:pP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3"/>
        <w:rPr>
          <w:rFonts w:ascii="宋体" w:hAnsi="宋体" w:cs="宋体" w:eastAsia="宋体" w:hint="default"/>
          <w:sz w:val="21"/>
          <w:szCs w:val="21"/>
        </w:rPr>
      </w:pPr>
    </w:p>
    <w:p>
      <w:pPr>
        <w:pStyle w:val="BodyText"/>
        <w:spacing w:line="240" w:lineRule="auto" w:before="0"/>
        <w:ind w:left="573" w:right="0"/>
        <w:jc w:val="left"/>
      </w:pPr>
      <w:r>
        <w:rPr>
          <w:rFonts w:ascii="宋体" w:hAnsi="宋体" w:cs="宋体" w:eastAsia="宋体" w:hint="default"/>
        </w:rPr>
        <w:t>3.</w:t>
      </w:r>
      <w:r>
        <w:rPr/>
        <w:t>评价管理层选用会计政策的恰当性和作出会计估计及相关披露的合理性。</w:t>
      </w:r>
    </w:p>
    <w:p>
      <w:pPr>
        <w:spacing w:line="240" w:lineRule="auto" w:before="2"/>
        <w:rPr>
          <w:rFonts w:ascii="宋体" w:hAnsi="宋体" w:cs="宋体" w:eastAsia="宋体" w:hint="default"/>
          <w:sz w:val="21"/>
          <w:szCs w:val="21"/>
        </w:rPr>
      </w:pPr>
    </w:p>
    <w:p>
      <w:pPr>
        <w:pStyle w:val="BodyText"/>
        <w:spacing w:line="273" w:lineRule="auto" w:before="0"/>
        <w:ind w:right="1126" w:firstLine="420"/>
        <w:jc w:val="both"/>
      </w:pPr>
      <w:r>
        <w:rPr>
          <w:rFonts w:ascii="宋体" w:hAnsi="宋体" w:cs="宋体" w:eastAsia="宋体" w:hint="default"/>
          <w:spacing w:val="-2"/>
        </w:rPr>
        <w:t>4.</w:t>
      </w:r>
      <w:r>
        <w:rPr>
          <w:spacing w:val="-2"/>
        </w:rPr>
        <w:t>对管理层使用持续经营假设的恰当性得出结论。同时，根据获取的审计证据，就可能导致对方直科</w:t>
      </w:r>
      <w:r>
        <w:rPr>
          <w:w w:val="100"/>
        </w:rPr>
        <w:t> </w:t>
      </w:r>
      <w:r>
        <w:rPr>
          <w:spacing w:val="-2"/>
        </w:rPr>
        <w:t>技公司持续经营能力产生重大疑虑的事项或情况是否存在重大不确定性得出结论。如果我们得出结论认为</w:t>
      </w:r>
      <w:r>
        <w:rPr>
          <w:spacing w:val="-44"/>
        </w:rPr>
        <w:t> </w:t>
      </w:r>
      <w:r>
        <w:rPr>
          <w:spacing w:val="-44"/>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项或情况可能导致方直科技公司不能持续经营。</w:t>
      </w:r>
    </w:p>
    <w:p>
      <w:pPr>
        <w:spacing w:line="240" w:lineRule="auto" w:before="12"/>
        <w:rPr>
          <w:rFonts w:ascii="宋体" w:hAnsi="宋体" w:cs="宋体" w:eastAsia="宋体" w:hint="default"/>
          <w:sz w:val="18"/>
          <w:szCs w:val="18"/>
        </w:rPr>
      </w:pPr>
    </w:p>
    <w:p>
      <w:pPr>
        <w:pStyle w:val="BodyText"/>
        <w:spacing w:line="273" w:lineRule="auto" w:before="0"/>
        <w:ind w:right="1126" w:firstLine="420"/>
        <w:jc w:val="both"/>
      </w:pPr>
      <w:r>
        <w:rPr>
          <w:rFonts w:ascii="宋体" w:hAnsi="宋体" w:cs="宋体" w:eastAsia="宋体" w:hint="default"/>
          <w:spacing w:val="-2"/>
        </w:rPr>
        <w:t>5.</w:t>
      </w:r>
      <w:r>
        <w:rPr>
          <w:spacing w:val="-2"/>
        </w:rPr>
        <w:t>评价财务报表的总体列报、结构和内容（包括披露），并评价财务报表是否公允反映相关交易和事</w:t>
      </w:r>
      <w:r>
        <w:rPr>
          <w:w w:val="100"/>
        </w:rPr>
        <w:t> </w:t>
      </w:r>
      <w:r>
        <w:rPr/>
        <w:t>项。</w:t>
      </w:r>
    </w:p>
    <w:p>
      <w:pPr>
        <w:spacing w:line="240" w:lineRule="auto" w:before="12"/>
        <w:rPr>
          <w:rFonts w:ascii="宋体" w:hAnsi="宋体" w:cs="宋体" w:eastAsia="宋体" w:hint="default"/>
          <w:sz w:val="18"/>
          <w:szCs w:val="18"/>
        </w:rPr>
      </w:pPr>
    </w:p>
    <w:p>
      <w:pPr>
        <w:pStyle w:val="BodyText"/>
        <w:spacing w:line="273" w:lineRule="auto" w:before="0"/>
        <w:ind w:right="1126" w:firstLine="420"/>
        <w:jc w:val="both"/>
      </w:pPr>
      <w:r>
        <w:rPr>
          <w:rFonts w:ascii="宋体" w:hAnsi="宋体" w:cs="宋体" w:eastAsia="宋体" w:hint="default"/>
          <w:spacing w:val="-2"/>
        </w:rPr>
        <w:t>6.</w:t>
      </w:r>
      <w:r>
        <w:rPr>
          <w:spacing w:val="-2"/>
        </w:rPr>
        <w:t>就方直科技公司中实体或业务活动的财务信息获取充分、适当的审计证据，以对财务报表发表审计</w:t>
      </w:r>
      <w:r>
        <w:rPr>
          <w:w w:val="100"/>
        </w:rPr>
        <w:t> </w:t>
      </w:r>
      <w:r>
        <w:rPr/>
        <w:t>意见。我们负责指导、监督和执行集团审计，并对审计意见承担全部责任。</w:t>
      </w:r>
    </w:p>
    <w:p>
      <w:pPr>
        <w:spacing w:line="240" w:lineRule="auto" w:before="12"/>
        <w:rPr>
          <w:rFonts w:ascii="宋体" w:hAnsi="宋体" w:cs="宋体" w:eastAsia="宋体" w:hint="default"/>
          <w:sz w:val="18"/>
          <w:szCs w:val="18"/>
        </w:rPr>
      </w:pPr>
    </w:p>
    <w:p>
      <w:pPr>
        <w:pStyle w:val="BodyText"/>
        <w:spacing w:line="273" w:lineRule="auto" w:before="0"/>
        <w:ind w:right="1126" w:firstLine="439"/>
        <w:jc w:val="both"/>
      </w:pPr>
      <w:r>
        <w:rPr>
          <w:spacing w:val="-3"/>
        </w:rPr>
        <w:t>我们与治理层就计划的审计范围、时间安排和重大审计发现等事项进行沟通，包括沟通我们在审计中</w:t>
      </w:r>
      <w:r>
        <w:rPr>
          <w:w w:val="100"/>
        </w:rPr>
        <w:t> </w:t>
      </w:r>
      <w:r>
        <w:rPr/>
        <w:t>识别出的值得关注的内部控制缺陷。</w:t>
      </w:r>
    </w:p>
    <w:p>
      <w:pPr>
        <w:spacing w:line="240" w:lineRule="auto" w:before="12"/>
        <w:rPr>
          <w:rFonts w:ascii="宋体" w:hAnsi="宋体" w:cs="宋体" w:eastAsia="宋体" w:hint="default"/>
          <w:sz w:val="18"/>
          <w:szCs w:val="18"/>
        </w:rPr>
      </w:pPr>
    </w:p>
    <w:p>
      <w:pPr>
        <w:pStyle w:val="BodyText"/>
        <w:spacing w:line="273" w:lineRule="auto" w:before="0"/>
        <w:ind w:right="1126" w:firstLine="439"/>
        <w:jc w:val="both"/>
      </w:pPr>
      <w:r>
        <w:rPr>
          <w:spacing w:val="-3"/>
        </w:rPr>
        <w:t>我们还就已遵守与独立性相关的职业道德要求向治理层提供声明，并与治理层沟通可能被合理认为影</w:t>
      </w:r>
      <w:r>
        <w:rPr>
          <w:w w:val="100"/>
        </w:rPr>
        <w:t> </w:t>
      </w:r>
      <w:r>
        <w:rPr/>
        <w:t>响我们独立性的所有关系和其他事项，以及相关的防范措施。</w:t>
      </w:r>
    </w:p>
    <w:p>
      <w:pPr>
        <w:spacing w:line="240" w:lineRule="auto" w:before="12"/>
        <w:rPr>
          <w:rFonts w:ascii="宋体" w:hAnsi="宋体" w:cs="宋体" w:eastAsia="宋体" w:hint="default"/>
          <w:sz w:val="18"/>
          <w:szCs w:val="18"/>
        </w:rPr>
      </w:pPr>
    </w:p>
    <w:p>
      <w:pPr>
        <w:pStyle w:val="BodyText"/>
        <w:spacing w:line="273" w:lineRule="auto" w:before="0"/>
        <w:ind w:right="1126" w:firstLine="439"/>
        <w:jc w:val="both"/>
      </w:pPr>
      <w:r>
        <w:rPr>
          <w:spacing w:val="-3"/>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p>
    <w:p>
      <w:pPr>
        <w:spacing w:after="0" w:line="273" w:lineRule="auto"/>
        <w:jc w:val="both"/>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BodyText"/>
        <w:spacing w:line="240" w:lineRule="auto" w:before="36"/>
        <w:ind w:left="293" w:right="0"/>
        <w:jc w:val="left"/>
      </w:pP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4321"/>
        <w:gridCol w:w="3969"/>
      </w:tblGrid>
      <w:tr>
        <w:trPr>
          <w:trHeight w:val="444"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信永中和会计师事务所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969" w:type="dxa"/>
            <w:tcBorders>
              <w:top w:val="nil" w:sz="6" w:space="0" w:color="auto"/>
              <w:left w:val="nil" w:sz="6" w:space="0" w:color="auto"/>
              <w:bottom w:val="nil" w:sz="6" w:space="0" w:color="auto"/>
              <w:right w:val="nil" w:sz="6" w:space="0" w:color="auto"/>
            </w:tcBorders>
          </w:tcPr>
          <w:p>
            <w:pPr>
              <w:pStyle w:val="TableParagraph"/>
              <w:spacing w:line="211" w:lineRule="exact"/>
              <w:ind w:left="615" w:right="0"/>
              <w:jc w:val="left"/>
              <w:rPr>
                <w:rFonts w:ascii="宋体" w:hAnsi="宋体" w:cs="宋体" w:eastAsia="宋体" w:hint="default"/>
                <w:sz w:val="21"/>
                <w:szCs w:val="21"/>
              </w:rPr>
            </w:pPr>
            <w:r>
              <w:rPr>
                <w:rFonts w:ascii="宋体" w:hAnsi="宋体" w:cs="宋体" w:eastAsia="宋体" w:hint="default"/>
                <w:sz w:val="21"/>
                <w:szCs w:val="21"/>
              </w:rPr>
              <w:t>中国注册会计师：（项目合伙人）</w:t>
            </w:r>
          </w:p>
        </w:tc>
      </w:tr>
      <w:tr>
        <w:trPr>
          <w:trHeight w:val="658" w:hRule="exact"/>
        </w:trPr>
        <w:tc>
          <w:tcPr>
            <w:tcW w:w="4321"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615"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448"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94" w:right="0"/>
              <w:jc w:val="center"/>
              <w:rPr>
                <w:rFonts w:ascii="宋体" w:hAnsi="宋体" w:cs="宋体" w:eastAsia="宋体" w:hint="default"/>
                <w:sz w:val="21"/>
                <w:szCs w:val="21"/>
              </w:rPr>
            </w:pPr>
            <w:r>
              <w:rPr>
                <w:rFonts w:ascii="宋体" w:hAnsi="宋体" w:cs="宋体" w:eastAsia="宋体" w:hint="default"/>
                <w:sz w:val="21"/>
                <w:szCs w:val="21"/>
              </w:rPr>
              <w:t>中国北京</w:t>
            </w:r>
          </w:p>
        </w:tc>
        <w:tc>
          <w:tcPr>
            <w:tcW w:w="3969"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615" w:right="0"/>
              <w:jc w:val="left"/>
              <w:rPr>
                <w:rFonts w:ascii="宋体" w:hAnsi="宋体" w:cs="宋体" w:eastAsia="宋体" w:hint="default"/>
                <w:sz w:val="21"/>
                <w:szCs w:val="21"/>
              </w:rPr>
            </w:pP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一九年四月十九日</w:t>
            </w:r>
          </w:p>
        </w:tc>
      </w:tr>
    </w:tbl>
    <w:p>
      <w:pPr>
        <w:spacing w:after="0" w:line="240" w:lineRule="auto"/>
        <w:jc w:val="left"/>
        <w:rPr>
          <w:rFonts w:ascii="宋体" w:hAnsi="宋体" w:cs="宋体" w:eastAsia="宋体" w:hint="default"/>
          <w:sz w:val="21"/>
          <w:szCs w:val="21"/>
        </w:rPr>
        <w:sectPr>
          <w:pgSz w:w="11910" w:h="16840"/>
          <w:pgMar w:header="880" w:footer="979" w:top="1100" w:bottom="1160" w:left="840" w:right="0"/>
        </w:sectPr>
      </w:pPr>
    </w:p>
    <w:p>
      <w:pPr>
        <w:spacing w:line="240" w:lineRule="auto" w:before="12"/>
        <w:rPr>
          <w:rFonts w:ascii="宋体" w:hAnsi="宋体" w:cs="宋体" w:eastAsia="宋体" w:hint="default"/>
          <w:sz w:val="19"/>
          <w:szCs w:val="19"/>
        </w:rPr>
      </w:pPr>
    </w:p>
    <w:p>
      <w:pPr>
        <w:pStyle w:val="Heading3"/>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编制单位：深圳市方直科技股份有限公司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4" w:space="634"/>
            <w:col w:w="1642" w:space="3152"/>
            <w:col w:w="2108"/>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241,150,175.57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34,958,886.38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34,958,886.38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683,015.75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1,051,645.97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26,587,405.60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75,929,095.46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8,003,640.61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8,788,530.38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131,317,855.84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137,302,151.38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444,315,718.86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424,506,468.65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80,439,031.58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80,284,774.14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94,836,680.01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97,878,613.23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317,751.00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3,521,511.95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4,657,013.67</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125,450.19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367,240.32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1,027,694.65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700,582.02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179,950,368.38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184,289,914.54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624,266,087.24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608,796,383.19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15,925,517.83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14,667,719.39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1,165,160.98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732,633.00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4,055,775.08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2,066,459.38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168,826.13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432,565.67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6,021,385.77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5,141,102.09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27,336,665.79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23,040,479.53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1,782,560.20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2,582,545.87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481,866.85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618,452.61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2,264,427.05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3,200,998.48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29,601,092.84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26,241,478.01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167,831,090.00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167,831,090.00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281,747,580.52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20,141,720.27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18,819,376.62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124,698,323.79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113,704,610.89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594,418,714.58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582,102,658.03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246,279.82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452,247.15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594,664,994.40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582,554,905.18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624,266,087.24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608,796,383.19</w:t>
            </w:r>
          </w:p>
        </w:tc>
      </w:tr>
    </w:tbl>
    <w:p>
      <w:pPr>
        <w:spacing w:line="240" w:lineRule="auto" w:before="2"/>
        <w:rPr>
          <w:rFonts w:ascii="Times New Roman" w:hAnsi="Times New Roman" w:cs="Times New Roman" w:eastAsia="Times New Roman" w:hint="default"/>
          <w:sz w:val="23"/>
          <w:szCs w:val="23"/>
        </w:rPr>
      </w:pPr>
    </w:p>
    <w:p>
      <w:pPr>
        <w:tabs>
          <w:tab w:pos="3578" w:val="left" w:leader="none"/>
          <w:tab w:pos="7721"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法定代表人：黄元忠</w:t>
        <w:tab/>
      </w:r>
      <w:r>
        <w:rPr>
          <w:rFonts w:ascii="宋体" w:hAnsi="宋体" w:cs="宋体" w:eastAsia="宋体" w:hint="default"/>
          <w:spacing w:val="-1"/>
          <w:sz w:val="18"/>
          <w:szCs w:val="18"/>
        </w:rPr>
        <w:t>主管会计工作负责人：贺林英</w:t>
        <w:tab/>
        <w:t>会计机构负责人：廖晓莉</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237,728,863.75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164,014,442.50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34,642,160.63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34,642,160.63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677,744.17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1,034,874.58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26,584,427.30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75,503,395.46</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7,957,775.90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8,742,665.67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131,273,247.25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137,264,333.85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440,795,683.86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421,201,872.69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83,439,031.58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82,284,774.14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94,769,536.05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97,793,503.35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317,751.00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2,971,511.95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3,957,013.67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125,450.19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367,240.32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784,066.50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456,957.62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182,089,596.27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185,177,240.10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622,885,280.13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606,379,112.79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15,925,135.83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14,667,337.39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1,130,103.11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732,633.00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4,017,300.00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2,045,891.88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167,163.63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432,565.67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5,985,196.91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5,127,169.25</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27,224,899.48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23,005,597.19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1,782,560.20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2,582,545.87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481,866.85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618,452.61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2,264,427.05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3,200,998.48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29,489,326.53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26,206,595.67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167,831,090.00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167,831,090.00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281,747,580.52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20,141,720.27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18,819,376.62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123,675,562.81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111,774,469.98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593,395,953.60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580,172,517.12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622,885,280.13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606,379,112.79</w:t>
            </w:r>
          </w:p>
        </w:tc>
      </w:tr>
    </w:tbl>
    <w:p>
      <w:pPr>
        <w:spacing w:line="240" w:lineRule="auto" w:before="1"/>
        <w:rPr>
          <w:rFonts w:ascii="Times New Roman" w:hAnsi="Times New Roman" w:cs="Times New Roman" w:eastAsia="Times New Roman" w:hint="default"/>
          <w:sz w:val="22"/>
          <w:szCs w:val="22"/>
        </w:rPr>
      </w:pPr>
    </w:p>
    <w:p>
      <w:pPr>
        <w:pStyle w:val="Heading6"/>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107,245,103.63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100,510,607.42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107,245,103.63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100,510,607.42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108,189,810.46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98,639,390.99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40,850,440.88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34,531,178.49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1,154,661.91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858,407.79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28,785,837.20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24,312,837.81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14,967,095.75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12,795,184.57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29,817,734.94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27,903,788.80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-10,530,280.34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-3,489,909.26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10,550,067.14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3,516,533.60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3,144,320.12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1,727,902.79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9,006,391.26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3,130,686.09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5,883,209.50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3,745,855.84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154,257.44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269,646.54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13,944,893.93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8,747,758.36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1,529,232.68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1,411,194.50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69,233.54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15,416,995.13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10,089,719.32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3,306,905.91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1,589,522.05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12,110,089.22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12,110,089.22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12,316,056.55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8,822,524.60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-205,967.33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-322,327.33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12,110,089.22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12,316,056.55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8,822,524.60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-205,967.33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-322,327.33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r>
    </w:tbl>
    <w:p>
      <w:pPr>
        <w:tabs>
          <w:tab w:pos="3578" w:val="left" w:leader="none"/>
          <w:tab w:pos="7721" w:val="left" w:leader="none"/>
        </w:tabs>
        <w:spacing w:line="624" w:lineRule="auto" w:before="49"/>
        <w:ind w:left="153" w:right="122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法定代表人：黄元忠</w:t>
        <w:tab/>
      </w:r>
      <w:r>
        <w:rPr>
          <w:rFonts w:ascii="宋体" w:hAnsi="宋体" w:cs="宋体" w:eastAsia="宋体" w:hint="default"/>
          <w:spacing w:val="-1"/>
          <w:sz w:val="18"/>
          <w:szCs w:val="18"/>
        </w:rPr>
        <w:t>主管会计工作负责人：贺林英</w:t>
        <w:tab/>
        <w:t>会计机构负责人：廖晓莉</w:t>
      </w:r>
    </w:p>
    <w:p>
      <w:pPr>
        <w:pStyle w:val="Heading6"/>
        <w:spacing w:line="240" w:lineRule="auto" w:before="1"/>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107,093,148.49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100,301,819.67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40,824,964.30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34,457,864.50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1,154,399.86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858,323.60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28,432,495.30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23,939,609.09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14,129,491.34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11,685,169.07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29,817,734.94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27,903,788.80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-10,507,531.48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-3,458,138.84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10,525,394.47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3,483,392.98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3,067,864.21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1,720,515.35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9,002,986.09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3,130,686.09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5,883,209.50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3,745,855.84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154,257.44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269,646.54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15,059,925.61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10,071,230.03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1,527,502.01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1,407,931.77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57,081.48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69,041.23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16,530,346.14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11,410,120.57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3,306,909.66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1,589,494.10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13,223,436.48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9,820,626.47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13,223,436.48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9,820,626.47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13,223,436.48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9,820,626.47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6"/>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117,751,602.57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104,341,832.47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2,929,011.54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3,130,686.09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12,162,162.55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2,050,109.01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132,842,776.66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109,522,627.57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39,760,403.70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35,575,564.58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42,304,339.90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37,634,002.92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12,187,331.32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7,704,810.99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25,985,201.96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24,647,513.19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120,237,276.88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105,561,891.68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12,605,499.78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3,960,735.89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618,094,438.50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581,669,304.40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11,430,020.11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2,196,621.53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3,365.00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629,524,458.61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583,869,290.93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2,455,941.90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9,819,349.38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704,467,890.00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567,455,941.90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714,287,239.38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62,068,516.71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-130,417,948.45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228,606,577.00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4,503,442.19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233,110,019.19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609,431.09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2,985,350.57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230,124,668.62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74,674,016.49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103,667,456.06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166,476,159.08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62,808,703.02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241,150,175.57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166,476,159.08</w:t>
            </w:r>
          </w:p>
        </w:tc>
      </w:tr>
    </w:tbl>
    <w:p>
      <w:pPr>
        <w:spacing w:line="240" w:lineRule="auto" w:before="1"/>
        <w:rPr>
          <w:rFonts w:ascii="Times New Roman" w:hAnsi="Times New Roman" w:cs="Times New Roman" w:eastAsia="Times New Roman" w:hint="default"/>
          <w:sz w:val="22"/>
          <w:szCs w:val="22"/>
        </w:rPr>
      </w:pPr>
    </w:p>
    <w:p>
      <w:pPr>
        <w:pStyle w:val="Heading6"/>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117,236,261.23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104,439,463.80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2,929,011.54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3,130,686.09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11,667,015.04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1,959,636.87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131,832,287.81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109,529,786.76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39,744,524.70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35,511,475.16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41,533,028.01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36,642,967.19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12,184,461.21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7,656,497.19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25,724,369.35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23,833,172.86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119,186,383.27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103,644,112.40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12,645,904.54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5,885,674.36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618,094,438.50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581,669,304.40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11,430,020.11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2,196,621.53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3,365.00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629,524,458.61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583,869,290.93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2,455,941.90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9,756,752.38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704,467,890.00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568,455,941.90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714,224,642.38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61,068,516.71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-130,355,351.45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228,606,577.00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4,503,442.19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233,110,019.19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609,431.09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2,985,350.57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230,124,668.62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73,714,421.25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105,654,991.53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164,014,442.50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58,359,450.97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237,728,863.75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164,014,442.50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pStyle w:val="Heading6"/>
        <w:spacing w:line="352" w:lineRule="exact"/>
        <w:ind w:left="140" w:right="0"/>
        <w:jc w:val="left"/>
        <w:rPr>
          <w:b w:val="0"/>
          <w:bCs w:val="0"/>
        </w:rPr>
      </w:pPr>
      <w:r>
        <w:rPr/>
        <w:pict>
          <v:group style="position:absolute;margin-left:70.559998pt;margin-top:2.102063pt;width:700.9pt;height:.1pt;mso-position-horizontal-relative:page;mso-position-vertical-relative:paragraph;z-index:-828784"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3"/>
        <w:gridCol w:w="1181"/>
        <w:gridCol w:w="643"/>
        <w:gridCol w:w="644"/>
        <w:gridCol w:w="648"/>
        <w:gridCol w:w="1181"/>
        <w:gridCol w:w="840"/>
        <w:gridCol w:w="843"/>
        <w:gridCol w:w="842"/>
        <w:gridCol w:w="1092"/>
        <w:gridCol w:w="842"/>
        <w:gridCol w:w="1181"/>
        <w:gridCol w:w="924"/>
        <w:gridCol w:w="1183"/>
      </w:tblGrid>
      <w:tr>
        <w:trPr>
          <w:trHeight w:val="402" w:hRule="exact"/>
        </w:trPr>
        <w:tc>
          <w:tcPr>
            <w:tcW w:w="1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973" w:type="dxa"/>
            <w:vMerge/>
            <w:tcBorders>
              <w:left w:val="single" w:sz="4" w:space="0" w:color="000000"/>
              <w:right w:val="single" w:sz="4" w:space="0" w:color="000000"/>
            </w:tcBorders>
            <w:shd w:val="clear" w:color="auto" w:fill="D2D2D2"/>
          </w:tcPr>
          <w:p>
            <w:pPr/>
          </w:p>
        </w:tc>
        <w:tc>
          <w:tcPr>
            <w:tcW w:w="993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76" w:right="9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496" w:right="4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3" w:hRule="exact"/>
        </w:trPr>
        <w:tc>
          <w:tcPr>
            <w:tcW w:w="1973"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24" w:right="5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38" w:right="53" w:hanging="181"/>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35" w:right="5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24"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401"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优先股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永续债</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113,704,610.89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452,247.15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582,554,905.18</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113,704,610.89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452,247.15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582,554,905.18</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10,993,712.90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-205,967.33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12,316,056.55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-205,967.33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z w:val="18"/>
                <w:szCs w:val="18"/>
              </w:rPr>
              <w:t>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36"/>
          <w:footerReference w:type="default" r:id="rId37"/>
          <w:pgSz w:w="16840" w:h="11910" w:orient="landscape"/>
          <w:pgMar w:header="870" w:footer="979" w:top="1060" w:bottom="1160" w:left="1300" w:right="1280"/>
          <w:pgNumType w:start="97"/>
        </w:sectPr>
      </w:pP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73"/>
        <w:gridCol w:w="1181"/>
        <w:gridCol w:w="643"/>
        <w:gridCol w:w="644"/>
        <w:gridCol w:w="648"/>
        <w:gridCol w:w="1181"/>
        <w:gridCol w:w="840"/>
        <w:gridCol w:w="843"/>
        <w:gridCol w:w="842"/>
        <w:gridCol w:w="1092"/>
        <w:gridCol w:w="842"/>
        <w:gridCol w:w="1181"/>
        <w:gridCol w:w="924"/>
        <w:gridCol w:w="1183"/>
      </w:tblGrid>
      <w:tr>
        <w:trPr>
          <w:trHeight w:val="418" w:hRule="exact"/>
        </w:trPr>
        <w:tc>
          <w:tcPr>
            <w:tcW w:w="197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64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40" w:type="dxa"/>
            <w:tcBorders>
              <w:top w:val="single" w:sz="15" w:space="0" w:color="000000"/>
              <w:left w:val="single" w:sz="4" w:space="0" w:color="000000"/>
              <w:bottom w:val="single" w:sz="4" w:space="0" w:color="000000"/>
              <w:right w:val="single" w:sz="4" w:space="0" w:color="000000"/>
            </w:tcBorders>
          </w:tcPr>
          <w:p>
            <w:pPr/>
          </w:p>
        </w:tc>
        <w:tc>
          <w:tcPr>
            <w:tcW w:w="843"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-1,322,343.65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-1,322,343.65</w:t>
            </w: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z w:val="18"/>
                <w:szCs w:val="18"/>
              </w:rPr>
              <w:t>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20,141,720.27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124,698,323.79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246,279.82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594,664,994.40</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3"/>
        <w:gridCol w:w="12043"/>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73"/>
        <w:gridCol w:w="1181"/>
        <w:gridCol w:w="643"/>
        <w:gridCol w:w="644"/>
        <w:gridCol w:w="648"/>
        <w:gridCol w:w="1181"/>
        <w:gridCol w:w="840"/>
        <w:gridCol w:w="843"/>
        <w:gridCol w:w="842"/>
        <w:gridCol w:w="1092"/>
        <w:gridCol w:w="842"/>
        <w:gridCol w:w="1181"/>
        <w:gridCol w:w="924"/>
        <w:gridCol w:w="1183"/>
      </w:tblGrid>
      <w:tr>
        <w:trPr>
          <w:trHeight w:val="412" w:hRule="exact"/>
        </w:trPr>
        <w:tc>
          <w:tcPr>
            <w:tcW w:w="1973" w:type="dxa"/>
            <w:tcBorders>
              <w:top w:val="single" w:sz="15" w:space="0" w:color="000000"/>
              <w:left w:val="single" w:sz="4" w:space="0" w:color="000000"/>
              <w:bottom w:val="nil" w:sz="6" w:space="0" w:color="auto"/>
              <w:right w:val="single" w:sz="4" w:space="0" w:color="000000"/>
            </w:tcBorders>
            <w:shd w:val="clear" w:color="auto" w:fill="D2D2D2"/>
          </w:tcPr>
          <w:p>
            <w:pPr/>
          </w:p>
        </w:tc>
        <w:tc>
          <w:tcPr>
            <w:tcW w:w="9938"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24"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76" w:right="9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83"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496" w:right="4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7"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26" w:right="5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8" w:right="53" w:hanging="181"/>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5" w:right="5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24"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402"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
              <w:jc w:val="right"/>
              <w:rPr>
                <w:rFonts w:ascii="宋体" w:hAnsi="宋体" w:cs="宋体" w:eastAsia="宋体" w:hint="default"/>
                <w:sz w:val="18"/>
                <w:szCs w:val="18"/>
              </w:rPr>
            </w:pPr>
            <w:r>
              <w:rPr>
                <w:rFonts w:ascii="宋体" w:hAnsi="宋体" w:cs="宋体" w:eastAsia="宋体" w:hint="default"/>
                <w:sz w:val="18"/>
                <w:szCs w:val="18"/>
              </w:rPr>
              <w:t>优先股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
              <w:jc w:val="right"/>
              <w:rPr>
                <w:rFonts w:ascii="宋体" w:hAnsi="宋体" w:cs="宋体" w:eastAsia="宋体" w:hint="default"/>
                <w:sz w:val="18"/>
                <w:szCs w:val="18"/>
              </w:rPr>
            </w:pPr>
            <w:r>
              <w:rPr>
                <w:rFonts w:ascii="宋体" w:hAnsi="宋体" w:cs="宋体" w:eastAsia="宋体" w:hint="default"/>
                <w:sz w:val="18"/>
                <w:szCs w:val="18"/>
              </w:rPr>
              <w:t>永续债</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158,400,000.00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108,240,068.42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774,574.48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347,832,947.63</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158,400,000.00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17,837,313.97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108,240,068.42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774,574.48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347,832,947.63</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5,464,542.47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-322,327.33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234,721,957.55</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8,822,524.60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-322,327.33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z w:val="18"/>
                <w:szCs w:val="18"/>
              </w:rPr>
              <w:t>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-3,357,982.13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73"/>
        <w:gridCol w:w="1181"/>
        <w:gridCol w:w="643"/>
        <w:gridCol w:w="644"/>
        <w:gridCol w:w="648"/>
        <w:gridCol w:w="1181"/>
        <w:gridCol w:w="840"/>
        <w:gridCol w:w="843"/>
        <w:gridCol w:w="842"/>
        <w:gridCol w:w="1092"/>
        <w:gridCol w:w="842"/>
        <w:gridCol w:w="1181"/>
        <w:gridCol w:w="924"/>
        <w:gridCol w:w="1183"/>
      </w:tblGrid>
      <w:tr>
        <w:trPr>
          <w:trHeight w:val="730" w:hRule="exact"/>
        </w:trPr>
        <w:tc>
          <w:tcPr>
            <w:tcW w:w="197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3" w:type="dxa"/>
            <w:tcBorders>
              <w:top w:val="single" w:sz="15" w:space="0" w:color="000000"/>
              <w:left w:val="single" w:sz="4" w:space="0" w:color="000000"/>
              <w:bottom w:val="single" w:sz="4" w:space="0" w:color="000000"/>
              <w:right w:val="single" w:sz="4" w:space="0" w:color="000000"/>
            </w:tcBorders>
          </w:tcPr>
          <w:p>
            <w:pPr/>
          </w:p>
        </w:tc>
        <w:tc>
          <w:tcPr>
            <w:tcW w:w="644" w:type="dxa"/>
            <w:tcBorders>
              <w:top w:val="single" w:sz="15" w:space="0" w:color="000000"/>
              <w:left w:val="single" w:sz="4" w:space="0" w:color="000000"/>
              <w:bottom w:val="single" w:sz="4" w:space="0" w:color="000000"/>
              <w:right w:val="single" w:sz="4" w:space="0" w:color="000000"/>
            </w:tcBorders>
          </w:tcPr>
          <w:p>
            <w:pPr/>
          </w:p>
        </w:tc>
        <w:tc>
          <w:tcPr>
            <w:tcW w:w="64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40" w:type="dxa"/>
            <w:tcBorders>
              <w:top w:val="single" w:sz="15" w:space="0" w:color="000000"/>
              <w:left w:val="single" w:sz="4" w:space="0" w:color="000000"/>
              <w:bottom w:val="single" w:sz="4" w:space="0" w:color="000000"/>
              <w:right w:val="single" w:sz="4" w:space="0" w:color="000000"/>
            </w:tcBorders>
          </w:tcPr>
          <w:p>
            <w:pPr/>
          </w:p>
        </w:tc>
        <w:tc>
          <w:tcPr>
            <w:tcW w:w="843"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c>
          <w:tcPr>
            <w:tcW w:w="924"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z w:val="18"/>
                <w:szCs w:val="18"/>
              </w:rPr>
              <w:t>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18,819,376.62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113,704,610.89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452,247.15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582,554,905.18</w:t>
            </w:r>
          </w:p>
        </w:tc>
      </w:tr>
    </w:tbl>
    <w:p>
      <w:pPr>
        <w:spacing w:line="240" w:lineRule="auto" w:before="1"/>
        <w:rPr>
          <w:rFonts w:ascii="Times New Roman" w:hAnsi="Times New Roman" w:cs="Times New Roman" w:eastAsia="Times New Roman" w:hint="default"/>
          <w:sz w:val="22"/>
          <w:szCs w:val="22"/>
        </w:rPr>
      </w:pPr>
    </w:p>
    <w:p>
      <w:pPr>
        <w:pStyle w:val="Heading6"/>
        <w:spacing w:line="335" w:lineRule="exact"/>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2765"/>
        <w:gridCol w:w="1181"/>
        <w:gridCol w:w="1119"/>
        <w:gridCol w:w="1222"/>
        <w:gridCol w:w="1010"/>
        <w:gridCol w:w="1117"/>
        <w:gridCol w:w="1181"/>
        <w:gridCol w:w="1185"/>
      </w:tblGrid>
      <w:tr>
        <w:trPr>
          <w:trHeight w:val="404"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5"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bl>
    <w:p>
      <w:pPr>
        <w:spacing w:after="0" w:line="240" w:lineRule="auto"/>
        <w:jc w:val="left"/>
        <w:rPr>
          <w:rFonts w:ascii="宋体" w:hAnsi="宋体" w:cs="宋体" w:eastAsia="宋体" w:hint="default"/>
          <w:sz w:val="18"/>
          <w:szCs w:val="18"/>
        </w:rPr>
        <w:sectPr>
          <w:footerReference w:type="default" r:id="rId38"/>
          <w:pgSz w:w="16840" w:h="11910" w:orient="landscape"/>
          <w:pgMar w:footer="979" w:header="870" w:top="1060" w:bottom="1160" w:left="1300" w:right="1280"/>
        </w:sectPr>
      </w:pPr>
    </w:p>
    <w:p>
      <w:pPr>
        <w:spacing w:line="240" w:lineRule="auto" w:before="3"/>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922"/>
        <w:gridCol w:w="922"/>
        <w:gridCol w:w="922"/>
        <w:gridCol w:w="1181"/>
        <w:gridCol w:w="1119"/>
        <w:gridCol w:w="1222"/>
        <w:gridCol w:w="1010"/>
        <w:gridCol w:w="1117"/>
        <w:gridCol w:w="1181"/>
        <w:gridCol w:w="1183"/>
      </w:tblGrid>
      <w:tr>
        <w:trPr>
          <w:trHeight w:val="416" w:hRule="exact"/>
        </w:trPr>
        <w:tc>
          <w:tcPr>
            <w:tcW w:w="206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8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8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1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2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1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18,819,376.62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111,774,469.98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580,172,517.12</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99"/>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18,819,376.62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111,774,469.98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580,172,517.12</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23" w:right="22"/>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11,901,092.83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13,223,436.48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-1,322,343.65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-1,322,343.65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23" w:right="1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6840" w:h="11910" w:orient="landscape"/>
          <w:pgMar w:footer="979" w:header="870" w:top="1060" w:bottom="1260" w:left="1300" w:right="1280"/>
          <w:pgNumType w:start="101"/>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922"/>
        <w:gridCol w:w="922"/>
        <w:gridCol w:w="922"/>
        <w:gridCol w:w="1181"/>
        <w:gridCol w:w="1119"/>
        <w:gridCol w:w="1222"/>
        <w:gridCol w:w="1010"/>
        <w:gridCol w:w="1117"/>
        <w:gridCol w:w="1181"/>
        <w:gridCol w:w="1183"/>
      </w:tblGrid>
      <w:tr>
        <w:trPr>
          <w:trHeight w:val="377" w:hRule="exact"/>
        </w:trPr>
        <w:tc>
          <w:tcPr>
            <w:tcW w:w="20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19" w:type="dxa"/>
            <w:tcBorders>
              <w:top w:val="single" w:sz="15" w:space="0" w:color="000000"/>
              <w:left w:val="single" w:sz="4" w:space="0" w:color="000000"/>
              <w:bottom w:val="single" w:sz="4" w:space="0" w:color="000000"/>
              <w:right w:val="single" w:sz="4" w:space="0" w:color="000000"/>
            </w:tcBorders>
          </w:tcPr>
          <w:p>
            <w:pPr/>
          </w:p>
        </w:tc>
        <w:tc>
          <w:tcPr>
            <w:tcW w:w="1222" w:type="dxa"/>
            <w:tcBorders>
              <w:top w:val="single" w:sz="15" w:space="0" w:color="000000"/>
              <w:left w:val="single" w:sz="4" w:space="0" w:color="000000"/>
              <w:bottom w:val="single" w:sz="4" w:space="0" w:color="000000"/>
              <w:right w:val="single" w:sz="4" w:space="0" w:color="000000"/>
            </w:tcBorders>
          </w:tcPr>
          <w:p>
            <w:pPr/>
          </w:p>
        </w:tc>
        <w:tc>
          <w:tcPr>
            <w:tcW w:w="1010" w:type="dxa"/>
            <w:tcBorders>
              <w:top w:val="single" w:sz="15" w:space="0" w:color="000000"/>
              <w:left w:val="single" w:sz="4" w:space="0" w:color="000000"/>
              <w:bottom w:val="single" w:sz="4" w:space="0" w:color="000000"/>
              <w:right w:val="single" w:sz="4" w:space="0" w:color="000000"/>
            </w:tcBorders>
          </w:tcPr>
          <w:p>
            <w:pPr/>
          </w:p>
        </w:tc>
        <w:tc>
          <w:tcPr>
            <w:tcW w:w="111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20,141,720.27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123,675,562.81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593,395,953.60</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922"/>
        <w:gridCol w:w="922"/>
        <w:gridCol w:w="924"/>
        <w:gridCol w:w="1181"/>
        <w:gridCol w:w="1119"/>
        <w:gridCol w:w="1219"/>
        <w:gridCol w:w="1015"/>
        <w:gridCol w:w="1117"/>
        <w:gridCol w:w="1176"/>
        <w:gridCol w:w="1183"/>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60"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94" w:right="47"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9"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158,400,000.00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17,837,313.97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105,311,825.64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344,130,130.37</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62,580,990.76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17,837,313.97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105,311,825.64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344,130,130.37</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6,462,644.34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236,042,386.75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922"/>
        <w:gridCol w:w="922"/>
        <w:gridCol w:w="924"/>
        <w:gridCol w:w="1181"/>
        <w:gridCol w:w="1119"/>
        <w:gridCol w:w="1219"/>
        <w:gridCol w:w="1015"/>
        <w:gridCol w:w="1117"/>
        <w:gridCol w:w="1176"/>
        <w:gridCol w:w="1183"/>
      </w:tblGrid>
      <w:tr>
        <w:trPr>
          <w:trHeight w:val="418" w:hRule="exact"/>
        </w:trPr>
        <w:tc>
          <w:tcPr>
            <w:tcW w:w="20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19" w:type="dxa"/>
            <w:tcBorders>
              <w:top w:val="single" w:sz="15" w:space="0" w:color="000000"/>
              <w:left w:val="single" w:sz="4" w:space="0" w:color="000000"/>
              <w:bottom w:val="single" w:sz="4" w:space="0" w:color="000000"/>
              <w:right w:val="single" w:sz="4" w:space="0" w:color="000000"/>
            </w:tcBorders>
          </w:tcPr>
          <w:p>
            <w:pPr/>
          </w:p>
        </w:tc>
        <w:tc>
          <w:tcPr>
            <w:tcW w:w="1219" w:type="dxa"/>
            <w:tcBorders>
              <w:top w:val="single" w:sz="15" w:space="0" w:color="000000"/>
              <w:left w:val="single" w:sz="4" w:space="0" w:color="000000"/>
              <w:bottom w:val="single" w:sz="4" w:space="0" w:color="000000"/>
              <w:right w:val="single" w:sz="4" w:space="0" w:color="000000"/>
            </w:tcBorders>
          </w:tcPr>
          <w:p>
            <w:pPr/>
          </w:p>
        </w:tc>
        <w:tc>
          <w:tcPr>
            <w:tcW w:w="1015" w:type="dxa"/>
            <w:tcBorders>
              <w:top w:val="single" w:sz="15" w:space="0" w:color="000000"/>
              <w:left w:val="single" w:sz="4" w:space="0" w:color="000000"/>
              <w:bottom w:val="single" w:sz="4" w:space="0" w:color="000000"/>
              <w:right w:val="single" w:sz="4" w:space="0" w:color="000000"/>
            </w:tcBorders>
          </w:tcPr>
          <w:p>
            <w:pPr/>
          </w:p>
        </w:tc>
        <w:tc>
          <w:tcPr>
            <w:tcW w:w="1117"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9,820,626.47</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9,820,626.47</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9,431,090.00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219,166,589.76</w:t>
            </w: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228,597,679.76</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-3,357,982.13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982,062.65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-982,062.65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45"/>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60"/>
        <w:gridCol w:w="1181"/>
        <w:gridCol w:w="922"/>
        <w:gridCol w:w="922"/>
        <w:gridCol w:w="924"/>
        <w:gridCol w:w="1181"/>
        <w:gridCol w:w="1119"/>
        <w:gridCol w:w="1219"/>
        <w:gridCol w:w="1015"/>
        <w:gridCol w:w="1117"/>
        <w:gridCol w:w="1176"/>
        <w:gridCol w:w="1183"/>
      </w:tblGrid>
      <w:tr>
        <w:trPr>
          <w:trHeight w:val="418" w:hRule="exact"/>
        </w:trPr>
        <w:tc>
          <w:tcPr>
            <w:tcW w:w="20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19" w:type="dxa"/>
            <w:tcBorders>
              <w:top w:val="single" w:sz="15" w:space="0" w:color="000000"/>
              <w:left w:val="single" w:sz="4" w:space="0" w:color="000000"/>
              <w:bottom w:val="single" w:sz="4" w:space="0" w:color="000000"/>
              <w:right w:val="single" w:sz="4" w:space="0" w:color="000000"/>
            </w:tcBorders>
          </w:tcPr>
          <w:p>
            <w:pPr/>
          </w:p>
        </w:tc>
        <w:tc>
          <w:tcPr>
            <w:tcW w:w="1219" w:type="dxa"/>
            <w:tcBorders>
              <w:top w:val="single" w:sz="15" w:space="0" w:color="000000"/>
              <w:left w:val="single" w:sz="4" w:space="0" w:color="000000"/>
              <w:bottom w:val="single" w:sz="4" w:space="0" w:color="000000"/>
              <w:right w:val="single" w:sz="4" w:space="0" w:color="000000"/>
            </w:tcBorders>
          </w:tcPr>
          <w:p>
            <w:pPr/>
          </w:p>
        </w:tc>
        <w:tc>
          <w:tcPr>
            <w:tcW w:w="1015" w:type="dxa"/>
            <w:tcBorders>
              <w:top w:val="single" w:sz="15" w:space="0" w:color="000000"/>
              <w:left w:val="single" w:sz="4" w:space="0" w:color="000000"/>
              <w:bottom w:val="single" w:sz="4" w:space="0" w:color="000000"/>
              <w:right w:val="single" w:sz="4" w:space="0" w:color="000000"/>
            </w:tcBorders>
          </w:tcPr>
          <w:p>
            <w:pPr/>
          </w:p>
        </w:tc>
        <w:tc>
          <w:tcPr>
            <w:tcW w:w="1117"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167,831,090.00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281,747,580.52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18,819,376.62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111,774,469.98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580,172,517.12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0" w:footer="979" w:top="1060" w:bottom="1160" w:left="1300" w:right="1280"/>
        </w:sectPr>
      </w:pPr>
    </w:p>
    <w:p>
      <w:pPr>
        <w:spacing w:line="240" w:lineRule="auto" w:before="10"/>
        <w:rPr>
          <w:rFonts w:ascii="Times New Roman" w:hAnsi="Times New Roman" w:cs="Times New Roman" w:eastAsia="Times New Roman" w:hint="default"/>
          <w:sz w:val="26"/>
          <w:szCs w:val="26"/>
        </w:rPr>
      </w:pPr>
    </w:p>
    <w:p>
      <w:pPr>
        <w:pStyle w:val="Heading3"/>
        <w:spacing w:line="367" w:lineRule="exact"/>
        <w:ind w:right="0"/>
        <w:jc w:val="left"/>
        <w:rPr>
          <w:b w:val="0"/>
          <w:bCs w:val="0"/>
        </w:rPr>
      </w:pPr>
      <w:r>
        <w:rPr/>
        <w:t>三、公司基本情况</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50"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、历史沿革、注册地、组织形式和总部地址</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深圳市方直科技股份有限公司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以下简称本公司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是以黄元忠等</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位自然人和深圳市戈尔登投资有限公</w:t>
      </w:r>
    </w:p>
    <w:p>
      <w:pPr>
        <w:pStyle w:val="BodyText"/>
        <w:spacing w:line="393" w:lineRule="auto" w:before="70"/>
        <w:ind w:right="1118"/>
        <w:jc w:val="left"/>
      </w:pPr>
      <w:r>
        <w:rPr/>
        <w:t>司为发起人，由深圳市方直科技有限公司以整体变更方式设立的股份有限公司，取得注册号</w:t>
      </w:r>
      <w:r>
        <w:rPr>
          <w:w w:val="100"/>
        </w:rPr>
        <w:t> </w:t>
      </w:r>
      <w:r>
        <w:rPr>
          <w:rFonts w:ascii="Times New Roman" w:hAnsi="Times New Roman" w:cs="Times New Roman" w:eastAsia="Times New Roman" w:hint="default"/>
          <w:spacing w:val="-2"/>
        </w:rPr>
        <w:t>440301103180183</w:t>
      </w:r>
      <w:r>
        <w:rPr>
          <w:spacing w:val="-2"/>
        </w:rPr>
        <w:t>《企业法人营业执照》。</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日，本公司经深圳市市场监督管理局核准，工商营</w:t>
      </w:r>
      <w:r>
        <w:rPr>
          <w:spacing w:val="-25"/>
        </w:rPr>
        <w:t> </w:t>
      </w:r>
      <w:r>
        <w:rPr>
          <w:spacing w:val="-25"/>
        </w:rPr>
      </w:r>
      <w:r>
        <w:rPr>
          <w:spacing w:val="-3"/>
        </w:rPr>
        <w:t>业执照、组织机构代码证和税务登记证三证合一，换发统一社会信用代码为</w:t>
      </w:r>
      <w:r>
        <w:rPr>
          <w:rFonts w:ascii="Times New Roman" w:hAnsi="Times New Roman" w:cs="Times New Roman" w:eastAsia="Times New Roman" w:hint="default"/>
          <w:spacing w:val="-3"/>
        </w:rPr>
        <w:t>91440300279416467B</w:t>
      </w:r>
      <w:r>
        <w:rPr>
          <w:spacing w:val="-3"/>
        </w:rPr>
        <w:t>的《营业</w:t>
      </w:r>
      <w:r>
        <w:rPr>
          <w:spacing w:val="-9"/>
        </w:rPr>
        <w:t> </w:t>
      </w:r>
      <w:r>
        <w:rPr>
          <w:spacing w:val="-9"/>
        </w:rPr>
      </w:r>
      <w:r>
        <w:rPr/>
        <w:t>执照》。</w:t>
      </w:r>
    </w:p>
    <w:p>
      <w:pPr>
        <w:pStyle w:val="BodyText"/>
        <w:spacing w:line="386" w:lineRule="auto" w:before="58"/>
        <w:ind w:right="1127" w:firstLine="420"/>
        <w:jc w:val="both"/>
      </w:pPr>
      <w:r>
        <w:rPr>
          <w:spacing w:val="-6"/>
        </w:rPr>
        <w:t>本公司前身为深圳市方直电子科技有限公司，经深圳市人民政府办公厅以深府办复（</w:t>
      </w:r>
      <w:r>
        <w:rPr>
          <w:rFonts w:ascii="Times New Roman" w:hAnsi="Times New Roman" w:cs="Times New Roman" w:eastAsia="Times New Roman" w:hint="default"/>
          <w:spacing w:val="-6"/>
        </w:rPr>
        <w:t>1992</w:t>
      </w:r>
      <w:r>
        <w:rPr>
          <w:spacing w:val="-6"/>
        </w:rPr>
        <w:t>）</w:t>
      </w:r>
      <w:r>
        <w:rPr>
          <w:rFonts w:ascii="Times New Roman" w:hAnsi="Times New Roman" w:cs="Times New Roman" w:eastAsia="Times New Roman" w:hint="default"/>
          <w:spacing w:val="-6"/>
        </w:rPr>
        <w:t>1747</w:t>
      </w:r>
      <w:r>
        <w:rPr>
          <w:spacing w:val="-6"/>
        </w:rPr>
        <w:t>号《关</w:t>
      </w:r>
      <w:r>
        <w:rPr>
          <w:w w:val="100"/>
        </w:rPr>
        <w:t> </w:t>
      </w:r>
      <w:r>
        <w:rPr>
          <w:spacing w:val="-2"/>
        </w:rPr>
        <w:t>于成立深圳市方直电子科技有限公司的批复》批准，成立于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日，注册资本人民币</w:t>
      </w:r>
      <w:r>
        <w:rPr>
          <w:rFonts w:ascii="Times New Roman" w:hAnsi="Times New Roman" w:cs="Times New Roman" w:eastAsia="Times New Roman" w:hint="default"/>
          <w:spacing w:val="-2"/>
        </w:rPr>
        <w:t>30.00</w:t>
      </w:r>
      <w:r>
        <w:rPr>
          <w:spacing w:val="-2"/>
        </w:rPr>
        <w:t>万元，</w:t>
      </w:r>
      <w:r>
        <w:rPr>
          <w:spacing w:val="-16"/>
        </w:rPr>
        <w:t> </w:t>
      </w:r>
      <w:r>
        <w:rPr/>
        <w:t>由黄元忠、张竑天和陈克让各出资人民币</w:t>
      </w:r>
      <w:r>
        <w:rPr>
          <w:rFonts w:ascii="Times New Roman" w:hAnsi="Times New Roman" w:cs="Times New Roman" w:eastAsia="Times New Roman" w:hint="default"/>
        </w:rPr>
        <w:t>10.00</w:t>
      </w:r>
      <w:r>
        <w:rPr/>
        <w:t>万元设立。</w:t>
      </w:r>
    </w:p>
    <w:p>
      <w:pPr>
        <w:pStyle w:val="BodyText"/>
        <w:spacing w:line="398" w:lineRule="auto" w:before="35"/>
        <w:ind w:right="0" w:firstLine="420"/>
        <w:jc w:val="left"/>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日，经本公司股东会决议通过，同意张竑天将所持公司股权转让给黄晓峰；同意广州保</w:t>
      </w:r>
      <w:r>
        <w:rPr>
          <w:w w:val="100"/>
        </w:rPr>
        <w:t> </w:t>
      </w:r>
      <w:r>
        <w:rPr>
          <w:spacing w:val="-2"/>
        </w:rPr>
        <w:t>税区开特科技发展有限公司、广州保税区立诚经济发展有限公司及本公司原股东对公司进行增资，增资后</w:t>
      </w:r>
      <w:r>
        <w:rPr>
          <w:spacing w:val="-44"/>
        </w:rPr>
        <w:t> </w:t>
      </w:r>
      <w:r>
        <w:rPr>
          <w:spacing w:val="-44"/>
        </w:rPr>
      </w:r>
      <w:r>
        <w:rPr/>
        <w:t>注册资本变更为人民币</w:t>
      </w:r>
      <w:r>
        <w:rPr>
          <w:rFonts w:ascii="Times New Roman" w:hAnsi="Times New Roman" w:cs="Times New Roman" w:eastAsia="Times New Roman" w:hint="default"/>
        </w:rPr>
        <w:t>395.00</w:t>
      </w:r>
      <w:r>
        <w:rPr/>
        <w:t>万元。本公司于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日完成工商变更登记。</w:t>
      </w:r>
    </w:p>
    <w:p>
      <w:pPr>
        <w:pStyle w:val="BodyText"/>
        <w:spacing w:line="386" w:lineRule="auto" w:before="24"/>
        <w:ind w:right="0" w:firstLine="420"/>
        <w:jc w:val="left"/>
      </w:pP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日，经本公司股东会决议通过，同意深圳市菲莫斯实业发展有限公司对公司进行增资，</w:t>
      </w:r>
      <w:r>
        <w:rPr>
          <w:w w:val="100"/>
        </w:rPr>
        <w:t> </w:t>
      </w:r>
      <w:r>
        <w:rPr/>
        <w:t>增资后注册资本变更为人民币</w:t>
      </w:r>
      <w:r>
        <w:rPr>
          <w:rFonts w:ascii="Times New Roman" w:hAnsi="Times New Roman" w:cs="Times New Roman" w:eastAsia="Times New Roman" w:hint="default"/>
        </w:rPr>
        <w:t>806.12</w:t>
      </w:r>
      <w:r>
        <w:rPr/>
        <w:t>万元。本公司于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日完成工商变更登记。</w:t>
      </w:r>
    </w:p>
    <w:p>
      <w:pPr>
        <w:pStyle w:val="BodyText"/>
        <w:spacing w:line="386" w:lineRule="auto" w:before="36"/>
        <w:ind w:right="1126" w:firstLine="420"/>
        <w:jc w:val="both"/>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w:t>
      </w:r>
      <w:r>
        <w:rPr>
          <w:spacing w:val="-2"/>
        </w:rPr>
        <w:t>经深圳市福田区公证处以“（</w:t>
      </w:r>
      <w:r>
        <w:rPr>
          <w:rFonts w:ascii="Times New Roman" w:hAnsi="Times New Roman" w:cs="Times New Roman" w:eastAsia="Times New Roman" w:hint="default"/>
          <w:spacing w:val="-2"/>
        </w:rPr>
        <w:t>2000</w:t>
      </w:r>
      <w:r>
        <w:rPr>
          <w:spacing w:val="-2"/>
        </w:rPr>
        <w:t>）深福证字第</w:t>
      </w:r>
      <w:r>
        <w:rPr>
          <w:rFonts w:ascii="Times New Roman" w:hAnsi="Times New Roman" w:cs="Times New Roman" w:eastAsia="Times New Roman" w:hint="default"/>
          <w:spacing w:val="-2"/>
        </w:rPr>
        <w:t>2795</w:t>
      </w:r>
      <w:r>
        <w:rPr>
          <w:spacing w:val="-2"/>
        </w:rPr>
        <w:t>号”公证书公证，深圳市菲莫斯实业</w:t>
      </w:r>
      <w:r>
        <w:rPr>
          <w:w w:val="100"/>
        </w:rPr>
        <w:t> </w:t>
      </w:r>
      <w:r>
        <w:rPr>
          <w:spacing w:val="-3"/>
          <w:w w:val="100"/>
        </w:rPr>
        <w:t>发展有限公司将其所持公司</w:t>
      </w:r>
      <w:r>
        <w:rPr>
          <w:rFonts w:ascii="Times New Roman" w:hAnsi="Times New Roman" w:cs="Times New Roman" w:eastAsia="Times New Roman" w:hint="default"/>
          <w:spacing w:val="-3"/>
          <w:w w:val="100"/>
        </w:rPr>
        <w:t>51%</w:t>
      </w:r>
      <w:r>
        <w:rPr>
          <w:spacing w:val="-3"/>
          <w:w w:val="100"/>
        </w:rPr>
        <w:t>的股权转让给深圳市菲莫斯科技开发有限公司。本公司于</w:t>
      </w:r>
      <w:r>
        <w:rPr>
          <w:rFonts w:ascii="Times New Roman" w:hAnsi="Times New Roman" w:cs="Times New Roman" w:eastAsia="Times New Roman" w:hint="default"/>
          <w:spacing w:val="-3"/>
          <w:w w:val="100"/>
        </w:rPr>
        <w:t>2000</w:t>
      </w:r>
      <w:r>
        <w:rPr>
          <w:spacing w:val="-3"/>
          <w:w w:val="100"/>
        </w:rPr>
        <w:t>年</w:t>
      </w:r>
      <w:r>
        <w:rPr>
          <w:rFonts w:ascii="Times New Roman" w:hAnsi="Times New Roman" w:cs="Times New Roman" w:eastAsia="Times New Roman" w:hint="default"/>
          <w:spacing w:val="-3"/>
          <w:w w:val="100"/>
        </w:rPr>
        <w:t>7</w:t>
      </w:r>
      <w:r>
        <w:rPr>
          <w:spacing w:val="-3"/>
          <w:w w:val="100"/>
        </w:rPr>
        <w:t>月</w:t>
      </w:r>
      <w:r>
        <w:rPr>
          <w:rFonts w:ascii="Times New Roman" w:hAnsi="Times New Roman" w:cs="Times New Roman" w:eastAsia="Times New Roman" w:hint="default"/>
          <w:spacing w:val="-3"/>
          <w:w w:val="100"/>
        </w:rPr>
        <w:t>24</w:t>
      </w:r>
      <w:r>
        <w:rPr>
          <w:spacing w:val="-3"/>
          <w:w w:val="100"/>
        </w:rPr>
        <w:t>日完</w:t>
      </w:r>
      <w:r>
        <w:rPr>
          <w:w w:val="100"/>
        </w:rPr>
        <w:t> </w:t>
      </w:r>
      <w:r>
        <w:rPr/>
        <w:t>成工商变更登记。</w:t>
      </w:r>
    </w:p>
    <w:p>
      <w:pPr>
        <w:pStyle w:val="BodyText"/>
        <w:spacing w:line="386" w:lineRule="auto" w:before="65"/>
        <w:ind w:right="0" w:firstLine="42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月，经深圳国际高新技术产权交易所以“深高交所见（</w:t>
      </w:r>
      <w:r>
        <w:rPr>
          <w:rFonts w:ascii="Times New Roman" w:hAnsi="Times New Roman" w:cs="Times New Roman" w:eastAsia="Times New Roman" w:hint="default"/>
        </w:rPr>
        <w:t>2005</w:t>
      </w:r>
      <w:r>
        <w:rPr/>
        <w:t>）字第</w:t>
      </w:r>
      <w:r>
        <w:rPr>
          <w:rFonts w:ascii="Times New Roman" w:hAnsi="Times New Roman" w:cs="Times New Roman" w:eastAsia="Times New Roman" w:hint="default"/>
        </w:rPr>
        <w:t>2244</w:t>
      </w:r>
      <w:r>
        <w:rPr/>
        <w:t>号”《股权转让见证</w:t>
      </w:r>
      <w:r>
        <w:rPr>
          <w:w w:val="100"/>
        </w:rPr>
        <w:t> </w:t>
      </w:r>
      <w:r>
        <w:rPr>
          <w:spacing w:val="-7"/>
        </w:rPr>
        <w:t>书》见证，深圳市金汛新世纪投资发展有限公司（原名深圳市菲莫斯科技开发有限公司）将所持公司</w:t>
      </w:r>
      <w:r>
        <w:rPr>
          <w:rFonts w:ascii="Times New Roman" w:hAnsi="Times New Roman" w:cs="Times New Roman" w:eastAsia="Times New Roman" w:hint="default"/>
          <w:spacing w:val="-7"/>
        </w:rPr>
        <w:t>51.00% </w:t>
      </w:r>
      <w:r>
        <w:rPr>
          <w:spacing w:val="-2"/>
        </w:rPr>
        <w:t>的股权转让给黄晓峰。转让后黄晓峰持股</w:t>
      </w:r>
      <w:r>
        <w:rPr>
          <w:rFonts w:ascii="Times New Roman" w:hAnsi="Times New Roman" w:cs="Times New Roman" w:eastAsia="Times New Roman" w:hint="default"/>
          <w:spacing w:val="-2"/>
        </w:rPr>
        <w:t>59.06%</w:t>
      </w:r>
      <w:r>
        <w:rPr>
          <w:spacing w:val="-2"/>
        </w:rPr>
        <w:t>。本公司于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日完成工商变更登记。同年</w:t>
      </w:r>
      <w:r>
        <w:rPr>
          <w:rFonts w:ascii="Times New Roman" w:hAnsi="Times New Roman" w:cs="Times New Roman" w:eastAsia="Times New Roman" w:hint="default"/>
          <w:spacing w:val="-2"/>
        </w:rPr>
        <w:t>8</w:t>
      </w:r>
      <w:r>
        <w:rPr>
          <w:spacing w:val="-2"/>
        </w:rPr>
        <w:t>月，</w:t>
      </w:r>
      <w:r>
        <w:rPr>
          <w:spacing w:val="-17"/>
        </w:rPr>
        <w:t> </w:t>
      </w:r>
      <w:r>
        <w:rPr/>
        <w:t>公司名称变更为</w:t>
      </w:r>
      <w:r>
        <w:rPr>
          <w:rFonts w:ascii="Times New Roman" w:hAnsi="Times New Roman" w:cs="Times New Roman" w:eastAsia="Times New Roman" w:hint="default"/>
        </w:rPr>
        <w:t>“</w:t>
      </w:r>
      <w:r>
        <w:rPr/>
        <w:t>深圳市方直科技有限公司</w:t>
      </w:r>
      <w:r>
        <w:rPr>
          <w:rFonts w:ascii="Times New Roman" w:hAnsi="Times New Roman" w:cs="Times New Roman" w:eastAsia="Times New Roman" w:hint="default"/>
        </w:rPr>
        <w:t>”</w:t>
      </w:r>
      <w:r>
        <w:rPr/>
        <w:t>。</w:t>
      </w:r>
    </w:p>
    <w:p>
      <w:pPr>
        <w:pStyle w:val="BodyText"/>
        <w:spacing w:line="386" w:lineRule="auto" w:before="35"/>
        <w:ind w:right="0" w:firstLine="42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月，经深圳国际高新技术产权交易所以“深高交所见（</w:t>
      </w:r>
      <w:r>
        <w:rPr>
          <w:rFonts w:ascii="Times New Roman" w:hAnsi="Times New Roman" w:cs="Times New Roman" w:eastAsia="Times New Roman" w:hint="default"/>
        </w:rPr>
        <w:t>2006</w:t>
      </w:r>
      <w:r>
        <w:rPr/>
        <w:t>）字第</w:t>
      </w:r>
      <w:r>
        <w:rPr>
          <w:rFonts w:ascii="Times New Roman" w:hAnsi="Times New Roman" w:cs="Times New Roman" w:eastAsia="Times New Roman" w:hint="default"/>
        </w:rPr>
        <w:t>153</w:t>
      </w:r>
      <w:r>
        <w:rPr/>
        <w:t>号及</w:t>
      </w:r>
      <w:r>
        <w:rPr>
          <w:rFonts w:ascii="Times New Roman" w:hAnsi="Times New Roman" w:cs="Times New Roman" w:eastAsia="Times New Roman" w:hint="default"/>
        </w:rPr>
        <w:t>154</w:t>
      </w:r>
      <w:r>
        <w:rPr/>
        <w:t>号”《股权转</w:t>
      </w:r>
      <w:r>
        <w:rPr>
          <w:w w:val="100"/>
        </w:rPr>
        <w:t> </w:t>
      </w:r>
      <w:r>
        <w:rPr>
          <w:spacing w:val="-4"/>
        </w:rPr>
        <w:t>让见证书》见证，广州保税区开特科技发展有限公司及广州市立诚贸易有限公司</w:t>
      </w:r>
      <w:r>
        <w:rPr>
          <w:rFonts w:ascii="Times New Roman" w:hAnsi="Times New Roman" w:cs="Times New Roman" w:eastAsia="Times New Roman" w:hint="default"/>
          <w:spacing w:val="-4"/>
        </w:rPr>
        <w:t>(</w:t>
      </w:r>
      <w:r>
        <w:rPr>
          <w:spacing w:val="-4"/>
        </w:rPr>
        <w:t>原名广州保税区立诚经济</w:t>
      </w:r>
      <w:r>
        <w:rPr>
          <w:spacing w:val="-24"/>
        </w:rPr>
        <w:t> </w:t>
      </w:r>
      <w:r>
        <w:rPr>
          <w:spacing w:val="-24"/>
        </w:rPr>
      </w:r>
      <w:r>
        <w:rPr>
          <w:spacing w:val="-2"/>
        </w:rPr>
        <w:t>发展有限公司</w:t>
      </w:r>
      <w:r>
        <w:rPr>
          <w:rFonts w:ascii="Times New Roman" w:hAnsi="Times New Roman" w:cs="Times New Roman" w:eastAsia="Times New Roman" w:hint="default"/>
          <w:spacing w:val="-2"/>
        </w:rPr>
        <w:t>)</w:t>
      </w:r>
      <w:r>
        <w:rPr>
          <w:spacing w:val="-2"/>
        </w:rPr>
        <w:t>分别将所持公司</w:t>
      </w:r>
      <w:r>
        <w:rPr>
          <w:rFonts w:ascii="Times New Roman" w:hAnsi="Times New Roman" w:cs="Times New Roman" w:eastAsia="Times New Roman" w:hint="default"/>
          <w:spacing w:val="-2"/>
        </w:rPr>
        <w:t>12.41%</w:t>
      </w:r>
      <w:r>
        <w:rPr>
          <w:spacing w:val="-2"/>
        </w:rPr>
        <w:t>的股权转让给黄晓峰。转让后黄晓峰持股</w:t>
      </w:r>
      <w:r>
        <w:rPr>
          <w:rFonts w:ascii="Times New Roman" w:hAnsi="Times New Roman" w:cs="Times New Roman" w:eastAsia="Times New Roman" w:hint="default"/>
          <w:spacing w:val="-2"/>
        </w:rPr>
        <w:t>83.88%</w:t>
      </w:r>
      <w:r>
        <w:rPr>
          <w:spacing w:val="-2"/>
        </w:rPr>
        <w:t>。本公司于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19</w:t>
      </w:r>
      <w:r>
        <w:rPr/>
        <w:t>日完成工商变更登记。</w:t>
      </w:r>
    </w:p>
    <w:p>
      <w:pPr>
        <w:pStyle w:val="BodyText"/>
        <w:spacing w:line="386" w:lineRule="auto" w:before="35"/>
        <w:ind w:right="0" w:firstLine="420"/>
        <w:jc w:val="left"/>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月，经深圳国际高新技术产权交易所以“深高交所见（</w:t>
      </w:r>
      <w:r>
        <w:rPr>
          <w:rFonts w:ascii="Times New Roman" w:hAnsi="Times New Roman" w:cs="Times New Roman" w:eastAsia="Times New Roman" w:hint="default"/>
          <w:spacing w:val="-4"/>
        </w:rPr>
        <w:t>2006</w:t>
      </w:r>
      <w:r>
        <w:rPr>
          <w:spacing w:val="-4"/>
        </w:rPr>
        <w:t>）字第</w:t>
      </w:r>
      <w:r>
        <w:rPr>
          <w:rFonts w:ascii="Times New Roman" w:hAnsi="Times New Roman" w:cs="Times New Roman" w:eastAsia="Times New Roman" w:hint="default"/>
          <w:spacing w:val="-4"/>
        </w:rPr>
        <w:t>468</w:t>
      </w:r>
      <w:r>
        <w:rPr>
          <w:spacing w:val="-4"/>
        </w:rPr>
        <w:t>号”《股权转让见证书》</w:t>
      </w:r>
      <w:r>
        <w:rPr>
          <w:w w:val="100"/>
        </w:rPr>
        <w:t> </w:t>
      </w:r>
      <w:r>
        <w:rPr>
          <w:spacing w:val="-3"/>
        </w:rPr>
        <w:t>见证，黄晓峰将所持公司</w:t>
      </w:r>
      <w:r>
        <w:rPr>
          <w:rFonts w:ascii="Times New Roman" w:hAnsi="Times New Roman" w:cs="Times New Roman" w:eastAsia="Times New Roman" w:hint="default"/>
          <w:spacing w:val="-3"/>
        </w:rPr>
        <w:t>25.94%</w:t>
      </w:r>
      <w:r>
        <w:rPr>
          <w:spacing w:val="-3"/>
        </w:rPr>
        <w:t>的股权转让给黄元忠，将所持公司</w:t>
      </w:r>
      <w:r>
        <w:rPr>
          <w:rFonts w:ascii="Times New Roman" w:hAnsi="Times New Roman" w:cs="Times New Roman" w:eastAsia="Times New Roman" w:hint="default"/>
          <w:spacing w:val="-3"/>
        </w:rPr>
        <w:t>24.94%</w:t>
      </w:r>
      <w:r>
        <w:rPr>
          <w:spacing w:val="-3"/>
        </w:rPr>
        <w:t>的股权转让给陈克让，转让后黄</w:t>
      </w:r>
      <w:r>
        <w:rPr>
          <w:spacing w:val="-18"/>
        </w:rPr>
        <w:t> </w:t>
      </w:r>
      <w:r>
        <w:rPr>
          <w:spacing w:val="-18"/>
        </w:rPr>
      </w:r>
      <w:r>
        <w:rPr/>
        <w:t>晓峰持股</w:t>
      </w:r>
      <w:r>
        <w:rPr>
          <w:rFonts w:ascii="Times New Roman" w:hAnsi="Times New Roman" w:cs="Times New Roman" w:eastAsia="Times New Roman" w:hint="default"/>
        </w:rPr>
        <w:t>33.00%</w:t>
      </w:r>
      <w:r>
        <w:rPr/>
        <w:t>，黄元忠持股</w:t>
      </w:r>
      <w:r>
        <w:rPr>
          <w:rFonts w:ascii="Times New Roman" w:hAnsi="Times New Roman" w:cs="Times New Roman" w:eastAsia="Times New Roman" w:hint="default"/>
        </w:rPr>
        <w:t>34.00%</w:t>
      </w:r>
      <w:r>
        <w:rPr/>
        <w:t>，陈克让持股</w:t>
      </w:r>
      <w:r>
        <w:rPr>
          <w:rFonts w:ascii="Times New Roman" w:hAnsi="Times New Roman" w:cs="Times New Roman" w:eastAsia="Times New Roman" w:hint="default"/>
        </w:rPr>
        <w:t>33.00%</w:t>
      </w: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日完成工商变更登记。</w:t>
      </w:r>
    </w:p>
    <w:p>
      <w:pPr>
        <w:spacing w:after="0" w:line="386" w:lineRule="auto"/>
        <w:jc w:val="left"/>
        <w:sectPr>
          <w:headerReference w:type="default" r:id="rId40"/>
          <w:footerReference w:type="default" r:id="rId41"/>
          <w:pgSz w:w="11910" w:h="16840"/>
          <w:pgMar w:header="880" w:footer="979" w:top="1060" w:bottom="1160" w:left="980" w:right="0"/>
          <w:pgNumType w:start="105"/>
        </w:sectPr>
      </w:pPr>
    </w:p>
    <w:p>
      <w:pPr>
        <w:spacing w:line="240" w:lineRule="auto" w:before="12"/>
        <w:rPr>
          <w:rFonts w:ascii="宋体" w:hAnsi="宋体" w:cs="宋体" w:eastAsia="宋体" w:hint="default"/>
          <w:sz w:val="26"/>
          <w:szCs w:val="26"/>
        </w:rPr>
      </w:pPr>
    </w:p>
    <w:p>
      <w:pPr>
        <w:pStyle w:val="BodyText"/>
        <w:spacing w:line="386" w:lineRule="auto" w:before="36"/>
        <w:ind w:right="0" w:firstLine="42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日，经本公司股东会决议通过，同意黄元忠和黄晓峰分别将其</w:t>
      </w:r>
      <w:r>
        <w:rPr>
          <w:rFonts w:ascii="Times New Roman" w:hAnsi="Times New Roman" w:cs="Times New Roman" w:eastAsia="Times New Roman" w:hint="default"/>
        </w:rPr>
        <w:t>1.70%</w:t>
      </w:r>
      <w:r>
        <w:rPr/>
        <w:t>和</w:t>
      </w:r>
      <w:r>
        <w:rPr>
          <w:rFonts w:ascii="Times New Roman" w:hAnsi="Times New Roman" w:cs="Times New Roman" w:eastAsia="Times New Roman" w:hint="default"/>
        </w:rPr>
        <w:t>1.20%</w:t>
      </w:r>
      <w:r>
        <w:rPr/>
        <w:t>的股权转让</w:t>
      </w:r>
      <w:r>
        <w:rPr>
          <w:w w:val="100"/>
        </w:rPr>
        <w:t> </w:t>
      </w:r>
      <w:r>
        <w:rPr/>
        <w:t>给张文凯；黄晓峰和陈克让分别将其</w:t>
      </w:r>
      <w:r>
        <w:rPr>
          <w:rFonts w:ascii="Times New Roman" w:hAnsi="Times New Roman" w:cs="Times New Roman" w:eastAsia="Times New Roman" w:hint="default"/>
        </w:rPr>
        <w:t>2.972%</w:t>
      </w:r>
      <w:r>
        <w:rPr/>
        <w:t>和</w:t>
      </w:r>
      <w:r>
        <w:rPr>
          <w:rFonts w:ascii="Times New Roman" w:hAnsi="Times New Roman" w:cs="Times New Roman" w:eastAsia="Times New Roman" w:hint="default"/>
        </w:rPr>
        <w:t>0.70%</w:t>
      </w:r>
      <w:r>
        <w:rPr/>
        <w:t>的股权转让给孙晓玲；黄晓峰将其</w:t>
      </w:r>
      <w:r>
        <w:rPr>
          <w:rFonts w:ascii="Times New Roman" w:hAnsi="Times New Roman" w:cs="Times New Roman" w:eastAsia="Times New Roman" w:hint="default"/>
        </w:rPr>
        <w:t>0.259%</w:t>
      </w:r>
      <w:r>
        <w:rPr/>
        <w:t>的股权转让</w:t>
      </w:r>
      <w:r>
        <w:rPr>
          <w:w w:val="100"/>
        </w:rPr>
        <w:t> </w:t>
      </w:r>
      <w:r>
        <w:rPr/>
        <w:t>给吴文峰；陈克让将其</w:t>
      </w:r>
      <w:r>
        <w:rPr>
          <w:rFonts w:ascii="Times New Roman" w:hAnsi="Times New Roman" w:cs="Times New Roman" w:eastAsia="Times New Roman" w:hint="default"/>
        </w:rPr>
        <w:t>3.472%</w:t>
      </w:r>
      <w:r>
        <w:rPr/>
        <w:t>的股权转让给杨颖；并同意深圳市戈尔登投资有限公司以货币资金人民币</w:t>
      </w:r>
      <w:r>
        <w:rPr>
          <w:w w:val="100"/>
        </w:rPr>
        <w:t> </w:t>
      </w:r>
      <w:r>
        <w:rPr>
          <w:rFonts w:ascii="Times New Roman" w:hAnsi="Times New Roman" w:cs="Times New Roman" w:eastAsia="Times New Roman" w:hint="default"/>
        </w:rPr>
        <w:t>232.00</w:t>
      </w:r>
      <w:r>
        <w:rPr/>
        <w:t>万元对本公司进行增资。其中，</w:t>
      </w:r>
      <w:r>
        <w:rPr>
          <w:rFonts w:ascii="Times New Roman" w:hAnsi="Times New Roman" w:cs="Times New Roman" w:eastAsia="Times New Roman" w:hint="default"/>
        </w:rPr>
        <w:t>55.53</w:t>
      </w:r>
      <w:r>
        <w:rPr/>
        <w:t>万元为新增注册资本，其余部分</w:t>
      </w:r>
      <w:r>
        <w:rPr>
          <w:rFonts w:ascii="Times New Roman" w:hAnsi="Times New Roman" w:cs="Times New Roman" w:eastAsia="Times New Roman" w:hint="default"/>
        </w:rPr>
        <w:t>176.47</w:t>
      </w:r>
      <w:r>
        <w:rPr/>
        <w:t>万元为资本公积。深圳</w:t>
      </w:r>
      <w:r>
        <w:rPr>
          <w:w w:val="100"/>
        </w:rPr>
        <w:t> </w:t>
      </w:r>
      <w:r>
        <w:rPr/>
        <w:t>国际高新技术产权交易所分别于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日出具深高交所见（</w:t>
      </w:r>
      <w:r>
        <w:rPr>
          <w:rFonts w:ascii="Times New Roman" w:hAnsi="Times New Roman" w:cs="Times New Roman" w:eastAsia="Times New Roman" w:hint="default"/>
        </w:rPr>
        <w:t>2009</w:t>
      </w:r>
      <w:r>
        <w:rPr/>
        <w:t>）字第</w:t>
      </w:r>
      <w:r>
        <w:rPr>
          <w:rFonts w:ascii="Times New Roman" w:hAnsi="Times New Roman" w:cs="Times New Roman" w:eastAsia="Times New Roman" w:hint="default"/>
        </w:rPr>
        <w:t>03381</w:t>
      </w:r>
      <w:r>
        <w:rPr/>
        <w:t>号和</w:t>
      </w:r>
      <w:r>
        <w:rPr>
          <w:spacing w:val="-3"/>
          <w:w w:val="100"/>
        </w:rPr>
        <w:t> </w:t>
      </w:r>
      <w:r>
        <w:rPr>
          <w:spacing w:val="-2"/>
        </w:rPr>
        <w:t>深高交所见（</w:t>
      </w:r>
      <w:r>
        <w:rPr>
          <w:rFonts w:ascii="Times New Roman" w:hAnsi="Times New Roman" w:cs="Times New Roman" w:eastAsia="Times New Roman" w:hint="default"/>
          <w:spacing w:val="-2"/>
        </w:rPr>
        <w:t>2009</w:t>
      </w:r>
      <w:r>
        <w:rPr>
          <w:spacing w:val="-2"/>
        </w:rPr>
        <w:t>）字第</w:t>
      </w:r>
      <w:r>
        <w:rPr>
          <w:rFonts w:ascii="Times New Roman" w:hAnsi="Times New Roman" w:cs="Times New Roman" w:eastAsia="Times New Roman" w:hint="default"/>
          <w:spacing w:val="-2"/>
        </w:rPr>
        <w:t>03912</w:t>
      </w:r>
      <w:r>
        <w:rPr>
          <w:spacing w:val="-2"/>
        </w:rPr>
        <w:t>号《股权转让见证书》，对上述股权转让事宜予以见证。本公司于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25</w:t>
      </w:r>
      <w:r>
        <w:rPr/>
        <w:t>日完成工商变更登记</w:t>
      </w:r>
      <w:r>
        <w:rPr>
          <w:rFonts w:ascii="Times New Roman" w:hAnsi="Times New Roman" w:cs="Times New Roman" w:eastAsia="Times New Roman" w:hint="default"/>
        </w:rPr>
        <w:t>,</w:t>
      </w:r>
      <w:r>
        <w:rPr/>
        <w:t>变更后黄元忠持股</w:t>
      </w:r>
      <w:r>
        <w:rPr>
          <w:rFonts w:ascii="Times New Roman" w:hAnsi="Times New Roman" w:cs="Times New Roman" w:eastAsia="Times New Roman" w:hint="default"/>
        </w:rPr>
        <w:t>30.20%</w:t>
      </w:r>
      <w:r>
        <w:rPr/>
        <w:t>，黄晓峰持股</w:t>
      </w:r>
      <w:r>
        <w:rPr>
          <w:rFonts w:ascii="Times New Roman" w:hAnsi="Times New Roman" w:cs="Times New Roman" w:eastAsia="Times New Roman" w:hint="default"/>
        </w:rPr>
        <w:t>26.75%</w:t>
      </w:r>
      <w:r>
        <w:rPr/>
        <w:t>，陈克让持股</w:t>
      </w:r>
      <w:r>
        <w:rPr>
          <w:rFonts w:ascii="Times New Roman" w:hAnsi="Times New Roman" w:cs="Times New Roman" w:eastAsia="Times New Roman" w:hint="default"/>
        </w:rPr>
        <w:t>26.75%</w:t>
      </w:r>
      <w:r>
        <w:rPr/>
        <w:t>，孙晓玲持</w:t>
      </w:r>
      <w:r>
        <w:rPr>
          <w:w w:val="100"/>
        </w:rPr>
        <w:t> </w:t>
      </w:r>
      <w:r>
        <w:rPr>
          <w:spacing w:val="-4"/>
        </w:rPr>
        <w:t>股</w:t>
      </w:r>
      <w:r>
        <w:rPr>
          <w:rFonts w:ascii="Times New Roman" w:hAnsi="Times New Roman" w:cs="Times New Roman" w:eastAsia="Times New Roman" w:hint="default"/>
          <w:spacing w:val="-4"/>
        </w:rPr>
        <w:t>3.44%</w:t>
      </w:r>
      <w:r>
        <w:rPr>
          <w:spacing w:val="-4"/>
        </w:rPr>
        <w:t>，张文凯持股</w:t>
      </w:r>
      <w:r>
        <w:rPr>
          <w:rFonts w:ascii="Times New Roman" w:hAnsi="Times New Roman" w:cs="Times New Roman" w:eastAsia="Times New Roman" w:hint="default"/>
          <w:spacing w:val="-4"/>
        </w:rPr>
        <w:t>2.72%</w:t>
      </w:r>
      <w:r>
        <w:rPr>
          <w:spacing w:val="-4"/>
        </w:rPr>
        <w:t>，杨颖持股</w:t>
      </w:r>
      <w:r>
        <w:rPr>
          <w:rFonts w:ascii="Times New Roman" w:hAnsi="Times New Roman" w:cs="Times New Roman" w:eastAsia="Times New Roman" w:hint="default"/>
          <w:spacing w:val="-4"/>
        </w:rPr>
        <w:t>3.21%</w:t>
      </w:r>
      <w:r>
        <w:rPr>
          <w:spacing w:val="-4"/>
        </w:rPr>
        <w:t>，吴文峰持股</w:t>
      </w:r>
      <w:r>
        <w:rPr>
          <w:rFonts w:ascii="Times New Roman" w:hAnsi="Times New Roman" w:cs="Times New Roman" w:eastAsia="Times New Roman" w:hint="default"/>
          <w:spacing w:val="-4"/>
        </w:rPr>
        <w:t>0.49%</w:t>
      </w:r>
      <w:r>
        <w:rPr>
          <w:spacing w:val="-4"/>
        </w:rPr>
        <w:t>，深圳市戈尔登投资有限公司持股</w:t>
      </w:r>
      <w:r>
        <w:rPr>
          <w:rFonts w:ascii="Times New Roman" w:hAnsi="Times New Roman" w:cs="Times New Roman" w:eastAsia="Times New Roman" w:hint="default"/>
          <w:spacing w:val="-4"/>
        </w:rPr>
        <w:t>6.44%</w:t>
      </w:r>
      <w:r>
        <w:rPr>
          <w:spacing w:val="-4"/>
        </w:rPr>
        <w:t>。</w:t>
      </w:r>
    </w:p>
    <w:p>
      <w:pPr>
        <w:pStyle w:val="BodyText"/>
        <w:spacing w:line="386" w:lineRule="auto" w:before="36"/>
        <w:ind w:right="0" w:firstLine="42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日，黄元忠等</w:t>
      </w:r>
      <w:r>
        <w:rPr>
          <w:rFonts w:ascii="Times New Roman" w:hAnsi="Times New Roman" w:cs="Times New Roman" w:eastAsia="Times New Roman" w:hint="default"/>
          <w:spacing w:val="-2"/>
        </w:rPr>
        <w:t>7</w:t>
      </w:r>
      <w:r>
        <w:rPr>
          <w:spacing w:val="-2"/>
        </w:rPr>
        <w:t>位自然人和深圳市戈尔登投资有限公司签署发起人协议，本公司由有限责</w:t>
      </w:r>
      <w:r>
        <w:rPr>
          <w:w w:val="100"/>
        </w:rPr>
        <w:t> </w:t>
      </w:r>
      <w:r>
        <w:rPr/>
        <w:t>任公司整体变更为股份有限公司。本公司根据截止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日经审计的净资产折股，注册资本变更为</w:t>
      </w:r>
      <w:r>
        <w:rPr>
          <w:w w:val="100"/>
        </w:rPr>
        <w:t> </w:t>
      </w:r>
      <w:r>
        <w:rPr>
          <w:rFonts w:ascii="Times New Roman" w:hAnsi="Times New Roman" w:cs="Times New Roman" w:eastAsia="Times New Roman" w:hint="default"/>
        </w:rPr>
        <w:t>3,300.00</w:t>
      </w:r>
      <w:r>
        <w:rPr/>
        <w:t>万元。本公司于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日完成工商变更登记。</w:t>
      </w:r>
    </w:p>
    <w:p>
      <w:pPr>
        <w:pStyle w:val="BodyText"/>
        <w:spacing w:line="386" w:lineRule="auto" w:before="35"/>
        <w:ind w:right="0"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日，经本公司</w:t>
      </w:r>
      <w:r>
        <w:rPr>
          <w:rFonts w:ascii="Times New Roman" w:hAnsi="Times New Roman" w:cs="Times New Roman" w:eastAsia="Times New Roman" w:hint="default"/>
        </w:rPr>
        <w:t>2010</w:t>
      </w:r>
      <w:r>
        <w:rPr/>
        <w:t>年第二次临时股东大会决议通过，同意黄晓峰将其</w:t>
      </w:r>
      <w:r>
        <w:rPr>
          <w:rFonts w:ascii="Times New Roman" w:hAnsi="Times New Roman" w:cs="Times New Roman" w:eastAsia="Times New Roman" w:hint="default"/>
        </w:rPr>
        <w:t>5%</w:t>
      </w:r>
      <w:r>
        <w:rPr/>
        <w:t>的股权转让给平</w:t>
      </w:r>
      <w:r>
        <w:rPr>
          <w:w w:val="100"/>
        </w:rPr>
        <w:t> </w:t>
      </w:r>
      <w:r>
        <w:rPr>
          <w:spacing w:val="-4"/>
        </w:rPr>
        <w:t>安财智投资管理有限公司；陈克让将其</w:t>
      </w:r>
      <w:r>
        <w:rPr>
          <w:rFonts w:ascii="Times New Roman" w:hAnsi="Times New Roman" w:cs="Times New Roman" w:eastAsia="Times New Roman" w:hint="default"/>
          <w:spacing w:val="-4"/>
        </w:rPr>
        <w:t>5%</w:t>
      </w:r>
      <w:r>
        <w:rPr>
          <w:spacing w:val="-4"/>
        </w:rPr>
        <w:t>的股权转让给深圳市融元创业投资有限责任公司。本公司于</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日完成工商变更登记</w:t>
      </w:r>
      <w:r>
        <w:rPr>
          <w:rFonts w:ascii="Times New Roman" w:hAnsi="Times New Roman" w:cs="Times New Roman" w:eastAsia="Times New Roman" w:hint="default"/>
          <w:spacing w:val="-2"/>
        </w:rPr>
        <w:t>,</w:t>
      </w:r>
      <w:r>
        <w:rPr>
          <w:spacing w:val="-2"/>
        </w:rPr>
        <w:t>变更后黄元忠持股</w:t>
      </w:r>
      <w:r>
        <w:rPr>
          <w:rFonts w:ascii="Times New Roman" w:hAnsi="Times New Roman" w:cs="Times New Roman" w:eastAsia="Times New Roman" w:hint="default"/>
          <w:spacing w:val="-2"/>
        </w:rPr>
        <w:t>30.20%</w:t>
      </w:r>
      <w:r>
        <w:rPr>
          <w:spacing w:val="-2"/>
        </w:rPr>
        <w:t>、黄晓峰持股</w:t>
      </w:r>
      <w:r>
        <w:rPr>
          <w:rFonts w:ascii="Times New Roman" w:hAnsi="Times New Roman" w:cs="Times New Roman" w:eastAsia="Times New Roman" w:hint="default"/>
          <w:spacing w:val="-2"/>
        </w:rPr>
        <w:t>21.75%</w:t>
      </w:r>
      <w:r>
        <w:rPr>
          <w:spacing w:val="-2"/>
        </w:rPr>
        <w:t>、陈克让持股</w:t>
      </w:r>
      <w:r>
        <w:rPr>
          <w:rFonts w:ascii="Times New Roman" w:hAnsi="Times New Roman" w:cs="Times New Roman" w:eastAsia="Times New Roman" w:hint="default"/>
          <w:spacing w:val="-2"/>
        </w:rPr>
        <w:t>21.75%</w:t>
      </w:r>
      <w:r>
        <w:rPr>
          <w:spacing w:val="-2"/>
        </w:rPr>
        <w:t>、孙晓玲</w:t>
      </w:r>
      <w:r>
        <w:rPr>
          <w:spacing w:val="-28"/>
        </w:rPr>
        <w:t> </w:t>
      </w:r>
      <w:r>
        <w:rPr>
          <w:spacing w:val="-28"/>
        </w:rPr>
      </w:r>
      <w:r>
        <w:rPr>
          <w:spacing w:val="-7"/>
        </w:rPr>
        <w:t>持股</w:t>
      </w:r>
      <w:r>
        <w:rPr>
          <w:rFonts w:ascii="Times New Roman" w:hAnsi="Times New Roman" w:cs="Times New Roman" w:eastAsia="Times New Roman" w:hint="default"/>
          <w:spacing w:val="-7"/>
        </w:rPr>
        <w:t>3.44%</w:t>
      </w:r>
      <w:r>
        <w:rPr>
          <w:spacing w:val="-7"/>
        </w:rPr>
        <w:t>、张文凯持股</w:t>
      </w:r>
      <w:r>
        <w:rPr>
          <w:rFonts w:ascii="Times New Roman" w:hAnsi="Times New Roman" w:cs="Times New Roman" w:eastAsia="Times New Roman" w:hint="default"/>
          <w:spacing w:val="-7"/>
        </w:rPr>
        <w:t>2.72%</w:t>
      </w:r>
      <w:r>
        <w:rPr>
          <w:spacing w:val="-7"/>
        </w:rPr>
        <w:t>、杨颖持股</w:t>
      </w:r>
      <w:r>
        <w:rPr>
          <w:rFonts w:ascii="Times New Roman" w:hAnsi="Times New Roman" w:cs="Times New Roman" w:eastAsia="Times New Roman" w:hint="default"/>
          <w:spacing w:val="-7"/>
        </w:rPr>
        <w:t>3.21%</w:t>
      </w:r>
      <w:r>
        <w:rPr>
          <w:spacing w:val="-7"/>
        </w:rPr>
        <w:t>、吴文峰持股</w:t>
      </w:r>
      <w:r>
        <w:rPr>
          <w:rFonts w:ascii="Times New Roman" w:hAnsi="Times New Roman" w:cs="Times New Roman" w:eastAsia="Times New Roman" w:hint="default"/>
          <w:spacing w:val="-7"/>
        </w:rPr>
        <w:t>0.49%</w:t>
      </w:r>
      <w:r>
        <w:rPr>
          <w:spacing w:val="-7"/>
        </w:rPr>
        <w:t>、深圳市戈尔登投资有限公司持股</w:t>
      </w:r>
      <w:r>
        <w:rPr>
          <w:rFonts w:ascii="Times New Roman" w:hAnsi="Times New Roman" w:cs="Times New Roman" w:eastAsia="Times New Roman" w:hint="default"/>
          <w:spacing w:val="-7"/>
        </w:rPr>
        <w:t>6.44%</w:t>
      </w:r>
      <w:r>
        <w:rPr>
          <w:spacing w:val="-7"/>
        </w:rPr>
        <w:t>、</w:t>
      </w:r>
      <w:r>
        <w:rPr>
          <w:spacing w:val="-21"/>
        </w:rPr>
        <w:t> </w:t>
      </w:r>
      <w:r>
        <w:rPr/>
        <w:t>平安财智投资管理有限公司持股</w:t>
      </w:r>
      <w:r>
        <w:rPr>
          <w:rFonts w:ascii="Times New Roman" w:hAnsi="Times New Roman" w:cs="Times New Roman" w:eastAsia="Times New Roman" w:hint="default"/>
        </w:rPr>
        <w:t>5.00%</w:t>
      </w:r>
      <w:r>
        <w:rPr/>
        <w:t>、深圳市融元创业投资有限责任公司持股</w:t>
      </w:r>
      <w:r>
        <w:rPr>
          <w:rFonts w:ascii="Times New Roman" w:hAnsi="Times New Roman" w:cs="Times New Roman" w:eastAsia="Times New Roman" w:hint="default"/>
        </w:rPr>
        <w:t>5.00%</w:t>
      </w:r>
      <w:r>
        <w:rPr/>
        <w:t>。</w:t>
      </w:r>
    </w:p>
    <w:p>
      <w:pPr>
        <w:pStyle w:val="BodyText"/>
        <w:spacing w:line="386" w:lineRule="auto" w:before="35"/>
        <w:ind w:right="1104" w:firstLine="420"/>
        <w:jc w:val="both"/>
      </w:pPr>
      <w:r>
        <w:rPr>
          <w:spacing w:val="-3"/>
        </w:rPr>
        <w:t>经中国证券监督管理委员会证监许可</w:t>
      </w:r>
      <w:r>
        <w:rPr>
          <w:rFonts w:ascii="Times New Roman" w:hAnsi="Times New Roman" w:cs="Times New Roman" w:eastAsia="Times New Roman" w:hint="default"/>
          <w:spacing w:val="-3"/>
        </w:rPr>
        <w:t>[2011]901</w:t>
      </w:r>
      <w:r>
        <w:rPr>
          <w:spacing w:val="-3"/>
        </w:rPr>
        <w:t>号文核准，并经深圳证券交易所同意，本公司由主承销</w:t>
      </w:r>
      <w:r>
        <w:rPr>
          <w:w w:val="100"/>
        </w:rPr>
        <w:t> </w:t>
      </w:r>
      <w:r>
        <w:rPr>
          <w:spacing w:val="-2"/>
        </w:rPr>
        <w:t>商平安证券有限责任公司于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日向社会公众公开发行普通股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w:t>
      </w:r>
      <w:r>
        <w:rPr>
          <w:rFonts w:ascii="Times New Roman" w:hAnsi="Times New Roman" w:cs="Times New Roman" w:eastAsia="Times New Roman" w:hint="default"/>
          <w:spacing w:val="-2"/>
        </w:rPr>
        <w:t>1,100</w:t>
      </w:r>
      <w:r>
        <w:rPr>
          <w:spacing w:val="-2"/>
        </w:rPr>
        <w:t>万股，每股面值</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2"/>
        </w:rPr>
        <w:t>元，每股发行价人民币</w:t>
      </w:r>
      <w:r>
        <w:rPr>
          <w:rFonts w:ascii="Times New Roman" w:hAnsi="Times New Roman" w:cs="Times New Roman" w:eastAsia="Times New Roman" w:hint="default"/>
          <w:spacing w:val="-2"/>
        </w:rPr>
        <w:t>19.60</w:t>
      </w:r>
      <w:r>
        <w:rPr>
          <w:spacing w:val="-2"/>
        </w:rPr>
        <w:t>元。此次公开发行共募集资金</w:t>
      </w:r>
      <w:r>
        <w:rPr>
          <w:rFonts w:ascii="Times New Roman" w:hAnsi="Times New Roman" w:cs="Times New Roman" w:eastAsia="Times New Roman" w:hint="default"/>
          <w:spacing w:val="-2"/>
        </w:rPr>
        <w:t>21,560.00</w:t>
      </w:r>
      <w:r>
        <w:rPr>
          <w:spacing w:val="-2"/>
        </w:rPr>
        <w:t>万元，扣除发行费用</w:t>
      </w:r>
      <w:r>
        <w:rPr>
          <w:rFonts w:ascii="Times New Roman" w:hAnsi="Times New Roman" w:cs="Times New Roman" w:eastAsia="Times New Roman" w:hint="default"/>
          <w:spacing w:val="-2"/>
        </w:rPr>
        <w:t>29,967,169.30</w:t>
      </w:r>
      <w:r>
        <w:rPr>
          <w:spacing w:val="-2"/>
        </w:rPr>
        <w:t>元，</w:t>
      </w:r>
      <w:r>
        <w:rPr>
          <w:spacing w:val="8"/>
        </w:rPr>
        <w:t> </w:t>
      </w:r>
      <w:r>
        <w:rPr>
          <w:spacing w:val="-2"/>
        </w:rPr>
        <w:t>募集资金净额</w:t>
      </w:r>
      <w:r>
        <w:rPr>
          <w:rFonts w:ascii="Times New Roman" w:hAnsi="Times New Roman" w:cs="Times New Roman" w:eastAsia="Times New Roman" w:hint="default"/>
          <w:spacing w:val="-2"/>
        </w:rPr>
        <w:t>185,632,830.70</w:t>
      </w:r>
      <w:r>
        <w:rPr>
          <w:spacing w:val="-2"/>
        </w:rPr>
        <w:t>元，经此次发行，注册资本变更为人民币</w:t>
      </w:r>
      <w:r>
        <w:rPr>
          <w:rFonts w:ascii="Times New Roman" w:hAnsi="Times New Roman" w:cs="Times New Roman" w:eastAsia="Times New Roman" w:hint="default"/>
          <w:spacing w:val="-2"/>
        </w:rPr>
        <w:t>4,400.00</w:t>
      </w:r>
      <w:r>
        <w:rPr>
          <w:spacing w:val="-2"/>
        </w:rPr>
        <w:t>万元，此次增资业经立信大 </w:t>
      </w:r>
      <w:r>
        <w:rPr/>
        <w:t>华会计师事务所有限公司“立信大华验字</w:t>
      </w:r>
      <w:r>
        <w:rPr>
          <w:rFonts w:ascii="Times New Roman" w:hAnsi="Times New Roman" w:cs="Times New Roman" w:eastAsia="Times New Roman" w:hint="default"/>
        </w:rPr>
        <w:t>[2011]178</w:t>
      </w:r>
      <w:r>
        <w:rPr/>
        <w:t>号”验资报告验证。</w:t>
      </w:r>
    </w:p>
    <w:p>
      <w:pPr>
        <w:pStyle w:val="BodyText"/>
        <w:spacing w:line="240" w:lineRule="auto" w:before="35"/>
        <w:ind w:left="57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日，经本公司</w:t>
      </w:r>
      <w:r>
        <w:rPr>
          <w:rFonts w:ascii="Times New Roman" w:hAnsi="Times New Roman" w:cs="Times New Roman" w:eastAsia="Times New Roman" w:hint="default"/>
        </w:rPr>
        <w:t>2012</w:t>
      </w:r>
      <w:r>
        <w:rPr/>
        <w:t>年第一届董事会第二十次会议诀议、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日股东大会审议通过</w:t>
      </w:r>
    </w:p>
    <w:p>
      <w:pPr>
        <w:pStyle w:val="BodyText"/>
        <w:spacing w:line="386" w:lineRule="auto" w:before="177"/>
        <w:ind w:right="0"/>
        <w:jc w:val="left"/>
      </w:pPr>
      <w:r>
        <w:rPr>
          <w:spacing w:val="-4"/>
        </w:rPr>
        <w:t>《关于</w:t>
      </w:r>
      <w:r>
        <w:rPr>
          <w:rFonts w:ascii="Times New Roman" w:hAnsi="Times New Roman" w:cs="Times New Roman" w:eastAsia="Times New Roman" w:hint="default"/>
          <w:spacing w:val="-4"/>
        </w:rPr>
        <w:t>2011</w:t>
      </w:r>
      <w:r>
        <w:rPr>
          <w:spacing w:val="-4"/>
        </w:rPr>
        <w:t>年度利润分配及资本公积转增股本预案的议案》，本公司以</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4,400.00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万股为基数，以资本公积转增股本，向全体股东每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4,400.00</w:t>
      </w:r>
      <w:r>
        <w:rPr/>
        <w:t>万股，转增后公司总</w:t>
      </w:r>
      <w:r>
        <w:rPr>
          <w:w w:val="100"/>
        </w:rPr>
        <w:t> </w:t>
      </w:r>
      <w:r>
        <w:rPr>
          <w:spacing w:val="-6"/>
        </w:rPr>
        <w:t>股本增加至</w:t>
      </w:r>
      <w:r>
        <w:rPr>
          <w:rFonts w:ascii="Times New Roman" w:hAnsi="Times New Roman" w:cs="Times New Roman" w:eastAsia="Times New Roman" w:hint="default"/>
          <w:spacing w:val="-6"/>
        </w:rPr>
        <w:t>8,800.00</w:t>
      </w:r>
      <w:r>
        <w:rPr>
          <w:spacing w:val="-6"/>
        </w:rPr>
        <w:t>万股，注册资本变更为人民币</w:t>
      </w:r>
      <w:r>
        <w:rPr>
          <w:rFonts w:ascii="Times New Roman" w:hAnsi="Times New Roman" w:cs="Times New Roman" w:eastAsia="Times New Roman" w:hint="default"/>
          <w:spacing w:val="-6"/>
        </w:rPr>
        <w:t>8,800.00</w:t>
      </w:r>
      <w:r>
        <w:rPr>
          <w:spacing w:val="-6"/>
        </w:rPr>
        <w:t>万元，此次增资业经深圳嘉达信会计师事务所“深</w:t>
      </w:r>
      <w:r>
        <w:rPr>
          <w:spacing w:val="-16"/>
        </w:rPr>
        <w:t> </w:t>
      </w:r>
      <w:r>
        <w:rPr>
          <w:spacing w:val="-16"/>
        </w:rPr>
      </w:r>
      <w:r>
        <w:rPr/>
        <w:t>嘉达信验字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079</w:t>
      </w:r>
      <w:r>
        <w:rPr/>
        <w:t>号”验资报告验证。</w:t>
      </w:r>
    </w:p>
    <w:p>
      <w:pPr>
        <w:pStyle w:val="BodyText"/>
        <w:spacing w:line="240" w:lineRule="auto" w:before="35"/>
        <w:ind w:left="57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日，经本公司</w:t>
      </w:r>
      <w:r>
        <w:rPr>
          <w:rFonts w:ascii="Times New Roman" w:hAnsi="Times New Roman" w:cs="Times New Roman" w:eastAsia="Times New Roman" w:hint="default"/>
        </w:rPr>
        <w:t>2014</w:t>
      </w:r>
      <w:r>
        <w:rPr/>
        <w:t>年第二届董事会第十一次会议诀议、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日股东大会审议通过</w:t>
      </w:r>
    </w:p>
    <w:p>
      <w:pPr>
        <w:pStyle w:val="BodyText"/>
        <w:spacing w:line="386" w:lineRule="auto" w:before="177"/>
        <w:ind w:right="0"/>
        <w:jc w:val="left"/>
      </w:pPr>
      <w:r>
        <w:rPr/>
        <w:t>《关于</w:t>
      </w:r>
      <w:r>
        <w:rPr>
          <w:rFonts w:ascii="Times New Roman" w:hAnsi="Times New Roman" w:cs="Times New Roman" w:eastAsia="Times New Roman" w:hint="default"/>
        </w:rPr>
        <w:t>2013</w:t>
      </w:r>
      <w:r>
        <w:rPr/>
        <w:t>年度利润分配及资本公积转增股本预案的议案》，本公司以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8,800</w:t>
      </w:r>
      <w:r>
        <w:rPr>
          <w:rFonts w:ascii="Times New Roman" w:hAnsi="Times New Roman" w:cs="Times New Roman" w:eastAsia="Times New Roman" w:hint="default"/>
          <w:w w:val="100"/>
        </w:rPr>
        <w:t> </w:t>
      </w:r>
      <w:r>
        <w:rPr>
          <w:spacing w:val="-2"/>
        </w:rPr>
        <w:t>万股为基数，以资本公积转增股本，向全体股东每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股，共计转增</w:t>
      </w:r>
      <w:r>
        <w:rPr>
          <w:rFonts w:ascii="Times New Roman" w:hAnsi="Times New Roman" w:cs="Times New Roman" w:eastAsia="Times New Roman" w:hint="default"/>
          <w:spacing w:val="-2"/>
        </w:rPr>
        <w:t>7,040</w:t>
      </w:r>
      <w:r>
        <w:rPr>
          <w:spacing w:val="-2"/>
        </w:rPr>
        <w:t>万股，转增后公司总股本</w:t>
      </w:r>
      <w:r>
        <w:rPr>
          <w:spacing w:val="-18"/>
        </w:rPr>
        <w:t> </w:t>
      </w:r>
      <w:r>
        <w:rPr>
          <w:spacing w:val="-18"/>
        </w:rPr>
      </w:r>
      <w:r>
        <w:rPr>
          <w:spacing w:val="-5"/>
        </w:rPr>
        <w:t>增加至</w:t>
      </w:r>
      <w:r>
        <w:rPr>
          <w:rFonts w:ascii="Times New Roman" w:hAnsi="Times New Roman" w:cs="Times New Roman" w:eastAsia="Times New Roman" w:hint="default"/>
          <w:spacing w:val="-5"/>
        </w:rPr>
        <w:t>15,840</w:t>
      </w:r>
      <w:r>
        <w:rPr>
          <w:spacing w:val="-5"/>
        </w:rPr>
        <w:t>万股，注册资本变更为</w:t>
      </w:r>
      <w:r>
        <w:rPr>
          <w:rFonts w:ascii="Times New Roman" w:hAnsi="Times New Roman" w:cs="Times New Roman" w:eastAsia="Times New Roman" w:hint="default"/>
          <w:spacing w:val="-5"/>
        </w:rPr>
        <w:t>15,840.00</w:t>
      </w:r>
      <w:r>
        <w:rPr>
          <w:spacing w:val="-5"/>
        </w:rPr>
        <w:t>万元，此次增资业经深圳平海会计师事务所（普通合伙）“深</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left="573" w:right="0" w:hanging="420"/>
        <w:jc w:val="left"/>
      </w:pPr>
      <w:r>
        <w:rPr/>
        <w:t>平海验报字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15</w:t>
      </w:r>
      <w:r>
        <w:rPr/>
        <w:t>号”验资报告验证。</w:t>
      </w:r>
      <w:r>
        <w:rPr>
          <w:w w:val="100"/>
        </w:rPr>
        <w:t> </w:t>
      </w:r>
      <w:r>
        <w:rPr>
          <w:spacing w:val="-2"/>
        </w:rPr>
        <w:t>经中国证券监督管理委员会证监许可</w:t>
      </w:r>
      <w:r>
        <w:rPr>
          <w:rFonts w:ascii="Times New Roman" w:hAnsi="Times New Roman" w:cs="Times New Roman" w:eastAsia="Times New Roman" w:hint="default"/>
          <w:spacing w:val="-2"/>
        </w:rPr>
        <w:t>[2017]56</w:t>
      </w:r>
      <w:r>
        <w:rPr>
          <w:spacing w:val="-2"/>
        </w:rPr>
        <w:t>号文核准，并经深圳证券交易所同意，本公司由主承销</w:t>
      </w:r>
    </w:p>
    <w:p>
      <w:pPr>
        <w:pStyle w:val="BodyText"/>
        <w:spacing w:line="386" w:lineRule="auto" w:before="35"/>
        <w:ind w:right="0"/>
        <w:jc w:val="left"/>
      </w:pPr>
      <w:r>
        <w:rPr>
          <w:spacing w:val="-2"/>
        </w:rPr>
        <w:t>商平安证券有限责任公司于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日向北京嘉豪伟业投资中心（有限合伙）和前海开源基金管理有限</w:t>
      </w:r>
      <w:r>
        <w:rPr>
          <w:spacing w:val="-37"/>
        </w:rPr>
        <w:t> </w:t>
      </w:r>
      <w:r>
        <w:rPr>
          <w:spacing w:val="-37"/>
        </w:rPr>
      </w:r>
      <w:r>
        <w:rPr>
          <w:spacing w:val="-3"/>
        </w:rPr>
        <w:t>公司定向增发普通股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股票</w:t>
      </w:r>
      <w:r>
        <w:rPr>
          <w:rFonts w:ascii="Times New Roman" w:hAnsi="Times New Roman" w:cs="Times New Roman" w:eastAsia="Times New Roman" w:hint="default"/>
          <w:spacing w:val="-3"/>
        </w:rPr>
        <w:t>9,431,090</w:t>
      </w:r>
      <w:r>
        <w:rPr>
          <w:spacing w:val="-3"/>
        </w:rPr>
        <w:t>股，每股面值</w:t>
      </w:r>
      <w:r>
        <w:rPr>
          <w:rFonts w:ascii="Times New Roman" w:hAnsi="Times New Roman" w:cs="Times New Roman" w:eastAsia="Times New Roman" w:hint="default"/>
          <w:spacing w:val="-3"/>
        </w:rPr>
        <w:t>1.00</w:t>
      </w:r>
      <w:r>
        <w:rPr>
          <w:spacing w:val="-3"/>
        </w:rPr>
        <w:t>元，每股发行价人民币</w:t>
      </w:r>
      <w:r>
        <w:rPr>
          <w:rFonts w:ascii="Times New Roman" w:hAnsi="Times New Roman" w:cs="Times New Roman" w:eastAsia="Times New Roman" w:hint="default"/>
          <w:spacing w:val="-3"/>
        </w:rPr>
        <w:t>25.30</w:t>
      </w:r>
      <w:r>
        <w:rPr>
          <w:spacing w:val="-3"/>
        </w:rPr>
        <w:t>元，其中北京嘉豪伟</w:t>
      </w:r>
      <w:r>
        <w:rPr>
          <w:spacing w:val="-50"/>
        </w:rPr>
        <w:t> </w:t>
      </w:r>
      <w:r>
        <w:rPr>
          <w:spacing w:val="-50"/>
        </w:rPr>
      </w:r>
      <w:r>
        <w:rPr>
          <w:spacing w:val="-2"/>
        </w:rPr>
        <w:t>业投资中心（有限合伙）</w:t>
      </w:r>
      <w:r>
        <w:rPr>
          <w:rFonts w:ascii="Times New Roman" w:hAnsi="Times New Roman" w:cs="Times New Roman" w:eastAsia="Times New Roman" w:hint="default"/>
          <w:spacing w:val="-2"/>
        </w:rPr>
        <w:t>7,905,138</w:t>
      </w:r>
      <w:r>
        <w:rPr>
          <w:spacing w:val="-2"/>
        </w:rPr>
        <w:t>股，前海开源基金管理有限公司</w:t>
      </w:r>
      <w:r>
        <w:rPr>
          <w:rFonts w:ascii="Times New Roman" w:hAnsi="Times New Roman" w:cs="Times New Roman" w:eastAsia="Times New Roman" w:hint="default"/>
          <w:spacing w:val="-2"/>
        </w:rPr>
        <w:t>1,525,952</w:t>
      </w:r>
      <w:r>
        <w:rPr>
          <w:spacing w:val="-2"/>
        </w:rPr>
        <w:t>股。此次非公开发行共募集资</w:t>
      </w:r>
      <w:r>
        <w:rPr>
          <w:spacing w:val="-29"/>
        </w:rPr>
        <w:t> </w:t>
      </w:r>
      <w:r>
        <w:rPr>
          <w:spacing w:val="-29"/>
        </w:rPr>
      </w:r>
      <w:r>
        <w:rPr>
          <w:spacing w:val="-3"/>
        </w:rPr>
        <w:t>金</w:t>
      </w:r>
      <w:r>
        <w:rPr>
          <w:rFonts w:ascii="Times New Roman" w:hAnsi="Times New Roman" w:cs="Times New Roman" w:eastAsia="Times New Roman" w:hint="default"/>
          <w:spacing w:val="-3"/>
        </w:rPr>
        <w:t>238,606,577.00</w:t>
      </w:r>
      <w:r>
        <w:rPr>
          <w:spacing w:val="-3"/>
        </w:rPr>
        <w:t>元，扣除发行费用</w:t>
      </w:r>
      <w:r>
        <w:rPr>
          <w:rFonts w:ascii="Times New Roman" w:hAnsi="Times New Roman" w:cs="Times New Roman" w:eastAsia="Times New Roman" w:hint="default"/>
          <w:spacing w:val="-3"/>
        </w:rPr>
        <w:t>10,609,431.09</w:t>
      </w:r>
      <w:r>
        <w:rPr>
          <w:spacing w:val="-3"/>
        </w:rPr>
        <w:t>元，募集资金净额</w:t>
      </w:r>
      <w:r>
        <w:rPr>
          <w:rFonts w:ascii="Times New Roman" w:hAnsi="Times New Roman" w:cs="Times New Roman" w:eastAsia="Times New Roman" w:hint="default"/>
          <w:spacing w:val="-3"/>
        </w:rPr>
        <w:t>227,997,145.91</w:t>
      </w:r>
      <w:r>
        <w:rPr>
          <w:spacing w:val="-3"/>
        </w:rPr>
        <w:t>元，经此次发行，注册资</w:t>
      </w:r>
      <w:r>
        <w:rPr>
          <w:spacing w:val="12"/>
        </w:rPr>
        <w:t> </w:t>
      </w:r>
      <w:r>
        <w:rPr>
          <w:spacing w:val="12"/>
        </w:rPr>
      </w:r>
      <w:r>
        <w:rPr/>
        <w:t>本变更为人民币</w:t>
      </w:r>
      <w:r>
        <w:rPr>
          <w:rFonts w:ascii="Times New Roman" w:hAnsi="Times New Roman" w:cs="Times New Roman" w:eastAsia="Times New Roman" w:hint="default"/>
        </w:rPr>
        <w:t>167,831,090.00</w:t>
      </w:r>
      <w:r>
        <w:rPr/>
        <w:t>元，此次增资业经大华会计师事务所（特殊普通合伙）“大华验字</w:t>
      </w:r>
      <w:r>
        <w:rPr>
          <w:w w:val="100"/>
        </w:rPr>
        <w:t> </w:t>
      </w:r>
      <w:r>
        <w:rPr>
          <w:rFonts w:ascii="Times New Roman" w:hAnsi="Times New Roman" w:cs="Times New Roman" w:eastAsia="Times New Roman" w:hint="default"/>
        </w:rPr>
        <w:t>[2017]000151</w:t>
      </w:r>
      <w:r>
        <w:rPr/>
        <w:t>号”验资报告验证。</w:t>
      </w:r>
    </w:p>
    <w:p>
      <w:pPr>
        <w:pStyle w:val="Heading6"/>
        <w:spacing w:line="335" w:lineRule="exact"/>
        <w:ind w:left="575" w:right="0"/>
        <w:jc w:val="left"/>
        <w:rPr>
          <w:b w:val="0"/>
          <w:bCs w:val="0"/>
        </w:rPr>
      </w:pPr>
      <w:r>
        <w:rPr>
          <w:rFonts w:ascii="Times New Roman" w:hAnsi="Times New Roman" w:cs="Times New Roman" w:eastAsia="Times New Roman" w:hint="default"/>
        </w:rPr>
        <w:t>2</w:t>
      </w:r>
      <w:r>
        <w:rPr/>
        <w:t>、经营范围</w:t>
      </w:r>
      <w:r>
        <w:rPr>
          <w:b w:val="0"/>
          <w:bCs w:val="0"/>
        </w:rPr>
      </w:r>
    </w:p>
    <w:p>
      <w:pPr>
        <w:pStyle w:val="BodyText"/>
        <w:spacing w:line="408" w:lineRule="auto" w:before="169"/>
        <w:ind w:right="1126" w:firstLine="420"/>
        <w:jc w:val="both"/>
      </w:pPr>
      <w:r>
        <w:rPr>
          <w:spacing w:val="-2"/>
        </w:rPr>
        <w:t>本公司主要的经营业务包括：计算机软、硬件、网络及教育软件和教学资源的开发、销售、咨询及其</w:t>
      </w:r>
      <w:r>
        <w:rPr>
          <w:w w:val="100"/>
        </w:rPr>
        <w:t> </w:t>
      </w:r>
      <w:r>
        <w:rPr>
          <w:spacing w:val="-2"/>
        </w:rPr>
        <w:t>技术服务；电子产品的开发、销售（不含二、三类医疗器械等需许可项目）；经营进出口业务（法律、行</w:t>
      </w:r>
      <w:r>
        <w:rPr>
          <w:spacing w:val="-50"/>
        </w:rPr>
        <w:t> </w:t>
      </w:r>
      <w:r>
        <w:rPr>
          <w:spacing w:val="-50"/>
        </w:rPr>
      </w:r>
      <w:r>
        <w:rPr>
          <w:spacing w:val="-2"/>
        </w:rPr>
        <w:t>政法规、国务院决定禁止的项目除外，限制的项目须取得许可后方可经营）；投资兴办实业（具体项目另</w:t>
      </w:r>
      <w:r>
        <w:rPr>
          <w:spacing w:val="-43"/>
        </w:rPr>
        <w:t> </w:t>
      </w:r>
      <w:r>
        <w:rPr>
          <w:spacing w:val="-43"/>
        </w:rPr>
      </w:r>
      <w:r>
        <w:rPr>
          <w:spacing w:val="-2"/>
        </w:rPr>
        <w:t>行申报）；房屋租赁；出版物零售；第二类增值电信业务中的信息服务业务（仅限互联网信息服务）（凭</w:t>
      </w:r>
      <w:r>
        <w:rPr>
          <w:spacing w:val="-44"/>
        </w:rPr>
        <w:t> </w:t>
      </w:r>
      <w:r>
        <w:rPr>
          <w:spacing w:val="-44"/>
        </w:rPr>
      </w:r>
      <w:r>
        <w:rPr>
          <w:rFonts w:ascii="Times New Roman" w:hAnsi="Times New Roman" w:cs="Times New Roman" w:eastAsia="Times New Roman" w:hint="default"/>
        </w:rPr>
        <w:t>“</w:t>
      </w:r>
      <w:r>
        <w:rPr/>
        <w:t>中华人民共和国增值电信业务经营许可证粤</w:t>
      </w:r>
      <w:r>
        <w:rPr>
          <w:rFonts w:ascii="Times New Roman" w:hAnsi="Times New Roman" w:cs="Times New Roman" w:eastAsia="Times New Roman" w:hint="default"/>
        </w:rPr>
        <w:t>B2-20110094</w:t>
      </w:r>
      <w:r>
        <w:rPr/>
        <w:t>经营）。</w:t>
      </w:r>
    </w:p>
    <w:p>
      <w:pPr>
        <w:pStyle w:val="Heading6"/>
        <w:spacing w:line="313" w:lineRule="exact"/>
        <w:ind w:left="575" w:right="0"/>
        <w:jc w:val="left"/>
        <w:rPr>
          <w:b w:val="0"/>
          <w:bCs w:val="0"/>
        </w:rPr>
      </w:pPr>
      <w:r>
        <w:rPr>
          <w:rFonts w:ascii="Times New Roman" w:hAnsi="Times New Roman" w:cs="Times New Roman" w:eastAsia="Times New Roman" w:hint="default"/>
        </w:rPr>
        <w:t>3</w:t>
      </w:r>
      <w:r>
        <w:rPr/>
        <w:t>、财务报表的批准报出</w:t>
      </w:r>
      <w:r>
        <w:rPr>
          <w:b w:val="0"/>
          <w:bCs w:val="0"/>
        </w:rPr>
      </w:r>
    </w:p>
    <w:p>
      <w:pPr>
        <w:pStyle w:val="BodyText"/>
        <w:spacing w:line="386" w:lineRule="auto" w:before="169"/>
        <w:ind w:left="573" w:right="2113"/>
        <w:jc w:val="left"/>
      </w:pPr>
      <w:r>
        <w:rPr>
          <w:spacing w:val="-2"/>
        </w:rPr>
        <w:t>本财务报表业经公司董事会于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日批准报出。</w:t>
      </w:r>
      <w:r>
        <w:rPr>
          <w:spacing w:val="-54"/>
        </w:rPr>
        <w:t> </w:t>
      </w:r>
      <w:r>
        <w:rPr>
          <w:spacing w:val="-54"/>
        </w:rPr>
      </w:r>
      <w:r>
        <w:rPr/>
        <w:t>本期纳入合并财务报表范围的主体共三户，具体包括：</w:t>
      </w:r>
    </w:p>
    <w:tbl>
      <w:tblPr>
        <w:tblW w:w="0" w:type="auto"/>
        <w:jc w:val="left"/>
        <w:tblInd w:w="129" w:type="dxa"/>
        <w:tblLayout w:type="fixed"/>
        <w:tblCellMar>
          <w:top w:w="0" w:type="dxa"/>
          <w:left w:w="0" w:type="dxa"/>
          <w:bottom w:w="0" w:type="dxa"/>
          <w:right w:w="0" w:type="dxa"/>
        </w:tblCellMar>
        <w:tblLook w:val="01E0"/>
      </w:tblPr>
      <w:tblGrid>
        <w:gridCol w:w="2991"/>
        <w:gridCol w:w="1726"/>
        <w:gridCol w:w="828"/>
        <w:gridCol w:w="1558"/>
        <w:gridCol w:w="1702"/>
      </w:tblGrid>
      <w:tr>
        <w:trPr>
          <w:trHeight w:val="341" w:hRule="exact"/>
        </w:trPr>
        <w:tc>
          <w:tcPr>
            <w:tcW w:w="2991" w:type="dxa"/>
            <w:tcBorders>
              <w:top w:val="nil" w:sz="6" w:space="0" w:color="auto"/>
              <w:left w:val="nil" w:sz="6" w:space="0" w:color="auto"/>
              <w:bottom w:val="single" w:sz="8" w:space="0" w:color="000000"/>
              <w:right w:val="single" w:sz="8" w:space="0" w:color="000000"/>
            </w:tcBorders>
          </w:tcPr>
          <w:p>
            <w:pPr>
              <w:pStyle w:val="TableParagraph"/>
              <w:spacing w:line="240" w:lineRule="auto" w:before="20"/>
              <w:ind w:left="25"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2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0"/>
              <w:ind w:right="401"/>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82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5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43" w:hRule="exact"/>
        </w:trPr>
        <w:tc>
          <w:tcPr>
            <w:tcW w:w="2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
              <w:ind w:left="25" w:right="0"/>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40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991" w:type="dxa"/>
            <w:tcBorders>
              <w:top w:val="single" w:sz="8" w:space="0" w:color="000000"/>
              <w:left w:val="nil" w:sz="6" w:space="0" w:color="auto"/>
              <w:bottom w:val="single" w:sz="8" w:space="0" w:color="000000"/>
              <w:right w:val="single" w:sz="8" w:space="0" w:color="000000"/>
            </w:tcBorders>
          </w:tcPr>
          <w:p>
            <w:pPr>
              <w:pStyle w:val="TableParagraph"/>
              <w:spacing w:line="269" w:lineRule="exact"/>
              <w:ind w:left="30" w:right="0"/>
              <w:jc w:val="center"/>
              <w:rPr>
                <w:rFonts w:ascii="宋体" w:hAnsi="宋体" w:cs="宋体" w:eastAsia="宋体" w:hint="default"/>
                <w:sz w:val="22"/>
                <w:szCs w:val="22"/>
              </w:rPr>
            </w:pPr>
            <w:r>
              <w:rPr>
                <w:rFonts w:ascii="宋体" w:hAnsi="宋体" w:cs="宋体" w:eastAsia="宋体" w:hint="default"/>
                <w:sz w:val="22"/>
                <w:szCs w:val="22"/>
              </w:rPr>
              <w:t>深圳市木愚科技有限公司</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40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99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
              <w:ind w:left="25" w:right="0"/>
              <w:jc w:val="center"/>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40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55</w:t>
            </w:r>
          </w:p>
        </w:tc>
      </w:tr>
    </w:tbl>
    <w:p>
      <w:pPr>
        <w:pStyle w:val="BodyText"/>
        <w:spacing w:line="408" w:lineRule="auto" w:before="66"/>
        <w:ind w:right="0" w:firstLine="420"/>
        <w:jc w:val="left"/>
      </w:pPr>
      <w:r>
        <w:rPr>
          <w:spacing w:val="-9"/>
        </w:rPr>
        <w:t>与上年相比新设增加子公司深圳市木愚科技有限公司，详见本附注“八、合并范围变化”及本附注“九、</w:t>
      </w:r>
      <w:r>
        <w:rPr>
          <w:w w:val="100"/>
        </w:rPr>
        <w:t> </w:t>
      </w:r>
      <w:r>
        <w:rPr/>
        <w:t>在其他主体中的权益”相关内容。</w:t>
      </w:r>
    </w:p>
    <w:p>
      <w:pPr>
        <w:pStyle w:val="Heading3"/>
        <w:spacing w:line="240" w:lineRule="auto" w:before="168"/>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93" w:lineRule="auto" w:before="0"/>
        <w:ind w:right="175" w:firstLine="420"/>
        <w:jc w:val="left"/>
      </w:pPr>
      <w:r>
        <w:rPr>
          <w:spacing w:val="-5"/>
        </w:rPr>
        <w:t>本公司财务报表以持续经营为基础，根据实际发生的交易和事项，按照财政部颁布的《企业会计准则》</w:t>
      </w:r>
      <w:r>
        <w:rPr>
          <w:w w:val="100"/>
        </w:rPr>
        <w:t> </w:t>
      </w:r>
      <w:r>
        <w:rPr>
          <w:spacing w:val="-2"/>
        </w:rPr>
        <w:t>及相关规定，结合中国证券监督管理委员会《公开发行证券的公司信息披露编报规则第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w:t>
      </w:r>
      <w:r>
        <w:rPr>
          <w:spacing w:val="-41"/>
        </w:rPr>
        <w:t> </w:t>
      </w:r>
      <w:r>
        <w:rPr>
          <w:spacing w:val="-41"/>
        </w:rPr>
      </w:r>
      <w:r>
        <w:rPr/>
        <w:t>的一般规定》（</w:t>
      </w:r>
      <w:r>
        <w:rPr>
          <w:rFonts w:ascii="Times New Roman" w:hAnsi="Times New Roman" w:cs="Times New Roman" w:eastAsia="Times New Roman" w:hint="default"/>
        </w:rPr>
        <w:t>2014</w:t>
      </w:r>
      <w:r>
        <w:rPr/>
        <w:t>年修订）的规定，并基于本附注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w:t>
      </w:r>
      <w:r>
        <w:rPr>
          <w:w w:val="100"/>
        </w:rPr>
        <w:t> </w:t>
      </w:r>
      <w:r>
        <w:rPr/>
        <w:t>估计编制。</w:t>
      </w:r>
    </w:p>
    <w:p>
      <w:pPr>
        <w:spacing w:after="0" w:line="393" w:lineRule="auto"/>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1118" w:firstLine="420"/>
        <w:jc w:val="left"/>
      </w:pPr>
      <w:r>
        <w:rPr>
          <w:spacing w:val="-2"/>
        </w:rPr>
        <w:t>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w:t>
      </w:r>
      <w:r>
        <w:rPr>
          <w:w w:val="100"/>
        </w:rPr>
        <w:t> </w:t>
      </w:r>
      <w:r>
        <w:rPr/>
        <w:t>情况。</w:t>
      </w: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60" w:lineRule="auto" w:before="25"/>
        <w:ind w:left="153" w:right="811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240" w:lineRule="auto" w:before="3"/>
        <w:rPr>
          <w:rFonts w:ascii="宋体" w:hAnsi="宋体" w:cs="宋体" w:eastAsia="宋体" w:hint="default"/>
          <w:sz w:val="15"/>
          <w:szCs w:val="15"/>
        </w:rPr>
      </w:pPr>
    </w:p>
    <w:p>
      <w:pPr>
        <w:spacing w:line="496" w:lineRule="auto" w:before="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本公司编制的财务报表符合企业会计准则的要求，真实、完整地反映了本公司的财务状况、经营成果</w:t>
      </w:r>
    </w:p>
    <w:p>
      <w:pPr>
        <w:pStyle w:val="BodyText"/>
        <w:spacing w:line="243" w:lineRule="exact" w:before="0"/>
        <w:ind w:right="0"/>
        <w:jc w:val="left"/>
      </w:pPr>
      <w:r>
        <w:rPr/>
        <w:t>和现金流量等有关信息。</w:t>
      </w:r>
    </w:p>
    <w:p>
      <w:pPr>
        <w:spacing w:line="240" w:lineRule="auto" w:before="9"/>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本公司营业周期为</w:t>
      </w:r>
      <w:r>
        <w:rPr>
          <w:rFonts w:ascii="Times New Roman" w:hAnsi="Times New Roman" w:cs="Times New Roman" w:eastAsia="Times New Roman" w:hint="default"/>
        </w:rPr>
        <w:t>12</w:t>
      </w:r>
      <w:r>
        <w:rPr/>
        <w:t>个月，并以营业周期作为资产和负债的流动性划分标准。</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99" w:lineRule="auto" w:before="138"/>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本公司作为合并方，在同一控制下企业合并中取得的资产和负债，在合并日按被合并方在最终控制方</w:t>
      </w:r>
    </w:p>
    <w:p>
      <w:pPr>
        <w:pStyle w:val="BodyText"/>
        <w:spacing w:line="241" w:lineRule="exact" w:before="0"/>
        <w:ind w:right="0"/>
        <w:jc w:val="left"/>
      </w:pPr>
      <w:r>
        <w:rPr/>
        <w:t>合并报表中的账面价值计量。取得的净资产账面价值与支付的合并对价账面价值的差额，调整资本公积；</w:t>
      </w:r>
    </w:p>
    <w:p>
      <w:pPr>
        <w:spacing w:line="240" w:lineRule="auto" w:before="10"/>
        <w:rPr>
          <w:rFonts w:ascii="宋体" w:hAnsi="宋体" w:cs="宋体" w:eastAsia="宋体" w:hint="default"/>
          <w:sz w:val="14"/>
          <w:szCs w:val="14"/>
        </w:rPr>
      </w:pPr>
    </w:p>
    <w:p>
      <w:pPr>
        <w:pStyle w:val="BodyText"/>
        <w:spacing w:line="408" w:lineRule="auto" w:before="0"/>
        <w:ind w:left="573" w:right="0" w:hanging="420"/>
        <w:jc w:val="left"/>
      </w:pPr>
      <w:r>
        <w:rPr/>
        <w:t>资本公积不足冲减的，调整留存收益。</w:t>
      </w:r>
      <w:r>
        <w:rPr>
          <w:w w:val="100"/>
        </w:rPr>
        <w:t> </w:t>
      </w:r>
      <w:r>
        <w:rPr>
          <w:spacing w:val="-2"/>
        </w:rPr>
        <w:t>在非同一控制下企业合并中取得的被购买方可辨认资产、负债及或有负债在收购日以公允价值计量。</w:t>
      </w:r>
    </w:p>
    <w:p>
      <w:pPr>
        <w:pStyle w:val="BodyText"/>
        <w:spacing w:line="408" w:lineRule="auto"/>
        <w:ind w:right="0"/>
        <w:jc w:val="left"/>
      </w:pPr>
      <w:r>
        <w:rPr>
          <w:spacing w:val="-2"/>
        </w:rPr>
        <w:t>合并成本为本公司在购买日为取得对被购买方的控制权而支付的现金或非现金资产、发行或承担的负债、</w:t>
      </w:r>
      <w:r>
        <w:rPr>
          <w:spacing w:val="-21"/>
        </w:rPr>
        <w:t> </w:t>
      </w:r>
      <w:r>
        <w:rPr>
          <w:spacing w:val="-21"/>
        </w:rPr>
      </w:r>
      <w:r>
        <w:rPr>
          <w:spacing w:val="-2"/>
        </w:rPr>
        <w:t>发行的权益性证券等的公允价值以及在企业合并中发生的各项直接相关费用之和（通过多次交易分步实现</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的企业合并，其合并成本为每一单项交易的成本之和）。合并成本大于合并中取得的被购买方可辨认净资</w:t>
      </w:r>
      <w:r>
        <w:rPr>
          <w:spacing w:val="-43"/>
        </w:rPr>
        <w:t> </w:t>
      </w:r>
      <w:r>
        <w:rPr>
          <w:spacing w:val="-43"/>
        </w:rPr>
      </w:r>
      <w:r>
        <w:rPr>
          <w:spacing w:val="-5"/>
        </w:rPr>
        <w:t>产公允价值份额的差额，确认为商誉；合并成本小于合并中取得的被购买方可辨认净资产公允价值份额的，</w:t>
      </w:r>
      <w:r>
        <w:rPr>
          <w:spacing w:val="-4"/>
        </w:rPr>
        <w:t> </w:t>
      </w:r>
      <w:r>
        <w:rPr>
          <w:spacing w:val="-4"/>
        </w:rPr>
      </w:r>
      <w:r>
        <w:rPr>
          <w:spacing w:val="-2"/>
        </w:rPr>
        <w:t>首先对合并中取得的各项可辨认资产、负债及或有负债的公允价值、以及合并对价的非现金资产或发行的</w:t>
      </w:r>
      <w:r>
        <w:rPr>
          <w:spacing w:val="-44"/>
        </w:rPr>
        <w:t> </w:t>
      </w:r>
      <w:r>
        <w:rPr>
          <w:spacing w:val="-44"/>
        </w:rPr>
      </w:r>
      <w:r>
        <w:rPr>
          <w:spacing w:val="-2"/>
        </w:rPr>
        <w:t>权益性证券等的公允价值进行复核，经复核后，合并成本仍小于合并中取得的被购买方可辨认净资产公允</w:t>
      </w:r>
      <w:r>
        <w:rPr>
          <w:spacing w:val="-42"/>
        </w:rPr>
        <w:t> </w:t>
      </w:r>
      <w:r>
        <w:rPr>
          <w:spacing w:val="-42"/>
        </w:rPr>
      </w:r>
      <w:r>
        <w:rPr/>
        <w:t>价值份额的，将其差额计入合并当期营业外收入。</w:t>
      </w:r>
    </w:p>
    <w:p>
      <w:pPr>
        <w:spacing w:line="240" w:lineRule="auto" w:before="6"/>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本公司合并财务报表的合并范围以控制为基础确定，所有子公司（包括本公司所控制的单独主体）均</w:t>
      </w:r>
    </w:p>
    <w:p>
      <w:pPr>
        <w:pStyle w:val="BodyText"/>
        <w:spacing w:line="240" w:lineRule="auto" w:before="65"/>
        <w:ind w:right="0"/>
        <w:jc w:val="left"/>
      </w:pPr>
      <w:r>
        <w:rPr/>
        <w:t>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本公司以自身和各子公司的财务报表为基础，根据其他有关资料，编制合并财务报表。本公司编制合</w:t>
      </w:r>
    </w:p>
    <w:p>
      <w:pPr>
        <w:pStyle w:val="BodyText"/>
        <w:spacing w:line="408" w:lineRule="auto" w:before="65"/>
        <w:ind w:right="0"/>
        <w:jc w:val="left"/>
      </w:pPr>
      <w:r>
        <w:rPr>
          <w:spacing w:val="-2"/>
        </w:rPr>
        <w:t>并财务报表，将整个企业视为一个会计主体，依据相关企业会计准则的确认、计量和列报要求，按照统一</w:t>
      </w:r>
      <w:r>
        <w:rPr>
          <w:spacing w:val="-47"/>
        </w:rPr>
        <w:t> </w:t>
      </w:r>
      <w:r>
        <w:rPr>
          <w:spacing w:val="-47"/>
        </w:rPr>
      </w:r>
      <w:r>
        <w:rPr/>
        <w:t>的会计政策，反映本公司整体财务状况、经营成果和现金流量。</w:t>
      </w:r>
    </w:p>
    <w:p>
      <w:pPr>
        <w:pStyle w:val="BodyText"/>
        <w:spacing w:line="408"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408" w:lineRule="auto" w:before="43"/>
        <w:ind w:right="112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利润表、合并现金流量表、合并股东权益变动表的影响。如果站在企业公司合并财务报表角度与以本公司</w:t>
      </w:r>
      <w:r>
        <w:rPr>
          <w:spacing w:val="-44"/>
        </w:rPr>
        <w:t> </w:t>
      </w:r>
      <w:r>
        <w:rPr>
          <w:spacing w:val="-44"/>
        </w:rPr>
      </w:r>
      <w:r>
        <w:rPr/>
        <w:t>或子公司为会计主体对同一交易的认定不同时，从企业公司的角度对该交易予以调整。</w:t>
      </w:r>
    </w:p>
    <w:p>
      <w:pPr>
        <w:pStyle w:val="BodyText"/>
        <w:spacing w:line="408" w:lineRule="auto"/>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亏损超过了少数股东在该子公司期初所有者权益中所享有份额而形成的余额，仍冲减少数股东权益。</w:t>
      </w:r>
    </w:p>
    <w:p>
      <w:pPr>
        <w:pStyle w:val="BodyText"/>
        <w:spacing w:line="408" w:lineRule="auto"/>
        <w:ind w:right="1104" w:firstLine="420"/>
        <w:jc w:val="both"/>
      </w:pPr>
      <w:r>
        <w:rPr>
          <w:spacing w:val="-2"/>
        </w:rPr>
        <w:t>对于同一控制下企业合并取得的子公司，其经营成果和现金流量自合并当期期初纳入合并财务报表。</w:t>
      </w:r>
      <w:r>
        <w:rPr>
          <w:w w:val="100"/>
        </w:rPr>
        <w:t> </w:t>
      </w:r>
      <w:r>
        <w:rPr>
          <w:spacing w:val="-2"/>
        </w:rPr>
        <w:t>编制比较合并财务报表时，对上年财务报表的相关项目进行调整，视同合并后形成的报告主体自最终控制</w:t>
      </w:r>
      <w:r>
        <w:rPr>
          <w:spacing w:val="-43"/>
        </w:rPr>
        <w:t> </w:t>
      </w:r>
      <w:r>
        <w:rPr>
          <w:spacing w:val="-43"/>
        </w:rPr>
      </w:r>
      <w:r>
        <w:rPr/>
        <w:t>方开始控制时点起一直存在。</w:t>
      </w:r>
    </w:p>
    <w:p>
      <w:pPr>
        <w:pStyle w:val="BodyText"/>
        <w:spacing w:line="408" w:lineRule="auto"/>
        <w:ind w:right="1126" w:firstLine="420"/>
        <w:jc w:val="both"/>
      </w:pPr>
      <w:r>
        <w:rPr>
          <w:spacing w:val="-2"/>
        </w:rPr>
        <w:t>对于非同一控制下企业合并取得子公司，经营成果和现金流量自本公司取得控制权之日起纳入合并财</w:t>
      </w:r>
      <w:r>
        <w:rPr>
          <w:w w:val="100"/>
        </w:rPr>
        <w:t> </w:t>
      </w:r>
      <w:r>
        <w:rPr>
          <w:spacing w:val="-2"/>
        </w:rPr>
        <w:t>务报表。在编制合并财务报表时，以购买日确定的各项可辨认资产、负债及或有负债的公允价值为基础对</w:t>
      </w:r>
      <w:r>
        <w:rPr>
          <w:spacing w:val="-43"/>
        </w:rPr>
        <w:t> </w:t>
      </w:r>
      <w:r>
        <w:rPr>
          <w:spacing w:val="-43"/>
        </w:rPr>
      </w:r>
      <w:r>
        <w:rPr/>
        <w:t>子公司的财务报表进行调整。</w:t>
      </w:r>
    </w:p>
    <w:p>
      <w:pPr>
        <w:pStyle w:val="BodyText"/>
        <w:spacing w:line="240" w:lineRule="auto"/>
        <w:ind w:left="573" w:right="0"/>
        <w:jc w:val="left"/>
      </w:pPr>
      <w:r>
        <w:rPr>
          <w:rFonts w:ascii="Times New Roman" w:hAnsi="Times New Roman" w:cs="Times New Roman" w:eastAsia="Times New Roman" w:hint="default"/>
        </w:rPr>
        <w:t>1</w:t>
      </w:r>
      <w:r>
        <w:rPr/>
        <w:t>）增加子公司或业务</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firstLine="420"/>
        <w:jc w:val="both"/>
      </w:pPr>
      <w:r>
        <w:rPr>
          <w:spacing w:val="-2"/>
        </w:rPr>
        <w:t>在报告期内，若因同一控制下企业合并增加子公司或业务的，则调整合并资产负债表的期初数；将子</w:t>
      </w:r>
      <w:r>
        <w:rPr>
          <w:w w:val="100"/>
        </w:rPr>
        <w:t> </w:t>
      </w: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408"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408" w:lineRule="auto"/>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386" w:lineRule="auto"/>
        <w:ind w:left="573" w:right="7693"/>
        <w:jc w:val="left"/>
      </w:pPr>
      <w:r>
        <w:rPr>
          <w:rFonts w:ascii="Times New Roman" w:hAnsi="Times New Roman" w:cs="Times New Roman" w:eastAsia="Times New Roman" w:hint="default"/>
          <w:spacing w:val="-2"/>
        </w:rPr>
        <w:t>2</w:t>
      </w:r>
      <w:r>
        <w:rPr>
          <w:spacing w:val="-2"/>
        </w:rPr>
        <w:t>）处置子公司或业务</w:t>
      </w:r>
      <w:r>
        <w:rPr>
          <w:spacing w:val="-86"/>
        </w:rPr>
        <w:t> </w:t>
      </w:r>
      <w:r>
        <w:rPr>
          <w:spacing w:val="-86"/>
        </w:rPr>
      </w:r>
      <w:r>
        <w:rPr>
          <w:rFonts w:ascii="Times New Roman" w:hAnsi="Times New Roman" w:cs="Times New Roman" w:eastAsia="Times New Roman" w:hint="default"/>
        </w:rPr>
        <w:t>A.</w:t>
      </w:r>
      <w:r>
        <w:rPr/>
        <w:t>一般处理方法</w:t>
      </w:r>
    </w:p>
    <w:p>
      <w:pPr>
        <w:pStyle w:val="BodyText"/>
        <w:spacing w:line="408" w:lineRule="auto" w:before="35"/>
        <w:ind w:right="1128" w:firstLine="420"/>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408" w:lineRule="auto"/>
        <w:ind w:right="112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386" w:lineRule="auto"/>
        <w:ind w:left="573" w:right="0"/>
        <w:jc w:val="left"/>
      </w:pPr>
      <w:r>
        <w:rPr>
          <w:rFonts w:ascii="Times New Roman" w:hAnsi="Times New Roman" w:cs="Times New Roman" w:eastAsia="Times New Roman" w:hint="default"/>
        </w:rPr>
        <w:t>B.</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408" w:lineRule="auto" w:before="65"/>
        <w:ind w:right="1118"/>
        <w:jc w:val="left"/>
      </w:pPr>
      <w:r>
        <w:rPr>
          <w:spacing w:val="-2"/>
        </w:rPr>
        <w:t>款、条件以及经济影响符合以下一种或多种情况，通常表明应将多次交易事项作为一揽子交易进行会计处</w:t>
      </w:r>
      <w:r>
        <w:rPr>
          <w:spacing w:val="-43"/>
        </w:rPr>
        <w:t> </w:t>
      </w:r>
      <w:r>
        <w:rPr>
          <w:spacing w:val="-43"/>
        </w:rPr>
      </w:r>
      <w:r>
        <w:rPr/>
        <w:t>理：</w:t>
      </w:r>
    </w:p>
    <w:p>
      <w:pPr>
        <w:spacing w:after="0" w:line="408" w:lineRule="auto"/>
        <w:jc w:val="left"/>
        <w:sectPr>
          <w:footerReference w:type="default" r:id="rId42"/>
          <w:pgSz w:w="11910" w:h="16840"/>
          <w:pgMar w:footer="979" w:header="880" w:top="1100" w:bottom="1160" w:left="980" w:right="0"/>
          <w:pgNumType w:start="110"/>
        </w:sectPr>
      </w:pPr>
    </w:p>
    <w:p>
      <w:pPr>
        <w:spacing w:line="240" w:lineRule="auto" w:before="12"/>
        <w:rPr>
          <w:rFonts w:ascii="宋体" w:hAnsi="宋体" w:cs="宋体" w:eastAsia="宋体" w:hint="default"/>
          <w:sz w:val="26"/>
          <w:szCs w:val="26"/>
        </w:rPr>
      </w:pPr>
    </w:p>
    <w:p>
      <w:pPr>
        <w:pStyle w:val="BodyText"/>
        <w:spacing w:line="386" w:lineRule="auto" w:before="36"/>
        <w:ind w:left="573" w:right="2113"/>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BodyText"/>
        <w:spacing w:line="408" w:lineRule="auto" w:before="35"/>
        <w:ind w:right="1126" w:firstLine="420"/>
        <w:jc w:val="both"/>
      </w:pPr>
      <w:r>
        <w:rPr>
          <w:spacing w:val="-2"/>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42"/>
        </w:rPr>
        <w:t> </w:t>
      </w:r>
      <w:r>
        <w:rPr>
          <w:spacing w:val="-42"/>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386" w:lineRule="auto"/>
        <w:ind w:left="573" w:right="0"/>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408" w:lineRule="auto" w:before="65"/>
        <w:ind w:right="0"/>
        <w:jc w:val="left"/>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386" w:lineRule="auto"/>
        <w:ind w:left="573" w:right="0"/>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08" w:lineRule="auto" w:before="65"/>
        <w:ind w:right="0"/>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99" w:lineRule="auto" w:before="0"/>
        <w:ind w:left="573" w:right="2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本公司现金流量表之现金指库存现金以及可以随时用于支付的存款。</w:t>
      </w:r>
    </w:p>
    <w:p>
      <w:pPr>
        <w:pStyle w:val="BodyText"/>
        <w:spacing w:line="257" w:lineRule="exact" w:before="0"/>
        <w:ind w:left="573" w:right="0"/>
        <w:jc w:val="left"/>
      </w:pPr>
      <w:r>
        <w:rPr/>
        <w:t>现金流量表之现金等价物指持有期限不超过</w:t>
      </w:r>
      <w:r>
        <w:rPr>
          <w:rFonts w:ascii="Times New Roman" w:hAnsi="Times New Roman" w:cs="Times New Roman" w:eastAsia="Times New Roman" w:hint="default"/>
        </w:rPr>
        <w:t>3</w:t>
      </w:r>
      <w:r>
        <w:rPr/>
        <w:t>个月、流动性强、易于转换为已知金额现金且价值变动</w:t>
      </w:r>
    </w:p>
    <w:p>
      <w:pPr>
        <w:pStyle w:val="BodyText"/>
        <w:spacing w:line="240" w:lineRule="auto" w:before="177"/>
        <w:ind w:right="0"/>
        <w:jc w:val="left"/>
      </w:pPr>
      <w:r>
        <w:rPr/>
        <w:t>风险很小的投资。</w:t>
      </w:r>
    </w:p>
    <w:p>
      <w:pPr>
        <w:spacing w:line="240" w:lineRule="auto" w:before="9"/>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573" w:right="0"/>
        <w:jc w:val="left"/>
      </w:pP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408" w:lineRule="auto"/>
        <w:ind w:right="1126"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spacing w:line="240" w:lineRule="auto" w:before="6"/>
        <w:rPr>
          <w:rFonts w:ascii="宋体" w:hAnsi="宋体" w:cs="宋体" w:eastAsia="宋体" w:hint="default"/>
          <w:sz w:val="15"/>
          <w:szCs w:val="15"/>
        </w:rPr>
      </w:pPr>
    </w:p>
    <w:p>
      <w:pPr>
        <w:pStyle w:val="Heading6"/>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）金融工具的分类</w:t>
      </w:r>
      <w:r>
        <w:rPr>
          <w:w w:val="100"/>
        </w:rPr>
        <w:t> </w:t>
      </w:r>
      <w:r>
        <w:rPr>
          <w:spacing w:val="-2"/>
        </w:rPr>
        <w:t>本公司根据所发行金融工具的合同条款及其所反映的经济实质而非仅以法律形式，结合取得持有金融</w:t>
      </w:r>
    </w:p>
    <w:p>
      <w:pPr>
        <w:pStyle w:val="BodyText"/>
        <w:spacing w:line="408" w:lineRule="auto" w:before="65"/>
        <w:ind w:right="1126"/>
        <w:jc w:val="both"/>
      </w:pPr>
      <w:r>
        <w:rPr>
          <w:spacing w:val="-2"/>
        </w:rPr>
        <w:t>资产和承担金融负债的目的，在初始确认时将金融资产和金融负债分为不同类别：以公允价值计量且其变</w:t>
      </w:r>
      <w:r>
        <w:rPr>
          <w:spacing w:val="-43"/>
        </w:rPr>
        <w:t> </w:t>
      </w:r>
      <w:r>
        <w:rPr>
          <w:spacing w:val="-43"/>
        </w:rPr>
      </w:r>
      <w:r>
        <w:rPr>
          <w:spacing w:val="-2"/>
        </w:rPr>
        <w:t>动计入当期损益的金融资产（或金融负债）；持有至到期投资；应收款项；可供出售金融资产；其他金融</w:t>
      </w:r>
      <w:r>
        <w:rPr>
          <w:spacing w:val="-42"/>
        </w:rPr>
        <w:t> </w:t>
      </w:r>
      <w:r>
        <w:rPr>
          <w:spacing w:val="-42"/>
        </w:rPr>
      </w:r>
      <w:r>
        <w:rPr/>
        <w:t>负债等。</w:t>
      </w:r>
    </w:p>
    <w:p>
      <w:pPr>
        <w:pStyle w:val="BodyText"/>
        <w:spacing w:line="386" w:lineRule="auto"/>
        <w:ind w:left="573" w:right="1118"/>
        <w:jc w:val="left"/>
      </w:pPr>
      <w:r>
        <w:rPr/>
        <w:t>（</w:t>
      </w:r>
      <w:r>
        <w:rPr>
          <w:rFonts w:ascii="Times New Roman" w:hAnsi="Times New Roman" w:cs="Times New Roman" w:eastAsia="Times New Roman" w:hint="default"/>
        </w:rPr>
        <w:t>2</w:t>
      </w:r>
      <w:r>
        <w:rPr/>
        <w:t>）金融工具的确认依据和计量方法</w:t>
      </w:r>
      <w:r>
        <w:rPr>
          <w:w w:val="100"/>
        </w:rPr>
        <w:t> </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以公允价值计量且其变动计入当期损益的金融资产或金融负债，包括交易性金融资产或金融负债和直</w:t>
      </w:r>
    </w:p>
    <w:p>
      <w:pPr>
        <w:pStyle w:val="BodyText"/>
        <w:spacing w:line="400" w:lineRule="auto" w:before="62"/>
        <w:ind w:left="573" w:right="0" w:hanging="420"/>
        <w:jc w:val="left"/>
      </w:pPr>
      <w:r>
        <w:rPr/>
        <w:t>接指定为以公允价值计量且其变动计入当期损益的金融资产或金融负债。</w:t>
      </w:r>
      <w:r>
        <w:rPr>
          <w:w w:val="100"/>
        </w:rPr>
        <w:t> </w:t>
      </w:r>
      <w:r>
        <w:rPr/>
        <w:t>交易性金融资产或金融负债是指满足下列条件之一的金融资产或金融负债：</w:t>
      </w:r>
      <w:r>
        <w:rPr>
          <w:w w:val="100"/>
        </w:rPr>
        <w:t> </w:t>
      </w:r>
      <w:r>
        <w:rPr>
          <w:rFonts w:ascii="Times New Roman" w:hAnsi="Times New Roman" w:cs="Times New Roman" w:eastAsia="Times New Roman" w:hint="default"/>
        </w:rPr>
        <w:t>A.</w:t>
      </w:r>
      <w:r>
        <w:rPr/>
        <w:t>取得该金融资产或金融负债的目的是为了在短期内出售、回购或赎回；</w:t>
      </w:r>
      <w:r>
        <w:rPr>
          <w:w w:val="100"/>
        </w:rPr>
        <w:t> </w:t>
      </w:r>
      <w:r>
        <w:rPr>
          <w:rFonts w:ascii="Times New Roman" w:hAnsi="Times New Roman" w:cs="Times New Roman" w:eastAsia="Times New Roman" w:hint="default"/>
          <w:spacing w:val="-2"/>
        </w:rPr>
        <w:t>B.</w:t>
      </w:r>
      <w:r>
        <w:rPr>
          <w:spacing w:val="-2"/>
        </w:rPr>
        <w:t>属于进行集中管理的可辨认金融工具组合的一部分，且有客观证据表明本公司近期采用短期获利方</w:t>
      </w:r>
    </w:p>
    <w:p>
      <w:pPr>
        <w:pStyle w:val="BodyText"/>
        <w:spacing w:line="240" w:lineRule="auto" w:before="21"/>
        <w:ind w:right="0"/>
        <w:jc w:val="both"/>
      </w:pPr>
      <w:r>
        <w:rPr/>
        <w:t>式对该组合进行管理；</w:t>
      </w:r>
    </w:p>
    <w:p>
      <w:pPr>
        <w:spacing w:line="240" w:lineRule="auto" w:before="10"/>
        <w:rPr>
          <w:rFonts w:ascii="宋体" w:hAnsi="宋体" w:cs="宋体" w:eastAsia="宋体" w:hint="default"/>
          <w:sz w:val="14"/>
          <w:szCs w:val="14"/>
        </w:rPr>
      </w:pPr>
    </w:p>
    <w:p>
      <w:pPr>
        <w:pStyle w:val="BodyText"/>
        <w:spacing w:line="398" w:lineRule="auto" w:before="0"/>
        <w:ind w:right="1118" w:firstLine="420"/>
        <w:jc w:val="left"/>
      </w:pPr>
      <w:r>
        <w:rPr>
          <w:rFonts w:ascii="Times New Roman" w:hAnsi="Times New Roman" w:cs="Times New Roman" w:eastAsia="Times New Roman" w:hint="default"/>
          <w:spacing w:val="-2"/>
        </w:rPr>
        <w:t>C.</w:t>
      </w:r>
      <w:r>
        <w:rPr>
          <w:spacing w:val="-2"/>
        </w:rPr>
        <w:t>属于衍生金融工具，但是被指定为有效套期工具的衍生工具、属于财务担保合同的衍生工具、与在</w:t>
      </w:r>
      <w:r>
        <w:rPr>
          <w:w w:val="100"/>
        </w:rPr>
        <w:t> </w:t>
      </w:r>
      <w:r>
        <w:rPr/>
        <w:t>活跃市场中没有报价且其公允价值不能可靠计量的权益工具投资挂钩并须通过交付该权益工具结算的衍</w:t>
      </w:r>
      <w:r>
        <w:rPr>
          <w:w w:val="100"/>
        </w:rPr>
        <w:t> </w:t>
      </w:r>
      <w:r>
        <w:rPr/>
        <w:t>生工具除外。</w:t>
      </w:r>
    </w:p>
    <w:p>
      <w:pPr>
        <w:pStyle w:val="BodyText"/>
        <w:spacing w:line="408" w:lineRule="auto" w:before="54"/>
        <w:ind w:right="0" w:firstLine="420"/>
        <w:jc w:val="left"/>
      </w:pPr>
      <w:r>
        <w:rPr>
          <w:spacing w:val="-2"/>
        </w:rPr>
        <w:t>只有符合以下条件之一，金融资产或金融负债才可在初始计量时指定为以公允价值计量且其变动计入</w:t>
      </w:r>
      <w:r>
        <w:rPr>
          <w:w w:val="100"/>
        </w:rPr>
        <w:t> </w:t>
      </w:r>
      <w:r>
        <w:rPr/>
        <w:t>损益的金融资产或金融负债：</w:t>
      </w:r>
    </w:p>
    <w:p>
      <w:pPr>
        <w:pStyle w:val="BodyText"/>
        <w:spacing w:line="386" w:lineRule="auto"/>
        <w:ind w:right="0" w:firstLine="420"/>
        <w:jc w:val="left"/>
      </w:pPr>
      <w:r>
        <w:rPr>
          <w:rFonts w:ascii="Times New Roman" w:hAnsi="Times New Roman" w:cs="Times New Roman" w:eastAsia="Times New Roman" w:hint="default"/>
          <w:spacing w:val="-2"/>
        </w:rPr>
        <w:t>A.</w:t>
      </w:r>
      <w:r>
        <w:rPr>
          <w:spacing w:val="-2"/>
        </w:rPr>
        <w:t>该项指定可以消除或明显减少由于金融资产或金融负债的计量基础不同所导致的相关利得或损失</w:t>
      </w:r>
      <w:r>
        <w:rPr>
          <w:w w:val="100"/>
        </w:rPr>
        <w:t> </w:t>
      </w:r>
      <w:r>
        <w:rPr/>
        <w:t>在确认或计量方面不一致的情况；</w:t>
      </w:r>
    </w:p>
    <w:p>
      <w:pPr>
        <w:pStyle w:val="BodyText"/>
        <w:spacing w:line="240" w:lineRule="auto" w:before="65"/>
        <w:ind w:left="573" w:right="0"/>
        <w:jc w:val="left"/>
      </w:pPr>
      <w:r>
        <w:rPr>
          <w:rFonts w:ascii="Times New Roman" w:hAnsi="Times New Roman" w:cs="Times New Roman" w:eastAsia="Times New Roman" w:hint="default"/>
        </w:rPr>
        <w:t>B.</w:t>
      </w:r>
      <w:r>
        <w:rPr/>
        <w:t>风险管理或投资策略的正式书面文件已载明，该金融资产组合、该金融负债组合、或该金融资产和</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金融负债组合，以公允价值为基础进行管理、评价并向关键管理人员报告；</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rFonts w:ascii="Times New Roman" w:hAnsi="Times New Roman" w:cs="Times New Roman" w:eastAsia="Times New Roman" w:hint="default"/>
          <w:spacing w:val="-2"/>
        </w:rPr>
        <w:t>C.</w:t>
      </w:r>
      <w:r>
        <w:rPr>
          <w:spacing w:val="-2"/>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386" w:lineRule="auto" w:before="65"/>
        <w:ind w:right="1118" w:firstLine="420"/>
        <w:jc w:val="left"/>
      </w:pPr>
      <w:r>
        <w:rPr>
          <w:rFonts w:ascii="Times New Roman" w:hAnsi="Times New Roman" w:cs="Times New Roman" w:eastAsia="Times New Roman" w:hint="default"/>
          <w:spacing w:val="-2"/>
        </w:rPr>
        <w:t>D.</w:t>
      </w:r>
      <w:r>
        <w:rPr>
          <w:spacing w:val="-2"/>
        </w:rPr>
        <w:t>包含需要分拆但无法在取得时或后续的资产负债表日对其进行单独计量的嵌入衍生工具的混合工</w:t>
      </w:r>
      <w:r>
        <w:rPr>
          <w:w w:val="100"/>
        </w:rPr>
        <w:t> </w:t>
      </w:r>
      <w:r>
        <w:rPr/>
        <w:t>具。</w:t>
      </w:r>
    </w:p>
    <w:p>
      <w:pPr>
        <w:pStyle w:val="BodyText"/>
        <w:spacing w:line="408" w:lineRule="auto" w:before="65"/>
        <w:ind w:right="1104" w:firstLine="420"/>
        <w:jc w:val="both"/>
      </w:pPr>
      <w:r>
        <w:rPr>
          <w:spacing w:val="-2"/>
        </w:rPr>
        <w:t>本公司对以公允价值计量且其变动计入当期损益的金融资产或金融负债，在取得时以公允价值（扣除</w:t>
      </w:r>
      <w:r>
        <w:rPr>
          <w:w w:val="100"/>
        </w:rPr>
        <w:t> </w:t>
      </w:r>
      <w:r>
        <w:rPr>
          <w:spacing w:val="-2"/>
        </w:rPr>
        <w:t>已宣告但尚未发放的现金股利或已到付息期但尚未领取的债券利息）作为初始确认金额，相关的交易费用</w:t>
      </w:r>
      <w:r>
        <w:rPr>
          <w:spacing w:val="-44"/>
        </w:rPr>
        <w:t> </w:t>
      </w:r>
      <w:r>
        <w:rPr>
          <w:spacing w:val="-44"/>
        </w:rPr>
      </w:r>
      <w:r>
        <w:rPr>
          <w:spacing w:val="-2"/>
        </w:rPr>
        <w:t>计入当期损益。持有期间将取得的利息或现金股利确认为投资收益，期末将公允价值变动计入当期损益。</w:t>
      </w:r>
      <w:r>
        <w:rPr>
          <w:spacing w:val="-21"/>
        </w:rPr>
        <w:t> </w:t>
      </w:r>
      <w:r>
        <w:rPr>
          <w:spacing w:val="-21"/>
        </w:rPr>
      </w:r>
      <w:r>
        <w:rPr/>
        <w:t>处置时，其公允价值与初始入账金额之间的差额确认为投资收益，同时调整公允价值变动损益。</w:t>
      </w:r>
    </w:p>
    <w:p>
      <w:pPr>
        <w:pStyle w:val="BodyText"/>
        <w:spacing w:line="386" w:lineRule="auto"/>
        <w:ind w:left="573" w:right="2113"/>
        <w:jc w:val="left"/>
      </w:pPr>
      <w:r>
        <w:rPr>
          <w:rFonts w:ascii="Times New Roman" w:hAnsi="Times New Roman" w:cs="Times New Roman" w:eastAsia="Times New Roman" w:hint="default"/>
        </w:rPr>
        <w:t>2)</w:t>
      </w:r>
      <w:r>
        <w:rPr/>
        <w:t>应收款项</w:t>
      </w:r>
      <w:r>
        <w:rPr>
          <w:w w:val="100"/>
        </w:rPr>
        <w:t> </w:t>
      </w:r>
      <w:r>
        <w:rPr>
          <w:spacing w:val="-2"/>
        </w:rPr>
        <w:t>应收款项是指在活跃市场中没有报价、回收金额固定或可确定的非衍生金融资产。</w:t>
      </w:r>
    </w:p>
    <w:p>
      <w:pPr>
        <w:pStyle w:val="BodyText"/>
        <w:spacing w:line="408" w:lineRule="auto" w:before="65"/>
        <w:ind w:right="1126" w:firstLine="420"/>
        <w:jc w:val="both"/>
      </w:pPr>
      <w:r>
        <w:rPr>
          <w:spacing w:val="-2"/>
        </w:rPr>
        <w:t>本公司对外销售商品或提供劳务形成的应收债权，以及公司持有的其他企业的不包括在活跃市场上有</w:t>
      </w:r>
      <w:r>
        <w:rPr>
          <w:w w:val="100"/>
        </w:rPr>
        <w:t> </w:t>
      </w:r>
      <w:r>
        <w:rPr>
          <w:spacing w:val="-2"/>
        </w:rPr>
        <w:t>报价的债务工具的债权，包括应收账款、其他应收款、预付账款等，以向购货方应收的合同或协议价款作</w:t>
      </w:r>
      <w:r>
        <w:rPr>
          <w:spacing w:val="-47"/>
        </w:rPr>
        <w:t> </w:t>
      </w:r>
      <w:r>
        <w:rPr>
          <w:spacing w:val="-47"/>
        </w:rPr>
      </w:r>
      <w:r>
        <w:rPr/>
        <w:t>为初始确认金额；具有融资性质的，按其现值进行初始确认。</w:t>
      </w:r>
    </w:p>
    <w:p>
      <w:pPr>
        <w:pStyle w:val="BodyText"/>
        <w:spacing w:line="240" w:lineRule="auto"/>
        <w:ind w:left="57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3)</w:t>
      </w:r>
      <w:r>
        <w:rPr/>
        <w:t>持有至到期投资</w:t>
      </w:r>
      <w:r>
        <w:rPr>
          <w:w w:val="100"/>
        </w:rPr>
        <w:t> </w:t>
      </w:r>
      <w:r>
        <w:rPr>
          <w:spacing w:val="-2"/>
        </w:rPr>
        <w:t>持有至到期投资是指到期日固定、回收金额固定或可确定，且本公司有明确意图和能力持有至到期的</w:t>
      </w:r>
    </w:p>
    <w:p>
      <w:pPr>
        <w:pStyle w:val="BodyText"/>
        <w:spacing w:line="408" w:lineRule="auto" w:before="65"/>
        <w:ind w:left="573" w:right="0" w:hanging="420"/>
        <w:jc w:val="left"/>
      </w:pPr>
      <w:r>
        <w:rPr/>
        <w:t>非衍生性金融资产。</w:t>
      </w:r>
      <w:r>
        <w:rPr>
          <w:w w:val="100"/>
        </w:rPr>
        <w:t> </w:t>
      </w:r>
      <w:r>
        <w:rPr>
          <w:spacing w:val="-2"/>
        </w:rPr>
        <w:t>本公司对持有至到期投资，在取得时按公允价值（扣除已到付息期但尚未领取的债券利息）和相关交</w:t>
      </w:r>
    </w:p>
    <w:p>
      <w:pPr>
        <w:pStyle w:val="BodyText"/>
        <w:spacing w:line="408" w:lineRule="auto"/>
        <w:ind w:right="1126"/>
        <w:jc w:val="both"/>
      </w:pPr>
      <w:r>
        <w:rPr>
          <w:spacing w:val="-2"/>
        </w:rPr>
        <w:t>易费用之和作为初始确认金额。持有期间按照摊余成本和实际利率计算确认利息收入，计入投资收益。实</w:t>
      </w:r>
      <w:r>
        <w:rPr>
          <w:spacing w:val="-44"/>
        </w:rPr>
        <w:t> </w:t>
      </w:r>
      <w:r>
        <w:rPr>
          <w:spacing w:val="-44"/>
        </w:rPr>
      </w:r>
      <w:r>
        <w:rPr>
          <w:spacing w:val="-2"/>
        </w:rPr>
        <w:t>际利率在取得时确定，在该预期存续期间或适用的更短期间内保持不变。处置时，将所取得价款与该投资</w:t>
      </w:r>
      <w:r>
        <w:rPr>
          <w:spacing w:val="-45"/>
        </w:rPr>
        <w:t> </w:t>
      </w:r>
      <w:r>
        <w:rPr>
          <w:spacing w:val="-45"/>
        </w:rPr>
      </w:r>
      <w:r>
        <w:rPr/>
        <w:t>账面价值之间的差额计入投资收益。</w:t>
      </w:r>
    </w:p>
    <w:p>
      <w:pPr>
        <w:pStyle w:val="BodyText"/>
        <w:spacing w:line="408" w:lineRule="auto"/>
        <w:ind w:right="1126" w:firstLine="420"/>
        <w:jc w:val="both"/>
      </w:pPr>
      <w:r>
        <w:rPr>
          <w:spacing w:val="-2"/>
        </w:rPr>
        <w:t>如果持有至到期投资处置或重分类为其他类金融资产的金额，相对于本公司全部持有至到期投资在出</w:t>
      </w:r>
      <w:r>
        <w:rPr>
          <w:w w:val="100"/>
        </w:rPr>
        <w:t> </w:t>
      </w:r>
      <w:r>
        <w:rPr>
          <w:spacing w:val="-2"/>
        </w:rPr>
        <w:t>售或重分类前的总额较大，在处置或重分类后应立即将其剩余的持有至到期投资重分类为可供出售金融资</w:t>
      </w:r>
      <w:r>
        <w:rPr>
          <w:spacing w:val="-43"/>
        </w:rPr>
        <w:t> </w:t>
      </w:r>
      <w:r>
        <w:rPr>
          <w:spacing w:val="-43"/>
        </w:rPr>
      </w: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386" w:lineRule="auto"/>
        <w:ind w:right="1181" w:firstLine="420"/>
        <w:jc w:val="both"/>
      </w:pPr>
      <w:r>
        <w:rPr>
          <w:rFonts w:ascii="Times New Roman" w:hAnsi="Times New Roman" w:cs="Times New Roman" w:eastAsia="Times New Roman" w:hint="default"/>
          <w:spacing w:val="-2"/>
        </w:rPr>
        <w:t>A.</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w w:val="100"/>
        </w:rPr>
        <w:t> </w:t>
      </w:r>
      <w:r>
        <w:rPr/>
        <w:t>投资的公允价值没有显著影响。</w:t>
      </w:r>
    </w:p>
    <w:p>
      <w:pPr>
        <w:pStyle w:val="BodyText"/>
        <w:spacing w:line="386" w:lineRule="auto" w:before="65"/>
        <w:ind w:left="573" w:right="0"/>
        <w:jc w:val="left"/>
      </w:pPr>
      <w:r>
        <w:rPr>
          <w:rFonts w:ascii="Times New Roman" w:hAnsi="Times New Roman" w:cs="Times New Roman" w:eastAsia="Times New Roman" w:hint="default"/>
        </w:rPr>
        <w:t>B.</w:t>
      </w:r>
      <w:r>
        <w:rPr/>
        <w:t>根据合同约定的偿付方式，企业已收回几乎所有初始本金。</w:t>
      </w:r>
      <w:r>
        <w:rPr>
          <w:w w:val="100"/>
        </w:rPr>
        <w:t> </w:t>
      </w:r>
      <w:r>
        <w:rPr>
          <w:rFonts w:ascii="Times New Roman" w:hAnsi="Times New Roman" w:cs="Times New Roman" w:eastAsia="Times New Roman" w:hint="default"/>
          <w:spacing w:val="-2"/>
        </w:rPr>
        <w:t>C.</w:t>
      </w:r>
      <w:r>
        <w:rPr>
          <w:spacing w:val="-2"/>
        </w:rPr>
        <w:t>出售或重分类是由于企业无法控制、预期不会重复发生且难以合理预计的独立事件所引起。</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left="573" w:right="0"/>
        <w:jc w:val="left"/>
      </w:pPr>
      <w:r>
        <w:rPr>
          <w:rFonts w:ascii="Times New Roman" w:hAnsi="Times New Roman" w:cs="Times New Roman" w:eastAsia="Times New Roman" w:hint="default"/>
        </w:rPr>
        <w:t>4)</w:t>
      </w:r>
      <w:r>
        <w:rPr/>
        <w:t>可供出售金融资产</w:t>
      </w:r>
      <w:r>
        <w:rPr>
          <w:w w:val="100"/>
        </w:rPr>
        <w:t> </w:t>
      </w:r>
      <w:r>
        <w:rPr>
          <w:spacing w:val="-2"/>
        </w:rPr>
        <w:t>可供出售金融资产，是指初始确认时即指定为可供出售的非衍生金融资产，以及除其他金融资产类别</w:t>
      </w:r>
    </w:p>
    <w:p>
      <w:pPr>
        <w:pStyle w:val="BodyText"/>
        <w:spacing w:line="408" w:lineRule="auto" w:before="65"/>
        <w:ind w:left="573" w:right="0" w:hanging="420"/>
        <w:jc w:val="left"/>
      </w:pPr>
      <w:r>
        <w:rPr/>
        <w:t>以外的金融资产。</w:t>
      </w:r>
      <w:r>
        <w:rPr>
          <w:w w:val="100"/>
        </w:rPr>
        <w:t> </w:t>
      </w:r>
      <w:r>
        <w:rPr>
          <w:spacing w:val="-2"/>
        </w:rPr>
        <w:t>本公司对可供出售金融资产，在取得时按公允价值（扣除已宣告但尚未发放的现金股利或已到付息期</w:t>
      </w:r>
    </w:p>
    <w:p>
      <w:pPr>
        <w:pStyle w:val="BodyText"/>
        <w:spacing w:line="408" w:lineRule="auto"/>
        <w:ind w:right="1126"/>
        <w:jc w:val="both"/>
      </w:pPr>
      <w:r>
        <w:rPr>
          <w:spacing w:val="-2"/>
        </w:rPr>
        <w:t>但尚未领取的债券利息）和相关交易费用之和作为初始确认金额。持有期间将取得的利息或现金股利确认</w:t>
      </w:r>
      <w:r>
        <w:rPr>
          <w:spacing w:val="-42"/>
        </w:rPr>
        <w:t> </w:t>
      </w:r>
      <w:r>
        <w:rPr>
          <w:spacing w:val="-42"/>
        </w:rPr>
      </w:r>
      <w:r>
        <w:rPr>
          <w:spacing w:val="-2"/>
        </w:rPr>
        <w:t>为投资收益。可供出售金融资产的公允价值变动形成的利得或损失，除减值损失和外币货币性金融资产形</w:t>
      </w:r>
      <w:r>
        <w:rPr>
          <w:spacing w:val="-44"/>
        </w:rPr>
        <w:t> </w:t>
      </w:r>
      <w:r>
        <w:rPr>
          <w:spacing w:val="-44"/>
        </w:rPr>
      </w: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r>
        <w:rPr>
          <w:spacing w:val="-44"/>
        </w:rPr>
        <w:t> </w:t>
      </w:r>
      <w:r>
        <w:rPr>
          <w:spacing w:val="-44"/>
        </w:rPr>
      </w:r>
      <w:r>
        <w:rPr/>
        <w:t>金额转出，计入投资损益。</w:t>
      </w:r>
    </w:p>
    <w:p>
      <w:pPr>
        <w:pStyle w:val="BodyText"/>
        <w:spacing w:line="408" w:lineRule="auto"/>
        <w:ind w:right="0" w:firstLine="420"/>
        <w:jc w:val="left"/>
      </w:pPr>
      <w:r>
        <w:rPr>
          <w:spacing w:val="-2"/>
        </w:rPr>
        <w:t>本公司对在活跃市场中没有报价且其公允价值不能可靠计量的权益工具投资，以及与该权益工具挂钩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386" w:lineRule="auto"/>
        <w:ind w:left="573" w:right="2113"/>
        <w:jc w:val="left"/>
      </w:pP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pStyle w:val="BodyText"/>
        <w:spacing w:line="386" w:lineRule="auto" w:before="65"/>
        <w:ind w:left="573" w:right="0"/>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公司发生金融资产转移时，如已将金融资产所有权上几乎所有的风险和报酬转移给转入方，则终止确</w:t>
      </w:r>
    </w:p>
    <w:p>
      <w:pPr>
        <w:pStyle w:val="BodyText"/>
        <w:spacing w:line="408" w:lineRule="auto" w:before="65"/>
        <w:ind w:left="573" w:right="0" w:hanging="420"/>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1126"/>
        <w:jc w:val="both"/>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0"/>
        <w:jc w:val="left"/>
      </w:pPr>
      <w:r>
        <w:rPr>
          <w:rFonts w:ascii="Times New Roman" w:hAnsi="Times New Roman" w:cs="Times New Roman" w:eastAsia="Times New Roman" w:hint="default"/>
        </w:rPr>
        <w:t>1</w:t>
      </w:r>
      <w:r>
        <w:rPr/>
        <w:t>）所转移金融资产的账面价值；</w:t>
      </w:r>
    </w:p>
    <w:p>
      <w:pPr>
        <w:pStyle w:val="BodyText"/>
        <w:spacing w:line="386" w:lineRule="auto" w:before="177"/>
        <w:ind w:right="0" w:firstLine="420"/>
        <w:jc w:val="left"/>
      </w:pP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w:t>
      </w:r>
      <w:r>
        <w:rPr>
          <w:w w:val="100"/>
        </w:rPr>
        <w:t> </w:t>
      </w:r>
      <w:r>
        <w:rPr/>
        <w:t>可供出售金融资产的情形）之和。</w:t>
      </w:r>
    </w:p>
    <w:p>
      <w:pPr>
        <w:pStyle w:val="BodyText"/>
        <w:spacing w:line="410" w:lineRule="auto" w:before="65"/>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44"/>
        <w:ind w:left="573" w:right="0"/>
        <w:jc w:val="left"/>
      </w:pPr>
      <w:r>
        <w:rPr>
          <w:rFonts w:ascii="Times New Roman" w:hAnsi="Times New Roman" w:cs="Times New Roman" w:eastAsia="Times New Roman" w:hint="default"/>
        </w:rPr>
        <w:t>1</w:t>
      </w:r>
      <w:r>
        <w:rPr/>
        <w:t>）终止确认部分的账面价值；</w:t>
      </w:r>
    </w:p>
    <w:p>
      <w:pPr>
        <w:pStyle w:val="BodyText"/>
        <w:spacing w:line="386" w:lineRule="auto" w:before="177"/>
        <w:ind w:right="0" w:firstLine="420"/>
        <w:jc w:val="left"/>
      </w:pP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240" w:lineRule="auto" w:before="65"/>
        <w:ind w:left="573" w:right="0"/>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金融负债的现时义务全部或部分已经解除的，则终止确认该金融负债或其一部分；本公司若与债权人</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ind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ind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112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5"/>
        </w:rPr>
        <w:t> </w:t>
      </w:r>
      <w:r>
        <w:rPr>
          <w:spacing w:val="-45"/>
        </w:rPr>
      </w:r>
      <w:r>
        <w:rPr/>
        <w:t>或承担的新金融负债）之间的差额，计入当期损益。</w:t>
      </w:r>
    </w:p>
    <w:p>
      <w:pPr>
        <w:pStyle w:val="BodyText"/>
        <w:spacing w:line="386" w:lineRule="auto"/>
        <w:ind w:left="573" w:right="0"/>
        <w:jc w:val="left"/>
      </w:pPr>
      <w:r>
        <w:rPr/>
        <w:t>（</w:t>
      </w:r>
      <w:r>
        <w:rPr>
          <w:rFonts w:ascii="Times New Roman" w:hAnsi="Times New Roman" w:cs="Times New Roman" w:eastAsia="Times New Roman" w:hint="default"/>
        </w:rPr>
        <w:t>5</w:t>
      </w:r>
      <w:r>
        <w:rPr/>
        <w:t>）金融资产和金融负债公允价值的确定方法</w:t>
      </w:r>
      <w:r>
        <w:rPr>
          <w:w w:val="100"/>
        </w:rPr>
        <w:t> </w:t>
      </w:r>
      <w:r>
        <w:rPr>
          <w:spacing w:val="-2"/>
        </w:rPr>
        <w:t>存在活跃市场的金融资产或金融负债，以活跃市场的报价确定其公允价值；活跃市场的报价包括易于</w:t>
      </w:r>
    </w:p>
    <w:p>
      <w:pPr>
        <w:pStyle w:val="BodyText"/>
        <w:spacing w:line="408" w:lineRule="auto" w:before="65"/>
        <w:ind w:right="1126"/>
        <w:jc w:val="both"/>
      </w:pPr>
      <w:r>
        <w:rPr>
          <w:spacing w:val="-2"/>
        </w:rPr>
        <w:t>且可定期从交易所、交易商、经纪人、行业公司、定价机构或监管机构等获得相关资产或负债的报价，且</w:t>
      </w:r>
      <w:r>
        <w:rPr>
          <w:spacing w:val="-43"/>
        </w:rPr>
        <w:t> </w:t>
      </w:r>
      <w:r>
        <w:rPr>
          <w:spacing w:val="-43"/>
        </w:rPr>
      </w:r>
      <w:r>
        <w:rPr/>
        <w:t>能代表在公平交易基础上实际并经常发生的市场交易。</w:t>
      </w:r>
    </w:p>
    <w:p>
      <w:pPr>
        <w:pStyle w:val="BodyText"/>
        <w:spacing w:line="408" w:lineRule="auto"/>
        <w:ind w:left="573" w:right="0"/>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BodyText"/>
        <w:spacing w:line="408" w:lineRule="auto"/>
        <w:ind w:right="1126"/>
        <w:jc w:val="both"/>
      </w:pPr>
      <w:r>
        <w:rPr>
          <w:spacing w:val="-2"/>
        </w:rPr>
        <w:t>前情况下适用并且有足够可利用数据和其他信息支持的估值技术，选择与市场参与者在相关资产或负债的</w:t>
      </w:r>
      <w:r>
        <w:rPr>
          <w:spacing w:val="-43"/>
        </w:rPr>
        <w:t> </w:t>
      </w:r>
      <w:r>
        <w:rPr>
          <w:spacing w:val="-43"/>
        </w:rPr>
      </w:r>
      <w:r>
        <w:rPr>
          <w:spacing w:val="-2"/>
        </w:rPr>
        <w:t>交易中所考虑的资产或负债特征相一致的输入值，并尽可能优先使用相关可观察输入值。在相关可观察输</w:t>
      </w:r>
      <w:r>
        <w:rPr>
          <w:spacing w:val="-43"/>
        </w:rPr>
        <w:t> </w:t>
      </w:r>
      <w:r>
        <w:rPr>
          <w:spacing w:val="-43"/>
        </w:rPr>
      </w:r>
      <w:r>
        <w:rPr/>
        <w:t>入值无法取得或取得不切实可行的情况下，使用不可观察输入值。</w:t>
      </w:r>
    </w:p>
    <w:p>
      <w:pPr>
        <w:pStyle w:val="BodyText"/>
        <w:spacing w:line="386" w:lineRule="auto"/>
        <w:ind w:left="573" w:right="0"/>
        <w:jc w:val="left"/>
      </w:pPr>
      <w:r>
        <w:rPr/>
        <w:t>（</w:t>
      </w:r>
      <w:r>
        <w:rPr>
          <w:rFonts w:ascii="Times New Roman" w:hAnsi="Times New Roman" w:cs="Times New Roman" w:eastAsia="Times New Roman" w:hint="default"/>
        </w:rPr>
        <w:t>6</w:t>
      </w:r>
      <w:r>
        <w:rPr/>
        <w:t>）金融资产（不含应收款项）减值准备计提</w:t>
      </w:r>
      <w:r>
        <w:rPr>
          <w:w w:val="100"/>
        </w:rPr>
        <w:t> </w:t>
      </w:r>
      <w:r>
        <w:rPr>
          <w:spacing w:val="-2"/>
        </w:rPr>
        <w:t>资产负债表日对以公允价值计量且其变动计入当期损益的金融资产以外的金融资产的账面价值进行</w:t>
      </w:r>
    </w:p>
    <w:p>
      <w:pPr>
        <w:pStyle w:val="BodyText"/>
        <w:spacing w:line="408" w:lineRule="auto" w:before="65"/>
        <w:ind w:left="573" w:right="2653" w:hanging="420"/>
        <w:jc w:val="left"/>
      </w:pPr>
      <w:r>
        <w:rPr>
          <w:spacing w:val="-2"/>
        </w:rPr>
        <w:t>检查，如有客观证据表明该金融资产发生减值的，计提减值准备。</w:t>
      </w:r>
      <w:r>
        <w:rPr>
          <w:spacing w:val="-49"/>
        </w:rPr>
        <w:t> </w:t>
      </w:r>
      <w:r>
        <w:rPr>
          <w:spacing w:val="-49"/>
        </w:rPr>
      </w:r>
      <w:r>
        <w:rPr/>
        <w:t>金融资产发生减值的客观证据，包括但不限于：</w:t>
      </w:r>
      <w:r>
        <w:rPr>
          <w:w w:val="100"/>
        </w:rPr>
        <w:t> </w:t>
      </w:r>
      <w:r>
        <w:rPr>
          <w:rFonts w:ascii="Times New Roman" w:hAnsi="Times New Roman" w:cs="Times New Roman" w:eastAsia="Times New Roman" w:hint="default"/>
        </w:rPr>
        <w:t>1)</w:t>
      </w:r>
      <w:r>
        <w:rPr/>
        <w:t>发行方或债务人发生严重财务困难；</w:t>
      </w:r>
    </w:p>
    <w:p>
      <w:pPr>
        <w:pStyle w:val="BodyText"/>
        <w:spacing w:line="240" w:lineRule="auto" w:before="15"/>
        <w:ind w:left="573" w:right="0"/>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77"/>
        <w:ind w:left="573" w:right="0"/>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77"/>
        <w:ind w:left="573" w:right="0"/>
        <w:jc w:val="left"/>
      </w:pPr>
      <w:r>
        <w:rPr>
          <w:rFonts w:ascii="Times New Roman" w:hAnsi="Times New Roman" w:cs="Times New Roman" w:eastAsia="Times New Roman" w:hint="default"/>
        </w:rPr>
        <w:t>4)</w:t>
      </w:r>
      <w:r>
        <w:rPr/>
        <w:t>债务人很可能倒闭或进行其他财务重组；</w:t>
      </w:r>
    </w:p>
    <w:p>
      <w:pPr>
        <w:pStyle w:val="BodyText"/>
        <w:spacing w:line="240" w:lineRule="auto" w:before="177"/>
        <w:ind w:left="573" w:right="0"/>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98" w:lineRule="auto" w:before="177"/>
        <w:ind w:right="1126" w:firstLine="420"/>
        <w:jc w:val="both"/>
      </w:pP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无法辨认一组金融资产中的某项资产的现金流量是否已经减少，但根据公开的数据对其进行总体评</w:t>
      </w:r>
      <w:r>
        <w:rPr>
          <w:w w:val="100"/>
        </w:rPr>
        <w:t> </w:t>
      </w:r>
      <w:r>
        <w:rPr>
          <w:spacing w:val="-2"/>
        </w:rPr>
        <w:t>价后发现，该组金融资产自初始确认以来的预计未来现金流量确已减少且可计量，如该组金融资产的债务</w:t>
      </w:r>
      <w:r>
        <w:rPr>
          <w:spacing w:val="-42"/>
        </w:rPr>
        <w:t> </w:t>
      </w:r>
      <w:r>
        <w:rPr>
          <w:spacing w:val="-42"/>
        </w:rPr>
      </w:r>
      <w:r>
        <w:rPr>
          <w:spacing w:val="-2"/>
        </w:rPr>
        <w:t>人支付能力逐步恶化，或债务人所在国家或地区失业率提高、担保物在其所在地区的价格明显下降、所处</w:t>
      </w:r>
    </w:p>
    <w:p>
      <w:pPr>
        <w:spacing w:after="0" w:line="39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行业不景气等；</w:t>
      </w:r>
    </w:p>
    <w:p>
      <w:pPr>
        <w:spacing w:line="240" w:lineRule="auto" w:before="10"/>
        <w:rPr>
          <w:rFonts w:ascii="宋体" w:hAnsi="宋体" w:cs="宋体" w:eastAsia="宋体" w:hint="default"/>
          <w:sz w:val="14"/>
          <w:szCs w:val="14"/>
        </w:rPr>
      </w:pPr>
    </w:p>
    <w:p>
      <w:pPr>
        <w:pStyle w:val="BodyText"/>
        <w:spacing w:line="386" w:lineRule="auto" w:before="0"/>
        <w:ind w:right="1138" w:firstLine="420"/>
        <w:jc w:val="both"/>
      </w:pPr>
      <w:r>
        <w:rPr>
          <w:rFonts w:ascii="Times New Roman" w:hAnsi="Times New Roman" w:cs="Times New Roman" w:eastAsia="Times New Roman" w:hint="default"/>
          <w:spacing w:val="-2"/>
        </w:rPr>
        <w:t>7)</w:t>
      </w:r>
      <w:r>
        <w:rPr>
          <w:spacing w:val="-2"/>
        </w:rPr>
        <w:t>权益工具发行方经营所处的技术、市场、经济或法律环境等发生重大不利变化，使权益工具投资人</w:t>
      </w:r>
      <w:r>
        <w:rPr>
          <w:w w:val="100"/>
        </w:rPr>
        <w:t> </w:t>
      </w:r>
      <w:r>
        <w:rPr/>
        <w:t>可能无法收回投资成本；</w:t>
      </w:r>
    </w:p>
    <w:p>
      <w:pPr>
        <w:pStyle w:val="BodyText"/>
        <w:spacing w:line="398" w:lineRule="auto" w:before="65"/>
        <w:ind w:left="573" w:right="4993"/>
        <w:jc w:val="left"/>
      </w:pPr>
      <w:r>
        <w:rPr>
          <w:rFonts w:ascii="Times New Roman" w:hAnsi="Times New Roman" w:cs="Times New Roman" w:eastAsia="Times New Roman" w:hint="default"/>
          <w:spacing w:val="-2"/>
        </w:rPr>
        <w:t>8)</w:t>
      </w:r>
      <w:r>
        <w:rPr>
          <w:spacing w:val="-2"/>
        </w:rPr>
        <w:t>权益工具投资的公允价值发生严重或非暂时性下跌；</w:t>
      </w:r>
      <w:r>
        <w:rPr>
          <w:spacing w:val="-58"/>
        </w:rPr>
        <w:t> </w:t>
      </w:r>
      <w:r>
        <w:rPr>
          <w:spacing w:val="-58"/>
        </w:rPr>
      </w:r>
      <w:r>
        <w:rPr/>
        <w:t>金融资产的具体减值方法如下：</w:t>
      </w:r>
      <w:r>
        <w:rPr>
          <w:w w:val="100"/>
        </w:rPr>
        <w:t> </w:t>
      </w:r>
      <w:r>
        <w:rPr>
          <w:rFonts w:ascii="Times New Roman" w:hAnsi="Times New Roman" w:cs="Times New Roman" w:eastAsia="Times New Roman" w:hint="default"/>
        </w:rPr>
        <w:t>A.</w:t>
      </w:r>
      <w:r>
        <w:rPr/>
        <w:t>可供出售金融资产减值准备</w:t>
      </w:r>
    </w:p>
    <w:p>
      <w:pPr>
        <w:pStyle w:val="BodyText"/>
        <w:spacing w:line="393" w:lineRule="auto" w:before="24"/>
        <w:ind w:right="0" w:firstLine="420"/>
        <w:jc w:val="left"/>
      </w:pPr>
      <w:r>
        <w:rPr/>
        <w:t>本公司于资产负债表日对各项可供出售权益工具投资单独进行检查，若该权益工具投资于资产负债表</w:t>
      </w:r>
      <w:r>
        <w:rPr>
          <w:w w:val="100"/>
        </w:rPr>
        <w:t> </w:t>
      </w:r>
      <w:r>
        <w:rPr/>
        <w:t>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w:t>
      </w:r>
      <w:r>
        <w:rPr>
          <w:w w:val="100"/>
        </w:rPr>
        <w:t> </w:t>
      </w:r>
      <w:r>
        <w:rPr>
          <w:spacing w:val="-2"/>
        </w:rPr>
        <w:t>生减值；若该权益工具投资于资产负债表日的公允价值低于其成本超过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w:t>
      </w:r>
      <w:r>
        <w:rPr>
          <w:spacing w:val="-35"/>
        </w:rPr>
        <w:t> </w:t>
      </w:r>
      <w:r>
        <w:rPr/>
        <w:t>本公司会综合考虑其他相关因素诸如价格波动率等，判断该权益工具投资是否发生减值。</w:t>
      </w:r>
    </w:p>
    <w:p>
      <w:pPr>
        <w:pStyle w:val="BodyText"/>
        <w:spacing w:line="408" w:lineRule="auto" w:before="58"/>
        <w:ind w:right="1126" w:firstLine="420"/>
        <w:jc w:val="both"/>
      </w:pPr>
      <w:r>
        <w:rPr>
          <w:spacing w:val="-2"/>
        </w:rPr>
        <w:t>上段所述成本按照可供出售权益工具投资的初始取得成本扣除已收回本金和已摊销金额、原已计入损</w:t>
      </w:r>
      <w:r>
        <w:rPr>
          <w:w w:val="100"/>
        </w:rPr>
        <w:t> </w:t>
      </w:r>
      <w:r>
        <w:rPr>
          <w:spacing w:val="-2"/>
        </w:rPr>
        <w:t>益的减值损失确定；不存在活跃市场的可供出售权益工具投资的公允价值，按照类似金融资产当时市场收</w:t>
      </w:r>
      <w:r>
        <w:rPr>
          <w:spacing w:val="-42"/>
        </w:rPr>
        <w:t> </w:t>
      </w:r>
      <w:r>
        <w:rPr>
          <w:spacing w:val="-42"/>
        </w:rPr>
      </w:r>
      <w:r>
        <w:rPr>
          <w:spacing w:val="-2"/>
        </w:rPr>
        <w:t>益率对未来现金流量折现确定的现值确定；在活跃市场有报价的可供出售权益工具投资的公允价值根据证</w:t>
      </w:r>
      <w:r>
        <w:rPr>
          <w:spacing w:val="-43"/>
        </w:rPr>
        <w:t> </w:t>
      </w:r>
      <w:r>
        <w:rPr>
          <w:spacing w:val="-43"/>
        </w:rPr>
      </w:r>
      <w:r>
        <w:rPr>
          <w:spacing w:val="-2"/>
        </w:rPr>
        <w:t>券交易所期末收盘价确定，除非该项可供出售权益工具投资存在限售期。对于存在限售期的可供出售权益</w:t>
      </w:r>
      <w:r>
        <w:rPr>
          <w:spacing w:val="-43"/>
        </w:rPr>
        <w:t> </w:t>
      </w:r>
      <w:r>
        <w:rPr>
          <w:spacing w:val="-43"/>
        </w:rPr>
      </w:r>
      <w:r>
        <w:rPr>
          <w:spacing w:val="-2"/>
        </w:rPr>
        <w:t>工具投资，按照证券交易所期末收盘价扣除市场参与者因承担指定期间内无法在公开市场上出售该权益工</w:t>
      </w:r>
      <w:r>
        <w:rPr>
          <w:spacing w:val="-43"/>
        </w:rPr>
        <w:t> </w:t>
      </w:r>
      <w:r>
        <w:rPr>
          <w:spacing w:val="-43"/>
        </w:rPr>
      </w:r>
      <w:r>
        <w:rPr/>
        <w:t>具的风险而要求获得的补偿金额后确定。</w:t>
      </w:r>
    </w:p>
    <w:p>
      <w:pPr>
        <w:pStyle w:val="BodyText"/>
        <w:spacing w:line="408" w:lineRule="auto"/>
        <w:ind w:right="1126" w:firstLine="420"/>
        <w:jc w:val="both"/>
      </w:pPr>
      <w:r>
        <w:rPr>
          <w:spacing w:val="-2"/>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3"/>
        </w:rPr>
        <w:t> </w:t>
      </w:r>
      <w:r>
        <w:rPr>
          <w:spacing w:val="-43"/>
        </w:rPr>
      </w:r>
      <w:r>
        <w:rPr/>
        <w:t>额。</w:t>
      </w:r>
    </w:p>
    <w:p>
      <w:pPr>
        <w:pStyle w:val="BodyText"/>
        <w:spacing w:line="408" w:lineRule="auto"/>
        <w:ind w:right="1126"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r>
        <w:rPr>
          <w:spacing w:val="-43"/>
        </w:rPr>
        <w:t> </w:t>
      </w:r>
      <w:r>
        <w:rPr>
          <w:spacing w:val="-43"/>
        </w:rPr>
      </w:r>
      <w:r>
        <w:rPr>
          <w:spacing w:val="-2"/>
        </w:rPr>
        <w:t>的权益工具投资，或与该权益工具挂钩并须通过交付该权益工具结算的衍生金融资产发生的减值损失，不</w:t>
      </w:r>
      <w:r>
        <w:rPr>
          <w:spacing w:val="-44"/>
        </w:rPr>
        <w:t> </w:t>
      </w:r>
      <w:r>
        <w:rPr>
          <w:spacing w:val="-44"/>
        </w:rPr>
      </w:r>
      <w:r>
        <w:rPr/>
        <w:t>得转回。</w:t>
      </w:r>
    </w:p>
    <w:p>
      <w:pPr>
        <w:pStyle w:val="BodyText"/>
        <w:spacing w:line="386" w:lineRule="auto"/>
        <w:ind w:left="573" w:right="0"/>
        <w:jc w:val="left"/>
      </w:pPr>
      <w:r>
        <w:rPr>
          <w:rFonts w:ascii="Times New Roman" w:hAnsi="Times New Roman" w:cs="Times New Roman" w:eastAsia="Times New Roman" w:hint="default"/>
        </w:rPr>
        <w:t>B.</w:t>
      </w:r>
      <w:r>
        <w:rPr/>
        <w:t>持有至到期投资减值准备</w:t>
      </w:r>
      <w:r>
        <w:rPr>
          <w:w w:val="100"/>
        </w:rPr>
        <w:t> </w:t>
      </w:r>
      <w:r>
        <w:rPr>
          <w:spacing w:val="-2"/>
        </w:rPr>
        <w:t>对于持有至到期投资，有客观证据表明其发生了减值的，根据其账面价值与预计未来现金流量现值之</w:t>
      </w:r>
    </w:p>
    <w:p>
      <w:pPr>
        <w:pStyle w:val="BodyText"/>
        <w:spacing w:line="408" w:lineRule="auto" w:before="65"/>
        <w:ind w:right="0"/>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pStyle w:val="BodyText"/>
        <w:spacing w:line="240" w:lineRule="auto"/>
        <w:ind w:left="573" w:right="0"/>
        <w:jc w:val="left"/>
      </w:pPr>
      <w:r>
        <w:rPr/>
        <w:t>（</w:t>
      </w:r>
      <w:r>
        <w:rPr>
          <w:rFonts w:ascii="Times New Roman" w:hAnsi="Times New Roman" w:cs="Times New Roman" w:eastAsia="Times New Roman" w:hint="default"/>
        </w:rPr>
        <w:t>7</w:t>
      </w:r>
      <w:r>
        <w:rPr/>
        <w:t>）金融资产及金融负债的抵销</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0" w:firstLine="420"/>
        <w:jc w:val="left"/>
      </w:pPr>
      <w:r>
        <w:rPr>
          <w:spacing w:val="-2"/>
        </w:rPr>
        <w:t>金融资产和金融负债在资产负债表内分别列示，没有相互抵销。但是，同时满足下列条件的，以相互</w:t>
      </w:r>
      <w:r>
        <w:rPr>
          <w:w w:val="100"/>
        </w:rPr>
        <w:t> </w:t>
      </w:r>
      <w:r>
        <w:rPr/>
        <w:t>抵销后的净额在资产负债表内列示：</w:t>
      </w:r>
    </w:p>
    <w:p>
      <w:pPr>
        <w:pStyle w:val="BodyText"/>
        <w:spacing w:line="240" w:lineRule="auto"/>
        <w:ind w:left="573" w:right="0"/>
        <w:jc w:val="left"/>
      </w:pP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77"/>
        <w:ind w:left="573" w:right="0"/>
        <w:jc w:val="left"/>
      </w:pP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after="0" w:line="316"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4"/>
        <w:rPr>
          <w:rFonts w:ascii="Microsoft JhengHei" w:hAnsi="Microsoft JhengHei" w:cs="Microsoft JhengHei" w:eastAsia="Microsoft JhengHei" w:hint="default"/>
          <w:b/>
          <w:bCs/>
          <w:sz w:val="15"/>
          <w:szCs w:val="15"/>
        </w:rPr>
      </w:pPr>
    </w:p>
    <w:p>
      <w:pPr>
        <w:pStyle w:val="Heading6"/>
        <w:spacing w:line="335" w:lineRule="exact"/>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5"/>
        <w:ind w:left="573" w:right="0"/>
        <w:jc w:val="left"/>
      </w:pPr>
      <w:r>
        <w:rPr/>
        <w:t>（</w:t>
      </w:r>
      <w:r>
        <w:rPr>
          <w:rFonts w:ascii="Times New Roman" w:hAnsi="Times New Roman" w:cs="Times New Roman" w:eastAsia="Times New Roman" w:hint="default"/>
        </w:rPr>
        <w:t>1</w:t>
      </w:r>
      <w:r>
        <w:rPr/>
        <w:t>）存货的分类</w:t>
      </w:r>
      <w:r>
        <w:rPr>
          <w:w w:val="100"/>
        </w:rPr>
        <w:t> </w:t>
      </w:r>
      <w:r>
        <w:rPr>
          <w:spacing w:val="-2"/>
        </w:rPr>
        <w:t>存货是指本公司在日常活动中持有以备出售的商品、已发送至客户但不符合收入确认条件的发出商</w:t>
      </w:r>
    </w:p>
    <w:p>
      <w:pPr>
        <w:pStyle w:val="BodyText"/>
        <w:spacing w:line="240" w:lineRule="auto" w:before="65"/>
        <w:ind w:right="0"/>
        <w:jc w:val="both"/>
      </w:pPr>
      <w:r>
        <w:rPr/>
        <w:t>品、在生产过程或提供劳务过程中耗用的材料和物料等。主要包括原材料、库存商品等。</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2</w:t>
      </w:r>
      <w:r>
        <w:rPr/>
        <w:t>）存货的计价方法</w:t>
      </w:r>
      <w:r>
        <w:rPr>
          <w:w w:val="100"/>
        </w:rPr>
        <w:t> </w:t>
      </w:r>
      <w:r>
        <w:rPr>
          <w:spacing w:val="-3"/>
        </w:rPr>
        <w:t>存货在取得时，按成本进行初始计量，包括采购成本、加工成本和其他成本。存货领用或发出时按移</w:t>
      </w:r>
    </w:p>
    <w:p>
      <w:pPr>
        <w:pStyle w:val="BodyText"/>
        <w:spacing w:line="240" w:lineRule="auto" w:before="65"/>
        <w:ind w:right="0"/>
        <w:jc w:val="both"/>
      </w:pPr>
      <w:r>
        <w:rPr/>
        <w:t>动加权平均法计价。</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期末对存货进行全面清查后，按存货的成本与可变现净值孰低提取或调整存货跌价准备。库存商品和</w:t>
      </w:r>
    </w:p>
    <w:p>
      <w:pPr>
        <w:pStyle w:val="BodyText"/>
        <w:spacing w:line="408" w:lineRule="auto" w:before="65"/>
        <w:ind w:right="1126"/>
        <w:jc w:val="both"/>
      </w:pPr>
      <w:r>
        <w:rPr>
          <w:spacing w:val="-2"/>
        </w:rPr>
        <w:t>用于出售的材料等直接用于出售的商品存货，在正常生产经营过程中，以该存货的估计售价减去估计的销</w:t>
      </w:r>
      <w:r>
        <w:rPr>
          <w:spacing w:val="-43"/>
        </w:rPr>
        <w:t> </w:t>
      </w:r>
      <w:r>
        <w:rPr>
          <w:spacing w:val="-43"/>
        </w:rPr>
      </w:r>
      <w:r>
        <w:rPr>
          <w:spacing w:val="-2"/>
        </w:rPr>
        <w:t>售费用和相关税费后的金额，确定其可变现净值；需要经过加工的材料存货，在正常生产经营过程中，以</w:t>
      </w:r>
      <w:r>
        <w:rPr>
          <w:spacing w:val="-44"/>
        </w:rPr>
        <w:t> </w:t>
      </w:r>
      <w:r>
        <w:rPr>
          <w:spacing w:val="-44"/>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408"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0"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386" w:lineRule="auto"/>
        <w:ind w:left="573" w:right="6793"/>
        <w:jc w:val="left"/>
      </w:pPr>
      <w:r>
        <w:rPr/>
        <w:t>（</w:t>
      </w:r>
      <w:r>
        <w:rPr>
          <w:rFonts w:ascii="Times New Roman" w:hAnsi="Times New Roman" w:cs="Times New Roman" w:eastAsia="Times New Roman" w:hint="default"/>
        </w:rPr>
        <w:t>4</w:t>
      </w:r>
      <w:r>
        <w:rPr/>
        <w:t>）存货的盘存制度</w:t>
      </w:r>
      <w:r>
        <w:rPr>
          <w:w w:val="100"/>
        </w:rPr>
        <w:t> </w:t>
      </w:r>
      <w:r>
        <w:rPr>
          <w:spacing w:val="-2"/>
        </w:rPr>
        <w:t>本公司存货采用永续盘存制。</w:t>
      </w:r>
    </w:p>
    <w:p>
      <w:pPr>
        <w:pStyle w:val="BodyText"/>
        <w:spacing w:line="240" w:lineRule="auto" w:before="65"/>
        <w:ind w:left="573" w:right="0"/>
        <w:jc w:val="left"/>
      </w:pPr>
      <w:r>
        <w:rPr/>
        <w:t>（</w:t>
      </w:r>
      <w:r>
        <w:rPr>
          <w:rFonts w:ascii="Times New Roman" w:hAnsi="Times New Roman" w:cs="Times New Roman" w:eastAsia="Times New Roman" w:hint="default"/>
        </w:rPr>
        <w:t>5</w:t>
      </w:r>
      <w:r>
        <w:rPr/>
        <w:t>）低值易耗品和包装物的摊销方法</w:t>
      </w:r>
    </w:p>
    <w:p>
      <w:pPr>
        <w:pStyle w:val="BodyText"/>
        <w:spacing w:line="240" w:lineRule="auto" w:before="177"/>
        <w:ind w:left="573"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177"/>
        <w:ind w:left="573" w:right="0"/>
        <w:jc w:val="left"/>
      </w:pPr>
      <w:r>
        <w:rPr>
          <w:rFonts w:ascii="Times New Roman" w:hAnsi="Times New Roman" w:cs="Times New Roman" w:eastAsia="Times New Roman" w:hint="default"/>
        </w:rPr>
        <w:t>2</w:t>
      </w:r>
      <w:r>
        <w:rPr/>
        <w:t>）包装物采用一次转销法；</w:t>
      </w:r>
    </w:p>
    <w:p>
      <w:pPr>
        <w:pStyle w:val="BodyText"/>
        <w:spacing w:line="240" w:lineRule="auto" w:before="177"/>
        <w:ind w:left="573" w:right="0"/>
        <w:jc w:val="left"/>
      </w:pPr>
      <w:r>
        <w:rPr>
          <w:rFonts w:ascii="Times New Roman" w:hAnsi="Times New Roman" w:cs="Times New Roman" w:eastAsia="Times New Roman" w:hint="default"/>
        </w:rPr>
        <w:t>3</w:t>
      </w:r>
      <w:r>
        <w:rPr/>
        <w:t>）其他周转材料采用一次转销法摊销。</w:t>
      </w:r>
    </w:p>
    <w:p>
      <w:pPr>
        <w:spacing w:after="0" w:line="240" w:lineRule="auto"/>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）初始投资成本的确定</w:t>
      </w:r>
    </w:p>
    <w:p>
      <w:pPr>
        <w:pStyle w:val="BodyText"/>
        <w:spacing w:line="386" w:lineRule="auto" w:before="177"/>
        <w:ind w:right="0" w:firstLine="420"/>
        <w:jc w:val="left"/>
      </w:pPr>
      <w:r>
        <w:rPr>
          <w:rFonts w:ascii="Times New Roman" w:hAnsi="Times New Roman" w:cs="Times New Roman" w:eastAsia="Times New Roman" w:hint="default"/>
          <w:spacing w:val="-2"/>
        </w:rPr>
        <w:t>1</w:t>
      </w:r>
      <w:r>
        <w:rPr>
          <w:spacing w:val="-2"/>
        </w:rPr>
        <w:t>）企业合并形成的长期股权投资，具体会计政策详见本附注四、</w:t>
      </w:r>
      <w:r>
        <w:rPr>
          <w:rFonts w:ascii="Times New Roman" w:hAnsi="Times New Roman" w:cs="Times New Roman" w:eastAsia="Times New Roman" w:hint="default"/>
          <w:spacing w:val="-2"/>
        </w:rPr>
        <w:t>5</w:t>
      </w:r>
      <w:r>
        <w:rPr>
          <w:spacing w:val="-2"/>
        </w:rPr>
        <w:t>同一控制下和非同一控制下企业合</w:t>
      </w:r>
      <w:r>
        <w:rPr>
          <w:w w:val="100"/>
        </w:rPr>
        <w:t> </w:t>
      </w:r>
      <w:r>
        <w:rPr/>
        <w:t>并的会计处理方法</w:t>
      </w:r>
    </w:p>
    <w:p>
      <w:pPr>
        <w:pStyle w:val="BodyText"/>
        <w:spacing w:line="386" w:lineRule="auto" w:before="65"/>
        <w:ind w:left="573" w:right="0"/>
        <w:jc w:val="left"/>
      </w:pP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408" w:lineRule="auto" w:before="65"/>
        <w:ind w:left="573" w:right="0"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408" w:lineRule="auto"/>
        <w:ind w:left="573" w:right="0"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）后续计量及损益确认</w:t>
      </w:r>
    </w:p>
    <w:p>
      <w:pPr>
        <w:pStyle w:val="BodyText"/>
        <w:spacing w:line="386" w:lineRule="auto" w:before="177"/>
        <w:ind w:left="573" w:right="1118"/>
        <w:jc w:val="left"/>
      </w:pPr>
      <w:r>
        <w:rPr>
          <w:rFonts w:ascii="Times New Roman" w:hAnsi="Times New Roman" w:cs="Times New Roman" w:eastAsia="Times New Roman" w:hint="default"/>
        </w:rPr>
        <w:t>1</w:t>
      </w:r>
      <w:r>
        <w:rPr/>
        <w:t>）成本法</w:t>
      </w:r>
      <w:r>
        <w:rPr>
          <w:spacing w:val="-103"/>
        </w:rPr>
        <w:t> </w:t>
      </w:r>
      <w:r>
        <w:rPr>
          <w:spacing w:val="-103"/>
        </w:rPr>
      </w:r>
      <w:r>
        <w:rPr>
          <w:spacing w:val="-2"/>
        </w:rPr>
        <w:t>本公司能够对被投资单位实施控制的长期股权投资采用成本法核算，并按照初始投资成本计价，追加</w:t>
      </w:r>
    </w:p>
    <w:p>
      <w:pPr>
        <w:pStyle w:val="BodyText"/>
        <w:spacing w:line="408" w:lineRule="auto" w:before="65"/>
        <w:ind w:left="573" w:right="0" w:hanging="420"/>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398" w:lineRule="auto"/>
        <w:ind w:left="573" w:right="4273" w:hanging="420"/>
        <w:jc w:val="left"/>
      </w:pPr>
      <w:r>
        <w:rPr/>
        <w:t>有被投资单位宣告分派的现金股利或利润确认为当期投资收益。</w:t>
      </w:r>
      <w:r>
        <w:rPr>
          <w:w w:val="100"/>
        </w:rPr>
        <w:t> </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w:t>
      </w:r>
    </w:p>
    <w:p>
      <w:pPr>
        <w:pStyle w:val="BodyText"/>
        <w:spacing w:line="408" w:lineRule="auto" w:before="54"/>
        <w:ind w:right="1126"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408" w:lineRule="auto"/>
        <w:ind w:right="0" w:firstLine="420"/>
        <w:jc w:val="left"/>
      </w:pPr>
      <w:r>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5"/>
        </w:rPr>
        <w:t> </w:t>
      </w:r>
      <w:r>
        <w:rPr>
          <w:spacing w:val="-45"/>
        </w:rPr>
      </w:r>
      <w:r>
        <w:rPr>
          <w:spacing w:val="-2"/>
        </w:rPr>
        <w:t>的利润或现金股利计算应享有的部分，相应减少长期股权投资的账面价值；对于被投资单位除净损益、其</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0" w:hanging="420"/>
        <w:jc w:val="left"/>
      </w:pPr>
      <w:r>
        <w:rPr/>
        <w:t>他综合收益和利润分配以外所有者权益的其他变动，调整长期股权投资的账面价值并计入所有者权益。</w:t>
      </w:r>
      <w:r>
        <w:rPr>
          <w:w w:val="100"/>
        </w:rPr>
        <w:t> </w:t>
      </w:r>
      <w:r>
        <w:rPr>
          <w:spacing w:val="-2"/>
        </w:rPr>
        <w:t>本公司在确认应享有被投资单位净损益的份额时，以取得投资时被投资单位各项可辨认资产等的公允</w:t>
      </w:r>
    </w:p>
    <w:p>
      <w:pPr>
        <w:pStyle w:val="BodyText"/>
        <w:spacing w:line="408" w:lineRule="auto"/>
        <w:ind w:right="0"/>
        <w:jc w:val="left"/>
      </w:pP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408" w:lineRule="auto"/>
        <w:ind w:right="112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08" w:lineRule="auto"/>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BodyText"/>
        <w:spacing w:line="240" w:lineRule="auto"/>
        <w:ind w:left="573" w:right="0"/>
        <w:jc w:val="left"/>
      </w:pPr>
      <w:r>
        <w:rPr/>
        <w:t>（</w:t>
      </w:r>
      <w:r>
        <w:rPr>
          <w:rFonts w:ascii="Times New Roman" w:hAnsi="Times New Roman" w:cs="Times New Roman" w:eastAsia="Times New Roman" w:hint="default"/>
        </w:rPr>
        <w:t>3</w:t>
      </w:r>
      <w:r>
        <w:rPr/>
        <w:t>）长期股权投资核算方法的转换</w:t>
      </w:r>
    </w:p>
    <w:p>
      <w:pPr>
        <w:pStyle w:val="BodyText"/>
        <w:spacing w:line="386" w:lineRule="auto" w:before="177"/>
        <w:ind w:left="573" w:right="0"/>
        <w:jc w:val="left"/>
      </w:pP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398" w:lineRule="auto" w:before="65"/>
        <w:ind w:right="0"/>
        <w:jc w:val="left"/>
      </w:pPr>
      <w:r>
        <w:rPr/>
        <w:t>计处理的权益性投资，因追加投资等原因能够对被投资单位施加重大影响或实施共同控制但不构成控制</w:t>
      </w:r>
      <w:r>
        <w:rPr>
          <w:w w:val="100"/>
        </w:rPr>
        <w:t> </w:t>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pStyle w:val="BodyText"/>
        <w:spacing w:line="408" w:lineRule="auto" w:before="54"/>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408" w:lineRule="auto"/>
        <w:ind w:right="1118" w:firstLine="420"/>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386" w:lineRule="auto"/>
        <w:ind w:left="573" w:right="0"/>
        <w:jc w:val="left"/>
      </w:pP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BodyText"/>
        <w:spacing w:line="408" w:lineRule="auto" w:before="65"/>
        <w:ind w:right="112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408" w:lineRule="auto"/>
        <w:ind w:right="1126"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40" w:lineRule="auto"/>
        <w:ind w:left="573" w:right="0"/>
        <w:jc w:val="left"/>
      </w:pPr>
      <w:r>
        <w:rPr/>
        <w:t>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w:t>
      </w:r>
    </w:p>
    <w:p>
      <w:pPr>
        <w:spacing w:after="0" w:line="240" w:lineRule="auto"/>
        <w:jc w:val="left"/>
        <w:sectPr>
          <w:footerReference w:type="default" r:id="rId43"/>
          <w:pgSz w:w="11910" w:h="16840"/>
          <w:pgMar w:footer="979" w:header="880" w:top="1100" w:bottom="1160" w:left="980" w:right="0"/>
          <w:pgNumType w:start="120"/>
        </w:sectPr>
      </w:pPr>
    </w:p>
    <w:p>
      <w:pPr>
        <w:spacing w:line="240" w:lineRule="auto" w:before="12"/>
        <w:rPr>
          <w:rFonts w:ascii="宋体" w:hAnsi="宋体" w:cs="宋体" w:eastAsia="宋体" w:hint="default"/>
          <w:sz w:val="26"/>
          <w:szCs w:val="26"/>
        </w:rPr>
      </w:pPr>
    </w:p>
    <w:p>
      <w:pPr>
        <w:pStyle w:val="BodyText"/>
        <w:spacing w:line="398" w:lineRule="auto" w:before="36"/>
        <w:ind w:left="573" w:right="0" w:hanging="420"/>
        <w:jc w:val="left"/>
      </w:pPr>
      <w:r>
        <w:rPr/>
        <w:t>计处理的，原计入其他综合收益的累计公允价值变动在改按成本法核算时转入当期损益。</w:t>
      </w:r>
      <w:r>
        <w:rPr>
          <w:w w:val="100"/>
        </w:rPr>
        <w:t> </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386" w:lineRule="auto" w:before="54"/>
        <w:ind w:right="0"/>
        <w:jc w:val="left"/>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408" w:lineRule="auto" w:before="65"/>
        <w:ind w:right="0" w:firstLine="420"/>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386" w:lineRule="auto"/>
        <w:ind w:left="573" w:right="0"/>
        <w:jc w:val="left"/>
      </w:pPr>
      <w:r>
        <w:rPr>
          <w:rFonts w:ascii="Times New Roman" w:hAnsi="Times New Roman" w:cs="Times New Roman" w:eastAsia="Times New Roman"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408" w:lineRule="auto" w:before="65"/>
        <w:ind w:right="0"/>
        <w:jc w:val="left"/>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386" w:lineRule="auto"/>
        <w:ind w:left="573" w:right="0"/>
        <w:jc w:val="left"/>
      </w:pPr>
      <w:r>
        <w:rPr>
          <w:rFonts w:ascii="Times New Roman" w:hAnsi="Times New Roman" w:cs="Times New Roman" w:eastAsia="Times New Roman" w:hint="default"/>
        </w:rPr>
        <w:t>5</w:t>
      </w:r>
      <w:r>
        <w:rPr/>
        <w:t>）成本法转公允价值计量</w:t>
      </w:r>
      <w:r>
        <w:rPr>
          <w:w w:val="100"/>
        </w:rPr>
        <w:t> </w:t>
      </w:r>
      <w:r>
        <w:rPr>
          <w:spacing w:val="-2"/>
        </w:rPr>
        <w:t>本公司因处置部分权益性投资等原因丧失了对被投资单位的控制的，在编制个别财务报表时，处置后</w:t>
      </w:r>
    </w:p>
    <w:p>
      <w:pPr>
        <w:pStyle w:val="BodyText"/>
        <w:spacing w:line="386" w:lineRule="auto" w:before="65"/>
        <w:ind w:right="0"/>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1"/>
        </w:rPr>
        <w:t> </w:t>
      </w:r>
      <w:r>
        <w:rPr>
          <w:spacing w:val="-41"/>
        </w:rPr>
      </w:r>
      <w:r>
        <w:rPr>
          <w:spacing w:val="-5"/>
        </w:rPr>
        <w:t>确认和计量》的有关规定进行会计处理，其在丧失控制之日的公允价值与账面价值间的差额计入当期损益。</w:t>
      </w:r>
    </w:p>
    <w:p>
      <w:pPr>
        <w:pStyle w:val="BodyText"/>
        <w:spacing w:line="386" w:lineRule="auto" w:before="65"/>
        <w:ind w:left="573" w:right="0"/>
        <w:jc w:val="left"/>
      </w:pPr>
      <w:r>
        <w:rPr/>
        <w:t>（</w:t>
      </w:r>
      <w:r>
        <w:rPr>
          <w:rFonts w:ascii="Times New Roman" w:hAnsi="Times New Roman" w:cs="Times New Roman" w:eastAsia="Times New Roman" w:hint="default"/>
        </w:rPr>
        <w:t>4</w:t>
      </w:r>
      <w:r>
        <w:rPr/>
        <w:t>）长期股权投资的处置</w:t>
      </w:r>
      <w:r>
        <w:rPr>
          <w:w w:val="100"/>
        </w:rPr>
        <w:t> </w:t>
      </w:r>
      <w:r>
        <w:rPr>
          <w:spacing w:val="-2"/>
        </w:rPr>
        <w:t>处置长期股权投资，其账面价值与实际取得价款之间的差额，应当计入当期损益。采用权益法核算的</w:t>
      </w:r>
    </w:p>
    <w:p>
      <w:pPr>
        <w:pStyle w:val="BodyText"/>
        <w:spacing w:line="408" w:lineRule="auto" w:before="65"/>
        <w:ind w:right="0"/>
        <w:jc w:val="left"/>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408" w:lineRule="auto"/>
        <w:ind w:right="0" w:firstLine="420"/>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73"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77"/>
        <w:ind w:left="57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78"/>
        <w:ind w:left="57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386" w:lineRule="auto" w:before="177"/>
        <w:ind w:left="573" w:right="0"/>
        <w:jc w:val="left"/>
      </w:pP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65"/>
        <w:ind w:right="0"/>
        <w:jc w:val="left"/>
      </w:pPr>
      <w:r>
        <w:rPr/>
        <w:t>报表和合并财务报表进行相关会计处理：</w:t>
      </w:r>
    </w:p>
    <w:p>
      <w:pPr>
        <w:spacing w:line="240" w:lineRule="auto" w:before="10"/>
        <w:rPr>
          <w:rFonts w:ascii="宋体" w:hAnsi="宋体" w:cs="宋体" w:eastAsia="宋体" w:hint="default"/>
          <w:sz w:val="14"/>
          <w:szCs w:val="14"/>
        </w:rPr>
      </w:pPr>
    </w:p>
    <w:p>
      <w:pPr>
        <w:pStyle w:val="BodyText"/>
        <w:spacing w:line="398" w:lineRule="auto" w:before="0"/>
        <w:ind w:right="0" w:firstLine="420"/>
        <w:jc w:val="left"/>
      </w:pPr>
      <w:r>
        <w:rPr>
          <w:rFonts w:ascii="Times New Roman" w:hAnsi="Times New Roman" w:cs="Times New Roman" w:eastAsia="Times New Roman" w:hint="default"/>
        </w:rPr>
        <w:t>1</w:t>
      </w:r>
      <w:r>
        <w:rPr/>
        <w:t>）在个别财务报表中，对于处置的股权，其账面价值与实际取得价款之间的差额计入当期损益。处</w:t>
      </w:r>
      <w:r>
        <w:rPr>
          <w:w w:val="100"/>
        </w:rPr>
        <w:t> </w:t>
      </w:r>
      <w:r>
        <w:rPr>
          <w:spacing w:val="-2"/>
        </w:rPr>
        <w:t>置后的剩余股权能够对被投资单位实施共同控制或施加重大影响的，改按权益法核算，并对该剩余股权视</w:t>
      </w:r>
      <w:r>
        <w:rPr>
          <w:spacing w:val="-43"/>
        </w:rPr>
        <w:t> </w:t>
      </w:r>
      <w:r>
        <w:rPr>
          <w:spacing w:val="-43"/>
        </w:rPr>
      </w:r>
      <w:r>
        <w:rPr>
          <w:spacing w:val="-2"/>
        </w:rPr>
        <w:t>同自取得时即采用权益法核算进行调整；处置后的剩余股权不能对被投资单位实施共同控制或施加重大影</w:t>
      </w:r>
    </w:p>
    <w:p>
      <w:pPr>
        <w:spacing w:after="0" w:line="39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0"/>
        <w:jc w:val="left"/>
      </w:pPr>
      <w:r>
        <w:rPr>
          <w:spacing w:val="-2"/>
        </w:rPr>
        <w:t>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45"/>
        </w:rPr>
        <w:t> </w:t>
      </w:r>
      <w:r>
        <w:rPr>
          <w:spacing w:val="-45"/>
        </w:rPr>
      </w:r>
      <w:r>
        <w:rPr/>
        <w:t>日的公允价值与账面价值间的差额计入当期损益。</w:t>
      </w:r>
    </w:p>
    <w:p>
      <w:pPr>
        <w:pStyle w:val="BodyText"/>
        <w:spacing w:line="403" w:lineRule="auto" w:before="65"/>
        <w:ind w:right="0" w:firstLine="420"/>
        <w:jc w:val="left"/>
      </w:pPr>
      <w:r>
        <w:rPr>
          <w:rFonts w:ascii="Times New Roman" w:hAnsi="Times New Roman" w:cs="Times New Roman" w:eastAsia="Times New Roman" w:hint="default"/>
        </w:rPr>
        <w:t>2</w:t>
      </w:r>
      <w:r>
        <w:rPr/>
        <w:t>）在合并财务报表中，对于在丧失对子公司控制权以前的各项交易，处置价款与处置长期股权投资</w:t>
      </w:r>
      <w:r>
        <w:rPr>
          <w:w w:val="100"/>
        </w:rPr>
        <w:t> </w:t>
      </w:r>
      <w:r>
        <w:rPr>
          <w:spacing w:val="-5"/>
        </w:rPr>
        <w:t>相应对享有子公司自购买日或合并日开始持续计算的净资产份额之间的差额，调整资本公积（股本溢价），</w:t>
      </w:r>
      <w:r>
        <w:rPr>
          <w:spacing w:val="-8"/>
        </w:rPr>
        <w:t> </w:t>
      </w:r>
      <w:r>
        <w:rPr>
          <w:spacing w:val="-8"/>
        </w:rPr>
      </w:r>
      <w:r>
        <w:rPr>
          <w:spacing w:val="-2"/>
        </w:rPr>
        <w:t>资本公积不足冲减的，调整留存收益；在丧失对子公司控制权时，对于剩余股权，按照其在丧失控制权日</w:t>
      </w:r>
      <w:r>
        <w:rPr>
          <w:spacing w:val="-50"/>
        </w:rPr>
        <w:t> </w:t>
      </w:r>
      <w:r>
        <w:rPr>
          <w:spacing w:val="-50"/>
        </w:rPr>
      </w:r>
      <w:r>
        <w:rPr>
          <w:spacing w:val="-2"/>
        </w:rPr>
        <w:t>的公允价值进行重新计量。处置股权取得的对价与剩余股权公允价值之和，减去按原持股比例计算应享有</w:t>
      </w:r>
      <w:r>
        <w:rPr>
          <w:spacing w:val="-43"/>
        </w:rPr>
        <w:t> </w:t>
      </w:r>
      <w:r>
        <w:rPr>
          <w:spacing w:val="-43"/>
        </w:rPr>
      </w:r>
      <w:r>
        <w:rPr>
          <w:spacing w:val="-2"/>
        </w:rPr>
        <w:t>原有子公司自购买日开始持续计算的净资产的份额之间的差额，计入丧失控制权当期的投资收益，同时冲</w:t>
      </w:r>
      <w:r>
        <w:rPr>
          <w:spacing w:val="-44"/>
        </w:rPr>
        <w:t> </w:t>
      </w:r>
      <w:r>
        <w:rPr>
          <w:spacing w:val="-44"/>
        </w:rPr>
      </w:r>
      <w:r>
        <w:rPr/>
        <w:t>减商誉。与原有子公司股权投资相关的其他综合收益等，在丧失控制权时转为当期投资收益。</w:t>
      </w:r>
    </w:p>
    <w:p>
      <w:pPr>
        <w:pStyle w:val="BodyText"/>
        <w:spacing w:line="408" w:lineRule="auto" w:before="51"/>
        <w:ind w:right="0" w:firstLine="420"/>
        <w:jc w:val="left"/>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386" w:lineRule="auto"/>
        <w:ind w:right="0" w:firstLine="420"/>
        <w:jc w:val="left"/>
      </w:pPr>
      <w:r>
        <w:rPr>
          <w:rFonts w:ascii="Times New Roman" w:hAnsi="Times New Roman" w:cs="Times New Roman" w:eastAsia="Times New Roman" w:hint="default"/>
          <w:spacing w:val="-2"/>
        </w:rPr>
        <w:t>1</w:t>
      </w:r>
      <w:r>
        <w:rPr>
          <w:spacing w:val="-2"/>
        </w:rPr>
        <w:t>）在个别财务报表中，在丧失控制权之前每一次处置价款与处置的股权对应的长期股权投资账面价</w:t>
      </w:r>
      <w:r>
        <w:rPr>
          <w:w w:val="100"/>
        </w:rPr>
        <w:t> </w:t>
      </w:r>
      <w:r>
        <w:rPr/>
        <w:t>值之间的差额，确认为其他综合收益，在丧失控制权时一并转入丧失控制权当期的损益。</w:t>
      </w:r>
    </w:p>
    <w:p>
      <w:pPr>
        <w:pStyle w:val="BodyText"/>
        <w:spacing w:line="386" w:lineRule="auto" w:before="65"/>
        <w:ind w:right="0" w:firstLine="420"/>
        <w:jc w:val="left"/>
      </w:pPr>
      <w:r>
        <w:rPr>
          <w:rFonts w:ascii="Times New Roman" w:hAnsi="Times New Roman" w:cs="Times New Roman" w:eastAsia="Times New Roman" w:hint="default"/>
          <w:spacing w:val="-2"/>
        </w:rPr>
        <w:t>2</w:t>
      </w:r>
      <w:r>
        <w:rPr>
          <w:spacing w:val="-2"/>
        </w:rPr>
        <w:t>）在合并财务报表中，在丧失控制权之前每一次处置价款与处置投资对应的享有该子公司净资产份</w:t>
      </w:r>
      <w:r>
        <w:rPr>
          <w:w w:val="100"/>
        </w:rPr>
        <w:t> </w:t>
      </w:r>
      <w:r>
        <w:rPr/>
        <w:t>额的差额，确认为其他综合收益，在丧失控制权时一并转入丧失控制权当期的损益。</w:t>
      </w:r>
    </w:p>
    <w:p>
      <w:pPr>
        <w:pStyle w:val="BodyText"/>
        <w:spacing w:line="386" w:lineRule="auto" w:before="65"/>
        <w:ind w:left="573" w:right="0"/>
        <w:jc w:val="left"/>
      </w:pPr>
      <w:r>
        <w:rPr/>
        <w:t>（</w:t>
      </w:r>
      <w:r>
        <w:rPr>
          <w:rFonts w:ascii="Times New Roman" w:hAnsi="Times New Roman" w:cs="Times New Roman" w:eastAsia="Times New Roman" w:hint="default"/>
        </w:rPr>
        <w:t>5</w:t>
      </w:r>
      <w:r>
        <w:rPr/>
        <w:t>）共同控制、重大影响的判断标准</w:t>
      </w:r>
      <w:r>
        <w:rPr>
          <w:w w:val="100"/>
        </w:rPr>
        <w:t> </w:t>
      </w:r>
      <w:r>
        <w:rPr>
          <w:spacing w:val="-2"/>
        </w:rPr>
        <w:t>如果本公司按照相关约定与其他参与方集体控制某项安排，并且对该安排回报具有重大影响的活动决</w:t>
      </w:r>
    </w:p>
    <w:p>
      <w:pPr>
        <w:pStyle w:val="BodyText"/>
        <w:spacing w:line="408" w:lineRule="auto" w:before="65"/>
        <w:ind w:right="0"/>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408" w:lineRule="auto"/>
        <w:ind w:right="1126"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398" w:lineRule="auto"/>
        <w:ind w:right="0" w:firstLine="420"/>
        <w:jc w:val="left"/>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w:t>
      </w:r>
      <w:r>
        <w:rPr>
          <w:spacing w:val="-44"/>
        </w:rPr>
        <w:t> </w:t>
      </w:r>
      <w:r>
        <w:rPr>
          <w:spacing w:val="-44"/>
        </w:rPr>
      </w:r>
      <w:r>
        <w:rPr/>
        <w:t>位财务和经营政策制定过程；</w:t>
      </w:r>
      <w:r>
        <w:rPr>
          <w:rFonts w:ascii="Times New Roman" w:hAnsi="Times New Roman" w:cs="Times New Roman" w:eastAsia="Times New Roman" w:hint="default"/>
        </w:rPr>
        <w:t>3</w:t>
      </w:r>
      <w:r>
        <w:rPr/>
        <w:t>）与被投资单位之间发生重要交易；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w:t>
      </w:r>
      <w:r>
        <w:rPr>
          <w:w w:val="100"/>
        </w:rPr>
        <w:t> </w:t>
      </w:r>
      <w:r>
        <w:rPr/>
        <w:t>向被投资单位提供关键技术资料。</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98" w:lineRule="auto" w:before="0"/>
        <w:ind w:right="1106" w:firstLine="420"/>
        <w:jc w:val="both"/>
      </w:pPr>
      <w:r>
        <w:rPr>
          <w:spacing w:val="-2"/>
        </w:rPr>
        <w:t>固定资产指为生产商品、提供劳务、出租或经营管理而持有，并且使用寿命超过一个会计年度的有形</w:t>
      </w:r>
      <w:r>
        <w:rPr>
          <w:w w:val="100"/>
        </w:rPr>
        <w:t> </w:t>
      </w:r>
      <w:r>
        <w:rPr>
          <w:spacing w:val="-2"/>
        </w:rPr>
        <w:t>资产。固定资产在同时满足下列条件时予以确认：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w:t>
      </w:r>
      <w:r>
        <w:rPr>
          <w:spacing w:val="-22"/>
        </w:rPr>
        <w:t> </w:t>
      </w:r>
      <w:r>
        <w:rPr/>
        <w:t>该固定资产的成本能够可靠地计量。</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0" w:lineRule="auto" w:before="0"/>
        <w:ind w:right="0" w:firstLine="420"/>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w:t>
      </w:r>
      <w:r>
        <w:rPr>
          <w:w w:val="100"/>
        </w:rPr>
        <w:t> </w:t>
      </w:r>
      <w:r>
        <w:rPr/>
        <w:t>时，租赁资产的所有权转移给本公司。</w:t>
      </w:r>
      <w:r>
        <w:rPr>
          <w:rFonts w:ascii="Times New Roman" w:hAnsi="Times New Roman" w:cs="Times New Roman" w:eastAsia="Times New Roman" w:hint="default"/>
        </w:rPr>
        <w:t>2</w:t>
      </w:r>
      <w:r>
        <w:rPr/>
        <w:t>）本公司有购买租赁资产的选择权，所订立的购买价款预计将远</w:t>
      </w:r>
      <w:r>
        <w:rPr>
          <w:w w:val="100"/>
        </w:rPr>
        <w:t> </w:t>
      </w:r>
      <w:r>
        <w:rPr>
          <w:spacing w:val="-2"/>
        </w:rPr>
        <w:t>低于行使选择权时租赁资产的公允价值，因而在租赁开始日就可以合理确定本公司将会行使这种选择权。</w:t>
      </w:r>
      <w:r>
        <w:rPr>
          <w:spacing w:val="-21"/>
        </w:rPr>
        <w:t> </w:t>
      </w:r>
      <w:r>
        <w:rPr>
          <w:spacing w:val="-21"/>
        </w:rPr>
      </w:r>
      <w:r>
        <w:rPr>
          <w:rFonts w:ascii="Times New Roman" w:hAnsi="Times New Roman" w:cs="Times New Roman" w:eastAsia="Times New Roman" w:hint="default"/>
          <w:spacing w:val="-2"/>
        </w:rPr>
        <w:t>3</w:t>
      </w:r>
      <w:r>
        <w:rPr>
          <w:spacing w:val="-2"/>
        </w:rPr>
        <w:t>）即使资产的所有权不转移，但租赁期占租赁资产使用寿命的大部分。</w:t>
      </w:r>
      <w:r>
        <w:rPr>
          <w:rFonts w:ascii="Times New Roman" w:hAnsi="Times New Roman" w:cs="Times New Roman" w:eastAsia="Times New Roman" w:hint="default"/>
          <w:spacing w:val="-2"/>
        </w:rPr>
        <w:t>4</w:t>
      </w:r>
      <w:r>
        <w:rPr>
          <w:spacing w:val="-2"/>
        </w:rPr>
        <w:t>）本公司在租赁开始日的最低租</w:t>
      </w:r>
      <w:r>
        <w:rPr>
          <w:spacing w:val="-45"/>
        </w:rPr>
        <w:t> </w:t>
      </w:r>
      <w:r>
        <w:rPr>
          <w:spacing w:val="-45"/>
        </w:rPr>
      </w:r>
      <w:r>
        <w:rPr/>
        <w:t>赁付款额现值，几乎相当于租赁开始日租赁资产公允价值。</w:t>
      </w:r>
      <w:r>
        <w:rPr>
          <w:rFonts w:ascii="Times New Roman" w:hAnsi="Times New Roman" w:cs="Times New Roman" w:eastAsia="Times New Roman" w:hint="default"/>
        </w:rPr>
        <w:t>5</w:t>
      </w:r>
      <w:r>
        <w:rPr/>
        <w:t>）租赁资产性质特殊，如果不作较大改造，</w:t>
      </w:r>
      <w:r>
        <w:rPr>
          <w:w w:val="100"/>
        </w:rPr>
        <w:t> </w:t>
      </w:r>
      <w:r>
        <w:rPr>
          <w:spacing w:val="-2"/>
        </w:rPr>
        <w:t>只有本公司才能使用。融资租赁租入的固定资产，按租赁开始日租赁资产公允价值与最低租赁付款额的现</w:t>
      </w:r>
      <w:r>
        <w:rPr>
          <w:spacing w:val="-43"/>
        </w:rPr>
        <w:t> </w:t>
      </w:r>
      <w:r>
        <w:rPr>
          <w:spacing w:val="-43"/>
        </w:rPr>
      </w:r>
      <w:r>
        <w:rPr>
          <w:spacing w:val="-2"/>
        </w:rPr>
        <w:t>值两者中较低者，作为入账价值。最低租赁付款额作为长期应付款的入账价值，其差额作为未确认融资费</w:t>
      </w:r>
      <w:r>
        <w:rPr>
          <w:spacing w:val="-43"/>
        </w:rPr>
        <w:t> </w:t>
      </w:r>
      <w:r>
        <w:rPr>
          <w:spacing w:val="-43"/>
        </w:rPr>
      </w:r>
      <w:r>
        <w:rPr>
          <w:spacing w:val="-2"/>
        </w:rPr>
        <w:t>用。在租赁谈判和签订租赁合同过程中发生的，可归属于租赁项目的手续费、律师费、差旅费、印花税等</w:t>
      </w:r>
      <w:r>
        <w:rPr>
          <w:spacing w:val="-43"/>
        </w:rPr>
        <w:t> </w:t>
      </w:r>
      <w:r>
        <w:rPr>
          <w:spacing w:val="-43"/>
        </w:rPr>
      </w:r>
      <w:r>
        <w:rPr>
          <w:spacing w:val="-2"/>
        </w:rPr>
        <w:t>初始直接费用，计入租入资产价值。未确认融资费用在租赁期内各个期间采用实际利率法进行分摊。本公</w:t>
      </w:r>
      <w:r>
        <w:rPr>
          <w:spacing w:val="-44"/>
        </w:rPr>
        <w:t> </w:t>
      </w:r>
      <w:r>
        <w:rPr>
          <w:spacing w:val="-44"/>
        </w:rPr>
      </w:r>
      <w:r>
        <w:rPr>
          <w:spacing w:val="-2"/>
        </w:rPr>
        <w:t>司采用与自有固定资产相一致的折旧政策计提融资租入固定资产折旧。能够合理确定租赁期届满时取得租</w:t>
      </w:r>
      <w:r>
        <w:rPr>
          <w:spacing w:val="-43"/>
        </w:rPr>
        <w:t> </w:t>
      </w:r>
      <w:r>
        <w:rPr>
          <w:spacing w:val="-43"/>
        </w:rPr>
      </w:r>
      <w:r>
        <w:rPr>
          <w:spacing w:val="-2"/>
        </w:rPr>
        <w:t>赁资产所有权的，在租赁资产使用寿命内计提折旧。无法合理确定租赁期届满时能够取得租赁资产所有权</w:t>
      </w:r>
      <w:r>
        <w:rPr>
          <w:spacing w:val="-44"/>
        </w:rPr>
        <w:t> </w:t>
      </w:r>
      <w:r>
        <w:rPr>
          <w:spacing w:val="-44"/>
        </w:rPr>
      </w:r>
      <w:r>
        <w:rPr/>
        <w:t>的，在租赁期与租赁资产使用寿命两者中较短的期间内计提折旧。</w:t>
      </w:r>
    </w:p>
    <w:p>
      <w:pPr>
        <w:spacing w:line="240" w:lineRule="auto" w:before="1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7"/>
        <w:rPr>
          <w:rFonts w:ascii="宋体" w:hAnsi="宋体" w:cs="宋体" w:eastAsia="宋体" w:hint="default"/>
          <w:sz w:val="10"/>
          <w:szCs w:val="10"/>
        </w:rPr>
      </w:pPr>
    </w:p>
    <w:p>
      <w:pPr>
        <w:pStyle w:val="BodyText"/>
        <w:spacing w:line="386" w:lineRule="auto" w:before="36"/>
        <w:ind w:left="573" w:right="0"/>
        <w:jc w:val="left"/>
      </w:pPr>
      <w:r>
        <w:rPr/>
        <w:t>（</w:t>
      </w:r>
      <w:r>
        <w:rPr>
          <w:rFonts w:ascii="Times New Roman" w:hAnsi="Times New Roman" w:cs="Times New Roman" w:eastAsia="Times New Roman" w:hint="default"/>
        </w:rPr>
        <w:t>1</w:t>
      </w:r>
      <w:r>
        <w:rPr/>
        <w:t>）在建工程初始计量</w:t>
      </w:r>
      <w:r>
        <w:rPr>
          <w:w w:val="100"/>
        </w:rPr>
        <w:t> </w:t>
      </w:r>
      <w:r>
        <w:rPr>
          <w:spacing w:val="-2"/>
        </w:rPr>
        <w:t>本公司自行建造的在建工程按实际成本计价，实际成本由建造该项资产达到预定可使用状态前所发生</w:t>
      </w:r>
    </w:p>
    <w:p>
      <w:pPr>
        <w:pStyle w:val="BodyText"/>
        <w:spacing w:line="408" w:lineRule="auto" w:before="65"/>
        <w:ind w:right="1128"/>
        <w:jc w:val="both"/>
      </w:pPr>
      <w:r>
        <w:rPr>
          <w:spacing w:val="-2"/>
        </w:rPr>
        <w:t>的必要支出构成，包括工程用物资成本、人工成本、交纳的相关税费、应予资本化的借款费用以及应分摊</w:t>
      </w:r>
      <w:r>
        <w:rPr>
          <w:spacing w:val="-47"/>
        </w:rPr>
        <w:t> </w:t>
      </w:r>
      <w:r>
        <w:rPr>
          <w:spacing w:val="-47"/>
        </w:rPr>
      </w:r>
      <w:r>
        <w:rPr/>
        <w:t>的间接费用等。</w:t>
      </w:r>
    </w:p>
    <w:p>
      <w:pPr>
        <w:pStyle w:val="BodyText"/>
        <w:spacing w:line="386" w:lineRule="auto"/>
        <w:ind w:left="573" w:right="0"/>
        <w:jc w:val="left"/>
      </w:pPr>
      <w:r>
        <w:rPr/>
        <w:t>（</w:t>
      </w: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408" w:lineRule="auto" w:before="65"/>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6"/>
        <w:rPr>
          <w:rFonts w:ascii="宋体" w:hAnsi="宋体" w:cs="宋体" w:eastAsia="宋体" w:hint="default"/>
          <w:sz w:val="15"/>
          <w:szCs w:val="15"/>
        </w:rPr>
      </w:pPr>
    </w:p>
    <w:p>
      <w:pPr>
        <w:pStyle w:val="Heading6"/>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）借款费用资本化的确认原则</w:t>
      </w:r>
      <w:r>
        <w:rPr>
          <w:w w:val="100"/>
        </w:rPr>
        <w:t> </w:t>
      </w:r>
      <w:r>
        <w:rPr>
          <w:spacing w:val="-2"/>
        </w:rPr>
        <w:t>本公司发生的借款费用，可直接归属于符合资本化条件的资产的购建或者生产的，在符合资本化条件</w:t>
      </w:r>
    </w:p>
    <w:p>
      <w:pPr>
        <w:pStyle w:val="BodyText"/>
        <w:spacing w:line="408" w:lineRule="auto" w:before="65"/>
        <w:ind w:right="1131"/>
        <w:jc w:val="both"/>
      </w:pPr>
      <w:r>
        <w:rPr>
          <w:spacing w:val="-2"/>
        </w:rPr>
        <w:t>的情况下开始资本化，计入相关资产成本；其他借款费用，在发生时根据其发生额确认为费用，计入当期</w:t>
      </w:r>
      <w:r>
        <w:rPr>
          <w:spacing w:val="-50"/>
        </w:rPr>
        <w:t> </w:t>
      </w:r>
      <w:r>
        <w:rPr>
          <w:spacing w:val="-50"/>
        </w:rPr>
      </w:r>
      <w:r>
        <w:rPr/>
        <w:t>损益。</w:t>
      </w:r>
    </w:p>
    <w:p>
      <w:pPr>
        <w:pStyle w:val="BodyText"/>
        <w:spacing w:line="408" w:lineRule="auto"/>
        <w:ind w:right="0"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ind w:left="573" w:right="0"/>
        <w:jc w:val="left"/>
      </w:pPr>
      <w:r>
        <w:rPr/>
        <w:t>借款费用同时满足下列条件时开始资本化：</w:t>
      </w:r>
    </w:p>
    <w:p>
      <w:pPr>
        <w:spacing w:line="240" w:lineRule="auto" w:before="10"/>
        <w:rPr>
          <w:rFonts w:ascii="宋体" w:hAnsi="宋体" w:cs="宋体" w:eastAsia="宋体" w:hint="default"/>
          <w:sz w:val="14"/>
          <w:szCs w:val="14"/>
        </w:rPr>
      </w:pPr>
    </w:p>
    <w:p>
      <w:pPr>
        <w:pStyle w:val="BodyText"/>
        <w:spacing w:line="386" w:lineRule="auto" w:before="0"/>
        <w:ind w:right="0" w:firstLine="420"/>
        <w:jc w:val="left"/>
      </w:pP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65"/>
        <w:ind w:left="573" w:right="0"/>
        <w:jc w:val="left"/>
      </w:pPr>
      <w:r>
        <w:rPr>
          <w:rFonts w:ascii="Times New Roman" w:hAnsi="Times New Roman" w:cs="Times New Roman" w:eastAsia="Times New Roman" w:hint="default"/>
        </w:rPr>
        <w:t>2</w:t>
      </w:r>
      <w:r>
        <w:rPr/>
        <w:t>）借款费用已经发生；</w:t>
      </w:r>
    </w:p>
    <w:p>
      <w:pPr>
        <w:pStyle w:val="BodyText"/>
        <w:spacing w:line="240" w:lineRule="auto" w:before="177"/>
        <w:ind w:left="573" w:right="0"/>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86" w:lineRule="auto" w:before="178"/>
        <w:ind w:left="573" w:right="0"/>
        <w:jc w:val="left"/>
      </w:pPr>
      <w:r>
        <w:rPr/>
        <w:t>（</w:t>
      </w:r>
      <w:r>
        <w:rPr>
          <w:rFonts w:ascii="Times New Roman" w:hAnsi="Times New Roman" w:cs="Times New Roman" w:eastAsia="Times New Roman" w:hint="default"/>
        </w:rPr>
        <w:t>2</w:t>
      </w:r>
      <w:r>
        <w:rPr/>
        <w:t>）借款费用资本化期间</w:t>
      </w:r>
      <w:r>
        <w:rPr>
          <w:w w:val="100"/>
        </w:rPr>
        <w:t> </w:t>
      </w:r>
      <w:r>
        <w:rPr>
          <w:spacing w:val="-2"/>
        </w:rPr>
        <w:t>资本化期间，指从借款费用开始资本化时点到停止资本化时点的期间，借款费用暂停资本化的期间不</w:t>
      </w:r>
    </w:p>
    <w:p>
      <w:pPr>
        <w:pStyle w:val="BodyText"/>
        <w:spacing w:line="240" w:lineRule="auto" w:before="65"/>
        <w:ind w:right="0"/>
        <w:jc w:val="both"/>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0"/>
        <w:jc w:val="both"/>
      </w:pPr>
      <w:r>
        <w:rPr/>
        <w:t>止资本化。</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购建或者生产的资产的各部分分别完工，但必须等到整体完工后才可使用或可对外销售的，在该资产</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整体完工时停止借款费用资本化。</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3</w:t>
      </w:r>
      <w:r>
        <w:rPr/>
        <w:t>）暂停资本化期间</w:t>
      </w:r>
      <w:r>
        <w:rPr>
          <w:w w:val="100"/>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w:t>
      </w:r>
    </w:p>
    <w:p>
      <w:pPr>
        <w:pStyle w:val="BodyText"/>
        <w:spacing w:line="408" w:lineRule="auto" w:before="35"/>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386" w:lineRule="auto"/>
        <w:ind w:left="573" w:right="0"/>
        <w:jc w:val="left"/>
      </w:pPr>
      <w:r>
        <w:rPr/>
        <w:t>（</w:t>
      </w:r>
      <w:r>
        <w:rPr>
          <w:rFonts w:ascii="Times New Roman" w:hAnsi="Times New Roman" w:cs="Times New Roman" w:eastAsia="Times New Roman" w:hint="default"/>
        </w:rPr>
        <w:t>4</w:t>
      </w:r>
      <w:r>
        <w:rPr/>
        <w:t>）借款费用资本化金额的计算方法</w:t>
      </w:r>
      <w:r>
        <w:rPr>
          <w:w w:val="100"/>
        </w:rPr>
        <w:t> </w:t>
      </w:r>
      <w:r>
        <w:rPr>
          <w:spacing w:val="-2"/>
        </w:rPr>
        <w:t>专门借款的利息费用（扣除尚未动用的借款资金存入银行取得的利息收入或者进行暂时性投资取得的</w:t>
      </w:r>
    </w:p>
    <w:p>
      <w:pPr>
        <w:pStyle w:val="BodyText"/>
        <w:spacing w:line="408" w:lineRule="auto" w:before="65"/>
        <w:ind w:right="0"/>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408" w:lineRule="auto"/>
        <w:ind w:right="0" w:firstLine="420"/>
        <w:jc w:val="left"/>
      </w:pPr>
      <w:r>
        <w:rPr>
          <w:spacing w:val="-2"/>
        </w:rPr>
        <w:t>根据累计资产支出超过专门借款部分的资产支出加权平均数以所占用一般借款的资本化率，计算确定</w:t>
      </w:r>
      <w:r>
        <w:rPr>
          <w:w w:val="100"/>
        </w:rPr>
        <w:t> </w:t>
      </w:r>
      <w:r>
        <w:rPr/>
        <w:t>一般借款应予资本化的利息金额。资本化率根据一般借款加权平均利率计算确定。</w:t>
      </w:r>
    </w:p>
    <w:p>
      <w:pPr>
        <w:pStyle w:val="BodyText"/>
        <w:spacing w:line="408" w:lineRule="auto"/>
        <w:ind w:right="1118"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6"/>
        <w:rPr>
          <w:rFonts w:ascii="宋体" w:hAnsi="宋体" w:cs="宋体" w:eastAsia="宋体" w:hint="default"/>
          <w:sz w:val="15"/>
          <w:szCs w:val="15"/>
        </w:rPr>
      </w:pPr>
    </w:p>
    <w:p>
      <w:pPr>
        <w:pStyle w:val="Heading6"/>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1"/>
        <w:ind w:left="573" w:right="0"/>
        <w:jc w:val="left"/>
      </w:pPr>
      <w:r>
        <w:rPr/>
        <w:t>无形资产是指本公司拥有或者控制的没有实物形态的可辨认非货币性资产，主要包括软件等。</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）无形资产的初始计量</w:t>
      </w:r>
      <w:r>
        <w:rPr>
          <w:w w:val="100"/>
        </w:rPr>
        <w:t> </w:t>
      </w:r>
      <w:r>
        <w:rPr>
          <w:spacing w:val="-2"/>
        </w:rPr>
        <w:t>外购无形资产的成本，包括购买价款、相关税费以及直接归属于使该项资产达到预定用途所发生的其</w:t>
      </w:r>
    </w:p>
    <w:p>
      <w:pPr>
        <w:pStyle w:val="BodyText"/>
        <w:spacing w:line="408" w:lineRule="auto" w:before="65"/>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0" w:firstLine="420"/>
        <w:jc w:val="left"/>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40" w:lineRule="auto"/>
        <w:ind w:left="573" w:right="0"/>
        <w:jc w:val="left"/>
      </w:pPr>
      <w:r>
        <w:rPr/>
        <w:t>在非货币性资产交换具备商业实质且换入资产或换出资产的公允价值能够可靠计量的前提下，非货币</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393" w:lineRule="auto"/>
        <w:ind w:left="573" w:right="0"/>
        <w:jc w:val="left"/>
      </w:pPr>
      <w:r>
        <w:rPr/>
        <w:t>（</w:t>
      </w:r>
      <w:r>
        <w:rPr>
          <w:rFonts w:ascii="Times New Roman" w:hAnsi="Times New Roman" w:cs="Times New Roman" w:eastAsia="Times New Roman" w:hint="default"/>
        </w:rPr>
        <w:t>2</w:t>
      </w:r>
      <w:r>
        <w:rPr/>
        <w:t>）无形资产的后续计量</w:t>
      </w:r>
      <w:r>
        <w:rPr>
          <w:w w:val="100"/>
        </w:rPr>
        <w:t> </w:t>
      </w:r>
      <w:r>
        <w:rPr>
          <w:spacing w:val="-2"/>
        </w:rPr>
        <w:t>本公司在取得无形资产时分析判断其使用寿命，划分为使用寿命有限和使用寿命不确定的无形资产。</w:t>
      </w:r>
      <w:r>
        <w:rPr>
          <w:spacing w:val="-24"/>
        </w:rPr>
        <w:t> </w:t>
      </w:r>
      <w:r>
        <w:rPr>
          <w:spacing w:val="-24"/>
        </w:rPr>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58"/>
        <w:ind w:right="0"/>
        <w:jc w:val="both"/>
      </w:pPr>
      <w:r>
        <w:rPr/>
        <w:t>资产预计寿命及依据如下：</w:t>
      </w:r>
    </w:p>
    <w:p>
      <w:pPr>
        <w:spacing w:line="240" w:lineRule="auto" w:before="9"/>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977"/>
        <w:gridCol w:w="5958"/>
      </w:tblGrid>
      <w:tr>
        <w:trPr>
          <w:trHeight w:val="350" w:hRule="exact"/>
        </w:trPr>
        <w:tc>
          <w:tcPr>
            <w:tcW w:w="297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5958"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预计使用寿命</w:t>
            </w:r>
            <w:r>
              <w:rPr>
                <w:rFonts w:ascii="Microsoft JhengHei" w:hAnsi="Microsoft JhengHei" w:cs="Microsoft JhengHei" w:eastAsia="Microsoft JhengHei" w:hint="default"/>
                <w:sz w:val="20"/>
                <w:szCs w:val="20"/>
              </w:rPr>
            </w:r>
          </w:p>
        </w:tc>
      </w:tr>
      <w:tr>
        <w:trPr>
          <w:trHeight w:val="346" w:hRule="exact"/>
        </w:trPr>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4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5958"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年或</w:t>
            </w:r>
            <w:r>
              <w:rPr>
                <w:rFonts w:ascii="Times New Roman" w:hAnsi="Times New Roman" w:cs="Times New Roman" w:eastAsia="Times New Roman" w:hint="default"/>
                <w:sz w:val="20"/>
                <w:szCs w:val="20"/>
              </w:rPr>
              <w:t>6</w:t>
            </w:r>
            <w:r>
              <w:rPr>
                <w:rFonts w:ascii="宋体" w:hAnsi="宋体" w:cs="宋体" w:eastAsia="宋体" w:hint="default"/>
                <w:sz w:val="20"/>
                <w:szCs w:val="20"/>
              </w:rPr>
              <w:t>年</w:t>
            </w:r>
          </w:p>
        </w:tc>
      </w:tr>
    </w:tbl>
    <w:p>
      <w:pPr>
        <w:pStyle w:val="BodyText"/>
        <w:spacing w:line="408" w:lineRule="auto" w:before="66"/>
        <w:ind w:right="0"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386" w:lineRule="auto"/>
        <w:ind w:left="573" w:right="0"/>
        <w:jc w:val="left"/>
      </w:pPr>
      <w:r>
        <w:rPr>
          <w:rFonts w:ascii="Times New Roman" w:hAnsi="Times New Roman" w:cs="Times New Roman" w:eastAsia="Times New Roman" w:hint="default"/>
        </w:rPr>
        <w:t>2</w:t>
      </w:r>
      <w:r>
        <w:rPr/>
        <w:t>）使用寿命不确定的无形资产</w:t>
      </w:r>
      <w:r>
        <w:rPr>
          <w:w w:val="100"/>
        </w:rPr>
        <w:t> </w:t>
      </w:r>
      <w:r>
        <w:rPr>
          <w:spacing w:val="-2"/>
        </w:rPr>
        <w:t>无法预见无形资产为企业带来经济利益期限的，视为使用寿命不确定的无形资产。对于使用寿命不确</w:t>
      </w:r>
    </w:p>
    <w:p>
      <w:pPr>
        <w:pStyle w:val="BodyText"/>
        <w:spacing w:line="408" w:lineRule="auto" w:before="65"/>
        <w:ind w:right="0"/>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pStyle w:val="BodyText"/>
        <w:spacing w:line="240" w:lineRule="auto"/>
        <w:ind w:left="573" w:right="0"/>
        <w:jc w:val="left"/>
      </w:pPr>
      <w:r>
        <w:rPr/>
        <w:t>本公司无使用寿命不确定的无形资产。</w:t>
      </w:r>
    </w:p>
    <w:p>
      <w:pPr>
        <w:spacing w:line="240" w:lineRule="auto" w:before="9"/>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8" w:lineRule="auto" w:before="0"/>
        <w:ind w:left="573" w:right="0"/>
        <w:jc w:val="left"/>
      </w:pPr>
      <w:r>
        <w:rPr>
          <w:rFonts w:ascii="Times New Roman" w:hAnsi="Times New Roman" w:cs="Times New Roman" w:eastAsia="Times New Roman" w:hint="default"/>
        </w:rPr>
        <w:t>(1)</w:t>
      </w:r>
      <w:r>
        <w:rPr/>
        <w:t>划分公司内部研究开发项目的研究阶段和开发阶段具体标准</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408" w:lineRule="auto" w:before="54"/>
        <w:ind w:left="573" w:right="0" w:hanging="420"/>
        <w:jc w:val="left"/>
      </w:pPr>
      <w:r>
        <w:rPr/>
        <w:t>的或具有实质性改进的材料、装置、产品等活动的阶段。</w:t>
      </w:r>
      <w:r>
        <w:rPr>
          <w:w w:val="100"/>
        </w:rPr>
        <w:t> </w:t>
      </w: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0" w:hanging="420"/>
        <w:jc w:val="left"/>
      </w:pPr>
      <w:r>
        <w:rPr/>
        <w:t>目立项阶段作为研究阶段；项目计划阶段、项目实施与执行阶段和项目验收阶段作为开发阶段。</w:t>
      </w:r>
      <w:r>
        <w:rPr>
          <w:w w:val="100"/>
        </w:rPr>
        <w:t> </w:t>
      </w:r>
      <w:r>
        <w:rPr>
          <w:spacing w:val="-5"/>
        </w:rPr>
        <w:t>研究阶段起点为项目策划阶段，终点为立项评审通过，表明公司开发部、市场部判断该项目在技术上、</w:t>
      </w:r>
    </w:p>
    <w:p>
      <w:pPr>
        <w:pStyle w:val="BodyText"/>
        <w:spacing w:line="408" w:lineRule="auto"/>
        <w:ind w:right="0"/>
        <w:jc w:val="left"/>
      </w:pP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p>
    <w:p>
      <w:pPr>
        <w:pStyle w:val="BodyText"/>
        <w:spacing w:line="386" w:lineRule="auto"/>
        <w:ind w:right="0" w:firstLine="420"/>
        <w:jc w:val="left"/>
      </w:pPr>
      <w:r>
        <w:rPr>
          <w:spacing w:val="-4"/>
        </w:rPr>
        <w:t>进入开发阶段的项目支出，则予以资本化，先在</w:t>
      </w:r>
      <w:r>
        <w:rPr>
          <w:rFonts w:ascii="Times New Roman" w:hAnsi="Times New Roman" w:cs="Times New Roman" w:eastAsia="Times New Roman" w:hint="default"/>
          <w:spacing w:val="-4"/>
        </w:rPr>
        <w:t>“</w:t>
      </w:r>
      <w:r>
        <w:rPr>
          <w:spacing w:val="-4"/>
        </w:rPr>
        <w:t>开发支出</w:t>
      </w:r>
      <w:r>
        <w:rPr>
          <w:rFonts w:ascii="Times New Roman" w:hAnsi="Times New Roman" w:cs="Times New Roman" w:eastAsia="Times New Roman" w:hint="default"/>
          <w:spacing w:val="-4"/>
        </w:rPr>
        <w:t>”</w:t>
      </w:r>
      <w:r>
        <w:rPr>
          <w:spacing w:val="-4"/>
        </w:rPr>
        <w:t>科目分项目进行明细核算，可商业运营时，</w:t>
      </w:r>
      <w:r>
        <w:rPr>
          <w:w w:val="100"/>
        </w:rPr>
        <w:t> </w:t>
      </w:r>
      <w:r>
        <w:rPr/>
        <w:t>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pStyle w:val="BodyText"/>
        <w:spacing w:line="398" w:lineRule="auto" w:before="35"/>
        <w:ind w:left="573" w:right="0"/>
        <w:jc w:val="left"/>
      </w:pPr>
      <w:r>
        <w:rPr/>
        <w:t>（</w:t>
      </w:r>
      <w:r>
        <w:rPr>
          <w:rFonts w:ascii="Times New Roman" w:hAnsi="Times New Roman" w:cs="Times New Roman" w:eastAsia="Times New Roman" w:hint="default"/>
        </w:rPr>
        <w:t>2</w:t>
      </w:r>
      <w:r>
        <w:rPr/>
        <w:t>）开发阶段支出符合资本化的具体标准</w:t>
      </w:r>
      <w:r>
        <w:rPr>
          <w:w w:val="100"/>
        </w:rPr>
        <w:t> </w:t>
      </w:r>
      <w:r>
        <w:rPr>
          <w:spacing w:val="-2"/>
        </w:rPr>
        <w:t>内部研究开发项目开发阶段的支出，同时满足下列条件时确认为无形资产：</w:t>
      </w:r>
      <w:r>
        <w:rPr>
          <w:spacing w:val="-42"/>
        </w:rPr>
        <w:t> </w:t>
      </w:r>
      <w:r>
        <w:rPr>
          <w:spacing w:val="-42"/>
        </w:rPr>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4"/>
        <w:ind w:left="573" w:right="0"/>
        <w:jc w:val="left"/>
      </w:pP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0" w:firstLine="420"/>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386" w:lineRule="auto" w:before="65"/>
        <w:ind w:right="1118" w:firstLine="420"/>
        <w:jc w:val="left"/>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386" w:lineRule="auto" w:before="65"/>
        <w:ind w:left="573"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BodyText"/>
        <w:spacing w:line="408" w:lineRule="auto" w:before="65"/>
        <w:ind w:right="0"/>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line="240" w:lineRule="auto" w:before="6"/>
        <w:rPr>
          <w:rFonts w:ascii="宋体" w:hAnsi="宋体" w:cs="宋体" w:eastAsia="宋体" w:hint="default"/>
          <w:sz w:val="15"/>
          <w:szCs w:val="15"/>
        </w:rPr>
      </w:pPr>
    </w:p>
    <w:p>
      <w:pPr>
        <w:pStyle w:val="BodyText"/>
        <w:spacing w:line="496" w:lineRule="auto" w:before="0"/>
        <w:ind w:left="573" w:right="0" w:hanging="420"/>
        <w:jc w:val="left"/>
      </w:pPr>
      <w:r>
        <w:rPr>
          <w:rFonts w:ascii="Times New Roman" w:hAnsi="Times New Roman" w:cs="Times New Roman" w:eastAsia="Times New Roman" w:hint="default"/>
          <w:b/>
          <w:bCs/>
        </w:rPr>
        <w:t>22</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6"/>
        </w:rPr>
        <w:t> </w:t>
      </w:r>
      <w:r>
        <w:rPr>
          <w:spacing w:val="-2"/>
        </w:rPr>
        <w:t>本公司在资产负债表日判断长期资产是否存在可能发生减值的迹象。如果长期资产存在减值迹象的，</w:t>
      </w:r>
    </w:p>
    <w:p>
      <w:pPr>
        <w:pStyle w:val="BodyText"/>
        <w:spacing w:line="243" w:lineRule="exact" w:before="0"/>
        <w:ind w:right="0"/>
        <w:jc w:val="left"/>
      </w:pPr>
      <w:r>
        <w:rPr/>
        <w:t>以单项资产为基础估计其可收回金额；难以对单项资产的可收回金额进行估计的，以该资产所属的资产组</w:t>
      </w:r>
    </w:p>
    <w:p>
      <w:pPr>
        <w:spacing w:line="240" w:lineRule="auto" w:before="10"/>
        <w:rPr>
          <w:rFonts w:ascii="宋体" w:hAnsi="宋体" w:cs="宋体" w:eastAsia="宋体" w:hint="default"/>
          <w:sz w:val="14"/>
          <w:szCs w:val="14"/>
        </w:rPr>
      </w:pPr>
    </w:p>
    <w:p>
      <w:pPr>
        <w:pStyle w:val="BodyText"/>
        <w:spacing w:line="410" w:lineRule="auto" w:before="0"/>
        <w:ind w:left="573" w:right="0" w:hanging="420"/>
        <w:jc w:val="left"/>
      </w:pPr>
      <w:r>
        <w:rPr/>
        <w:t>为基础确定资产组的可收回金额。</w:t>
      </w:r>
      <w:r>
        <w:rPr>
          <w:w w:val="100"/>
        </w:rPr>
        <w:t> </w:t>
      </w:r>
      <w:r>
        <w:rPr>
          <w:spacing w:val="-2"/>
        </w:rPr>
        <w:t>资产可收回金额的估计，根据其公允价值减去处置费用后的净额与资产预计未来现金流量的现值两者</w:t>
      </w:r>
    </w:p>
    <w:p>
      <w:pPr>
        <w:pStyle w:val="BodyText"/>
        <w:spacing w:line="408" w:lineRule="auto" w:before="44"/>
        <w:ind w:left="573" w:right="0" w:hanging="420"/>
        <w:jc w:val="left"/>
      </w:pPr>
      <w:r>
        <w:rPr/>
        <w:t>之间较高者确定。</w:t>
      </w:r>
      <w:r>
        <w:rPr>
          <w:w w:val="100"/>
        </w:rPr>
        <w:t> </w:t>
      </w:r>
      <w:r>
        <w:rPr>
          <w:spacing w:val="-2"/>
        </w:rPr>
        <w:t>可收回金额的计量结果表明，长期资产的可收回金额低于其账面价值的，将长期资产的账面价值减记</w:t>
      </w:r>
    </w:p>
    <w:p>
      <w:pPr>
        <w:pStyle w:val="BodyText"/>
        <w:spacing w:line="408" w:lineRule="auto"/>
        <w:ind w:right="0"/>
        <w:jc w:val="left"/>
      </w:pP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408" w:lineRule="auto"/>
        <w:ind w:right="0" w:firstLine="420"/>
        <w:jc w:val="left"/>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408" w:lineRule="auto"/>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7"/>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）摊销方法</w:t>
      </w:r>
      <w:r>
        <w:rPr>
          <w:w w:val="100"/>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w:t>
      </w:r>
    </w:p>
    <w:p>
      <w:pPr>
        <w:pStyle w:val="BodyText"/>
        <w:spacing w:line="240" w:lineRule="auto" w:before="35"/>
        <w:ind w:right="0"/>
        <w:jc w:val="left"/>
      </w:pPr>
      <w:r>
        <w:rPr/>
        <w:t>长期待摊费用在受益期内按直线法分期摊销。</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）摊销年限</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82"/>
        <w:gridCol w:w="3082"/>
        <w:gridCol w:w="3023"/>
      </w:tblGrid>
      <w:tr>
        <w:trPr>
          <w:trHeight w:val="348" w:hRule="exact"/>
        </w:trPr>
        <w:tc>
          <w:tcPr>
            <w:tcW w:w="3082"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类别</w:t>
            </w:r>
            <w:r>
              <w:rPr>
                <w:rFonts w:ascii="Microsoft JhengHei" w:hAnsi="Microsoft JhengHei" w:cs="Microsoft JhengHei" w:eastAsia="Microsoft JhengHei" w:hint="default"/>
                <w:sz w:val="20"/>
                <w:szCs w:val="20"/>
              </w:rPr>
            </w:r>
          </w:p>
        </w:tc>
        <w:tc>
          <w:tcPr>
            <w:tcW w:w="3082"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摊销年限</w:t>
            </w:r>
            <w:r>
              <w:rPr>
                <w:rFonts w:ascii="Microsoft JhengHei" w:hAnsi="Microsoft JhengHei" w:cs="Microsoft JhengHei" w:eastAsia="Microsoft JhengHei" w:hint="default"/>
                <w:sz w:val="20"/>
                <w:szCs w:val="20"/>
              </w:rPr>
            </w:r>
          </w:p>
        </w:tc>
        <w:tc>
          <w:tcPr>
            <w:tcW w:w="3023"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备注</w:t>
            </w:r>
            <w:r>
              <w:rPr>
                <w:rFonts w:ascii="Microsoft JhengHei" w:hAnsi="Microsoft JhengHei" w:cs="Microsoft JhengHei" w:eastAsia="Microsoft JhengHei" w:hint="default"/>
                <w:sz w:val="20"/>
                <w:szCs w:val="20"/>
              </w:rPr>
            </w:r>
          </w:p>
        </w:tc>
      </w:tr>
      <w:tr>
        <w:trPr>
          <w:trHeight w:val="348" w:hRule="exact"/>
        </w:trPr>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仓库装修费</w:t>
            </w:r>
          </w:p>
        </w:tc>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w:t>
            </w:r>
          </w:p>
        </w:tc>
        <w:tc>
          <w:tcPr>
            <w:tcW w:w="3023"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布鲁精灵系列商品使用权</w:t>
            </w:r>
          </w:p>
        </w:tc>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w:t>
            </w:r>
          </w:p>
        </w:tc>
        <w:tc>
          <w:tcPr>
            <w:tcW w:w="3023"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云计算资源使用费</w:t>
            </w:r>
          </w:p>
        </w:tc>
        <w:tc>
          <w:tcPr>
            <w:tcW w:w="30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w:t>
            </w:r>
          </w:p>
        </w:tc>
        <w:tc>
          <w:tcPr>
            <w:tcW w:w="3023" w:type="dxa"/>
            <w:tcBorders>
              <w:top w:val="single" w:sz="8" w:space="0" w:color="000000"/>
              <w:left w:val="single" w:sz="6" w:space="0" w:color="000000"/>
              <w:bottom w:val="single" w:sz="8" w:space="0" w:color="000000"/>
              <w:right w:val="nil" w:sz="6" w:space="0" w:color="auto"/>
            </w:tcBorders>
          </w:tcPr>
          <w:p>
            <w:pP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96" w:lineRule="auto" w:before="0"/>
        <w:ind w:left="573" w:right="0"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BodyText"/>
        <w:spacing w:line="243" w:lineRule="exact" w:before="0"/>
        <w:ind w:right="0"/>
        <w:jc w:val="left"/>
      </w:pPr>
      <w:r>
        <w:rPr>
          <w:spacing w:val="-5"/>
        </w:rPr>
        <w:t>工薪酬，离职后福利和辞退福利除外。本公司在职工提供服务的会计期间，将应付的短期薪酬确认为负债，</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并根据职工提供服务的受益对象计入相关资产成本和费用。</w:t>
      </w:r>
    </w:p>
    <w:p>
      <w:pPr>
        <w:spacing w:line="240" w:lineRule="auto" w:before="10"/>
        <w:rPr>
          <w:rFonts w:ascii="宋体" w:hAnsi="宋体" w:cs="宋体" w:eastAsia="宋体" w:hint="default"/>
          <w:sz w:val="26"/>
          <w:szCs w:val="26"/>
        </w:rPr>
      </w:pPr>
    </w:p>
    <w:p>
      <w:pPr>
        <w:spacing w:line="496" w:lineRule="auto" w:before="0"/>
        <w:ind w:left="573" w:right="0"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BodyText"/>
        <w:spacing w:line="243" w:lineRule="exact" w:before="0"/>
        <w:ind w:right="0"/>
        <w:jc w:val="left"/>
      </w:pPr>
      <w:r>
        <w:rPr/>
        <w:t>式的报酬和福利，短期薪酬和辞退福利除外。</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本公司的离职后福利计划全部为设定提存计划。</w:t>
      </w:r>
      <w:r>
        <w:rPr>
          <w:w w:val="100"/>
        </w:rPr>
        <w:t> </w:t>
      </w:r>
      <w:r>
        <w:rPr>
          <w:spacing w:val="-2"/>
        </w:rPr>
        <w:t>离职后福利设定提存计划主要为参加由各地劳动及社会保障机构组织实施的社会基本养老保险、失业</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0"/>
        <w:jc w:val="left"/>
      </w:pP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p>
    <w:p>
      <w:pPr>
        <w:pStyle w:val="BodyText"/>
        <w:spacing w:line="240" w:lineRule="auto"/>
        <w:ind w:left="573" w:right="0"/>
        <w:jc w:val="left"/>
      </w:pPr>
      <w:r>
        <w:rPr/>
        <w:t>本公司按照国家规定的标准定期缴付上述款项后，不再有其他的支付义务。</w:t>
      </w:r>
    </w:p>
    <w:p>
      <w:pPr>
        <w:spacing w:line="240" w:lineRule="auto" w:before="9"/>
        <w:rPr>
          <w:rFonts w:ascii="宋体" w:hAnsi="宋体" w:cs="宋体" w:eastAsia="宋体" w:hint="default"/>
          <w:sz w:val="26"/>
          <w:szCs w:val="26"/>
        </w:rPr>
      </w:pPr>
    </w:p>
    <w:p>
      <w:pPr>
        <w:spacing w:line="496" w:lineRule="auto" w:before="0"/>
        <w:ind w:left="573" w:right="0"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43" w:lineRule="exact" w:before="0"/>
        <w:ind w:right="0"/>
        <w:jc w:val="left"/>
      </w:pPr>
      <w:r>
        <w:rPr/>
        <w:t>而给予职工的补偿，在本公司不能单方面撤回解除劳动关系计划或裁减建议时和确认与涉及支付辞退福利</w:t>
      </w:r>
    </w:p>
    <w:p>
      <w:pPr>
        <w:spacing w:line="240" w:lineRule="auto" w:before="10"/>
        <w:rPr>
          <w:rFonts w:ascii="宋体" w:hAnsi="宋体" w:cs="宋体" w:eastAsia="宋体" w:hint="default"/>
          <w:sz w:val="14"/>
          <w:szCs w:val="14"/>
        </w:rPr>
      </w:pPr>
    </w:p>
    <w:p>
      <w:pPr>
        <w:pStyle w:val="BodyText"/>
        <w:spacing w:line="410" w:lineRule="auto" w:before="0"/>
        <w:ind w:right="1118"/>
        <w:jc w:val="left"/>
      </w:pP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408" w:lineRule="auto" w:before="44"/>
        <w:ind w:right="1126" w:firstLine="420"/>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3"/>
        </w:rPr>
        <w:t> </w:t>
      </w:r>
      <w:r>
        <w:rPr>
          <w:spacing w:val="-43"/>
        </w:rPr>
      </w:r>
      <w:r>
        <w:rPr>
          <w:spacing w:val="-2"/>
        </w:rPr>
        <w:t>排开始之日起至职工达到正常退休年龄止，向内退职工支付内部退养福利。对于内退福利，本公司比照辞</w:t>
      </w:r>
      <w:r>
        <w:rPr>
          <w:spacing w:val="-44"/>
        </w:rPr>
        <w:t> </w:t>
      </w:r>
      <w:r>
        <w:rPr>
          <w:spacing w:val="-44"/>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line="240" w:lineRule="auto" w:before="7"/>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left="573" w:right="0"/>
        <w:jc w:val="left"/>
      </w:pP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40" w:lineRule="auto"/>
        <w:ind w:right="0"/>
        <w:jc w:val="left"/>
      </w:pPr>
      <w:r>
        <w:rPr/>
        <w:t>确认为负债，并计入当期损益或相关资产成本。</w:t>
      </w:r>
    </w:p>
    <w:p>
      <w:pPr>
        <w:spacing w:line="240" w:lineRule="auto" w:before="9"/>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8" w:lineRule="auto" w:before="0"/>
        <w:ind w:left="573" w:right="2113"/>
        <w:jc w:val="left"/>
      </w:pPr>
      <w:r>
        <w:rPr/>
        <w:t>（</w:t>
      </w:r>
      <w:r>
        <w:rPr>
          <w:rFonts w:ascii="Times New Roman" w:hAnsi="Times New Roman" w:cs="Times New Roman" w:eastAsia="Times New Roman" w:hint="default"/>
        </w:rPr>
        <w:t>1</w:t>
      </w:r>
      <w:r>
        <w:rPr/>
        <w:t>）预计负债的确认标准</w:t>
      </w:r>
      <w:r>
        <w:rPr>
          <w:w w:val="100"/>
        </w:rPr>
        <w:t> </w:t>
      </w:r>
      <w:r>
        <w:rPr>
          <w:spacing w:val="-2"/>
        </w:rPr>
        <w:t>与或有事项相关的义务同时满足下列条件时，本公司确认为预计负债：</w:t>
      </w:r>
      <w:r>
        <w:rPr>
          <w:spacing w:val="-45"/>
        </w:rPr>
        <w:t> </w:t>
      </w:r>
      <w:r>
        <w:rPr>
          <w:spacing w:val="-45"/>
        </w:rPr>
      </w:r>
      <w:r>
        <w:rPr>
          <w:rFonts w:ascii="Times New Roman" w:hAnsi="Times New Roman" w:cs="Times New Roman" w:eastAsia="Times New Roman" w:hint="default"/>
        </w:rPr>
        <w:t>1</w:t>
      </w:r>
      <w:r>
        <w:rPr/>
        <w:t>）该义务是本公司承担的现时义务；</w:t>
      </w:r>
    </w:p>
    <w:p>
      <w:pPr>
        <w:pStyle w:val="BodyText"/>
        <w:spacing w:line="240" w:lineRule="auto" w:before="24"/>
        <w:ind w:left="573" w:right="0"/>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3" w:right="0"/>
        <w:jc w:val="left"/>
      </w:pPr>
      <w:r>
        <w:rPr>
          <w:rFonts w:ascii="Times New Roman" w:hAnsi="Times New Roman" w:cs="Times New Roman" w:eastAsia="Times New Roman" w:hint="default"/>
        </w:rPr>
        <w:t>3</w:t>
      </w:r>
      <w:r>
        <w:rPr/>
        <w:t>）该义务的金额能够可靠地计量。</w:t>
      </w:r>
    </w:p>
    <w:p>
      <w:pPr>
        <w:pStyle w:val="BodyText"/>
        <w:spacing w:line="398" w:lineRule="auto" w:before="177"/>
        <w:ind w:left="573" w:right="1118"/>
        <w:jc w:val="left"/>
      </w:pPr>
      <w:r>
        <w:rPr/>
        <w:t>（</w:t>
      </w:r>
      <w:r>
        <w:rPr>
          <w:rFonts w:ascii="Times New Roman" w:hAnsi="Times New Roman" w:cs="Times New Roman" w:eastAsia="Times New Roman"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spacing w:after="0" w:line="39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1118" w:hanging="420"/>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3" w:right="0"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ind w:right="0"/>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10" w:lineRule="auto"/>
        <w:ind w:right="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4"/>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5"/>
        <w:ind w:left="573" w:right="0"/>
        <w:jc w:val="left"/>
      </w:pPr>
      <w:r>
        <w:rPr/>
        <w:t>本公司的营业收入主要包括销售商品收入及提供劳务收入，收入确认政策如下：</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）销售商品收入确认时间的具体判断标准</w:t>
      </w:r>
      <w:r>
        <w:rPr>
          <w:w w:val="100"/>
        </w:rPr>
        <w:t> </w:t>
      </w:r>
      <w:r>
        <w:rPr>
          <w:spacing w:val="-2"/>
        </w:rPr>
        <w:t>本公司已将商品所有权上的主要风险和报酬转移给购买方；本公司既没有保留与所有权相联系的继续</w:t>
      </w:r>
    </w:p>
    <w:p>
      <w:pPr>
        <w:pStyle w:val="BodyText"/>
        <w:spacing w:line="408" w:lineRule="auto" w:before="65"/>
        <w:ind w:right="0"/>
        <w:jc w:val="left"/>
      </w:pPr>
      <w:r>
        <w:rPr>
          <w:spacing w:val="-2"/>
        </w:rPr>
        <w:t>管理权，也没有对已售出的商品实施有效控制；收入的金额能够可靠地计量；相关的经济利益很可能流入</w:t>
      </w:r>
      <w:r>
        <w:rPr>
          <w:spacing w:val="-44"/>
        </w:rPr>
        <w:t> </w:t>
      </w:r>
      <w:r>
        <w:rPr>
          <w:spacing w:val="-44"/>
        </w:rPr>
      </w:r>
      <w:r>
        <w:rPr/>
        <w:t>本公司；相关的已发生或将发生的成本能够可靠地计量时，确认商品销售收入实现。</w:t>
      </w:r>
    </w:p>
    <w:p>
      <w:pPr>
        <w:pStyle w:val="BodyText"/>
        <w:spacing w:line="240" w:lineRule="auto"/>
        <w:ind w:left="573" w:right="0"/>
        <w:jc w:val="left"/>
      </w:pPr>
      <w:r>
        <w:rPr/>
        <w:t>结合本公司产品销售的实际情况，制定的具体收入确认方法如下：</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1</w:t>
      </w:r>
      <w:r>
        <w:rPr/>
        <w:t>）直接销售收入确认</w:t>
      </w:r>
      <w:r>
        <w:rPr>
          <w:w w:val="100"/>
        </w:rPr>
        <w:t> </w:t>
      </w:r>
      <w:r>
        <w:rPr>
          <w:spacing w:val="-2"/>
        </w:rPr>
        <w:t>公司根据学生或家长的订单情况，通过第三方物流进行配送，由公司当地营销人员负责向中小学生或</w:t>
      </w:r>
    </w:p>
    <w:p>
      <w:pPr>
        <w:pStyle w:val="BodyText"/>
        <w:spacing w:line="398" w:lineRule="auto" w:before="65"/>
        <w:ind w:left="573" w:right="1118" w:hanging="420"/>
        <w:jc w:val="left"/>
      </w:pPr>
      <w:r>
        <w:rPr/>
        <w:t>其家长发放，在与中小学生或其家长进行确认并收款后，直接确认销售收入。</w:t>
      </w:r>
      <w:r>
        <w:rPr>
          <w:w w:val="100"/>
        </w:rPr>
        <w:t> </w:t>
      </w:r>
      <w:r>
        <w:rPr>
          <w:rFonts w:ascii="Times New Roman" w:hAnsi="Times New Roman" w:cs="Times New Roman" w:eastAsia="Times New Roman" w:hint="default"/>
        </w:rPr>
        <w:t>2</w:t>
      </w:r>
      <w:r>
        <w:rPr/>
        <w:t>）教育系统征订销售渠道收入确认</w:t>
      </w:r>
      <w:r>
        <w:rPr>
          <w:w w:val="100"/>
        </w:rPr>
        <w:t> </w:t>
      </w:r>
      <w:r>
        <w:rPr>
          <w:spacing w:val="-2"/>
        </w:rPr>
        <w:t>根据订单规定的交货时间及送货地址由仓库根据商务开具的发货单明细配送发货；成品送至客户指定</w:t>
      </w:r>
    </w:p>
    <w:p>
      <w:pPr>
        <w:pStyle w:val="BodyText"/>
        <w:spacing w:line="408" w:lineRule="auto" w:before="54"/>
        <w:ind w:right="1126"/>
        <w:jc w:val="both"/>
      </w:pPr>
      <w:r>
        <w:rPr>
          <w:spacing w:val="-2"/>
        </w:rPr>
        <w:t>收货点后，由收货单位于送货单上盖章签字确认；相关送货人员将客户盖章签字确认的送货单交财务部门</w:t>
      </w:r>
      <w:r>
        <w:rPr>
          <w:spacing w:val="-42"/>
        </w:rPr>
        <w:t> </w:t>
      </w:r>
      <w:r>
        <w:rPr>
          <w:spacing w:val="-42"/>
        </w:rPr>
      </w:r>
      <w:r>
        <w:rPr>
          <w:spacing w:val="-2"/>
        </w:rPr>
        <w:t>和销售部门各一联；由公司商务部根据客户确认的送货单与客户核对产品品种、数量，根据合同单价制作</w:t>
      </w:r>
      <w:r>
        <w:rPr>
          <w:spacing w:val="-43"/>
        </w:rPr>
        <w:t> </w:t>
      </w:r>
      <w:r>
        <w:rPr>
          <w:spacing w:val="-43"/>
        </w:rPr>
      </w:r>
      <w:r>
        <w:rPr/>
        <w:t>对账结算单并传真至客户，由其盖章确认后回传至公司；根据客户回传确认的对账结算单确认收入。</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left="573" w:right="0"/>
        <w:jc w:val="left"/>
      </w:pPr>
      <w:r>
        <w:rPr>
          <w:rFonts w:ascii="Times New Roman" w:hAnsi="Times New Roman" w:cs="Times New Roman" w:eastAsia="Times New Roman" w:hint="default"/>
        </w:rPr>
        <w:t>3</w:t>
      </w:r>
      <w:r>
        <w:rPr/>
        <w:t>）系统销售一般收入确认</w:t>
      </w:r>
      <w:r>
        <w:rPr>
          <w:w w:val="100"/>
        </w:rPr>
        <w:t> </w:t>
      </w:r>
      <w:r>
        <w:rPr>
          <w:spacing w:val="-2"/>
        </w:rPr>
        <w:t>在客户信用额度内的订货，由商务部门开具发货单通知库房配送产品；本地客户由相关送货人员送至</w:t>
      </w:r>
    </w:p>
    <w:p>
      <w:pPr>
        <w:pStyle w:val="BodyText"/>
        <w:spacing w:line="408" w:lineRule="auto" w:before="65"/>
        <w:ind w:right="1126"/>
        <w:jc w:val="both"/>
      </w:pPr>
      <w:r>
        <w:rPr>
          <w:spacing w:val="-2"/>
        </w:rPr>
        <w:t>客户仓库，将客户盖章签字确认的送货单交财务部门和销售部门各一联。异地客户由客户收货员盖章签字</w:t>
      </w:r>
      <w:r>
        <w:rPr>
          <w:spacing w:val="-43"/>
        </w:rPr>
        <w:t> </w:t>
      </w:r>
      <w:r>
        <w:rPr>
          <w:spacing w:val="-43"/>
        </w:rPr>
      </w:r>
      <w:r>
        <w:rPr>
          <w:spacing w:val="-2"/>
        </w:rPr>
        <w:t>后传真给公司商务部门和财务部门留存；每月公司商务部门与书店系统代理进行对账确认。书店系统代理</w:t>
      </w:r>
      <w:r>
        <w:rPr>
          <w:spacing w:val="-42"/>
        </w:rPr>
        <w:t> </w:t>
      </w:r>
      <w:r>
        <w:rPr>
          <w:spacing w:val="-42"/>
        </w:rPr>
      </w:r>
      <w:r>
        <w:rPr/>
        <w:t>销售根据双方确认的对账结算单确认收入。</w:t>
      </w:r>
    </w:p>
    <w:p>
      <w:pPr>
        <w:pStyle w:val="BodyText"/>
        <w:spacing w:line="386" w:lineRule="auto"/>
        <w:ind w:left="573" w:right="0"/>
        <w:jc w:val="left"/>
      </w:pPr>
      <w:r>
        <w:rPr>
          <w:rFonts w:ascii="Times New Roman" w:hAnsi="Times New Roman" w:cs="Times New Roman" w:eastAsia="Times New Roman" w:hint="default"/>
        </w:rPr>
        <w:t>4</w:t>
      </w:r>
      <w:r>
        <w:rPr/>
        <w:t>）邮件系统、其他产品销售收入确认</w:t>
      </w:r>
      <w:r>
        <w:rPr>
          <w:w w:val="100"/>
        </w:rPr>
        <w:t> </w:t>
      </w:r>
      <w:r>
        <w:rPr>
          <w:spacing w:val="-2"/>
        </w:rPr>
        <w:t>邮件系统销售分产品销售与解决方案实施。大部分需进行二次开发、设备安装、上线试运行及验收等</w:t>
      </w:r>
    </w:p>
    <w:p>
      <w:pPr>
        <w:pStyle w:val="BodyText"/>
        <w:spacing w:line="410" w:lineRule="auto" w:before="65"/>
        <w:ind w:right="1128"/>
        <w:jc w:val="both"/>
      </w:pPr>
      <w:r>
        <w:rPr>
          <w:spacing w:val="-2"/>
        </w:rPr>
        <w:t>程序；与货物相关的风险、所有权和责任，在验收合格后方转移到买方。公司在取得用户验收合格确认书</w:t>
      </w:r>
      <w:r>
        <w:rPr>
          <w:spacing w:val="-47"/>
        </w:rPr>
        <w:t> </w:t>
      </w:r>
      <w:r>
        <w:rPr>
          <w:spacing w:val="-47"/>
        </w:rPr>
      </w:r>
      <w:r>
        <w:rPr/>
        <w:t>时根据合同约定确认销售收入。</w:t>
      </w:r>
    </w:p>
    <w:p>
      <w:pPr>
        <w:pStyle w:val="BodyText"/>
        <w:spacing w:line="386" w:lineRule="auto" w:before="44"/>
        <w:ind w:left="573" w:right="0"/>
        <w:jc w:val="left"/>
      </w:pPr>
      <w:r>
        <w:rPr/>
        <w:t>（</w:t>
      </w:r>
      <w:r>
        <w:rPr>
          <w:rFonts w:ascii="Times New Roman" w:hAnsi="Times New Roman" w:cs="Times New Roman" w:eastAsia="Times New Roman" w:hint="default"/>
        </w:rPr>
        <w:t>2</w:t>
      </w:r>
      <w:r>
        <w:rPr/>
        <w:t>）确认让渡资产使用权收入的依据</w:t>
      </w:r>
      <w:r>
        <w:rPr>
          <w:w w:val="100"/>
        </w:rPr>
        <w:t> </w:t>
      </w:r>
      <w:r>
        <w:rPr>
          <w:spacing w:val="-2"/>
        </w:rPr>
        <w:t>与交易相关的经济利益很可能流入企业，收入的金额能够可靠地计量时，分别下列情况确定让渡资产</w:t>
      </w:r>
    </w:p>
    <w:p>
      <w:pPr>
        <w:pStyle w:val="BodyText"/>
        <w:spacing w:line="240" w:lineRule="auto" w:before="65"/>
        <w:ind w:right="0"/>
        <w:jc w:val="both"/>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7"/>
        <w:ind w:left="573" w:right="0"/>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right="0" w:firstLine="420"/>
        <w:jc w:val="left"/>
      </w:pPr>
      <w:r>
        <w:rPr>
          <w:spacing w:val="-2"/>
        </w:rPr>
        <w:t>政府补助是本公司从政府无偿取得的货币性资产或非货币性资产，但不包括政府以投资者身份向本公</w:t>
      </w:r>
      <w:r>
        <w:rPr>
          <w:w w:val="100"/>
        </w:rPr>
        <w:t> </w:t>
      </w:r>
      <w:r>
        <w:rPr/>
        <w:t>司投入的资本。</w:t>
      </w:r>
    </w:p>
    <w:p>
      <w:pPr>
        <w:pStyle w:val="BodyText"/>
        <w:spacing w:line="408" w:lineRule="auto"/>
        <w:ind w:left="573" w:right="0"/>
        <w:jc w:val="left"/>
      </w:pPr>
      <w:r>
        <w:rPr/>
        <w:t>政府补助在能够满足政府补助所附条件，并能够收到时，予以确认。</w:t>
      </w:r>
      <w:r>
        <w:rPr>
          <w:w w:val="100"/>
        </w:rPr>
        <w:t> </w:t>
      </w:r>
      <w:r>
        <w:rPr>
          <w:spacing w:val="-2"/>
        </w:rPr>
        <w:t>政府补助为货币性资产的，按照收到或应收的金额计量。政府补助为非货币性资产的，按照公允价值</w:t>
      </w:r>
    </w:p>
    <w:p>
      <w:pPr>
        <w:pStyle w:val="BodyText"/>
        <w:spacing w:line="240" w:lineRule="auto"/>
        <w:ind w:right="0"/>
        <w:jc w:val="both"/>
      </w:pPr>
      <w:r>
        <w:rPr/>
        <w:t>计量。</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本公司取得的、用于购建或以其他方式形成长期资产的政府补助作为与资产相关的政府补助。本公司</w:t>
      </w:r>
      <w:r>
        <w:rPr>
          <w:w w:val="100"/>
        </w:rPr>
        <w:t> </w:t>
      </w:r>
      <w:r>
        <w:rPr>
          <w:spacing w:val="-2"/>
        </w:rPr>
        <w:t>取得的与资产相关之外的其他政府补助作为与收益相关的政府补助。与资产相关的政府补助，本公司将其</w:t>
      </w:r>
      <w:r>
        <w:rPr>
          <w:spacing w:val="-44"/>
        </w:rPr>
        <w:t> </w:t>
      </w:r>
      <w:r>
        <w:rPr>
          <w:spacing w:val="-44"/>
        </w:rPr>
      </w:r>
      <w:r>
        <w:rPr>
          <w:spacing w:val="-2"/>
        </w:rPr>
        <w:t>确认为递延收益，并在相关资产使用寿命内按照合理、系统的方法分期计入其他收益或营业外收入。与收</w:t>
      </w:r>
      <w:r>
        <w:rPr>
          <w:spacing w:val="-43"/>
        </w:rPr>
        <w:t> </w:t>
      </w:r>
      <w:r>
        <w:rPr>
          <w:spacing w:val="-43"/>
        </w:rPr>
      </w:r>
      <w:r>
        <w:rPr>
          <w:spacing w:val="-5"/>
        </w:rPr>
        <w:t>益相关的政府补助，如果用于补偿本公司以后期间的相关成本费用或损失的，本公司将其确认为递延收益，</w:t>
      </w:r>
      <w:r>
        <w:rPr>
          <w:spacing w:val="-6"/>
        </w:rPr>
        <w:t> </w:t>
      </w:r>
      <w:r>
        <w:rPr>
          <w:spacing w:val="-6"/>
        </w:rPr>
      </w:r>
      <w:r>
        <w:rPr>
          <w:spacing w:val="-2"/>
        </w:rPr>
        <w:t>并在确认相关成本费用或损失的期间，计入其他收益或营业外收入；如果用于补偿本公司已发生的相关成</w:t>
      </w:r>
      <w:r>
        <w:rPr>
          <w:spacing w:val="-44"/>
        </w:rPr>
        <w:t> </w:t>
      </w:r>
      <w:r>
        <w:rPr>
          <w:spacing w:val="-44"/>
        </w:rPr>
      </w:r>
      <w:r>
        <w:rPr/>
        <w:t>本费用或损失的，则直接计入其他收益或营业外收入。</w:t>
      </w:r>
    </w:p>
    <w:p>
      <w:pPr>
        <w:spacing w:after="0" w:line="408" w:lineRule="auto"/>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8" w:lineRule="auto" w:before="0"/>
        <w:ind w:right="1126" w:firstLine="420"/>
        <w:jc w:val="both"/>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w:t>
      </w:r>
      <w:r>
        <w:rPr>
          <w:spacing w:val="-3"/>
          <w:w w:val="100"/>
        </w:rPr>
        <w:t> </w:t>
      </w:r>
      <w:r>
        <w:rPr>
          <w:spacing w:val="-2"/>
        </w:rPr>
        <w:t>确认。于资产负债表日，递延所得税资产和递延所得税负债，按照预期收回该资产或清偿该负债期间的适</w:t>
      </w:r>
      <w:r>
        <w:rPr>
          <w:spacing w:val="-44"/>
        </w:rPr>
        <w:t> </w:t>
      </w:r>
      <w:r>
        <w:rPr>
          <w:spacing w:val="-44"/>
        </w:rPr>
      </w:r>
      <w:r>
        <w:rPr/>
        <w:t>用税率计量。</w:t>
      </w:r>
    </w:p>
    <w:p>
      <w:pPr>
        <w:pStyle w:val="BodyText"/>
        <w:spacing w:line="386" w:lineRule="auto" w:before="54"/>
        <w:ind w:left="573" w:right="0"/>
        <w:jc w:val="left"/>
      </w:pPr>
      <w:r>
        <w:rPr/>
        <w:t>（</w:t>
      </w:r>
      <w:r>
        <w:rPr>
          <w:rFonts w:ascii="Times New Roman" w:hAnsi="Times New Roman" w:cs="Times New Roman" w:eastAsia="Times New Roman" w:hint="default"/>
        </w:rPr>
        <w:t>1</w:t>
      </w:r>
      <w:r>
        <w:rPr/>
        <w:t>）确认递延所得税资产的依据</w:t>
      </w:r>
      <w:r>
        <w:rPr>
          <w:w w:val="100"/>
        </w:rPr>
        <w:t> </w:t>
      </w:r>
      <w:r>
        <w:rPr>
          <w:spacing w:val="-2"/>
        </w:rPr>
        <w:t>本公司以很可能取得用来抵扣可抵扣暂时性差异、能够结转以后年度的可抵扣亏损和税款抵减的应纳</w:t>
      </w:r>
    </w:p>
    <w:p>
      <w:pPr>
        <w:pStyle w:val="BodyText"/>
        <w:spacing w:line="398" w:lineRule="auto" w:before="65"/>
        <w:ind w:right="1125"/>
        <w:jc w:val="both"/>
      </w:pPr>
      <w:r>
        <w:rPr>
          <w:spacing w:val="-2"/>
        </w:rPr>
        <w:t>税所得额为限，确认由可抵扣暂时性差异产生的递延所得税资产。但是，同时具有下列特征的交易中因资</w:t>
      </w:r>
      <w:r>
        <w:rPr>
          <w:spacing w:val="-43"/>
        </w:rPr>
        <w:t> </w:t>
      </w:r>
      <w:r>
        <w:rPr>
          <w:spacing w:val="-43"/>
        </w:rPr>
      </w: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2"/>
        </w:rPr>
        <w:t> </w:t>
      </w:r>
      <w:r>
        <w:rPr>
          <w:spacing w:val="-42"/>
        </w:rPr>
      </w:r>
      <w:r>
        <w:rPr/>
        <w:t>不影响会计利润也不影响应纳税所得额或可抵扣亏损。</w:t>
      </w:r>
    </w:p>
    <w:p>
      <w:pPr>
        <w:pStyle w:val="BodyText"/>
        <w:spacing w:line="408" w:lineRule="auto" w:before="54"/>
        <w:ind w:right="0" w:firstLine="420"/>
        <w:jc w:val="left"/>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pStyle w:val="BodyText"/>
        <w:spacing w:line="398" w:lineRule="auto"/>
        <w:ind w:left="573" w:right="0"/>
        <w:jc w:val="left"/>
      </w:pPr>
      <w:r>
        <w:rPr/>
        <w:t>（</w:t>
      </w:r>
      <w:r>
        <w:rPr>
          <w:rFonts w:ascii="Times New Roman" w:hAnsi="Times New Roman" w:cs="Times New Roman" w:eastAsia="Times New Roman" w:hint="default"/>
        </w:rPr>
        <w:t>2</w:t>
      </w:r>
      <w:r>
        <w:rPr/>
        <w:t>）确认递延所得税负债的依据</w:t>
      </w:r>
      <w:r>
        <w:rPr>
          <w:w w:val="100"/>
        </w:rPr>
        <w:t> </w:t>
      </w:r>
      <w:r>
        <w:rPr>
          <w:spacing w:val="-2"/>
        </w:rPr>
        <w:t>本公司将当期与以前期间应交未交的应纳税暂时性差异确认为递延所得税负债。但不包括：</w:t>
      </w:r>
      <w:r>
        <w:rPr>
          <w:spacing w:val="-28"/>
        </w:rPr>
        <w:t> </w:t>
      </w:r>
      <w:r>
        <w:rPr>
          <w:spacing w:val="-28"/>
        </w:rPr>
      </w:r>
      <w:r>
        <w:rPr>
          <w:rFonts w:ascii="Times New Roman" w:hAnsi="Times New Roman" w:cs="Times New Roman" w:eastAsia="Times New Roman" w:hint="default"/>
        </w:rPr>
        <w:t>1</w:t>
      </w:r>
      <w:r>
        <w:rPr/>
        <w:t>）商誉的初始确认所形成的暂时性差异；</w:t>
      </w:r>
    </w:p>
    <w:p>
      <w:pPr>
        <w:pStyle w:val="BodyText"/>
        <w:spacing w:line="386" w:lineRule="auto" w:before="24"/>
        <w:ind w:right="0" w:firstLine="420"/>
        <w:jc w:val="left"/>
      </w:pP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）非企业合并形成的交易或事项，且该交易或事项发生时既不影响会计利润，也不影响应纳税所得</w:t>
      </w:r>
      <w:r>
        <w:rPr>
          <w:w w:val="100"/>
        </w:rPr>
        <w:t> </w:t>
      </w:r>
      <w:r>
        <w:rPr/>
        <w:t>额（或可抵扣亏损）所形成的暂时性差异；</w:t>
      </w:r>
    </w:p>
    <w:p>
      <w:pPr>
        <w:pStyle w:val="BodyText"/>
        <w:spacing w:line="386" w:lineRule="auto" w:before="62"/>
        <w:ind w:right="0" w:firstLine="420"/>
        <w:jc w:val="left"/>
      </w:pPr>
      <w:r>
        <w:rPr>
          <w:rFonts w:ascii="Times New Roman" w:hAnsi="Times New Roman" w:cs="Times New Roman" w:eastAsia="Times New Roman" w:hint="default"/>
          <w:spacing w:val="-2"/>
        </w:rPr>
        <w:t>3</w:t>
      </w:r>
      <w:r>
        <w:rPr>
          <w:spacing w:val="-2"/>
        </w:rPr>
        <w:t>）对于与子公司、联营企业投资相关的应纳税暂时性差异，该暂时性差异转回的时间能够控制并且</w:t>
      </w:r>
      <w:r>
        <w:rPr>
          <w:w w:val="100"/>
        </w:rPr>
        <w:t> </w:t>
      </w:r>
      <w:r>
        <w:rPr/>
        <w:t>该暂时性差异在可预见的未来很可能不会转回。</w:t>
      </w:r>
    </w:p>
    <w:p>
      <w:pPr>
        <w:pStyle w:val="BodyText"/>
        <w:spacing w:line="240" w:lineRule="auto" w:before="65"/>
        <w:ind w:left="573" w:right="0"/>
        <w:jc w:val="left"/>
      </w:pPr>
      <w:r>
        <w:rPr/>
        <w:t>（</w:t>
      </w:r>
      <w:r>
        <w:rPr>
          <w:rFonts w:ascii="Times New Roman" w:hAnsi="Times New Roman" w:cs="Times New Roman" w:eastAsia="Times New Roman" w:hint="default"/>
        </w:rPr>
        <w:t>3</w:t>
      </w:r>
      <w:r>
        <w:rPr/>
        <w:t>）同时满足下列条件时，将递延所得税资产及递延所得税负债以抵销后的净额列示</w:t>
      </w:r>
    </w:p>
    <w:p>
      <w:pPr>
        <w:pStyle w:val="BodyText"/>
        <w:spacing w:line="240" w:lineRule="auto" w:before="177"/>
        <w:ind w:left="573" w:right="0"/>
        <w:jc w:val="left"/>
      </w:pP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98" w:lineRule="auto" w:before="177"/>
        <w:ind w:right="0" w:firstLine="420"/>
        <w:jc w:val="left"/>
      </w:pPr>
      <w:r>
        <w:rPr>
          <w:rFonts w:ascii="Times New Roman" w:hAnsi="Times New Roman" w:cs="Times New Roman" w:eastAsia="Times New Roman" w:hint="default"/>
        </w:rPr>
        <w:t>2</w:t>
      </w:r>
      <w:r>
        <w:rPr/>
        <w:t>）递延所得税资产和递延所得税负债是与同一税收征管部门对同一纳税主体征收的所得税相关或者</w:t>
      </w:r>
      <w:r>
        <w:rPr>
          <w:w w:val="100"/>
        </w:rPr>
        <w:t> </w:t>
      </w:r>
      <w:r>
        <w:rPr>
          <w:spacing w:val="-2"/>
        </w:rPr>
        <w:t>对不同的纳税主体相关，但在未来每一具有重要性的递延所得税资产和递延所得税负债转回的期间内，涉</w:t>
      </w:r>
      <w:r>
        <w:rPr>
          <w:spacing w:val="-43"/>
        </w:rPr>
        <w:t> </w:t>
      </w:r>
      <w:r>
        <w:rPr>
          <w:spacing w:val="-43"/>
        </w:rPr>
      </w:r>
      <w:r>
        <w:rPr/>
        <w:t>及的纳税主体体意图以净额结算当期所得税资产及当期所得税负债或是同时取得资产、清偿债务。</w:t>
      </w:r>
    </w:p>
    <w:p>
      <w:pPr>
        <w:spacing w:line="240" w:lineRule="auto" w:before="2"/>
        <w:rPr>
          <w:rFonts w:ascii="宋体" w:hAnsi="宋体" w:cs="宋体" w:eastAsia="宋体" w:hint="default"/>
          <w:sz w:val="16"/>
          <w:szCs w:val="16"/>
        </w:rPr>
      </w:pPr>
    </w:p>
    <w:p>
      <w:pPr>
        <w:pStyle w:val="Heading6"/>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0" w:firstLine="420"/>
        <w:jc w:val="left"/>
      </w:pPr>
      <w:r>
        <w:rPr>
          <w:rFonts w:ascii="Times New Roman" w:hAnsi="Times New Roman" w:cs="Times New Roman" w:eastAsia="Times New Roman" w:hint="default"/>
          <w:spacing w:val="-2"/>
        </w:rPr>
        <w:t>1</w:t>
      </w:r>
      <w:r>
        <w:rPr>
          <w:spacing w:val="-2"/>
        </w:rPr>
        <w:t>）本公司租入资产所支付的租赁费，在不扣除免租期的整个租赁期内，按直线法进行分摊，计入当</w:t>
      </w:r>
      <w:r>
        <w:rPr>
          <w:w w:val="100"/>
        </w:rPr>
        <w:t> </w:t>
      </w:r>
      <w:r>
        <w:rPr/>
        <w:t>期费用。本公司支付的与租赁交易相关的初始直接费用，计入当期费用。</w:t>
      </w:r>
    </w:p>
    <w:p>
      <w:pPr>
        <w:pStyle w:val="BodyText"/>
        <w:spacing w:line="240" w:lineRule="auto" w:before="65"/>
        <w:ind w:left="573" w:right="0"/>
        <w:jc w:val="left"/>
      </w:pPr>
      <w:r>
        <w:rPr/>
        <w:t>资产出租方承担了应由本公司承担的与租赁相关的费用时，本公司将该部分费用从租金总额中扣除，</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pPr>
      <w:r>
        <w:rPr/>
        <w:t>按扣除后的租金费用在租赁期内分摊，计入当期费用。</w:t>
      </w:r>
    </w:p>
    <w:p>
      <w:pPr>
        <w:spacing w:line="240" w:lineRule="auto" w:before="10"/>
        <w:rPr>
          <w:rFonts w:ascii="宋体" w:hAnsi="宋体" w:cs="宋体" w:eastAsia="宋体" w:hint="default"/>
          <w:sz w:val="14"/>
          <w:szCs w:val="14"/>
        </w:rPr>
      </w:pPr>
    </w:p>
    <w:p>
      <w:pPr>
        <w:pStyle w:val="BodyText"/>
        <w:spacing w:line="398" w:lineRule="auto" w:before="0"/>
        <w:ind w:right="0" w:firstLine="420"/>
        <w:jc w:val="left"/>
      </w:pPr>
      <w:r>
        <w:rPr>
          <w:rFonts w:ascii="Times New Roman" w:hAnsi="Times New Roman" w:cs="Times New Roman" w:eastAsia="Times New Roman" w:hint="default"/>
        </w:rPr>
        <w:t>2</w:t>
      </w:r>
      <w:r>
        <w:rPr/>
        <w:t>）本公司出租资产所收取的租赁费，在不扣除免租期的整个租赁期内，按直线法进行分摊，确认为</w:t>
      </w:r>
      <w:r>
        <w:rPr>
          <w:w w:val="100"/>
        </w:rPr>
        <w:t> </w:t>
      </w:r>
      <w:r>
        <w:rPr>
          <w:spacing w:val="-5"/>
        </w:rPr>
        <w:t>租赁收入。本公司支付的与租赁交易相关的初始直接费用，计入当期费用；如金额较大的，则予以资本化，</w:t>
      </w:r>
      <w:r>
        <w:rPr>
          <w:spacing w:val="-9"/>
        </w:rPr>
        <w:t> </w:t>
      </w:r>
      <w:r>
        <w:rPr>
          <w:spacing w:val="-9"/>
        </w:rPr>
      </w:r>
      <w:r>
        <w:rPr/>
        <w:t>在整个租赁期间内按照与租赁收入确认相同的基础分期计入当期收益。</w:t>
      </w:r>
    </w:p>
    <w:p>
      <w:pPr>
        <w:pStyle w:val="BodyText"/>
        <w:spacing w:line="408" w:lineRule="auto" w:before="54"/>
        <w:ind w:right="0" w:firstLine="420"/>
        <w:jc w:val="left"/>
      </w:pPr>
      <w:r>
        <w:rPr>
          <w:spacing w:val="-2"/>
        </w:rPr>
        <w:t>本公司承担了应由承租方承担的与租赁相关的费用时，本公司将该部分费用从租金收入总额中扣除，</w:t>
      </w:r>
      <w:r>
        <w:rPr>
          <w:w w:val="100"/>
        </w:rPr>
        <w:t> </w:t>
      </w:r>
      <w:r>
        <w:rPr/>
        <w:t>按扣除后的租金费用在租赁期内分配。</w:t>
      </w:r>
    </w:p>
    <w:p>
      <w:pPr>
        <w:spacing w:line="240" w:lineRule="auto" w:before="6"/>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pict>
          <v:shape style="position:absolute;margin-left:56.424pt;margin-top:-36.4883pt;width:479.3pt;height:227.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日颁布了《关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格式的通知</w:t>
                        </w:r>
                        <w:r>
                          <w:rPr>
                            <w:rFonts w:ascii="宋体" w:hAnsi="宋体" w:cs="宋体" w:eastAsia="宋体" w:hint="default"/>
                            <w:spacing w:val="-159"/>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24"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日发布的《关于修订印发一 </w:t>
                        </w:r>
                        <w:r>
                          <w:rPr>
                            <w:rFonts w:ascii="宋体" w:hAnsi="宋体" w:cs="宋体" w:eastAsia="宋体" w:hint="default"/>
                            <w:spacing w:val="-6"/>
                            <w:sz w:val="18"/>
                            <w:szCs w:val="18"/>
                          </w:rPr>
                          <w:t>般企业财务报表格式的通知》（财会</w:t>
                        </w:r>
                      </w:p>
                      <w:p>
                        <w:pPr>
                          <w:pStyle w:val="TableParagraph"/>
                          <w:spacing w:line="309" w:lineRule="auto" w:before="31"/>
                          <w:ind w:left="24"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号）同时废止。公司按照《修</w:t>
                        </w:r>
                        <w:r>
                          <w:rPr>
                            <w:rFonts w:ascii="宋体" w:hAnsi="宋体" w:cs="宋体" w:eastAsia="宋体" w:hint="default"/>
                            <w:sz w:val="18"/>
                            <w:szCs w:val="18"/>
                          </w:rPr>
                          <w:t> 订通知》的规定和要求，对财务报表格 式进行相应变更。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 事会第二次会议、第四届监事会第二次 会议审议通过了《关于会计政策变更的 议案》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1"/>
                            <w:sz w:val="18"/>
                            <w:szCs w:val="18"/>
                          </w:rPr>
                          <w:t>新增了“应收票据及应收账款”、“应付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2"/>
                            <w:sz w:val="18"/>
                            <w:szCs w:val="18"/>
                          </w:rPr>
                          <w:t>票据及应付账款”、“研发费用”行项目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4"/>
                            <w:sz w:val="18"/>
                            <w:szCs w:val="18"/>
                          </w:rPr>
                          <w:t>修订了“其他应收款”、“固定资产”、“在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建工程”、“其他应付款”、“长期应付款”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“管理费用”行项目的列报内容，减少</w:t>
                        </w:r>
                        <w:r>
                          <w:rPr>
                            <w:rFonts w:ascii="宋体" w:hAnsi="宋体" w:cs="宋体" w:eastAsia="宋体" w:hint="default"/>
                            <w:sz w:val="18"/>
                            <w:szCs w:val="18"/>
                          </w:rPr>
                          <w:t> </w:t>
                        </w:r>
                        <w:r>
                          <w:rPr>
                            <w:rFonts w:ascii="宋体" w:hAnsi="宋体" w:cs="宋体" w:eastAsia="宋体" w:hint="default"/>
                            <w:spacing w:val="-20"/>
                            <w:sz w:val="18"/>
                            <w:szCs w:val="18"/>
                          </w:rPr>
                          <w:t>了“应收票据”、“应收账款”、“应收股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2"/>
                            <w:sz w:val="18"/>
                            <w:szCs w:val="18"/>
                          </w:rPr>
                          <w:t>利”、“应收利息”、“固定资产清理”、“工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2"/>
                            <w:sz w:val="18"/>
                            <w:szCs w:val="18"/>
                          </w:rPr>
                          <w:t>程物资”、“应付票据”、“应付账款”、“应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付利息”、“应付股利”及“专项应付款</w:t>
                        </w:r>
                        <w:r>
                          <w:rPr>
                            <w:rFonts w:ascii="宋体" w:hAnsi="宋体" w:cs="宋体" w:eastAsia="宋体" w:hint="default"/>
                            <w:sz w:val="18"/>
                            <w:szCs w:val="18"/>
                          </w:rPr>
                          <w:t> </w:t>
                        </w:r>
                        <w:r>
                          <w:rPr>
                            <w:rFonts w:ascii="宋体" w:hAnsi="宋体" w:cs="宋体" w:eastAsia="宋体" w:hint="default"/>
                            <w:spacing w:val="-6"/>
                            <w:sz w:val="18"/>
                            <w:szCs w:val="18"/>
                          </w:rPr>
                          <w:t>行项目，在“财务费用”项目下增加“其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中：利息费用”和“利息收入”行项目 进行列报，调整了利润表部分项目的列 报位置。</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深圳市木愚科技有限公司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386" w:lineRule="auto" w:before="0"/>
        <w:ind w:left="573" w:right="1118"/>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w:t>
      </w:r>
      <w:r>
        <w:rPr>
          <w:w w:val="100"/>
        </w:rPr>
        <w:t> </w:t>
      </w:r>
      <w:r>
        <w:rPr>
          <w:spacing w:val="-7"/>
          <w:w w:val="100"/>
        </w:rPr>
        <w:t>根据国务院《国务院关于印发进一步鼓励软件产业和集成电路产业发展若干政策的通知》（国发</w:t>
      </w:r>
      <w:r>
        <w:rPr>
          <w:rFonts w:ascii="Times New Roman" w:hAnsi="Times New Roman" w:cs="Times New Roman" w:eastAsia="Times New Roman" w:hint="default"/>
          <w:spacing w:val="-7"/>
          <w:w w:val="100"/>
        </w:rPr>
        <w:t>[2011]4</w:t>
      </w:r>
    </w:p>
    <w:p>
      <w:pPr>
        <w:pStyle w:val="BodyText"/>
        <w:spacing w:line="386" w:lineRule="auto" w:before="35"/>
        <w:ind w:right="1118"/>
        <w:jc w:val="left"/>
      </w:pPr>
      <w:r>
        <w:rPr>
          <w:spacing w:val="-3"/>
        </w:rPr>
        <w:t>号）和财政部、国家税务总局《关于软件产品增值税政策的通知》（财税</w:t>
      </w:r>
      <w:r>
        <w:rPr>
          <w:rFonts w:ascii="Times New Roman" w:hAnsi="Times New Roman" w:cs="Times New Roman" w:eastAsia="Times New Roman" w:hint="default"/>
          <w:spacing w:val="-3"/>
        </w:rPr>
        <w:t>[2011]100</w:t>
      </w:r>
      <w:r>
        <w:rPr>
          <w:spacing w:val="-3"/>
        </w:rPr>
        <w:t>号）文有关规定，本公</w:t>
      </w:r>
      <w:r>
        <w:rPr>
          <w:spacing w:val="-20"/>
        </w:rPr>
        <w:t> </w:t>
      </w:r>
      <w:r>
        <w:rPr>
          <w:spacing w:val="-20"/>
        </w:rPr>
      </w:r>
      <w:r>
        <w:rPr/>
        <w:t>司自行开发研制软件产品销售收入按法定税率计缴增值税后，对实际税负超过</w:t>
      </w:r>
      <w:r>
        <w:rPr>
          <w:rFonts w:ascii="Times New Roman" w:hAnsi="Times New Roman" w:cs="Times New Roman" w:eastAsia="Times New Roman" w:hint="default"/>
        </w:rPr>
        <w:t>3%</w:t>
      </w:r>
      <w:r>
        <w:rPr/>
        <w:t>的部分实行即征即退政</w:t>
      </w:r>
      <w:r>
        <w:rPr>
          <w:w w:val="100"/>
        </w:rPr>
        <w:t> </w:t>
      </w:r>
      <w:r>
        <w:rPr/>
        <w:t>策。</w:t>
      </w:r>
    </w:p>
    <w:p>
      <w:pPr>
        <w:pStyle w:val="BodyText"/>
        <w:spacing w:line="386" w:lineRule="auto" w:before="65"/>
        <w:ind w:right="0" w:firstLine="420"/>
        <w:jc w:val="left"/>
      </w:pPr>
      <w:r>
        <w:rPr>
          <w:spacing w:val="-2"/>
        </w:rPr>
        <w:t>据《财政部、国家税务总局关于全面推开营业税改征增值税试点的通知》（财税</w:t>
      </w:r>
      <w:r>
        <w:rPr>
          <w:rFonts w:ascii="Times New Roman" w:hAnsi="Times New Roman" w:cs="Times New Roman" w:eastAsia="Times New Roman" w:hint="default"/>
          <w:spacing w:val="-2"/>
        </w:rPr>
        <w:t>[2016]36</w:t>
      </w:r>
      <w:r>
        <w:rPr>
          <w:spacing w:val="-2"/>
        </w:rPr>
        <w:t>号）文有关</w:t>
      </w:r>
      <w:r>
        <w:rPr>
          <w:w w:val="100"/>
        </w:rPr>
        <w:t> </w:t>
      </w:r>
      <w:r>
        <w:rPr/>
        <w:t>规定，本公司提供技术开发服务取得的收入按规定将相关资料报税务机关备案后，免征增值税。</w:t>
      </w:r>
    </w:p>
    <w:p>
      <w:pPr>
        <w:pStyle w:val="BodyText"/>
        <w:spacing w:line="386" w:lineRule="auto" w:before="65"/>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）企业所得税</w:t>
      </w:r>
      <w:r>
        <w:rPr>
          <w:w w:val="100"/>
        </w:rPr>
        <w:t> </w:t>
      </w:r>
      <w:r>
        <w:rPr>
          <w:spacing w:val="-2"/>
        </w:rPr>
        <w:t>根据国家税务总局国税函</w:t>
      </w:r>
      <w:r>
        <w:rPr>
          <w:rFonts w:ascii="Times New Roman" w:hAnsi="Times New Roman" w:cs="Times New Roman" w:eastAsia="Times New Roman" w:hint="default"/>
          <w:spacing w:val="-2"/>
        </w:rPr>
        <w:t>[2009]203</w:t>
      </w:r>
      <w:r>
        <w:rPr>
          <w:spacing w:val="-2"/>
        </w:rPr>
        <w:t>号《关于实施高新技术企业所得税优惠有关问题的通知》。</w:t>
      </w:r>
      <w:r>
        <w:rPr>
          <w:rFonts w:ascii="Times New Roman" w:hAnsi="Times New Roman" w:cs="Times New Roman" w:eastAsia="Times New Roman" w:hint="default"/>
          <w:spacing w:val="-2"/>
        </w:rPr>
        <w:t>2018</w:t>
      </w:r>
    </w:p>
    <w:p>
      <w:pPr>
        <w:pStyle w:val="BodyText"/>
        <w:spacing w:line="386" w:lineRule="auto" w:before="35"/>
        <w:ind w:right="1126"/>
        <w:jc w:val="both"/>
      </w:pP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日本公司取得深圳市科技创新委员会、深圳市财政委员会、国家税务总局深圳市税务局联合颁发</w:t>
      </w:r>
      <w:r>
        <w:rPr>
          <w:spacing w:val="-40"/>
        </w:rPr>
        <w:t> </w:t>
      </w:r>
      <w:r>
        <w:rPr>
          <w:spacing w:val="-40"/>
        </w:rPr>
      </w:r>
      <w:r>
        <w:rPr>
          <w:spacing w:val="-4"/>
        </w:rPr>
        <w:t>的《高新技术企业证书》，证书编号：</w:t>
      </w:r>
      <w:r>
        <w:rPr>
          <w:rFonts w:ascii="Times New Roman" w:hAnsi="Times New Roman" w:cs="Times New Roman" w:eastAsia="Times New Roman" w:hint="default"/>
          <w:spacing w:val="-4"/>
        </w:rPr>
        <w:t>GR201844200792</w:t>
      </w:r>
      <w:r>
        <w:rPr>
          <w:spacing w:val="-4"/>
        </w:rPr>
        <w:t>，有效期为三年。</w:t>
      </w:r>
      <w:r>
        <w:rPr>
          <w:rFonts w:ascii="Times New Roman" w:hAnsi="Times New Roman" w:cs="Times New Roman" w:eastAsia="Times New Roman" w:hint="default"/>
          <w:spacing w:val="-4"/>
        </w:rPr>
        <w:t>2018</w:t>
      </w:r>
      <w:r>
        <w:rPr>
          <w:spacing w:val="-4"/>
        </w:rPr>
        <w:t>年度企业所得税优惠税率为 </w:t>
      </w:r>
      <w:r>
        <w:rPr>
          <w:rFonts w:ascii="Times New Roman" w:hAnsi="Times New Roman" w:cs="Times New Roman" w:eastAsia="Times New Roman" w:hint="default"/>
        </w:rPr>
        <w:t>15%</w:t>
      </w:r>
      <w:r>
        <w:rPr/>
        <w:t>。</w:t>
      </w:r>
    </w:p>
    <w:p>
      <w:pPr>
        <w:spacing w:after="0" w:line="386" w:lineRule="auto"/>
        <w:jc w:val="both"/>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6"/>
        <w:spacing w:line="335" w:lineRule="exact"/>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61,213.42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241,118,229.34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166,414,945.66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241,150,175.57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166,476,159.08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36,573,625.49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34,958,886.38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36,573,625.49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34,958,886.38</w:t>
            </w: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0"/>
        <w:ind w:left="113" w:right="5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before="49"/>
        <w:ind w:left="113" w:right="5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13" w:right="53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113" w:right="537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13" w:right="5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4"/>
        <w:gridCol w:w="764"/>
        <w:gridCol w:w="761"/>
        <w:gridCol w:w="763"/>
        <w:gridCol w:w="898"/>
        <w:gridCol w:w="852"/>
        <w:gridCol w:w="708"/>
        <w:gridCol w:w="709"/>
        <w:gridCol w:w="710"/>
        <w:gridCol w:w="838"/>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37,655,0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21.79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1,081,39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36,573,62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36,208,4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56.28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1,249,56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9.90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34,958,886.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37,655,0</w:t>
            </w:r>
          </w:p>
          <w:p>
            <w:pPr>
              <w:pStyle w:val="TableParagraph"/>
              <w:spacing w:line="240" w:lineRule="auto" w:before="103"/>
              <w:ind w:left="326" w:right="0"/>
              <w:jc w:val="left"/>
              <w:rPr>
                <w:rFonts w:ascii="Times New Roman" w:hAnsi="Times New Roman" w:cs="Times New Roman" w:eastAsia="Times New Roman" w:hint="default"/>
                <w:sz w:val="18"/>
                <w:szCs w:val="18"/>
              </w:rPr>
            </w:pPr>
            <w:r>
              <w:rPr>
                <w:rFonts w:ascii="Times New Roman"/>
                <w:sz w:val="18"/>
              </w:rPr>
              <w:t>21.79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1,081,39</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6.30</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36,573,62</w:t>
            </w:r>
          </w:p>
          <w:p>
            <w:pPr>
              <w:pStyle w:val="TableParagraph"/>
              <w:spacing w:line="240" w:lineRule="auto" w:before="103"/>
              <w:ind w:left="503" w:right="0"/>
              <w:jc w:val="left"/>
              <w:rPr>
                <w:rFonts w:ascii="Times New Roman" w:hAnsi="Times New Roman" w:cs="Times New Roman" w:eastAsia="Times New Roman" w:hint="default"/>
                <w:sz w:val="18"/>
                <w:szCs w:val="18"/>
              </w:rPr>
            </w:pPr>
            <w:r>
              <w:rPr>
                <w:rFonts w:ascii="Times New Roman"/>
                <w:sz w:val="18"/>
              </w:rPr>
              <w:t>5.49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36,208,4</w:t>
            </w:r>
          </w:p>
          <w:p>
            <w:pPr>
              <w:pStyle w:val="TableParagraph"/>
              <w:spacing w:line="240" w:lineRule="auto" w:before="103"/>
              <w:ind w:left="271" w:right="0"/>
              <w:jc w:val="left"/>
              <w:rPr>
                <w:rFonts w:ascii="Times New Roman" w:hAnsi="Times New Roman" w:cs="Times New Roman" w:eastAsia="Times New Roman" w:hint="default"/>
                <w:sz w:val="18"/>
                <w:szCs w:val="18"/>
              </w:rPr>
            </w:pPr>
            <w:r>
              <w:rPr>
                <w:rFonts w:ascii="Times New Roman"/>
                <w:sz w:val="18"/>
              </w:rPr>
              <w:t>56.28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1,249,56</w:t>
            </w:r>
          </w:p>
          <w:p>
            <w:pPr>
              <w:pStyle w:val="TableParagraph"/>
              <w:spacing w:line="240" w:lineRule="auto" w:before="103"/>
              <w:ind w:left="362" w:right="0"/>
              <w:jc w:val="left"/>
              <w:rPr>
                <w:rFonts w:ascii="Times New Roman" w:hAnsi="Times New Roman" w:cs="Times New Roman" w:eastAsia="Times New Roman" w:hint="default"/>
                <w:sz w:val="18"/>
                <w:szCs w:val="18"/>
              </w:rPr>
            </w:pPr>
            <w:r>
              <w:rPr>
                <w:rFonts w:ascii="Times New Roman"/>
                <w:sz w:val="18"/>
              </w:rPr>
              <w:t>9.90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34,958,886.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1020" w:right="0"/>
        </w:sectPr>
      </w:pPr>
    </w:p>
    <w:p>
      <w:pPr>
        <w:spacing w:before="49"/>
        <w:ind w:left="11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9"/>
        <w:ind w:left="11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1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254" w:space="4477"/>
            <w:col w:w="21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35,947,893.83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359,478.94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1,094,678.45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109,467.85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612,449.51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612,449.51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37,655,021.79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1,081,396.30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49"/>
        <w:ind w:left="113" w:right="64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3"/>
        <w:ind w:left="113" w:right="5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7"/>
        <w:ind w:left="573" w:right="0"/>
        <w:jc w:val="left"/>
      </w:pPr>
      <w:r>
        <w:rPr/>
        <w:t>本期计提坏账准备金额</w:t>
      </w:r>
      <w:r>
        <w:rPr>
          <w:spacing w:val="-54"/>
        </w:rPr>
        <w:t> </w:t>
      </w:r>
      <w:r>
        <w:rPr>
          <w:rFonts w:ascii="Times New Roman" w:hAnsi="Times New Roman" w:cs="Times New Roman" w:eastAsia="Times New Roman" w:hint="default"/>
        </w:rPr>
        <w:t>232,213.49</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400,387.09</w:t>
      </w:r>
      <w:r>
        <w:rPr>
          <w:rFonts w:ascii="Times New Roman" w:hAnsi="Times New Roman" w:cs="Times New Roman" w:eastAsia="Times New Roman" w:hint="default"/>
          <w:spacing w:val="-2"/>
        </w:rPr>
        <w:t> </w:t>
      </w:r>
      <w:r>
        <w:rPr>
          <w:spacing w:val="-3"/>
        </w:rPr>
        <w:t>元。</w:t>
      </w:r>
      <w:r>
        <w:rPr/>
      </w:r>
    </w:p>
    <w:p>
      <w:pPr>
        <w:spacing w:line="240" w:lineRule="auto" w:before="10"/>
        <w:rPr>
          <w:rFonts w:ascii="宋体" w:hAnsi="宋体" w:cs="宋体" w:eastAsia="宋体" w:hint="default"/>
          <w:sz w:val="8"/>
          <w:szCs w:val="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0" w:lineRule="auto" w:before="49"/>
        <w:ind w:left="153" w:right="6823"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269"/>
        <w:gridCol w:w="2552"/>
        <w:gridCol w:w="2837"/>
        <w:gridCol w:w="1673"/>
      </w:tblGrid>
      <w:tr>
        <w:trPr>
          <w:trHeight w:val="430" w:hRule="exact"/>
        </w:trPr>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1" w:right="0"/>
              <w:jc w:val="center"/>
              <w:rPr>
                <w:rFonts w:ascii="宋体" w:hAnsi="宋体" w:cs="宋体" w:eastAsia="宋体" w:hint="default"/>
                <w:sz w:val="20"/>
                <w:szCs w:val="20"/>
              </w:rPr>
            </w:pPr>
            <w:r>
              <w:rPr>
                <w:rFonts w:ascii="宋体" w:hAnsi="宋体" w:cs="宋体" w:eastAsia="宋体" w:hint="default"/>
                <w:sz w:val="20"/>
                <w:szCs w:val="20"/>
              </w:rPr>
              <w:t>前五名汇总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 w:right="0"/>
              <w:jc w:val="center"/>
              <w:rPr>
                <w:rFonts w:ascii="Times New Roman" w:hAnsi="Times New Roman" w:cs="Times New Roman" w:eastAsia="Times New Roman" w:hint="default"/>
                <w:sz w:val="20"/>
                <w:szCs w:val="20"/>
              </w:rPr>
            </w:pPr>
            <w:r>
              <w:rPr>
                <w:rFonts w:ascii="Times New Roman"/>
                <w:sz w:val="20"/>
              </w:rPr>
              <w:t>22,438,821.59</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59.59</w:t>
            </w:r>
          </w:p>
        </w:tc>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224,388.22</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6"/>
        <w:ind w:left="15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666,995.89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1,051,645.97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683,015.75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1,051,645.97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21"/>
          <w:szCs w:val="21"/>
        </w:rPr>
      </w:pPr>
    </w:p>
    <w:p>
      <w:pPr>
        <w:spacing w:line="496" w:lineRule="auto" w:before="0"/>
        <w:ind w:left="573" w:right="0"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本年按欠款方归集的年末余额前五名预付账款汇总金额为</w:t>
      </w:r>
      <w:r>
        <w:rPr>
          <w:rFonts w:ascii="Times New Roman" w:hAnsi="Times New Roman" w:cs="Times New Roman" w:eastAsia="Times New Roman" w:hint="default"/>
          <w:spacing w:val="-2"/>
          <w:sz w:val="21"/>
          <w:szCs w:val="21"/>
        </w:rPr>
        <w:t>250,751.66</w:t>
      </w:r>
      <w:r>
        <w:rPr>
          <w:rFonts w:ascii="宋体" w:hAnsi="宋体" w:cs="宋体" w:eastAsia="宋体" w:hint="default"/>
          <w:spacing w:val="-2"/>
          <w:sz w:val="21"/>
          <w:szCs w:val="21"/>
        </w:rPr>
        <w:t>元，占预付账款年末余额合计数</w:t>
      </w:r>
    </w:p>
    <w:p>
      <w:pPr>
        <w:spacing w:after="0" w:line="496" w:lineRule="auto"/>
        <w:jc w:val="left"/>
        <w:rPr>
          <w:rFonts w:ascii="宋体" w:hAnsi="宋体" w:cs="宋体" w:eastAsia="宋体" w:hint="default"/>
          <w:sz w:val="21"/>
          <w:szCs w:val="21"/>
        </w:rPr>
        <w:sectPr>
          <w:pgSz w:w="11910" w:h="16840"/>
          <w:pgMar w:header="88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rFonts w:ascii="Times New Roman" w:hAnsi="Times New Roman" w:cs="Times New Roman" w:eastAsia="Times New Roman" w:hint="default"/>
        </w:rPr>
        <w:t>36.71%</w:t>
      </w:r>
      <w:r>
        <w:rPr/>
        <w:t>。</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26,587,405.60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75,929,095.46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26,587,405.60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75,929,095.46</w:t>
            </w: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29,886,2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56.33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3,298,85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26,587,40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77,074,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99.59%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1,145,514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75,929,095.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319,000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30,205,2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56.33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3,617,85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0.73</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26,587,40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left"/>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1,464,514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75,929,095.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4" w:space="4256"/>
            <w:col w:w="22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1,761,370.39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1,761,370.39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27,596,743.09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2,759,674.31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2,806.99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518,786.21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518,786.21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29,886,256.33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3,298,850.73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11.04%</w:t>
            </w:r>
          </w:p>
        </w:tc>
      </w:tr>
    </w:tbl>
    <w:p>
      <w:pPr>
        <w:spacing w:line="360" w:lineRule="auto" w:before="49"/>
        <w:ind w:left="153" w:right="62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t>年末单项金额不重大并单独计提坏账准备的其他应收款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37"/>
        <w:ind w:left="0" w:right="1047" w:firstLine="0"/>
        <w:jc w:val="right"/>
        <w:rPr>
          <w:rFonts w:ascii="宋体" w:hAnsi="宋体" w:cs="宋体" w:eastAsia="宋体" w:hint="default"/>
          <w:sz w:val="20"/>
          <w:szCs w:val="20"/>
        </w:rPr>
      </w:pPr>
      <w:r>
        <w:rPr/>
        <w:pict>
          <v:shape style="position:absolute;margin-left:56.063999pt;margin-top:-47.910301pt;width:483.35pt;height:82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1"/>
                    <w:gridCol w:w="1572"/>
                    <w:gridCol w:w="1546"/>
                    <w:gridCol w:w="1846"/>
                    <w:gridCol w:w="2134"/>
                  </w:tblGrid>
                  <w:tr>
                    <w:trPr>
                      <w:trHeight w:val="336" w:hRule="exact"/>
                    </w:trPr>
                    <w:tc>
                      <w:tcPr>
                        <w:tcW w:w="2561" w:type="dxa"/>
                        <w:vMerge w:val="restart"/>
                        <w:tcBorders>
                          <w:top w:val="single" w:sz="2" w:space="0" w:color="000000"/>
                          <w:left w:val="single" w:sz="2" w:space="0" w:color="000000"/>
                          <w:right w:val="single" w:sz="2" w:space="0" w:color="000000"/>
                        </w:tcBorders>
                      </w:tcPr>
                      <w:p>
                        <w:pPr>
                          <w:pStyle w:val="TableParagraph"/>
                          <w:spacing w:line="240" w:lineRule="auto" w:before="172"/>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7098"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38" w:hRule="exact"/>
                    </w:trPr>
                    <w:tc>
                      <w:tcPr>
                        <w:tcW w:w="2561" w:type="dxa"/>
                        <w:vMerge/>
                        <w:tcBorders>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计提比例（</w:t>
                        </w:r>
                        <w:r>
                          <w:rPr>
                            <w:rFonts w:ascii="宋体" w:hAnsi="宋体" w:cs="宋体" w:eastAsia="宋体" w:hint="default"/>
                            <w:sz w:val="20"/>
                            <w:szCs w:val="20"/>
                          </w:rPr>
                          <w:t>%</w:t>
                        </w:r>
                        <w:r>
                          <w:rPr>
                            <w:rFonts w:ascii="宋体" w:hAnsi="宋体" w:cs="宋体" w:eastAsia="宋体" w:hint="default"/>
                            <w:sz w:val="20"/>
                            <w:szCs w:val="20"/>
                          </w:rPr>
                          <w:t>）</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664"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960" w:hRule="exact"/>
                    </w:trPr>
                    <w:tc>
                      <w:tcPr>
                        <w:tcW w:w="2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6" w:right="0"/>
                          <w:jc w:val="left"/>
                          <w:rPr>
                            <w:rFonts w:ascii="宋体" w:hAnsi="宋体" w:cs="宋体" w:eastAsia="宋体" w:hint="default"/>
                            <w:sz w:val="20"/>
                            <w:szCs w:val="20"/>
                          </w:rPr>
                        </w:pPr>
                        <w:r>
                          <w:rPr>
                            <w:rFonts w:ascii="宋体" w:hAnsi="宋体" w:cs="宋体" w:eastAsia="宋体" w:hint="default"/>
                            <w:sz w:val="20"/>
                            <w:szCs w:val="20"/>
                          </w:rPr>
                          <w:t>北京惟德基业科技有限公司</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319,000.00</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319,000.00</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100</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4"/>
                          <w:ind w:left="7" w:right="123"/>
                          <w:jc w:val="both"/>
                          <w:rPr>
                            <w:rFonts w:ascii="宋体" w:hAnsi="宋体" w:cs="宋体" w:eastAsia="宋体" w:hint="default"/>
                            <w:sz w:val="20"/>
                            <w:szCs w:val="20"/>
                          </w:rPr>
                        </w:pPr>
                        <w:r>
                          <w:rPr>
                            <w:rFonts w:ascii="宋体" w:hAnsi="宋体" w:cs="宋体" w:eastAsia="宋体" w:hint="default"/>
                            <w:sz w:val="20"/>
                            <w:szCs w:val="20"/>
                          </w:rPr>
                          <w:t>该企业工商信息显示经</w:t>
                        </w:r>
                        <w:r>
                          <w:rPr>
                            <w:rFonts w:ascii="宋体" w:hAnsi="宋体" w:cs="宋体" w:eastAsia="宋体" w:hint="default"/>
                            <w:w w:val="99"/>
                            <w:sz w:val="20"/>
                            <w:szCs w:val="20"/>
                          </w:rPr>
                          <w:t> </w:t>
                        </w:r>
                        <w:r>
                          <w:rPr>
                            <w:rFonts w:ascii="宋体" w:hAnsi="宋体" w:cs="宋体" w:eastAsia="宋体" w:hint="default"/>
                            <w:sz w:val="20"/>
                            <w:szCs w:val="20"/>
                          </w:rPr>
                          <w:t>营异常，可收回性不大</w:t>
                        </w:r>
                        <w:r>
                          <w:rPr>
                            <w:rFonts w:ascii="宋体" w:hAnsi="宋体" w:cs="宋体" w:eastAsia="宋体" w:hint="default"/>
                            <w:w w:val="99"/>
                            <w:sz w:val="20"/>
                            <w:szCs w:val="20"/>
                          </w:rPr>
                          <w:t> </w:t>
                        </w:r>
                        <w:r>
                          <w:rPr>
                            <w:rFonts w:ascii="宋体" w:hAnsi="宋体" w:cs="宋体" w:eastAsia="宋体" w:hint="default"/>
                            <w:sz w:val="20"/>
                            <w:szCs w:val="20"/>
                          </w:rPr>
                          <w:t>全额计提坏账准备</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7"/>
        <w:rPr>
          <w:rFonts w:ascii="宋体" w:hAnsi="宋体" w:cs="宋体" w:eastAsia="宋体" w:hint="default"/>
          <w:sz w:val="29"/>
          <w:szCs w:val="29"/>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9" w:top="1060" w:bottom="1160" w:left="980" w:right="0"/>
        </w:sectPr>
      </w:pPr>
    </w:p>
    <w:p>
      <w:pPr>
        <w:spacing w:line="340" w:lineRule="auto" w:before="44"/>
        <w:ind w:left="153" w:right="-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2,631,911.71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478,575.81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47" w:space="1784"/>
            <w:col w:w="219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463,925.81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收回退股款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463,925.81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2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49"/>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5905"/>
            <w:col w:w="22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924,539.95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911,989.95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279,062.32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215,485.06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27,307,690.09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75,402,128.59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1,693,963.97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30,205,256.33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77,393,610.29</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樟树市雨青木华投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11,711,533.32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1,171,153.33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樟树市飞扬投资管 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7,083,503.04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708,350.30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樟树市锦鑫投资管 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8,512,653.73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851,265.37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天猫商城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温州市教育装备和 勤工俭学管理中心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27,649,690.09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2,861,869.00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3"/>
        <w:ind w:left="153" w:right="6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4"/>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5"/>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2,083,346.66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158,143.58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1,925,203.08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4,143,872.26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170,220.42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3,973,651.84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937,304.65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937,304.65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941,917.75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941,917.75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6,485,253.44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1,344,120.56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5,141,132.88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5,016,804.26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1,143,843.47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3,872,960.79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9,505,904.75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1,502,264.14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8,003,640.61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10,102,594.27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1,314,063.89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8,788,530.38</w:t>
            </w:r>
          </w:p>
        </w:tc>
      </w:tr>
    </w:tbl>
    <w:p>
      <w:pPr>
        <w:spacing w:line="340" w:lineRule="auto" w:before="49"/>
        <w:ind w:left="153" w:right="24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1"/>
        <w:ind w:left="153" w:right="15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3"/>
        <w:ind w:left="153"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39"/>
        <w:ind w:left="153"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5"/>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225,894.67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7,917.32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230,054.19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158,143.58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1,143,843.47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1,313,266.33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456,026.02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656,963.22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1,344,120.56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1,314,063.89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1,539,161.00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463,943.34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887,017.41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1,502,264.14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1,072,823.52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1,598,749.98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245,032.32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703,401.40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131,317,855.84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137,302,151.38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5"/>
        <w:gridCol w:w="1249"/>
        <w:gridCol w:w="1368"/>
        <w:gridCol w:w="1368"/>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1"/>
        <w:gridCol w:w="869"/>
        <w:gridCol w:w="872"/>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深圳罗湖 蓝海村镇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50,839,15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1,611,554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52,450,71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深圳嘉道 方直教育 产业投资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29,445,61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-1,457,29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27,988,32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154,257.4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80,439,03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154,257.4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80,439,03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94,836,680.01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97,878,613.23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94,836,680.01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97,878,613.23</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房租建筑物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96,792,286.77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2,798,547.00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6,589,377.70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2,822,739.86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109,002,951.33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1,749,273.68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333,458.68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267,786.21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2,350,518.57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333,458.68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333,458.68</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1,748,397.61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267,786.21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2,016,183.82</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98,541,560.45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6,922,836.38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3,090,526.07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111,353,469.90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4,486,993.05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2,228,300.88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3,370,301.59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1,038,742.58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11,124,338.10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3,734,413.41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214,721.49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5,392,451.79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3,734,413.41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214,721.49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5,392,451.79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8,221,406.46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2,443,022.37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4,398,510.36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1,453,850.70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16,516,789.89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90,320,153.99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2,524,326.02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1,636,675.37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94,836,680.01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92,305,293.72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570,246.12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3,219,076.11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1,783,997.28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97,878,613.23</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317,751.00</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317,751.00</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创新大厦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 层装修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317,751.00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317,751.00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317,751.00</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7"/>
        <w:gridCol w:w="737"/>
        <w:gridCol w:w="735"/>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4"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创新大 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9-11</w:t>
            </w:r>
            <w:r>
              <w:rPr>
                <w:rFonts w:ascii="Times New Roman" w:hAnsi="Times New Roman" w:cs="Times New Roman" w:eastAsia="Times New Roman" w:hint="default"/>
                <w:sz w:val="18"/>
                <w:szCs w:val="18"/>
              </w:rPr>
            </w: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楼层装 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1,698,43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2,016,18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86.50%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317,751.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1,698,43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2,016,18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8"/>
        <w:gridCol w:w="1198"/>
        <w:gridCol w:w="1196"/>
        <w:gridCol w:w="1195"/>
        <w:gridCol w:w="1196"/>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17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after="0" w:line="3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9"/>
        <w:rPr>
          <w:rFonts w:ascii="宋体" w:hAnsi="宋体" w:cs="宋体" w:eastAsia="宋体" w:hint="default"/>
          <w:sz w:val="25"/>
          <w:szCs w:val="25"/>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14,893,750.58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15,793,750.58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463,943.71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463,943.71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463,943.71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463,943.71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15,357,694.29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16,257,694.29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10,936,736.91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11,136,736.91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1,449,445.43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1,599,445.43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1,449,445.43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1,599,445.43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12,386,182.34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12,736,182.34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2,971,511.95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3,521,511.95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3,957,013.67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4,657,013.67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8"/>
        <w:gridCol w:w="1064"/>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1"/>
        <w:gridCol w:w="1702"/>
        <w:gridCol w:w="992"/>
        <w:gridCol w:w="994"/>
        <w:gridCol w:w="994"/>
        <w:gridCol w:w="972"/>
        <w:gridCol w:w="1366"/>
      </w:tblGrid>
      <w:tr>
        <w:trPr>
          <w:trHeight w:val="715"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0" w:right="99"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83,940.16</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83,940.16</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1"/>
        <w:gridCol w:w="1702"/>
        <w:gridCol w:w="992"/>
        <w:gridCol w:w="994"/>
        <w:gridCol w:w="994"/>
        <w:gridCol w:w="972"/>
        <w:gridCol w:w="1366"/>
      </w:tblGrid>
      <w:tr>
        <w:trPr>
          <w:trHeight w:val="71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90" w:right="99"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83,940.16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83,940.16</w:t>
            </w:r>
          </w:p>
        </w:tc>
      </w:tr>
    </w:tbl>
    <w:p>
      <w:pPr>
        <w:spacing w:line="338" w:lineRule="auto" w:before="49"/>
        <w:ind w:left="153" w:right="121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说明商誉减值测试过程、关键参数（如预计未来现金流量现值时的预测期增长率、稳定期增长率、利润率、折现率、预测 期等）及商誉减值损失的确认方法：</w:t>
      </w:r>
    </w:p>
    <w:p>
      <w:pPr>
        <w:pStyle w:val="BodyText"/>
        <w:spacing w:line="240" w:lineRule="auto" w:before="99"/>
        <w:ind w:left="573" w:right="0"/>
        <w:jc w:val="left"/>
      </w:pPr>
      <w:r>
        <w:rPr/>
        <w:t>本公司以预计商誉资产组未来现金净流量的现值与该资产组的账面价值之差额，确认为商誉资产组</w:t>
      </w:r>
    </w:p>
    <w:p>
      <w:pPr>
        <w:spacing w:after="0" w:line="240" w:lineRule="auto"/>
        <w:jc w:val="left"/>
        <w:sectPr>
          <w:pgSz w:w="11910" w:h="16840"/>
          <w:pgMar w:header="88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减值损失。经减值测试，商誉发生减值，计提减值金额为</w:t>
      </w:r>
      <w:r>
        <w:rPr>
          <w:spacing w:val="-54"/>
        </w:rPr>
        <w:t> </w:t>
      </w:r>
      <w:r>
        <w:rPr>
          <w:rFonts w:ascii="Times New Roman" w:hAnsi="Times New Roman" w:cs="Times New Roman" w:eastAsia="Times New Roman" w:hint="default"/>
        </w:rPr>
        <w:t>83,940.16</w:t>
      </w:r>
      <w:r>
        <w:rPr>
          <w:rFonts w:ascii="Times New Roman" w:hAnsi="Times New Roman" w:cs="Times New Roman" w:eastAsia="Times New Roman" w:hint="default"/>
          <w:spacing w:val="-1"/>
        </w:rPr>
        <w:t> </w:t>
      </w:r>
      <w:r>
        <w:rPr>
          <w:spacing w:val="-3"/>
        </w:rPr>
        <w:t>元。</w:t>
      </w:r>
      <w:r>
        <w:rPr/>
      </w:r>
    </w:p>
    <w:p>
      <w:pPr>
        <w:spacing w:line="360" w:lineRule="auto" w:before="159"/>
        <w:ind w:left="153" w:right="8773"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6"/>
        <w:gridCol w:w="1702"/>
        <w:gridCol w:w="1416"/>
        <w:gridCol w:w="1419"/>
        <w:gridCol w:w="1418"/>
        <w:gridCol w:w="1486"/>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65,208.45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30,096.12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35,112.33</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布鲁精灵系列商品使用权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271,013.59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180,675.73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90,337.86</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云计算资源使用费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31,018.28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31,018.28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367,240.32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241,790.13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125,450.19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6,201,511.17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1,027,694.65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4,028,148.62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700,582.02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6,201,511.17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1,027,694.65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4,028,148.62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700,582.02</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3,212,445.66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481,866.85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4,123,017.40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618,452.61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3,212,445.66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481,866.85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4,123,017.40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618,452.61</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1,027,694.65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700,582.02</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481,866.85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618,452.61</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4,149,966.33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3,120,570.48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4,149,966.33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3,120,570.48</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243,098.60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243,098.60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668,447.20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668,447.20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905,361.60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905,361.60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1,303,663.08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1,303,663.08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1,029,395.85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无到期期限之可抵扣亏损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4,149,966.33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3,120,570.48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15,925,517.83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14,667,719.39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15,925,517.83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14,667,719.39</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12,971,256.37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9,031,416.72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2,716,270.66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3,623,370.96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237,990.80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2,012,931.71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15,925,517.83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14,667,719.39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广东威雅光电有限公司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622,655.50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622,655.50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1,165,160.98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732,633.00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1,165,160.98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732,633.00</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43,519,053.29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41,529,737.59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4,055,775.08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2,187,754.27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2,187,754.27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45,706,807.56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43,717,491.86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4,055,775.08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2,066,459.38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40,944,318.01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38,955,002.31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4,055,775.08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964,947.05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964,947.05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970,434.18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970,434.18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861,509.29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861,509.29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29,965.59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77,593.16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1366.14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639,354.05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639,354.05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2,066,459.38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43,519,053.29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41,529,737.59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4,055,775.08</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2,122,008.75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2,122,008.75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65,745.52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2,187,754.27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2,187,754.27</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2,706.26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102,810.73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8,187.14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162,319.16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310,699.81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3,475.95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6,900.45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2,637.21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168,826.13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432,565.67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6,021,385.77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5,141,102.09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6,021,385.77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5,141,102.09</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551,038.48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116,800.48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3,738,407.60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3,671,487.04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1,731,939.69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1,352,814.57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6,021,385.77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5,141,102.09</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年的重要其他应付款</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800"/>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3" w:right="8593"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060" w:bottom="1160" w:left="980" w:right="0"/>
        </w:sectPr>
      </w:pPr>
    </w:p>
    <w:p>
      <w:pPr>
        <w:spacing w:line="357"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4" w:space="40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3" w:right="7513"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2,582,545.87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1,859,985.67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1,782,560.20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2,582,545.87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1,859,985.67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1,782,560.20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992"/>
        <w:gridCol w:w="924"/>
        <w:gridCol w:w="1203"/>
        <w:gridCol w:w="994"/>
        <w:gridCol w:w="1133"/>
        <w:gridCol w:w="992"/>
        <w:gridCol w:w="994"/>
        <w:gridCol w:w="1064"/>
      </w:tblGrid>
      <w:tr>
        <w:trPr>
          <w:trHeight w:val="71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6" w:right="5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基于云计算的 教育质量监测 与评价系统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62,036.54</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54,335.56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外语互动学习 平台创新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104,997.11</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54,997.07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中小学教育游 戏平台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92,497.81</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43,315.81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基于移动平台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217,000.10</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992"/>
        <w:gridCol w:w="924"/>
        <w:gridCol w:w="1203"/>
        <w:gridCol w:w="994"/>
        <w:gridCol w:w="1133"/>
        <w:gridCol w:w="992"/>
        <w:gridCol w:w="994"/>
        <w:gridCol w:w="1064"/>
      </w:tblGrid>
      <w:tr>
        <w:trPr>
          <w:trHeight w:val="98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的小学英语同 步课程资源系 统</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云智能个性化 教育综合互动 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1,546,666.7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579,999.96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966,666.80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同步学智能学 习数字出版</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467,120.60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592,879.40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“广东特支计 </w:t>
            </w:r>
            <w:r>
              <w:rPr>
                <w:rFonts w:ascii="宋体" w:hAnsi="宋体" w:cs="宋体" w:eastAsia="宋体" w:hint="default"/>
                <w:spacing w:val="-6"/>
                <w:sz w:val="18"/>
                <w:szCs w:val="18"/>
              </w:rPr>
              <w:t>划”科技创业领</w:t>
            </w:r>
            <w:r>
              <w:rPr>
                <w:rFonts w:ascii="宋体" w:hAnsi="宋体" w:cs="宋体" w:eastAsia="宋体" w:hint="default"/>
                <w:sz w:val="18"/>
                <w:szCs w:val="18"/>
              </w:rPr>
              <w:t> 军人才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559,347.55</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559,347.55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386" w:lineRule="auto" w:before="0"/>
        <w:ind w:right="0" w:firstLine="420"/>
        <w:jc w:val="left"/>
      </w:pPr>
      <w:r>
        <w:rPr>
          <w:rFonts w:ascii="Times New Roman" w:hAnsi="Times New Roman" w:cs="Times New Roman" w:eastAsia="Times New Roman" w:hint="default"/>
          <w:spacing w:val="-3"/>
        </w:rPr>
        <w:t>1</w:t>
      </w:r>
      <w:r>
        <w:rPr>
          <w:spacing w:val="-3"/>
        </w:rPr>
        <w:t>）根据深圳市发展与改革委员会的深发改</w:t>
      </w:r>
      <w:r>
        <w:rPr>
          <w:rFonts w:ascii="Times New Roman" w:hAnsi="Times New Roman" w:cs="Times New Roman" w:eastAsia="Times New Roman" w:hint="default"/>
          <w:spacing w:val="-3"/>
        </w:rPr>
        <w:t>[2012]1241</w:t>
      </w:r>
      <w:r>
        <w:rPr>
          <w:spacing w:val="-3"/>
        </w:rPr>
        <w:t>号文件相关规定，本公司获得深圳市科技创新委</w:t>
      </w:r>
      <w:r>
        <w:rPr>
          <w:w w:val="100"/>
        </w:rPr>
        <w:t> </w:t>
      </w:r>
      <w:r>
        <w:rPr/>
        <w:t>员会的深圳市战略性新兴产业发展专项资金项目基于云计算的教育质量监测与评价系统无偿资助款</w:t>
      </w:r>
      <w:r>
        <w:rPr>
          <w:rFonts w:ascii="Times New Roman" w:hAnsi="Times New Roman" w:cs="Times New Roman" w:eastAsia="Times New Roman" w:hint="default"/>
        </w:rPr>
        <w:t>200</w:t>
      </w:r>
      <w:r>
        <w:rPr/>
        <w:t>万</w:t>
      </w:r>
      <w:r>
        <w:rPr>
          <w:w w:val="100"/>
        </w:rPr>
        <w:t> </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日，该项目资金补助已结转收益</w:t>
      </w:r>
      <w:r>
        <w:rPr>
          <w:rFonts w:ascii="Times New Roman" w:hAnsi="Times New Roman" w:cs="Times New Roman" w:eastAsia="Times New Roman" w:hint="default"/>
        </w:rPr>
        <w:t>1,992,299.02</w:t>
      </w:r>
      <w:r>
        <w:rPr/>
        <w:t>元。</w:t>
      </w:r>
    </w:p>
    <w:p>
      <w:pPr>
        <w:pStyle w:val="BodyText"/>
        <w:spacing w:line="386" w:lineRule="auto" w:before="35"/>
        <w:ind w:right="0" w:firstLine="420"/>
        <w:jc w:val="left"/>
      </w:pPr>
      <w:r>
        <w:rPr>
          <w:rFonts w:ascii="Times New Roman" w:hAnsi="Times New Roman" w:cs="Times New Roman" w:eastAsia="Times New Roman" w:hint="default"/>
          <w:spacing w:val="-2"/>
        </w:rPr>
        <w:t>2</w:t>
      </w:r>
      <w:r>
        <w:rPr>
          <w:spacing w:val="-2"/>
        </w:rPr>
        <w:t>）根据深圳市发展与改革委员会深发改</w:t>
      </w:r>
      <w:r>
        <w:rPr>
          <w:rFonts w:ascii="Times New Roman" w:hAnsi="Times New Roman" w:cs="Times New Roman" w:eastAsia="Times New Roman" w:hint="default"/>
          <w:spacing w:val="-2"/>
        </w:rPr>
        <w:t>[2013]535</w:t>
      </w:r>
      <w:r>
        <w:rPr>
          <w:spacing w:val="-2"/>
        </w:rPr>
        <w:t>号文件相关规定，本公司获得深圳市经济贸易和信</w:t>
      </w:r>
      <w:r>
        <w:rPr>
          <w:w w:val="100"/>
        </w:rPr>
        <w:t> </w:t>
      </w:r>
      <w:r>
        <w:rPr/>
        <w:t>息化委员会的外语互动学习平台创新项目无偿资助款</w:t>
      </w:r>
      <w:r>
        <w:rPr>
          <w:rFonts w:ascii="Times New Roman" w:hAnsi="Times New Roman" w:cs="Times New Roman" w:eastAsia="Times New Roman" w:hint="default"/>
        </w:rPr>
        <w:t>80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日，该项目已结转收益</w:t>
      </w:r>
      <w:r>
        <w:rPr>
          <w:w w:val="100"/>
        </w:rPr>
        <w:t> </w:t>
      </w:r>
      <w:r>
        <w:rPr>
          <w:rFonts w:ascii="Times New Roman" w:hAnsi="Times New Roman" w:cs="Times New Roman" w:eastAsia="Times New Roman" w:hint="default"/>
        </w:rPr>
        <w:t>745,002.93</w:t>
      </w:r>
      <w:r>
        <w:rPr/>
        <w:t>元。</w:t>
      </w:r>
    </w:p>
    <w:p>
      <w:pPr>
        <w:pStyle w:val="BodyText"/>
        <w:spacing w:line="386" w:lineRule="auto" w:before="36"/>
        <w:ind w:right="1118" w:firstLine="420"/>
        <w:jc w:val="left"/>
      </w:pPr>
      <w:r>
        <w:rPr>
          <w:rFonts w:ascii="Times New Roman" w:hAnsi="Times New Roman" w:cs="Times New Roman" w:eastAsia="Times New Roman" w:hint="default"/>
          <w:spacing w:val="-2"/>
        </w:rPr>
        <w:t>3</w:t>
      </w:r>
      <w:r>
        <w:rPr>
          <w:spacing w:val="-2"/>
        </w:rPr>
        <w:t>）为落实《深圳市文化创意产业发展专项资金管理办法》所规定的优惠政策，本公司获得深圳市文</w:t>
      </w:r>
      <w:r>
        <w:rPr>
          <w:w w:val="100"/>
        </w:rPr>
        <w:t> </w:t>
      </w:r>
      <w:r>
        <w:rPr/>
        <w:t>体旅游局的中小学教育游戏平台项目无偿资助款</w:t>
      </w:r>
      <w:r>
        <w:rPr>
          <w:rFonts w:ascii="Times New Roman" w:hAnsi="Times New Roman" w:cs="Times New Roman" w:eastAsia="Times New Roman" w:hint="default"/>
        </w:rPr>
        <w:t>91</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日，该项目已结转收益</w:t>
      </w:r>
      <w:r>
        <w:rPr>
          <w:w w:val="100"/>
        </w:rPr>
        <w:t> </w:t>
      </w:r>
      <w:r>
        <w:rPr>
          <w:rFonts w:ascii="Times New Roman" w:hAnsi="Times New Roman" w:cs="Times New Roman" w:eastAsia="Times New Roman" w:hint="default"/>
        </w:rPr>
        <w:t>866,684.19</w:t>
      </w:r>
      <w:r>
        <w:rPr/>
        <w:t>元。</w:t>
      </w:r>
    </w:p>
    <w:p>
      <w:pPr>
        <w:pStyle w:val="BodyText"/>
        <w:spacing w:line="386" w:lineRule="auto" w:before="35"/>
        <w:ind w:right="1176" w:firstLine="420"/>
        <w:jc w:val="both"/>
      </w:pPr>
      <w:r>
        <w:rPr>
          <w:rFonts w:ascii="Times New Roman" w:hAnsi="Times New Roman" w:cs="Times New Roman" w:eastAsia="Times New Roman" w:hint="default"/>
          <w:spacing w:val="-2"/>
        </w:rPr>
        <w:t>4</w:t>
      </w:r>
      <w:r>
        <w:rPr>
          <w:spacing w:val="-2"/>
        </w:rPr>
        <w:t>）为落实深圳市发展与改革委员会的深发改</w:t>
      </w:r>
      <w:r>
        <w:rPr>
          <w:rFonts w:ascii="Times New Roman" w:hAnsi="Times New Roman" w:cs="Times New Roman" w:eastAsia="Times New Roman" w:hint="default"/>
          <w:spacing w:val="-2"/>
        </w:rPr>
        <w:t>[2014]939</w:t>
      </w:r>
      <w:r>
        <w:rPr>
          <w:spacing w:val="-2"/>
        </w:rPr>
        <w:t>号文件相关规定，本公司获得深圳市科技创新</w:t>
      </w:r>
      <w:r>
        <w:rPr>
          <w:w w:val="100"/>
        </w:rPr>
        <w:t> </w:t>
      </w:r>
      <w:r>
        <w:rPr>
          <w:spacing w:val="-2"/>
        </w:rPr>
        <w:t>委员会的基于移动平台的小学英语同步课程资源系统无偿资助款</w:t>
      </w:r>
      <w:r>
        <w:rPr>
          <w:rFonts w:ascii="Times New Roman" w:hAnsi="Times New Roman" w:cs="Times New Roman" w:eastAsia="Times New Roman" w:hint="default"/>
          <w:spacing w:val="-2"/>
        </w:rPr>
        <w:t>100</w:t>
      </w:r>
      <w:r>
        <w:rPr>
          <w:spacing w:val="-2"/>
        </w:rPr>
        <w:t>万元。截止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w:t>
      </w:r>
      <w:r>
        <w:rPr>
          <w:spacing w:val="-13"/>
        </w:rPr>
        <w:t> </w:t>
      </w:r>
      <w:r>
        <w:rPr>
          <w:spacing w:val="-13"/>
        </w:rPr>
      </w:r>
      <w:r>
        <w:rPr/>
        <w:t>已结转收益</w:t>
      </w:r>
      <w:r>
        <w:rPr>
          <w:rFonts w:ascii="Times New Roman" w:hAnsi="Times New Roman" w:cs="Times New Roman" w:eastAsia="Times New Roman" w:hint="default"/>
        </w:rPr>
        <w:t>882,999.86</w:t>
      </w:r>
      <w:r>
        <w:rPr/>
        <w:t>元。</w:t>
      </w:r>
    </w:p>
    <w:p>
      <w:pPr>
        <w:pStyle w:val="BodyText"/>
        <w:spacing w:line="393" w:lineRule="auto" w:before="35"/>
        <w:ind w:right="1126" w:firstLine="420"/>
        <w:jc w:val="both"/>
      </w:pPr>
      <w:r>
        <w:rPr>
          <w:rFonts w:ascii="Times New Roman" w:hAnsi="Times New Roman" w:cs="Times New Roman" w:eastAsia="Times New Roman" w:hint="default"/>
          <w:spacing w:val="-2"/>
        </w:rPr>
        <w:t>5</w:t>
      </w:r>
      <w:r>
        <w:rPr>
          <w:spacing w:val="-2"/>
        </w:rPr>
        <w:t>）根据深发改</w:t>
      </w:r>
      <w:r>
        <w:rPr>
          <w:rFonts w:ascii="Times New Roman" w:hAnsi="Times New Roman" w:cs="Times New Roman" w:eastAsia="Times New Roman" w:hint="default"/>
          <w:spacing w:val="-2"/>
        </w:rPr>
        <w:t>[2013]535</w:t>
      </w:r>
      <w:r>
        <w:rPr>
          <w:spacing w:val="-2"/>
        </w:rPr>
        <w:t>号文件相关规定，本公司获得深圳市发展改革委员会、深圳市经济贸易和信</w:t>
      </w:r>
      <w:r>
        <w:rPr>
          <w:w w:val="100"/>
        </w:rPr>
        <w:t> </w:t>
      </w:r>
      <w:r>
        <w:rPr>
          <w:spacing w:val="-2"/>
        </w:rPr>
        <w:t>息化委员会、深圳市科技创新委员会、深圳市财政委员会文件的深圳市战略性新兴产业发展专项资金项目</w:t>
      </w:r>
      <w:r>
        <w:rPr>
          <w:spacing w:val="-44"/>
        </w:rPr>
        <w:t> </w:t>
      </w:r>
      <w:r>
        <w:rPr>
          <w:spacing w:val="-44"/>
        </w:rPr>
      </w:r>
      <w:r>
        <w:rPr>
          <w:spacing w:val="-2"/>
        </w:rPr>
        <w:t>基于</w:t>
      </w:r>
      <w:r>
        <w:rPr>
          <w:rFonts w:ascii="Times New Roman" w:hAnsi="Times New Roman" w:cs="Times New Roman" w:eastAsia="Times New Roman" w:hint="default"/>
          <w:spacing w:val="-2"/>
        </w:rPr>
        <w:t>SAAS</w:t>
      </w:r>
      <w:r>
        <w:rPr>
          <w:spacing w:val="-2"/>
        </w:rPr>
        <w:t>的云智能个性化教育综合互动平台无偿资助</w:t>
      </w:r>
      <w:r>
        <w:rPr>
          <w:rFonts w:ascii="Times New Roman" w:hAnsi="Times New Roman" w:cs="Times New Roman" w:eastAsia="Times New Roman" w:hint="default"/>
          <w:spacing w:val="-2"/>
        </w:rPr>
        <w:t>290</w:t>
      </w:r>
      <w:r>
        <w:rPr>
          <w:spacing w:val="-2"/>
        </w:rPr>
        <w:t>万元。截止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日，该项目已结转收益</w:t>
      </w:r>
      <w:r>
        <w:rPr>
          <w:spacing w:val="-47"/>
        </w:rPr>
        <w:t> </w:t>
      </w:r>
      <w:r>
        <w:rPr>
          <w:spacing w:val="-47"/>
        </w:rPr>
      </w:r>
      <w:r>
        <w:rPr>
          <w:rFonts w:ascii="Times New Roman" w:hAnsi="Times New Roman" w:cs="Times New Roman" w:eastAsia="Times New Roman" w:hint="default"/>
        </w:rPr>
        <w:t>1,933,333.20</w:t>
      </w:r>
      <w:r>
        <w:rPr/>
        <w:t>元。</w:t>
      </w:r>
    </w:p>
    <w:p>
      <w:pPr>
        <w:pStyle w:val="BodyText"/>
        <w:spacing w:line="240" w:lineRule="auto" w:before="28"/>
        <w:ind w:left="573" w:right="0"/>
        <w:jc w:val="left"/>
      </w:pPr>
      <w:r>
        <w:rPr>
          <w:rFonts w:ascii="Times New Roman" w:hAnsi="Times New Roman" w:cs="Times New Roman" w:eastAsia="Times New Roman" w:hint="default"/>
        </w:rPr>
        <w:t>6)</w:t>
      </w:r>
      <w:r>
        <w:rPr/>
        <w:t>根据《深圳市财政委员会中国深圳市委宣传部等部门关于下达深圳市文化创意产业发展专项资金</w:t>
      </w:r>
    </w:p>
    <w:p>
      <w:pPr>
        <w:pStyle w:val="BodyText"/>
        <w:spacing w:line="386" w:lineRule="auto" w:before="177"/>
        <w:ind w:right="0"/>
        <w:jc w:val="left"/>
      </w:pPr>
      <w:r>
        <w:rPr>
          <w:rFonts w:ascii="Times New Roman" w:hAnsi="Times New Roman" w:cs="Times New Roman" w:eastAsia="Times New Roman" w:hint="default"/>
          <w:spacing w:val="-2"/>
        </w:rPr>
        <w:t>2018</w:t>
      </w:r>
      <w:r>
        <w:rPr>
          <w:spacing w:val="-2"/>
        </w:rPr>
        <w:t>年度核心技术研发等项目扶持计划的通知》（深财科</w:t>
      </w:r>
      <w:r>
        <w:rPr>
          <w:rFonts w:ascii="Times New Roman" w:hAnsi="Times New Roman" w:cs="Times New Roman" w:eastAsia="Times New Roman" w:hint="default"/>
          <w:spacing w:val="-2"/>
        </w:rPr>
        <w:t>[2018]17</w:t>
      </w:r>
      <w:r>
        <w:rPr>
          <w:spacing w:val="-2"/>
        </w:rPr>
        <w:t>号，本公司获得同步学智能学习数字出</w:t>
      </w:r>
      <w:r>
        <w:rPr>
          <w:spacing w:val="-9"/>
        </w:rPr>
        <w:t> </w:t>
      </w:r>
      <w:r>
        <w:rPr>
          <w:spacing w:val="-9"/>
        </w:rPr>
      </w:r>
      <w:r>
        <w:rPr/>
        <w:t>版项目扶持资金</w:t>
      </w:r>
      <w:r>
        <w:rPr>
          <w:rFonts w:ascii="Times New Roman" w:hAnsi="Times New Roman" w:cs="Times New Roman" w:eastAsia="Times New Roman" w:hint="default"/>
        </w:rPr>
        <w:t>106</w:t>
      </w:r>
      <w:r>
        <w:rPr/>
        <w:t>万元</w:t>
      </w:r>
      <w:r>
        <w:rPr>
          <w:rFonts w:ascii="Times New Roman" w:hAnsi="Times New Roman" w:cs="Times New Roman" w:eastAsia="Times New Roman" w:hint="default"/>
        </w:rPr>
        <w:t>.</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日，该项目已结转收益</w:t>
      </w:r>
      <w:r>
        <w:rPr>
          <w:rFonts w:ascii="Times New Roman" w:hAnsi="Times New Roman" w:cs="Times New Roman" w:eastAsia="Times New Roman" w:hint="default"/>
        </w:rPr>
        <w:t>467,120.60</w:t>
      </w:r>
      <w:r>
        <w:rPr/>
        <w:t>元。</w:t>
      </w:r>
    </w:p>
    <w:p>
      <w:pPr>
        <w:pStyle w:val="BodyText"/>
        <w:spacing w:line="240" w:lineRule="auto" w:before="35"/>
        <w:ind w:left="573" w:right="0"/>
        <w:jc w:val="left"/>
      </w:pPr>
      <w:r>
        <w:rPr>
          <w:rFonts w:ascii="Times New Roman" w:hAnsi="Times New Roman" w:cs="Times New Roman" w:eastAsia="Times New Roman" w:hint="default"/>
          <w:spacing w:val="-4"/>
        </w:rPr>
        <w:t>7</w:t>
      </w:r>
      <w:r>
        <w:rPr>
          <w:spacing w:val="-4"/>
        </w:rPr>
        <w:t>）为落实《广东省培养高层次人才特殊支持计划》以及《广东省实施</w:t>
      </w:r>
      <w:r>
        <w:rPr>
          <w:rFonts w:ascii="Times New Roman" w:hAnsi="Times New Roman" w:cs="Times New Roman" w:eastAsia="Times New Roman" w:hint="default"/>
          <w:spacing w:val="-4"/>
        </w:rPr>
        <w:t>“</w:t>
      </w:r>
      <w:r>
        <w:rPr>
          <w:spacing w:val="-4"/>
        </w:rPr>
        <w:t>广东特支计划</w:t>
      </w:r>
      <w:r>
        <w:rPr>
          <w:rFonts w:ascii="Times New Roman" w:hAnsi="Times New Roman" w:cs="Times New Roman" w:eastAsia="Times New Roman" w:hint="default"/>
          <w:spacing w:val="-4"/>
        </w:rPr>
        <w:t>”</w:t>
      </w:r>
      <w:r>
        <w:rPr>
          <w:spacing w:val="-4"/>
        </w:rPr>
        <w:t>专项资金管理办</w:t>
      </w:r>
    </w:p>
    <w:p>
      <w:pPr>
        <w:spacing w:after="0" w:line="240" w:lineRule="auto"/>
        <w:jc w:val="left"/>
        <w:sectPr>
          <w:pgSz w:w="11910" w:h="16840"/>
          <w:pgMar w:header="880"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spacing w:val="-2"/>
        </w:rPr>
        <w:t>法》所规定的政策，本公司获得广东省科学技术厅拨付的省财政专项经费</w:t>
      </w:r>
      <w:r>
        <w:rPr>
          <w:rFonts w:ascii="Times New Roman" w:hAnsi="Times New Roman" w:cs="Times New Roman" w:eastAsia="Times New Roman" w:hint="default"/>
          <w:spacing w:val="-2"/>
        </w:rPr>
        <w:t>80</w:t>
      </w:r>
      <w:r>
        <w:rPr>
          <w:spacing w:val="-2"/>
        </w:rPr>
        <w:t>万元。截止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13"/>
        </w:rPr>
        <w:t> </w:t>
      </w:r>
      <w:r>
        <w:rPr/>
        <w:t>该项目已结转收益</w:t>
      </w:r>
      <w:r>
        <w:rPr>
          <w:rFonts w:ascii="Times New Roman" w:hAnsi="Times New Roman" w:cs="Times New Roman" w:eastAsia="Times New Roman" w:hint="default"/>
        </w:rPr>
        <w:t>800,000.00</w:t>
      </w:r>
      <w:r>
        <w:rPr/>
        <w:t>元。</w:t>
      </w:r>
    </w:p>
    <w:p>
      <w:pPr>
        <w:pStyle w:val="Heading6"/>
        <w:spacing w:line="240" w:lineRule="auto" w:before="192"/>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167,831,090.00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167,831,090.00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8"/>
        <w:gridCol w:w="1079"/>
        <w:gridCol w:w="936"/>
        <w:gridCol w:w="1152"/>
        <w:gridCol w:w="934"/>
        <w:gridCol w:w="936"/>
        <w:gridCol w:w="936"/>
        <w:gridCol w:w="797"/>
      </w:tblGrid>
      <w:tr>
        <w:trPr>
          <w:trHeight w:val="404" w:hRule="exact"/>
        </w:trPr>
        <w:tc>
          <w:tcPr>
            <w:tcW w:w="2788" w:type="dxa"/>
            <w:vMerge w:val="restart"/>
            <w:tcBorders>
              <w:top w:val="single" w:sz="4" w:space="0" w:color="000000"/>
              <w:left w:val="single" w:sz="4" w:space="0" w:color="000000"/>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788"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jc w:val="left"/>
              <w:rPr>
                <w:rFonts w:ascii="宋体" w:hAnsi="宋体" w:cs="宋体" w:eastAsia="宋体" w:hint="default"/>
                <w:sz w:val="18"/>
                <w:szCs w:val="18"/>
              </w:rPr>
            </w:pPr>
            <w:r>
              <w:rPr>
                <w:rFonts w:ascii="宋体" w:hAnsi="宋体" w:cs="宋体" w:eastAsia="宋体" w:hint="default"/>
                <w:sz w:val="18"/>
                <w:szCs w:val="18"/>
              </w:rPr>
              <w:t>其中：重新计量设定受益计划变动 额</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firstLine="540"/>
              <w:jc w:val="left"/>
              <w:rPr>
                <w:rFonts w:ascii="宋体" w:hAnsi="宋体" w:cs="宋体" w:eastAsia="宋体" w:hint="default"/>
                <w:sz w:val="18"/>
                <w:szCs w:val="18"/>
              </w:rPr>
            </w:pPr>
            <w:r>
              <w:rPr>
                <w:rFonts w:ascii="宋体" w:hAnsi="宋体" w:cs="宋体" w:eastAsia="宋体" w:hint="default"/>
                <w:sz w:val="18"/>
                <w:szCs w:val="18"/>
              </w:rPr>
              <w:t>权益法下不能转进损益的其 他综合收益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64"/>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4"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9" w:type="dxa"/>
            <w:tcBorders>
              <w:top w:val="single" w:sz="4" w:space="0" w:color="000000"/>
              <w:left w:val="single" w:sz="13"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7"/>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18,819,376.62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18,819,376.62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113,704,610.89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108,240,068.42</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113,704,610.89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108,240,068.42</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12,316,056.55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8,822,524.60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1,322,343.65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982,062.65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2,375,919.48</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124,698,323.79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113,704,610.89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107,245,103.63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40,850,440.88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100,510,607.42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34,531,178.49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107,245,103.63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40,850,440.88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100,510,607.42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34,531,178.49</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376,975.47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366,410.22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269,296.78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275,158.57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212,135.54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1,154,661.91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858,407.79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15,114,270.15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12,158,741.49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2,155,854.72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2,011,553.21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4,264,884.75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3,462,834.33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146,387.26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1,925,877.61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1,685,886.51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1,935,615.68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1,973,889.36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1,444,568.70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1,289,792.10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389,895.22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400,154.46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805,948.03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742,090.12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111,245.02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559,223.57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330,263.95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28,785,837.20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24,312,837.81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9,203,327.25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7,556,266.28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556,184.11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513,991.54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456,815.07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377,691.34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219,878.94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247,007.10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641,474.10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697,888.49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1,782,371.49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1,156,007.71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1,342,870.11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1,252,320.90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363,221.44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374,893.95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320,140.22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220,030.92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298,977.04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14,967,095.75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12,795,184.57</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19,123,606.78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15,284,517.84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2,462,931.52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2,434,558.89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3,825,364.69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4,849,437.52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1,262,381.50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1,339,136.34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809,496.96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1,612,365.91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171,832.71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117,756.56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48,932.21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455,537.87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815,028.86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896,073.51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22,064.33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30,173.61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1,060,034.59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135,855.77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272,274.76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215,360.79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476,100.22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29,817,734.94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27,903,788.80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10,550,067.14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3,516,533.60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19,786.80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-10,530,280.34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-3,489,909.26</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1,985,162.30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1,059,675.02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1,075,217.66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668,227.77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83,940.16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3,144,320.12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1,727,902.79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269"/>
        <w:gridCol w:w="2338"/>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3,830,568.73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3,130,686.09</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深圳市经济贸易和信息化委员会战略性新兴产业发展专项资金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企业研究开发资助计划第三批资助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南山区自主创新产业发展专项资金资助款</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同步学智能学习数字出版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467,120.60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60,672.06</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62,129.87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9,006,391.26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3,130,686.09</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154,257.44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5,728,952.06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3,476,209.30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5,883,209.50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3,745,855.84</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1,459,665.07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1,397,816.73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1,459,665.07</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69,567.61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69,567.61</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1,529,232.68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1,411,194.50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1,529,232.68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8321" w:lineRule="exact"/>
        <w:ind w:left="148" w:right="0" w:firstLine="0"/>
        <w:rPr>
          <w:rFonts w:ascii="宋体" w:hAnsi="宋体" w:cs="宋体" w:eastAsia="宋体" w:hint="default"/>
          <w:sz w:val="20"/>
          <w:szCs w:val="20"/>
        </w:rPr>
      </w:pPr>
      <w:r>
        <w:rPr>
          <w:rFonts w:ascii="宋体" w:hAnsi="宋体" w:cs="宋体" w:eastAsia="宋体" w:hint="default"/>
          <w:position w:val="-165"/>
          <w:sz w:val="20"/>
          <w:szCs w:val="20"/>
        </w:rPr>
        <w:pict>
          <v:group style="width:479.05pt;height:416.1pt;mso-position-horizontal-relative:char;mso-position-vertical-relative:line" coordorigin="0,0" coordsize="9581,8322">
            <v:group style="position:absolute;left:12;top:14;width:1054;height:706" coordorigin="12,14" coordsize="1054,706">
              <v:shape style="position:absolute;left:12;top:14;width:1054;height:706" coordorigin="12,14" coordsize="1054,706" path="m12,720l1066,720,1066,14,12,14,12,720xe" filled="true" fillcolor="#d2d2d2" stroked="false">
                <v:path arrowok="t"/>
                <v:fill type="solid"/>
              </v:shape>
            </v:group>
            <v:group style="position:absolute;left:34;top:170;width:1011;height:394" coordorigin="34,170" coordsize="1011,394">
              <v:shape style="position:absolute;left:34;top:170;width:1011;height:394" coordorigin="34,170" coordsize="1011,394" path="m34,564l1044,564,1044,170,34,170,34,564xe" filled="true" fillcolor="#d2d2d2" stroked="false">
                <v:path arrowok="t"/>
                <v:fill type="solid"/>
              </v:shape>
            </v:group>
            <v:group style="position:absolute;left:1075;top:14;width:1054;height:706" coordorigin="1075,14" coordsize="1054,706">
              <v:shape style="position:absolute;left:1075;top:14;width:1054;height:706" coordorigin="1075,14" coordsize="1054,706" path="m1075,720l2129,720,2129,14,1075,14,1075,720xe" filled="true" fillcolor="#d2d2d2" stroked="false">
                <v:path arrowok="t"/>
                <v:fill type="solid"/>
              </v:shape>
            </v:group>
            <v:group style="position:absolute;left:1099;top:170;width:1006;height:394" coordorigin="1099,170" coordsize="1006,394">
              <v:shape style="position:absolute;left:1099;top:170;width:1006;height:394" coordorigin="1099,170" coordsize="1006,394" path="m1099,564l2105,564,2105,170,1099,170,1099,564xe" filled="true" fillcolor="#d2d2d2" stroked="false">
                <v:path arrowok="t"/>
                <v:fill type="solid"/>
              </v:shape>
            </v:group>
            <v:group style="position:absolute;left:2138;top:14;width:1055;height:706" coordorigin="2138,14" coordsize="1055,706">
              <v:shape style="position:absolute;left:2138;top:14;width:1055;height:706" coordorigin="2138,14" coordsize="1055,706" path="m2138,720l3192,720,3192,14,2138,14,2138,720xe" filled="true" fillcolor="#d2d2d2" stroked="false">
                <v:path arrowok="t"/>
                <v:fill type="solid"/>
              </v:shape>
            </v:group>
            <v:group style="position:absolute;left:2162;top:170;width:1007;height:394" coordorigin="2162,170" coordsize="1007,394">
              <v:shape style="position:absolute;left:2162;top:170;width:1007;height:394" coordorigin="2162,170" coordsize="1007,394" path="m2162,564l3168,564,3168,170,2162,170,2162,564xe" filled="true" fillcolor="#d2d2d2" stroked="false">
                <v:path arrowok="t"/>
                <v:fill type="solid"/>
              </v:shape>
            </v:group>
            <v:group style="position:absolute;left:3202;top:14;width:1054;height:706" coordorigin="3202,14" coordsize="1054,706">
              <v:shape style="position:absolute;left:3202;top:14;width:1054;height:706" coordorigin="3202,14" coordsize="1054,706" path="m3202,720l4256,720,4256,14,3202,14,3202,720xe" filled="true" fillcolor="#d2d2d2" stroked="false">
                <v:path arrowok="t"/>
                <v:fill type="solid"/>
              </v:shape>
            </v:group>
            <v:group style="position:absolute;left:3226;top:170;width:1006;height:394" coordorigin="3226,170" coordsize="1006,394">
              <v:shape style="position:absolute;left:3226;top:170;width:1006;height:394" coordorigin="3226,170" coordsize="1006,394" path="m3226,564l4232,564,4232,170,3226,170,3226,564xe" filled="true" fillcolor="#d2d2d2" stroked="false">
                <v:path arrowok="t"/>
                <v:fill type="solid"/>
              </v:shape>
            </v:group>
            <v:group style="position:absolute;left:4265;top:14;width:1055;height:706" coordorigin="4265,14" coordsize="1055,706">
              <v:shape style="position:absolute;left:4265;top:14;width:1055;height:706" coordorigin="4265,14" coordsize="1055,706" path="m4265,720l5319,720,5319,14,4265,14,4265,720xe" filled="true" fillcolor="#d2d2d2" stroked="false">
                <v:path arrowok="t"/>
                <v:fill type="solid"/>
              </v:shape>
            </v:group>
            <v:group style="position:absolute;left:4289;top:14;width:1007;height:353" coordorigin="4289,14" coordsize="1007,353">
              <v:shape style="position:absolute;left:4289;top:14;width:1007;height:353" coordorigin="4289,14" coordsize="1007,353" path="m4289,367l5295,367,5295,14,4289,14,4289,367xe" filled="true" fillcolor="#d2d2d2" stroked="false">
                <v:path arrowok="t"/>
                <v:fill type="solid"/>
              </v:shape>
            </v:group>
            <v:group style="position:absolute;left:4289;top:367;width:1007;height:353" coordorigin="4289,367" coordsize="1007,353">
              <v:shape style="position:absolute;left:4289;top:367;width:1007;height:353" coordorigin="4289,367" coordsize="1007,353" path="m4289,720l5295,720,5295,367,4289,367,4289,720xe" filled="true" fillcolor="#d2d2d2" stroked="false">
                <v:path arrowok="t"/>
                <v:fill type="solid"/>
              </v:shape>
            </v:group>
            <v:group style="position:absolute;left:5329;top:14;width:1054;height:706" coordorigin="5329,14" coordsize="1054,706">
              <v:shape style="position:absolute;left:5329;top:14;width:1054;height:706" coordorigin="5329,14" coordsize="1054,706" path="m5329,720l6383,720,6383,14,5329,14,5329,720xe" filled="true" fillcolor="#d2d2d2" stroked="false">
                <v:path arrowok="t"/>
                <v:fill type="solid"/>
              </v:shape>
            </v:group>
            <v:group style="position:absolute;left:5353;top:14;width:1006;height:353" coordorigin="5353,14" coordsize="1006,353">
              <v:shape style="position:absolute;left:5353;top:14;width:1006;height:353" coordorigin="5353,14" coordsize="1006,353" path="m5353,367l6359,367,6359,14,5353,14,5353,367xe" filled="true" fillcolor="#d2d2d2" stroked="false">
                <v:path arrowok="t"/>
                <v:fill type="solid"/>
              </v:shape>
            </v:group>
            <v:group style="position:absolute;left:5353;top:367;width:1006;height:353" coordorigin="5353,367" coordsize="1006,353">
              <v:shape style="position:absolute;left:5353;top:367;width:1006;height:353" coordorigin="5353,367" coordsize="1006,353" path="m5353,720l6359,720,6359,367,5353,367,5353,720xe" filled="true" fillcolor="#d2d2d2" stroked="false">
                <v:path arrowok="t"/>
                <v:fill type="solid"/>
              </v:shape>
            </v:group>
            <v:group style="position:absolute;left:6392;top:14;width:1055;height:706" coordorigin="6392,14" coordsize="1055,706">
              <v:shape style="position:absolute;left:6392;top:14;width:1055;height:706" coordorigin="6392,14" coordsize="1055,706" path="m6392,720l7446,720,7446,14,6392,14,6392,720xe" filled="true" fillcolor="#d2d2d2" stroked="false">
                <v:path arrowok="t"/>
                <v:fill type="solid"/>
              </v:shape>
            </v:group>
            <v:group style="position:absolute;left:6414;top:14;width:1009;height:353" coordorigin="6414,14" coordsize="1009,353">
              <v:shape style="position:absolute;left:6414;top:14;width:1009;height:353" coordorigin="6414,14" coordsize="1009,353" path="m6414,367l7422,367,7422,14,6414,14,6414,367xe" filled="true" fillcolor="#d2d2d2" stroked="false">
                <v:path arrowok="t"/>
                <v:fill type="solid"/>
              </v:shape>
            </v:group>
            <v:group style="position:absolute;left:6414;top:367;width:1009;height:353" coordorigin="6414,367" coordsize="1009,353">
              <v:shape style="position:absolute;left:6414;top:367;width:1009;height:353" coordorigin="6414,367" coordsize="1009,353" path="m6414,720l7422,720,7422,367,6414,367,6414,720xe" filled="true" fillcolor="#d2d2d2" stroked="false">
                <v:path arrowok="t"/>
                <v:fill type="solid"/>
              </v:shape>
            </v:group>
            <v:group style="position:absolute;left:7456;top:14;width:1054;height:706" coordorigin="7456,14" coordsize="1054,706">
              <v:shape style="position:absolute;left:7456;top:14;width:1054;height:706" coordorigin="7456,14" coordsize="1054,706" path="m7456,720l8510,720,8510,14,7456,14,7456,720xe" filled="true" fillcolor="#d2d2d2" stroked="false">
                <v:path arrowok="t"/>
                <v:fill type="solid"/>
              </v:shape>
            </v:group>
            <v:group style="position:absolute;left:7478;top:14;width:1008;height:353" coordorigin="7478,14" coordsize="1008,353">
              <v:shape style="position:absolute;left:7478;top:14;width:1008;height:353" coordorigin="7478,14" coordsize="1008,353" path="m7478,367l8486,367,8486,14,7478,14,7478,367xe" filled="true" fillcolor="#d2d2d2" stroked="false">
                <v:path arrowok="t"/>
                <v:fill type="solid"/>
              </v:shape>
            </v:group>
            <v:group style="position:absolute;left:7478;top:367;width:1008;height:353" coordorigin="7478,367" coordsize="1008,353">
              <v:shape style="position:absolute;left:7478;top:367;width:1008;height:353" coordorigin="7478,367" coordsize="1008,353" path="m7478,720l8486,720,8486,367,7478,367,7478,720xe" filled="true" fillcolor="#d2d2d2" stroked="false">
                <v:path arrowok="t"/>
                <v:fill type="solid"/>
              </v:shape>
            </v:group>
            <v:group style="position:absolute;left:8519;top:14;width:1052;height:706" coordorigin="8519,14" coordsize="1052,706">
              <v:shape style="position:absolute;left:8519;top:14;width:1052;height:706" coordorigin="8519,14" coordsize="1052,706" path="m8519,720l9571,720,9571,14,8519,14,8519,720xe" filled="true" fillcolor="#d2d2d2" stroked="false">
                <v:path arrowok="t"/>
                <v:fill type="solid"/>
              </v:shape>
            </v:group>
            <v:group style="position:absolute;left:8541;top:14;width:1009;height:353" coordorigin="8541,14" coordsize="1009,353">
              <v:shape style="position:absolute;left:8541;top:14;width:1009;height:353" coordorigin="8541,14" coordsize="1009,353" path="m8541,367l9549,367,9549,14,8541,14,8541,367xe" filled="true" fillcolor="#d2d2d2" stroked="false">
                <v:path arrowok="t"/>
                <v:fill type="solid"/>
              </v:shape>
            </v:group>
            <v:group style="position:absolute;left:8541;top:367;width:1009;height:353" coordorigin="8541,367" coordsize="1009,353">
              <v:shape style="position:absolute;left:8541;top:367;width:1009;height:353" coordorigin="8541,367" coordsize="1009,353" path="m8541,720l9549,720,9549,367,8541,367,8541,720xe" filled="true" fillcolor="#d2d2d2" stroked="false">
                <v:path arrowok="t"/>
                <v:fill type="solid"/>
              </v:shape>
            </v:group>
            <v:group style="position:absolute;left:10;top:10;width:1056;height:2" coordorigin="10,10" coordsize="1056,2">
              <v:shape style="position:absolute;left:10;top:10;width:1056;height:2" coordorigin="10,10" coordsize="1056,0" path="m10,10l1066,10e" filled="false" stroked="true" strokeweight=".48001pt" strokecolor="#000000">
                <v:path arrowok="t"/>
              </v:shape>
            </v:group>
            <v:group style="position:absolute;left:1075;top:10;width:1054;height:2" coordorigin="1075,10" coordsize="1054,2">
              <v:shape style="position:absolute;left:1075;top:10;width:1054;height:2" coordorigin="1075,10" coordsize="1054,0" path="m1075,10l2129,10e" filled="false" stroked="true" strokeweight=".48001pt" strokecolor="#000000">
                <v:path arrowok="t"/>
              </v:shape>
            </v:group>
            <v:group style="position:absolute;left:2138;top:10;width:1055;height:2" coordorigin="2138,10" coordsize="1055,2">
              <v:shape style="position:absolute;left:2138;top:10;width:1055;height:2" coordorigin="2138,10" coordsize="1055,0" path="m2138,10l3192,10e" filled="false" stroked="true" strokeweight=".48001pt" strokecolor="#000000">
                <v:path arrowok="t"/>
              </v:shape>
            </v:group>
            <v:group style="position:absolute;left:3202;top:10;width:1054;height:2" coordorigin="3202,10" coordsize="1054,2">
              <v:shape style="position:absolute;left:3202;top:10;width:1054;height:2" coordorigin="3202,10" coordsize="1054,0" path="m3202,10l4256,10e" filled="false" stroked="true" strokeweight=".48001pt" strokecolor="#000000">
                <v:path arrowok="t"/>
              </v:shape>
            </v:group>
            <v:group style="position:absolute;left:4265;top:10;width:1052;height:2" coordorigin="4265,10" coordsize="1052,2">
              <v:shape style="position:absolute;left:4265;top:10;width:1052;height:2" coordorigin="4265,10" coordsize="1052,0" path="m4265,10l5317,10e" filled="false" stroked="true" strokeweight=".48001pt" strokecolor="#000000">
                <v:path arrowok="t"/>
              </v:shape>
            </v:group>
            <v:group style="position:absolute;left:5327;top:10;width:1054;height:2" coordorigin="5327,10" coordsize="1054,2">
              <v:shape style="position:absolute;left:5327;top:10;width:1054;height:2" coordorigin="5327,10" coordsize="1054,0" path="m5327,10l6380,10e" filled="false" stroked="true" strokeweight=".48001pt" strokecolor="#000000">
                <v:path arrowok="t"/>
              </v:shape>
            </v:group>
            <v:group style="position:absolute;left:6390;top:10;width:1055;height:2" coordorigin="6390,10" coordsize="1055,2">
              <v:shape style="position:absolute;left:6390;top:10;width:1055;height:2" coordorigin="6390,10" coordsize="1055,0" path="m6390,10l7444,10e" filled="false" stroked="true" strokeweight=".48001pt" strokecolor="#000000">
                <v:path arrowok="t"/>
              </v:shape>
            </v:group>
            <v:group style="position:absolute;left:7454;top:10;width:1054;height:2" coordorigin="7454,10" coordsize="1054,2">
              <v:shape style="position:absolute;left:7454;top:10;width:1054;height:2" coordorigin="7454,10" coordsize="1054,0" path="m7454,10l8507,10e" filled="false" stroked="true" strokeweight=".48001pt" strokecolor="#000000">
                <v:path arrowok="t"/>
              </v:shape>
            </v:group>
            <v:group style="position:absolute;left:8517;top:10;width:1055;height:2" coordorigin="8517,10" coordsize="1055,2">
              <v:shape style="position:absolute;left:8517;top:10;width:1055;height:2" coordorigin="8517,10" coordsize="1055,0" path="m8517,10l9571,10e" filled="false" stroked="true" strokeweight=".48001pt" strokecolor="#000000">
                <v:path arrowok="t"/>
              </v:shape>
            </v:group>
            <v:group style="position:absolute;left:4265;top:730;width:1055;height:1328" coordorigin="4265,730" coordsize="1055,1328">
              <v:shape style="position:absolute;left:4265;top:730;width:1055;height:1328" coordorigin="4265,730" coordsize="1055,1328" path="m4265,2057l5319,2057,5319,730,4265,730,4265,2057xe" filled="true" fillcolor="#ffffff" stroked="false">
                <v:path arrowok="t"/>
                <v:fill type="solid"/>
              </v:shape>
            </v:group>
            <v:group style="position:absolute;left:4289;top:1198;width:1007;height:392" coordorigin="4289,1198" coordsize="1007,392">
              <v:shape style="position:absolute;left:4289;top:1198;width:1007;height:392" coordorigin="4289,1198" coordsize="1007,392" path="m4289,1589l5295,1589,5295,1198,4289,1198,4289,1589xe" filled="true" fillcolor="#ffffff" stroked="false">
                <v:path arrowok="t"/>
                <v:fill type="solid"/>
              </v:shape>
            </v:group>
            <v:group style="position:absolute;left:10;top:725;width:1056;height:2" coordorigin="10,725" coordsize="1056,2">
              <v:shape style="position:absolute;left:10;top:725;width:1056;height:2" coordorigin="10,725" coordsize="1056,0" path="m10,725l1066,725e" filled="false" stroked="true" strokeweight=".48001pt" strokecolor="#000000">
                <v:path arrowok="t"/>
              </v:shape>
            </v:group>
            <v:group style="position:absolute;left:1075;top:725;width:1054;height:2" coordorigin="1075,725" coordsize="1054,2">
              <v:shape style="position:absolute;left:1075;top:725;width:1054;height:2" coordorigin="1075,725" coordsize="1054,0" path="m1075,725l2129,725e" filled="false" stroked="true" strokeweight=".48001pt" strokecolor="#000000">
                <v:path arrowok="t"/>
              </v:shape>
            </v:group>
            <v:group style="position:absolute;left:2138;top:725;width:1055;height:2" coordorigin="2138,725" coordsize="1055,2">
              <v:shape style="position:absolute;left:2138;top:725;width:1055;height:2" coordorigin="2138,725" coordsize="1055,0" path="m2138,725l3192,725e" filled="false" stroked="true" strokeweight=".48001pt" strokecolor="#000000">
                <v:path arrowok="t"/>
              </v:shape>
            </v:group>
            <v:group style="position:absolute;left:3202;top:725;width:1054;height:2" coordorigin="3202,725" coordsize="1054,2">
              <v:shape style="position:absolute;left:3202;top:725;width:1054;height:2" coordorigin="3202,725" coordsize="1054,0" path="m3202,725l4256,725e" filled="false" stroked="true" strokeweight=".48001pt" strokecolor="#000000">
                <v:path arrowok="t"/>
              </v:shape>
            </v:group>
            <v:group style="position:absolute;left:4265;top:725;width:1052;height:2" coordorigin="4265,725" coordsize="1052,2">
              <v:shape style="position:absolute;left:4265;top:725;width:1052;height:2" coordorigin="4265,725" coordsize="1052,0" path="m4265,725l5317,725e" filled="false" stroked="true" strokeweight=".48001pt" strokecolor="#000000">
                <v:path arrowok="t"/>
              </v:shape>
            </v:group>
            <v:group style="position:absolute;left:5327;top:725;width:1054;height:2" coordorigin="5327,725" coordsize="1054,2">
              <v:shape style="position:absolute;left:5327;top:725;width:1054;height:2" coordorigin="5327,725" coordsize="1054,0" path="m5327,725l6380,725e" filled="false" stroked="true" strokeweight=".48001pt" strokecolor="#000000">
                <v:path arrowok="t"/>
              </v:shape>
            </v:group>
            <v:group style="position:absolute;left:6390;top:725;width:1055;height:2" coordorigin="6390,725" coordsize="1055,2">
              <v:shape style="position:absolute;left:6390;top:725;width:1055;height:2" coordorigin="6390,725" coordsize="1055,0" path="m6390,725l7444,725e" filled="false" stroked="true" strokeweight=".48001pt" strokecolor="#000000">
                <v:path arrowok="t"/>
              </v:shape>
            </v:group>
            <v:group style="position:absolute;left:7454;top:725;width:1054;height:2" coordorigin="7454,725" coordsize="1054,2">
              <v:shape style="position:absolute;left:7454;top:725;width:1054;height:2" coordorigin="7454,725" coordsize="1054,0" path="m7454,725l8507,725e" filled="false" stroked="true" strokeweight=".48001pt" strokecolor="#000000">
                <v:path arrowok="t"/>
              </v:shape>
            </v:group>
            <v:group style="position:absolute;left:8517;top:725;width:1055;height:2" coordorigin="8517,725" coordsize="1055,2">
              <v:shape style="position:absolute;left:8517;top:725;width:1055;height:2" coordorigin="8517,725" coordsize="1055,0" path="m8517,725l9571,725e" filled="false" stroked="true" strokeweight=".48001pt" strokecolor="#000000">
                <v:path arrowok="t"/>
              </v:shape>
            </v:group>
            <v:group style="position:absolute;left:4265;top:2067;width:1055;height:1330" coordorigin="4265,2067" coordsize="1055,1330">
              <v:shape style="position:absolute;left:4265;top:2067;width:1055;height:1330" coordorigin="4265,2067" coordsize="1055,1330" path="m4265,3396l5319,3396,5319,2067,4265,2067,4265,3396xe" filled="true" fillcolor="#ffffff" stroked="false">
                <v:path arrowok="t"/>
                <v:fill type="solid"/>
              </v:shape>
            </v:group>
            <v:group style="position:absolute;left:4289;top:2535;width:1007;height:394" coordorigin="4289,2535" coordsize="1007,394">
              <v:shape style="position:absolute;left:4289;top:2535;width:1007;height:394" coordorigin="4289,2535" coordsize="1007,394" path="m4289,2928l5295,2928,5295,2535,4289,2535,4289,2928xe" filled="true" fillcolor="#ffffff" stroked="false">
                <v:path arrowok="t"/>
                <v:fill type="solid"/>
              </v:shape>
            </v:group>
            <v:group style="position:absolute;left:10;top:2062;width:1056;height:2" coordorigin="10,2062" coordsize="1056,2">
              <v:shape style="position:absolute;left:10;top:2062;width:1056;height:2" coordorigin="10,2062" coordsize="1056,0" path="m10,2062l1066,2062e" filled="false" stroked="true" strokeweight=".47998pt" strokecolor="#000000">
                <v:path arrowok="t"/>
              </v:shape>
            </v:group>
            <v:group style="position:absolute;left:1075;top:2062;width:1054;height:2" coordorigin="1075,2062" coordsize="1054,2">
              <v:shape style="position:absolute;left:1075;top:2062;width:1054;height:2" coordorigin="1075,2062" coordsize="1054,0" path="m1075,2062l2129,2062e" filled="false" stroked="true" strokeweight=".47998pt" strokecolor="#000000">
                <v:path arrowok="t"/>
              </v:shape>
            </v:group>
            <v:group style="position:absolute;left:2138;top:2062;width:1055;height:2" coordorigin="2138,2062" coordsize="1055,2">
              <v:shape style="position:absolute;left:2138;top:2062;width:1055;height:2" coordorigin="2138,2062" coordsize="1055,0" path="m2138,2062l3192,2062e" filled="false" stroked="true" strokeweight=".47998pt" strokecolor="#000000">
                <v:path arrowok="t"/>
              </v:shape>
            </v:group>
            <v:group style="position:absolute;left:3202;top:2062;width:1054;height:2" coordorigin="3202,2062" coordsize="1054,2">
              <v:shape style="position:absolute;left:3202;top:2062;width:1054;height:2" coordorigin="3202,2062" coordsize="1054,0" path="m3202,2062l4256,2062e" filled="false" stroked="true" strokeweight=".47998pt" strokecolor="#000000">
                <v:path arrowok="t"/>
              </v:shape>
            </v:group>
            <v:group style="position:absolute;left:4265;top:2062;width:1052;height:2" coordorigin="4265,2062" coordsize="1052,2">
              <v:shape style="position:absolute;left:4265;top:2062;width:1052;height:2" coordorigin="4265,2062" coordsize="1052,0" path="m4265,2062l5317,2062e" filled="false" stroked="true" strokeweight=".47998pt" strokecolor="#000000">
                <v:path arrowok="t"/>
              </v:shape>
            </v:group>
            <v:group style="position:absolute;left:5327;top:2062;width:1054;height:2" coordorigin="5327,2062" coordsize="1054,2">
              <v:shape style="position:absolute;left:5327;top:2062;width:1054;height:2" coordorigin="5327,2062" coordsize="1054,0" path="m5327,2062l6380,2062e" filled="false" stroked="true" strokeweight=".47998pt" strokecolor="#000000">
                <v:path arrowok="t"/>
              </v:shape>
            </v:group>
            <v:group style="position:absolute;left:6390;top:2062;width:1055;height:2" coordorigin="6390,2062" coordsize="1055,2">
              <v:shape style="position:absolute;left:6390;top:2062;width:1055;height:2" coordorigin="6390,2062" coordsize="1055,0" path="m6390,2062l7444,2062e" filled="false" stroked="true" strokeweight=".47998pt" strokecolor="#000000">
                <v:path arrowok="t"/>
              </v:shape>
            </v:group>
            <v:group style="position:absolute;left:7454;top:2062;width:1054;height:2" coordorigin="7454,2062" coordsize="1054,2">
              <v:shape style="position:absolute;left:7454;top:2062;width:1054;height:2" coordorigin="7454,2062" coordsize="1054,0" path="m7454,2062l8507,2062e" filled="false" stroked="true" strokeweight=".47998pt" strokecolor="#000000">
                <v:path arrowok="t"/>
              </v:shape>
            </v:group>
            <v:group style="position:absolute;left:8517;top:2062;width:1055;height:2" coordorigin="8517,2062" coordsize="1055,2">
              <v:shape style="position:absolute;left:8517;top:2062;width:1055;height:2" coordorigin="8517,2062" coordsize="1055,0" path="m8517,2062l9571,2062e" filled="false" stroked="true" strokeweight=".47998pt" strokecolor="#000000">
                <v:path arrowok="t"/>
              </v:shape>
            </v:group>
            <v:group style="position:absolute;left:4265;top:3406;width:1055;height:1328" coordorigin="4265,3406" coordsize="1055,1328">
              <v:shape style="position:absolute;left:4265;top:3406;width:1055;height:1328" coordorigin="4265,3406" coordsize="1055,1328" path="m4265,4733l5319,4733,5319,3406,4265,3406,4265,4733xe" filled="true" fillcolor="#ffffff" stroked="false">
                <v:path arrowok="t"/>
                <v:fill type="solid"/>
              </v:shape>
            </v:group>
            <v:group style="position:absolute;left:4289;top:3874;width:1007;height:392" coordorigin="4289,3874" coordsize="1007,392">
              <v:shape style="position:absolute;left:4289;top:3874;width:1007;height:392" coordorigin="4289,3874" coordsize="1007,392" path="m4289,4265l5295,4265,5295,3874,4289,3874,4289,4265xe" filled="true" fillcolor="#ffffff" stroked="false">
                <v:path arrowok="t"/>
                <v:fill type="solid"/>
              </v:shape>
            </v:group>
            <v:group style="position:absolute;left:10;top:3401;width:1056;height:2" coordorigin="10,3401" coordsize="1056,2">
              <v:shape style="position:absolute;left:10;top:3401;width:1056;height:2" coordorigin="10,3401" coordsize="1056,0" path="m10,3401l1066,3401e" filled="false" stroked="true" strokeweight=".48001pt" strokecolor="#000000">
                <v:path arrowok="t"/>
              </v:shape>
            </v:group>
            <v:group style="position:absolute;left:1075;top:3401;width:1054;height:2" coordorigin="1075,3401" coordsize="1054,2">
              <v:shape style="position:absolute;left:1075;top:3401;width:1054;height:2" coordorigin="1075,3401" coordsize="1054,0" path="m1075,3401l2129,3401e" filled="false" stroked="true" strokeweight=".48001pt" strokecolor="#000000">
                <v:path arrowok="t"/>
              </v:shape>
            </v:group>
            <v:group style="position:absolute;left:2138;top:3401;width:1055;height:2" coordorigin="2138,3401" coordsize="1055,2">
              <v:shape style="position:absolute;left:2138;top:3401;width:1055;height:2" coordorigin="2138,3401" coordsize="1055,0" path="m2138,3401l3192,3401e" filled="false" stroked="true" strokeweight=".48001pt" strokecolor="#000000">
                <v:path arrowok="t"/>
              </v:shape>
            </v:group>
            <v:group style="position:absolute;left:3202;top:3401;width:1054;height:2" coordorigin="3202,3401" coordsize="1054,2">
              <v:shape style="position:absolute;left:3202;top:3401;width:1054;height:2" coordorigin="3202,3401" coordsize="1054,0" path="m3202,3401l4256,3401e" filled="false" stroked="true" strokeweight=".48001pt" strokecolor="#000000">
                <v:path arrowok="t"/>
              </v:shape>
            </v:group>
            <v:group style="position:absolute;left:4265;top:3401;width:1052;height:2" coordorigin="4265,3401" coordsize="1052,2">
              <v:shape style="position:absolute;left:4265;top:3401;width:1052;height:2" coordorigin="4265,3401" coordsize="1052,0" path="m4265,3401l5317,3401e" filled="false" stroked="true" strokeweight=".48001pt" strokecolor="#000000">
                <v:path arrowok="t"/>
              </v:shape>
            </v:group>
            <v:group style="position:absolute;left:5327;top:3401;width:1054;height:2" coordorigin="5327,3401" coordsize="1054,2">
              <v:shape style="position:absolute;left:5327;top:3401;width:1054;height:2" coordorigin="5327,3401" coordsize="1054,0" path="m5327,3401l6380,3401e" filled="false" stroked="true" strokeweight=".48001pt" strokecolor="#000000">
                <v:path arrowok="t"/>
              </v:shape>
            </v:group>
            <v:group style="position:absolute;left:6390;top:3401;width:1055;height:2" coordorigin="6390,3401" coordsize="1055,2">
              <v:shape style="position:absolute;left:6390;top:3401;width:1055;height:2" coordorigin="6390,3401" coordsize="1055,0" path="m6390,3401l7444,3401e" filled="false" stroked="true" strokeweight=".48001pt" strokecolor="#000000">
                <v:path arrowok="t"/>
              </v:shape>
            </v:group>
            <v:group style="position:absolute;left:7454;top:3401;width:1054;height:2" coordorigin="7454,3401" coordsize="1054,2">
              <v:shape style="position:absolute;left:7454;top:3401;width:1054;height:2" coordorigin="7454,3401" coordsize="1054,0" path="m7454,3401l8507,3401e" filled="false" stroked="true" strokeweight=".48001pt" strokecolor="#000000">
                <v:path arrowok="t"/>
              </v:shape>
            </v:group>
            <v:group style="position:absolute;left:8517;top:3401;width:1055;height:2" coordorigin="8517,3401" coordsize="1055,2">
              <v:shape style="position:absolute;left:8517;top:3401;width:1055;height:2" coordorigin="8517,3401" coordsize="1055,0" path="m8517,3401l9571,3401e" filled="false" stroked="true" strokeweight=".48001pt" strokecolor="#000000">
                <v:path arrowok="t"/>
              </v:shape>
            </v:group>
            <v:group style="position:absolute;left:4265;top:4743;width:1055;height:1643" coordorigin="4265,4743" coordsize="1055,1643">
              <v:shape style="position:absolute;left:4265;top:4743;width:1055;height:1643" coordorigin="4265,4743" coordsize="1055,1643" path="m4265,6385l5319,6385,5319,4743,4265,4743,4265,6385xe" filled="true" fillcolor="#ffffff" stroked="false">
                <v:path arrowok="t"/>
                <v:fill type="solid"/>
              </v:shape>
            </v:group>
            <v:group style="position:absolute;left:4289;top:5367;width:1007;height:395" coordorigin="4289,5367" coordsize="1007,395">
              <v:shape style="position:absolute;left:4289;top:5367;width:1007;height:395" coordorigin="4289,5367" coordsize="1007,395" path="m4289,5761l5295,5761,5295,5367,4289,5367,4289,5761xe" filled="true" fillcolor="#ffffff" stroked="false">
                <v:path arrowok="t"/>
                <v:fill type="solid"/>
              </v:shape>
            </v:group>
            <v:group style="position:absolute;left:10;top:4738;width:1056;height:2" coordorigin="10,4738" coordsize="1056,2">
              <v:shape style="position:absolute;left:10;top:4738;width:1056;height:2" coordorigin="10,4738" coordsize="1056,0" path="m10,4738l1066,4738e" filled="false" stroked="true" strokeweight=".47998pt" strokecolor="#000000">
                <v:path arrowok="t"/>
              </v:shape>
            </v:group>
            <v:group style="position:absolute;left:1075;top:4738;width:1054;height:2" coordorigin="1075,4738" coordsize="1054,2">
              <v:shape style="position:absolute;left:1075;top:4738;width:1054;height:2" coordorigin="1075,4738" coordsize="1054,0" path="m1075,4738l2129,4738e" filled="false" stroked="true" strokeweight=".47998pt" strokecolor="#000000">
                <v:path arrowok="t"/>
              </v:shape>
            </v:group>
            <v:group style="position:absolute;left:2138;top:4738;width:1055;height:2" coordorigin="2138,4738" coordsize="1055,2">
              <v:shape style="position:absolute;left:2138;top:4738;width:1055;height:2" coordorigin="2138,4738" coordsize="1055,0" path="m2138,4738l3192,4738e" filled="false" stroked="true" strokeweight=".47998pt" strokecolor="#000000">
                <v:path arrowok="t"/>
              </v:shape>
            </v:group>
            <v:group style="position:absolute;left:3202;top:4738;width:1054;height:2" coordorigin="3202,4738" coordsize="1054,2">
              <v:shape style="position:absolute;left:3202;top:4738;width:1054;height:2" coordorigin="3202,4738" coordsize="1054,0" path="m3202,4738l4256,4738e" filled="false" stroked="true" strokeweight=".47998pt" strokecolor="#000000">
                <v:path arrowok="t"/>
              </v:shape>
            </v:group>
            <v:group style="position:absolute;left:4265;top:4738;width:1052;height:2" coordorigin="4265,4738" coordsize="1052,2">
              <v:shape style="position:absolute;left:4265;top:4738;width:1052;height:2" coordorigin="4265,4738" coordsize="1052,0" path="m4265,4738l5317,4738e" filled="false" stroked="true" strokeweight=".47998pt" strokecolor="#000000">
                <v:path arrowok="t"/>
              </v:shape>
            </v:group>
            <v:group style="position:absolute;left:5327;top:4738;width:1054;height:2" coordorigin="5327,4738" coordsize="1054,2">
              <v:shape style="position:absolute;left:5327;top:4738;width:1054;height:2" coordorigin="5327,4738" coordsize="1054,0" path="m5327,4738l6380,4738e" filled="false" stroked="true" strokeweight=".47998pt" strokecolor="#000000">
                <v:path arrowok="t"/>
              </v:shape>
            </v:group>
            <v:group style="position:absolute;left:6390;top:4738;width:1055;height:2" coordorigin="6390,4738" coordsize="1055,2">
              <v:shape style="position:absolute;left:6390;top:4738;width:1055;height:2" coordorigin="6390,4738" coordsize="1055,0" path="m6390,4738l7444,4738e" filled="false" stroked="true" strokeweight=".47998pt" strokecolor="#000000">
                <v:path arrowok="t"/>
              </v:shape>
            </v:group>
            <v:group style="position:absolute;left:7454;top:4738;width:1054;height:2" coordorigin="7454,4738" coordsize="1054,2">
              <v:shape style="position:absolute;left:7454;top:4738;width:1054;height:2" coordorigin="7454,4738" coordsize="1054,0" path="m7454,4738l8507,4738e" filled="false" stroked="true" strokeweight=".47998pt" strokecolor="#000000">
                <v:path arrowok="t"/>
              </v:shape>
            </v:group>
            <v:group style="position:absolute;left:8517;top:4738;width:1055;height:2" coordorigin="8517,4738" coordsize="1055,2">
              <v:shape style="position:absolute;left:8517;top:4738;width:1055;height:2" coordorigin="8517,4738" coordsize="1055,0" path="m8517,4738l9571,4738e" filled="false" stroked="true" strokeweight=".47998pt" strokecolor="#000000">
                <v:path arrowok="t"/>
              </v:shape>
            </v:group>
            <v:group style="position:absolute;left:10;top:6390;width:1056;height:2" coordorigin="10,6390" coordsize="1056,2">
              <v:shape style="position:absolute;left:10;top:6390;width:1056;height:2" coordorigin="10,6390" coordsize="1056,0" path="m10,6390l1066,6390e" filled="false" stroked="true" strokeweight=".47998pt" strokecolor="#000000">
                <v:path arrowok="t"/>
              </v:shape>
            </v:group>
            <v:group style="position:absolute;left:1075;top:6390;width:1054;height:2" coordorigin="1075,6390" coordsize="1054,2">
              <v:shape style="position:absolute;left:1075;top:6390;width:1054;height:2" coordorigin="1075,6390" coordsize="1054,0" path="m1075,6390l2129,6390e" filled="false" stroked="true" strokeweight=".47998pt" strokecolor="#000000">
                <v:path arrowok="t"/>
              </v:shape>
            </v:group>
            <v:group style="position:absolute;left:2138;top:6390;width:1055;height:2" coordorigin="2138,6390" coordsize="1055,2">
              <v:shape style="position:absolute;left:2138;top:6390;width:1055;height:2" coordorigin="2138,6390" coordsize="1055,0" path="m2138,6390l3192,6390e" filled="false" stroked="true" strokeweight=".47998pt" strokecolor="#000000">
                <v:path arrowok="t"/>
              </v:shape>
            </v:group>
            <v:group style="position:absolute;left:3202;top:6390;width:1054;height:2" coordorigin="3202,6390" coordsize="1054,2">
              <v:shape style="position:absolute;left:3202;top:6390;width:1054;height:2" coordorigin="3202,6390" coordsize="1054,0" path="m3202,6390l4256,6390e" filled="false" stroked="true" strokeweight=".47998pt" strokecolor="#000000">
                <v:path arrowok="t"/>
              </v:shape>
            </v:group>
            <v:group style="position:absolute;left:4265;top:6390;width:1052;height:2" coordorigin="4265,6390" coordsize="1052,2">
              <v:shape style="position:absolute;left:4265;top:6390;width:1052;height:2" coordorigin="4265,6390" coordsize="1052,0" path="m4265,6390l5317,6390e" filled="false" stroked="true" strokeweight=".47998pt" strokecolor="#000000">
                <v:path arrowok="t"/>
              </v:shape>
            </v:group>
            <v:group style="position:absolute;left:5327;top:6390;width:1054;height:2" coordorigin="5327,6390" coordsize="1054,2">
              <v:shape style="position:absolute;left:5327;top:6390;width:1054;height:2" coordorigin="5327,6390" coordsize="1054,0" path="m5327,6390l6380,6390e" filled="false" stroked="true" strokeweight=".47998pt" strokecolor="#000000">
                <v:path arrowok="t"/>
              </v:shape>
            </v:group>
            <v:group style="position:absolute;left:6390;top:6390;width:1055;height:2" coordorigin="6390,6390" coordsize="1055,2">
              <v:shape style="position:absolute;left:6390;top:6390;width:1055;height:2" coordorigin="6390,6390" coordsize="1055,0" path="m6390,6390l7444,6390e" filled="false" stroked="true" strokeweight=".47998pt" strokecolor="#000000">
                <v:path arrowok="t"/>
              </v:shape>
            </v:group>
            <v:group style="position:absolute;left:7454;top:6390;width:1054;height:2" coordorigin="7454,6390" coordsize="1054,2">
              <v:shape style="position:absolute;left:7454;top:6390;width:1054;height:2" coordorigin="7454,6390" coordsize="1054,0" path="m7454,6390l8507,6390e" filled="false" stroked="true" strokeweight=".47998pt" strokecolor="#000000">
                <v:path arrowok="t"/>
              </v:shape>
            </v:group>
            <v:group style="position:absolute;left:8517;top:6390;width:1055;height:2" coordorigin="8517,6390" coordsize="1055,2">
              <v:shape style="position:absolute;left:8517;top:6390;width:1055;height:2" coordorigin="8517,6390" coordsize="1055,0" path="m8517,6390l9571,6390e" filled="false" stroked="true" strokeweight=".47998pt" strokecolor="#000000">
                <v:path arrowok="t"/>
              </v:shape>
            </v:group>
            <v:group style="position:absolute;left:5;top:5;width:2;height:8313" coordorigin="5,5" coordsize="2,8313">
              <v:shape style="position:absolute;left:5;top:5;width:2;height:8313" coordorigin="5,5" coordsize="0,8313" path="m5,5l5,8317e" filled="false" stroked="true" strokeweight=".48pt" strokecolor="#000000">
                <v:path arrowok="t"/>
              </v:shape>
            </v:group>
            <v:group style="position:absolute;left:10;top:8312;width:1056;height:2" coordorigin="10,8312" coordsize="1056,2">
              <v:shape style="position:absolute;left:10;top:8312;width:1056;height:2" coordorigin="10,8312" coordsize="1056,0" path="m10,8312l1066,8312e" filled="false" stroked="true" strokeweight=".47998pt" strokecolor="#000000">
                <v:path arrowok="t"/>
              </v:shape>
            </v:group>
            <v:group style="position:absolute;left:1070;top:5;width:2;height:8313" coordorigin="1070,5" coordsize="2,8313">
              <v:shape style="position:absolute;left:1070;top:5;width:2;height:8313" coordorigin="1070,5" coordsize="0,8313" path="m1070,5l1070,8317e" filled="false" stroked="true" strokeweight=".48pt" strokecolor="#000000">
                <v:path arrowok="t"/>
              </v:shape>
            </v:group>
            <v:group style="position:absolute;left:1075;top:8312;width:1054;height:2" coordorigin="1075,8312" coordsize="1054,2">
              <v:shape style="position:absolute;left:1075;top:8312;width:1054;height:2" coordorigin="1075,8312" coordsize="1054,0" path="m1075,8312l2129,8312e" filled="false" stroked="true" strokeweight=".47998pt" strokecolor="#000000">
                <v:path arrowok="t"/>
              </v:shape>
            </v:group>
            <v:group style="position:absolute;left:2134;top:5;width:2;height:8313" coordorigin="2134,5" coordsize="2,8313">
              <v:shape style="position:absolute;left:2134;top:5;width:2;height:8313" coordorigin="2134,5" coordsize="0,8313" path="m2134,5l2134,8317e" filled="false" stroked="true" strokeweight=".48pt" strokecolor="#000000">
                <v:path arrowok="t"/>
              </v:shape>
            </v:group>
            <v:group style="position:absolute;left:2138;top:8312;width:1055;height:2" coordorigin="2138,8312" coordsize="1055,2">
              <v:shape style="position:absolute;left:2138;top:8312;width:1055;height:2" coordorigin="2138,8312" coordsize="1055,0" path="m2138,8312l3192,8312e" filled="false" stroked="true" strokeweight=".47998pt" strokecolor="#000000">
                <v:path arrowok="t"/>
              </v:shape>
            </v:group>
            <v:group style="position:absolute;left:3197;top:5;width:2;height:8313" coordorigin="3197,5" coordsize="2,8313">
              <v:shape style="position:absolute;left:3197;top:5;width:2;height:8313" coordorigin="3197,5" coordsize="0,8313" path="m3197,5l3197,8317e" filled="false" stroked="true" strokeweight=".48pt" strokecolor="#000000">
                <v:path arrowok="t"/>
              </v:shape>
            </v:group>
            <v:group style="position:absolute;left:3202;top:8312;width:1054;height:2" coordorigin="3202,8312" coordsize="1054,2">
              <v:shape style="position:absolute;left:3202;top:8312;width:1054;height:2" coordorigin="3202,8312" coordsize="1054,0" path="m3202,8312l4256,8312e" filled="false" stroked="true" strokeweight=".47998pt" strokecolor="#000000">
                <v:path arrowok="t"/>
              </v:shape>
            </v:group>
            <v:group style="position:absolute;left:4261;top:5;width:2;height:8313" coordorigin="4261,5" coordsize="2,8313">
              <v:shape style="position:absolute;left:4261;top:5;width:2;height:8313" coordorigin="4261,5" coordsize="0,8313" path="m4261,5l4261,8317e" filled="false" stroked="true" strokeweight=".47998pt" strokecolor="#000000">
                <v:path arrowok="t"/>
              </v:shape>
            </v:group>
            <v:group style="position:absolute;left:4265;top:8312;width:1052;height:2" coordorigin="4265,8312" coordsize="1052,2">
              <v:shape style="position:absolute;left:4265;top:8312;width:1052;height:2" coordorigin="4265,8312" coordsize="1052,0" path="m4265,8312l5317,8312e" filled="false" stroked="true" strokeweight=".47998pt" strokecolor="#000000">
                <v:path arrowok="t"/>
              </v:shape>
            </v:group>
            <v:group style="position:absolute;left:5322;top:5;width:2;height:8313" coordorigin="5322,5" coordsize="2,8313">
              <v:shape style="position:absolute;left:5322;top:5;width:2;height:8313" coordorigin="5322,5" coordsize="0,8313" path="m5322,5l5322,8317e" filled="false" stroked="true" strokeweight=".48001pt" strokecolor="#000000">
                <v:path arrowok="t"/>
              </v:shape>
            </v:group>
            <v:group style="position:absolute;left:5327;top:8312;width:1054;height:2" coordorigin="5327,8312" coordsize="1054,2">
              <v:shape style="position:absolute;left:5327;top:8312;width:1054;height:2" coordorigin="5327,8312" coordsize="1054,0" path="m5327,8312l6380,8312e" filled="false" stroked="true" strokeweight=".47998pt" strokecolor="#000000">
                <v:path arrowok="t"/>
              </v:shape>
            </v:group>
            <v:group style="position:absolute;left:6385;top:5;width:2;height:8313" coordorigin="6385,5" coordsize="2,8313">
              <v:shape style="position:absolute;left:6385;top:5;width:2;height:8313" coordorigin="6385,5" coordsize="0,8313" path="m6385,5l6385,8317e" filled="false" stroked="true" strokeweight=".48001pt" strokecolor="#000000">
                <v:path arrowok="t"/>
              </v:shape>
            </v:group>
            <v:group style="position:absolute;left:6390;top:8312;width:1055;height:2" coordorigin="6390,8312" coordsize="1055,2">
              <v:shape style="position:absolute;left:6390;top:8312;width:1055;height:2" coordorigin="6390,8312" coordsize="1055,0" path="m6390,8312l7444,8312e" filled="false" stroked="true" strokeweight=".47998pt" strokecolor="#000000">
                <v:path arrowok="t"/>
              </v:shape>
            </v:group>
            <v:group style="position:absolute;left:7449;top:5;width:2;height:8313" coordorigin="7449,5" coordsize="2,8313">
              <v:shape style="position:absolute;left:7449;top:5;width:2;height:8313" coordorigin="7449,5" coordsize="0,8313" path="m7449,5l7449,8317e" filled="false" stroked="true" strokeweight=".48001pt" strokecolor="#000000">
                <v:path arrowok="t"/>
              </v:shape>
            </v:group>
            <v:group style="position:absolute;left:7454;top:8312;width:1054;height:2" coordorigin="7454,8312" coordsize="1054,2">
              <v:shape style="position:absolute;left:7454;top:8312;width:1054;height:2" coordorigin="7454,8312" coordsize="1054,0" path="m7454,8312l8507,8312e" filled="false" stroked="true" strokeweight=".47998pt" strokecolor="#000000">
                <v:path arrowok="t"/>
              </v:shape>
            </v:group>
            <v:group style="position:absolute;left:8512;top:5;width:2;height:8313" coordorigin="8512,5" coordsize="2,8313">
              <v:shape style="position:absolute;left:8512;top:5;width:2;height:8313" coordorigin="8512,5" coordsize="0,8313" path="m8512,5l8512,8317e" filled="false" stroked="true" strokeweight=".48001pt" strokecolor="#000000">
                <v:path arrowok="t"/>
              </v:shape>
            </v:group>
            <v:group style="position:absolute;left:8517;top:8312;width:1055;height:2" coordorigin="8517,8312" coordsize="1055,2">
              <v:shape style="position:absolute;left:8517;top:8312;width:1055;height:2" coordorigin="8517,8312" coordsize="1055,0" path="m8517,8312l9571,8312e" filled="false" stroked="true" strokeweight=".47998pt" strokecolor="#000000">
                <v:path arrowok="t"/>
              </v:shape>
            </v:group>
            <v:group style="position:absolute;left:9576;top:5;width:2;height:8313" coordorigin="9576,5" coordsize="2,8313">
              <v:shape style="position:absolute;left:9576;top:5;width:2;height:8313" coordorigin="9576,5" coordsize="0,8313" path="m9576,5l9576,8317e" filled="false" stroked="true" strokeweight=".47998pt" strokecolor="#000000">
                <v:path arrowok="t"/>
              </v:shape>
              <v:shape style="position:absolute;left:5;top:10;width:1066;height:711"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补助项目</w:t>
                      </w:r>
                    </w:p>
                  </w:txbxContent>
                </v:textbox>
                <w10:wrap type="none"/>
              </v:shape>
              <v:shape style="position:absolute;left:1070;top:10;width:1064;height:711"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发放主体</w:t>
                      </w:r>
                    </w:p>
                  </w:txbxContent>
                </v:textbox>
                <w10:wrap type="none"/>
              </v:shape>
              <v:shape style="position:absolute;left:2134;top:10;width:1064;height:711" type="#_x0000_t202" filled="false" stroked="false">
                <v:textbox inset="0,0,0,0">
                  <w:txbxContent>
                    <w:p>
                      <w:pPr>
                        <w:spacing w:line="240" w:lineRule="auto" w:before="0"/>
                        <w:rPr>
                          <w:rFonts w:ascii="宋体" w:hAnsi="宋体" w:cs="宋体" w:eastAsia="宋体" w:hint="default"/>
                          <w:sz w:val="16"/>
                          <w:szCs w:val="16"/>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发放原因</w:t>
                      </w:r>
                    </w:p>
                  </w:txbxContent>
                </v:textbox>
                <w10:wrap type="none"/>
              </v:shape>
              <v:shape style="position:absolute;left:3197;top:10;width:1064;height:711"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性质类型</w:t>
                      </w:r>
                    </w:p>
                  </w:txbxContent>
                </v:textbox>
                <w10:wrap type="none"/>
              </v:shape>
              <v:shape style="position:absolute;left:4261;top:10;width:1062;height:711" type="#_x0000_t202" filled="false" stroked="false">
                <v:textbox inset="0,0,0,0">
                  <w:txbxContent>
                    <w:p>
                      <w:pPr>
                        <w:spacing w:line="316" w:lineRule="auto" w:before="56"/>
                        <w:ind w:left="81" w:right="77" w:firstLine="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xbxContent>
                </v:textbox>
                <w10:wrap type="none"/>
              </v:shape>
              <v:shape style="position:absolute;left:5322;top:10;width:1064;height:711" type="#_x0000_t202" filled="false" stroked="false">
                <v:textbox inset="0,0,0,0">
                  <w:txbxContent>
                    <w:p>
                      <w:pPr>
                        <w:spacing w:line="316" w:lineRule="auto" w:before="56"/>
                        <w:ind w:left="443"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xbxContent>
                </v:textbox>
                <w10:wrap type="none"/>
              </v:shape>
              <v:shape style="position:absolute;left:6385;top:10;width:1064;height:711" type="#_x0000_t202" filled="false" stroked="false">
                <v:textbox inset="0,0,0,0">
                  <w:txbxContent>
                    <w:p>
                      <w:pPr>
                        <w:spacing w:line="316" w:lineRule="auto" w:before="56"/>
                        <w:ind w:left="442" w:right="80"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xbxContent>
                </v:textbox>
                <w10:wrap type="none"/>
              </v:shape>
              <v:shape style="position:absolute;left:7449;top:10;width:1064;height:711" type="#_x0000_t202" filled="false" stroked="false">
                <v:textbox inset="0,0,0,0">
                  <w:txbxContent>
                    <w:p>
                      <w:pPr>
                        <w:spacing w:line="316" w:lineRule="auto" w:before="56"/>
                        <w:ind w:left="441" w:right="79"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xbxContent>
                </v:textbox>
                <w10:wrap type="none"/>
              </v:shape>
              <v:shape style="position:absolute;left:8512;top:10;width:1064;height:711" type="#_x0000_t202" filled="false" stroked="false">
                <v:textbox inset="0,0,0,0">
                  <w:txbxContent>
                    <w:p>
                      <w:pPr>
                        <w:spacing w:line="300" w:lineRule="auto" w:before="56"/>
                        <w:ind w:left="81"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xbxContent>
                </v:textbox>
                <w10:wrap type="none"/>
              </v:shape>
              <v:shape style="position:absolute;left:5;top:720;width:1066;height:1342"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7"/>
                        <w:ind w:left="28" w:right="134" w:firstLine="0"/>
                        <w:jc w:val="left"/>
                        <w:rPr>
                          <w:rFonts w:ascii="宋体" w:hAnsi="宋体" w:cs="宋体" w:eastAsia="宋体" w:hint="default"/>
                          <w:sz w:val="18"/>
                          <w:szCs w:val="18"/>
                        </w:rPr>
                      </w:pPr>
                      <w:r>
                        <w:rPr>
                          <w:rFonts w:ascii="宋体" w:hAnsi="宋体" w:cs="宋体" w:eastAsia="宋体" w:hint="default"/>
                          <w:sz w:val="18"/>
                          <w:szCs w:val="18"/>
                        </w:rPr>
                        <w:t>递延收益摊 销</w:t>
                      </w:r>
                    </w:p>
                  </w:txbxContent>
                </v:textbox>
                <w10:wrap type="none"/>
              </v:shape>
              <v:shape style="position:absolute;left:2162;top:130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7;top:720;width:1064;height:1342" type="#_x0000_t202" filled="false" stroked="false">
                <v:textbox inset="0,0,0,0">
                  <w:txbxContent>
                    <w:p>
                      <w:pPr>
                        <w:spacing w:line="316" w:lineRule="auto" w:before="61"/>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6;top:8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89;top:13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13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720;width:1064;height:134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226" w:right="0" w:firstLine="0"/>
                        <w:jc w:val="left"/>
                        <w:rPr>
                          <w:rFonts w:ascii="Times New Roman" w:hAnsi="Times New Roman" w:cs="Times New Roman" w:eastAsia="Times New Roman" w:hint="default"/>
                          <w:sz w:val="18"/>
                          <w:szCs w:val="18"/>
                        </w:rPr>
                      </w:pPr>
                      <w:r>
                        <w:rPr>
                          <w:rFonts w:ascii="Times New Roman"/>
                          <w:sz w:val="18"/>
                        </w:rPr>
                        <w:t>559,347.55</w:t>
                      </w:r>
                    </w:p>
                  </w:txbxContent>
                </v:textbox>
                <w10:wrap type="none"/>
              </v:shape>
              <v:shape style="position:absolute;left:7449;top:720;width:1064;height:134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240,652.45</w:t>
                      </w:r>
                    </w:p>
                  </w:txbxContent>
                </v:textbox>
                <w10:wrap type="none"/>
              </v:shape>
              <v:shape style="position:absolute;left:8512;top:720;width:1064;height:134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2062;width:1066;height:1340"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2"/>
                        <w:ind w:left="28" w:right="134" w:firstLine="0"/>
                        <w:jc w:val="left"/>
                        <w:rPr>
                          <w:rFonts w:ascii="宋体" w:hAnsi="宋体" w:cs="宋体" w:eastAsia="宋体" w:hint="default"/>
                          <w:sz w:val="18"/>
                          <w:szCs w:val="18"/>
                        </w:rPr>
                      </w:pPr>
                      <w:r>
                        <w:rPr>
                          <w:rFonts w:ascii="宋体" w:hAnsi="宋体" w:cs="宋体" w:eastAsia="宋体" w:hint="default"/>
                          <w:sz w:val="18"/>
                          <w:szCs w:val="18"/>
                        </w:rPr>
                        <w:t>递延收益摊 销</w:t>
                      </w:r>
                    </w:p>
                  </w:txbxContent>
                </v:textbox>
                <w10:wrap type="none"/>
              </v:shape>
              <v:shape style="position:absolute;left:2162;top:263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7;top:2062;width:1064;height:1340"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6;top:217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89;top:263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263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2062;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26" w:right="0" w:firstLine="0"/>
                        <w:jc w:val="left"/>
                        <w:rPr>
                          <w:rFonts w:ascii="Times New Roman" w:hAnsi="Times New Roman" w:cs="Times New Roman" w:eastAsia="Times New Roman" w:hint="default"/>
                          <w:sz w:val="18"/>
                          <w:szCs w:val="18"/>
                        </w:rPr>
                      </w:pPr>
                      <w:r>
                        <w:rPr>
                          <w:rFonts w:ascii="Times New Roman"/>
                          <w:sz w:val="18"/>
                        </w:rPr>
                        <w:t>833,517.52</w:t>
                      </w:r>
                    </w:p>
                  </w:txbxContent>
                </v:textbox>
                <w10:wrap type="none"/>
              </v:shape>
              <v:shape style="position:absolute;left:7449;top:2062;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860,437.50</w:t>
                      </w:r>
                    </w:p>
                  </w:txbxContent>
                </v:textbox>
                <w10:wrap type="none"/>
              </v:shape>
              <v:shape style="position:absolute;left:8512;top:2062;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与资产相关</w:t>
                      </w:r>
                    </w:p>
                  </w:txbxContent>
                </v:textbox>
                <w10:wrap type="none"/>
              </v:shape>
              <v:shape style="position:absolute;left:5;top:3401;width:1066;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2"/>
                        <w:ind w:left="28" w:right="134" w:firstLine="0"/>
                        <w:jc w:val="left"/>
                        <w:rPr>
                          <w:rFonts w:ascii="宋体" w:hAnsi="宋体" w:cs="宋体" w:eastAsia="宋体" w:hint="default"/>
                          <w:sz w:val="18"/>
                          <w:szCs w:val="18"/>
                        </w:rPr>
                      </w:pPr>
                      <w:r>
                        <w:rPr>
                          <w:rFonts w:ascii="宋体" w:hAnsi="宋体" w:cs="宋体" w:eastAsia="宋体" w:hint="default"/>
                          <w:sz w:val="18"/>
                          <w:szCs w:val="18"/>
                        </w:rPr>
                        <w:t>民营领军企 业资助项目</w:t>
                      </w:r>
                    </w:p>
                  </w:txbxContent>
                </v:textbox>
                <w10:wrap type="none"/>
              </v:shape>
              <v:shape style="position:absolute;left:2162;top:39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7;top:3401;width:1064;height:1337"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6;top:351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89;top:39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39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3401;width:1064;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317" w:right="0" w:firstLine="0"/>
                        <w:jc w:val="left"/>
                        <w:rPr>
                          <w:rFonts w:ascii="Times New Roman" w:hAnsi="Times New Roman" w:cs="Times New Roman" w:eastAsia="Times New Roman" w:hint="default"/>
                          <w:sz w:val="18"/>
                          <w:szCs w:val="18"/>
                        </w:rPr>
                      </w:pPr>
                      <w:r>
                        <w:rPr>
                          <w:rFonts w:ascii="Times New Roman"/>
                          <w:sz w:val="18"/>
                        </w:rPr>
                        <w:t>64,800.00</w:t>
                      </w:r>
                    </w:p>
                  </w:txbxContent>
                </v:textbox>
                <w10:wrap type="none"/>
              </v:shape>
              <v:shape style="position:absolute;left:8512;top:3401;width:1064;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4738;width:1066;height:1652" type="#_x0000_t202" filled="false" stroked="false">
                <v:textbox inset="0,0,0,0">
                  <w:txbxContent>
                    <w:p>
                      <w:pPr>
                        <w:spacing w:line="314" w:lineRule="auto" w:before="56"/>
                        <w:ind w:left="28" w:right="134" w:firstLine="0"/>
                        <w:jc w:val="left"/>
                        <w:rPr>
                          <w:rFonts w:ascii="宋体" w:hAnsi="宋体" w:cs="宋体" w:eastAsia="宋体" w:hint="default"/>
                          <w:sz w:val="18"/>
                          <w:szCs w:val="18"/>
                        </w:rPr>
                      </w:pPr>
                      <w:r>
                        <w:rPr>
                          <w:rFonts w:ascii="宋体" w:hAnsi="宋体" w:cs="宋体" w:eastAsia="宋体" w:hint="default"/>
                          <w:sz w:val="18"/>
                          <w:szCs w:val="18"/>
                        </w:rPr>
                        <w:t>深圳市场和 质量监督管 理局</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第二批专利 资助</w:t>
                      </w:r>
                    </w:p>
                  </w:txbxContent>
                </v:textbox>
                <w10:wrap type="none"/>
              </v:shape>
              <v:shape style="position:absolute;left:2162;top:547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7;top:4738;width:1064;height:1652" type="#_x0000_t202" filled="false" stroked="false">
                <v:textbox inset="0,0,0,0">
                  <w:txbxContent>
                    <w:p>
                      <w:pPr>
                        <w:spacing w:line="240" w:lineRule="auto" w:before="3"/>
                        <w:rPr>
                          <w:rFonts w:ascii="宋体" w:hAnsi="宋体" w:cs="宋体" w:eastAsia="宋体" w:hint="default"/>
                          <w:sz w:val="16"/>
                          <w:szCs w:val="16"/>
                        </w:rPr>
                      </w:pPr>
                    </w:p>
                    <w:p>
                      <w:pPr>
                        <w:spacing w:line="319" w:lineRule="auto" w:before="0"/>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6;top:500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89;top:547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547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4738;width:1064;height:16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spacing w:before="0"/>
                        <w:ind w:left="406" w:right="0" w:firstLine="0"/>
                        <w:jc w:val="left"/>
                        <w:rPr>
                          <w:rFonts w:ascii="Times New Roman" w:hAnsi="Times New Roman" w:cs="Times New Roman" w:eastAsia="Times New Roman" w:hint="default"/>
                          <w:sz w:val="18"/>
                          <w:szCs w:val="18"/>
                        </w:rPr>
                      </w:pPr>
                      <w:r>
                        <w:rPr>
                          <w:rFonts w:ascii="Times New Roman"/>
                          <w:sz w:val="18"/>
                        </w:rPr>
                        <w:t>2,000.00</w:t>
                      </w:r>
                    </w:p>
                  </w:txbxContent>
                </v:textbox>
                <w10:wrap type="none"/>
              </v:shape>
              <v:shape style="position:absolute;left:8512;top:4738;width:1064;height:16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6390;width:1066;height:1923"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line="316" w:lineRule="auto" w:before="0"/>
                        <w:ind w:left="28" w:right="134" w:firstLine="0"/>
                        <w:jc w:val="both"/>
                        <w:rPr>
                          <w:rFonts w:ascii="宋体" w:hAnsi="宋体" w:cs="宋体" w:eastAsia="宋体" w:hint="default"/>
                          <w:sz w:val="18"/>
                          <w:szCs w:val="18"/>
                        </w:rPr>
                      </w:pPr>
                      <w:r>
                        <w:rPr>
                          <w:rFonts w:ascii="宋体" w:hAnsi="宋体" w:cs="宋体" w:eastAsia="宋体" w:hint="default"/>
                          <w:sz w:val="18"/>
                          <w:szCs w:val="18"/>
                        </w:rPr>
                        <w:t>园区外文化 企业房租补 贴</w:t>
                      </w:r>
                    </w:p>
                  </w:txbxContent>
                </v:textbox>
                <w10:wrap type="none"/>
              </v:shape>
              <v:shape style="position:absolute;left:2162;top:726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7;top:6390;width:1064;height:1923" type="#_x0000_t202" filled="false" stroked="false">
                <v:textbox inset="0,0,0,0">
                  <w:txbxContent>
                    <w:p>
                      <w:pPr>
                        <w:spacing w:line="316" w:lineRule="auto" w:before="56"/>
                        <w:ind w:left="28" w:right="24" w:firstLine="0"/>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xbxContent>
                </v:textbox>
                <w10:wrap type="none"/>
              </v:shape>
              <v:shape style="position:absolute;left:4289;top:726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726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449;top:6390;width:1064;height:1923"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0"/>
                        <w:ind w:left="225" w:right="0" w:firstLine="0"/>
                        <w:jc w:val="left"/>
                        <w:rPr>
                          <w:rFonts w:ascii="Times New Roman" w:hAnsi="Times New Roman" w:cs="Times New Roman" w:eastAsia="Times New Roman" w:hint="default"/>
                          <w:sz w:val="18"/>
                          <w:szCs w:val="18"/>
                        </w:rPr>
                      </w:pPr>
                      <w:r>
                        <w:rPr>
                          <w:rFonts w:ascii="Times New Roman"/>
                          <w:sz w:val="18"/>
                        </w:rPr>
                        <w:t>141,200.00</w:t>
                      </w:r>
                    </w:p>
                  </w:txbxContent>
                </v:textbox>
                <w10:wrap type="none"/>
              </v:shape>
              <v:shape style="position:absolute;left:8512;top:6390;width:1064;height:1923"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group>
          </v:group>
        </w:pict>
      </w:r>
      <w:r>
        <w:rPr>
          <w:rFonts w:ascii="宋体" w:hAnsi="宋体" w:cs="宋体" w:eastAsia="宋体" w:hint="default"/>
          <w:position w:val="-165"/>
          <w:sz w:val="20"/>
          <w:szCs w:val="20"/>
        </w:rPr>
      </w:r>
    </w:p>
    <w:p>
      <w:pPr>
        <w:spacing w:after="0" w:line="8321" w:lineRule="exact"/>
        <w:rPr>
          <w:rFonts w:ascii="宋体" w:hAnsi="宋体" w:cs="宋体" w:eastAsia="宋体" w:hint="default"/>
          <w:sz w:val="20"/>
          <w:szCs w:val="20"/>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r>
        <w:rPr/>
        <w:pict>
          <v:group style="position:absolute;margin-left:269.690002pt;margin-top:90.61998pt;width:52.75pt;height:66.4pt;mso-position-horizontal-relative:page;mso-position-vertical-relative:page;z-index:-827464" coordorigin="5394,1812" coordsize="1055,1328">
            <v:group style="position:absolute;left:5394;top:1812;width:1055;height:1328" coordorigin="5394,1812" coordsize="1055,1328">
              <v:shape style="position:absolute;left:5394;top:1812;width:1055;height:1328" coordorigin="5394,1812" coordsize="1055,1328" path="m5394,3140l6448,3140,6448,1812,5394,1812,5394,3140xe" filled="true" fillcolor="#ffffff" stroked="false">
                <v:path arrowok="t"/>
                <v:fill type="solid"/>
              </v:shape>
            </v:group>
            <v:group style="position:absolute;left:5418;top:2280;width:1007;height:392" coordorigin="5418,2280" coordsize="1007,392">
              <v:shape style="position:absolute;left:5418;top:2280;width:1007;height:392" coordorigin="5418,2280" coordsize="1007,392" path="m5418,2672l6424,2672,6424,2280,5418,2280,5418,267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25,556.78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1"/>
              <w:jc w:val="left"/>
              <w:rPr>
                <w:rFonts w:ascii="宋体" w:hAnsi="宋体" w:cs="宋体" w:eastAsia="宋体" w:hint="default"/>
                <w:sz w:val="18"/>
                <w:szCs w:val="18"/>
              </w:rPr>
            </w:pPr>
            <w:r>
              <w:rPr>
                <w:rFonts w:ascii="宋体" w:hAnsi="宋体" w:cs="宋体" w:eastAsia="宋体" w:hint="default"/>
                <w:sz w:val="18"/>
                <w:szCs w:val="18"/>
              </w:rPr>
              <w:t>中高层干部 </w:t>
            </w:r>
            <w:r>
              <w:rPr>
                <w:rFonts w:ascii="宋体" w:hAnsi="宋体" w:cs="宋体" w:eastAsia="宋体" w:hint="default"/>
                <w:spacing w:val="-12"/>
                <w:sz w:val="18"/>
                <w:szCs w:val="18"/>
              </w:rPr>
              <w:t>培养计划（人</w:t>
            </w:r>
            <w:r>
              <w:rPr>
                <w:rFonts w:ascii="宋体" w:hAnsi="宋体" w:cs="宋体" w:eastAsia="宋体" w:hint="default"/>
                <w:sz w:val="18"/>
                <w:szCs w:val="18"/>
              </w:rPr>
              <w:t> 力资源局）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3" w:right="0" w:firstLine="0"/>
        <w:jc w:val="left"/>
        <w:rPr>
          <w:rFonts w:ascii="宋体" w:hAnsi="宋体" w:cs="宋体" w:eastAsia="宋体" w:hint="default"/>
          <w:sz w:val="18"/>
          <w:szCs w:val="18"/>
        </w:rPr>
      </w:pPr>
      <w:r>
        <w:rPr/>
        <w:pict>
          <v:group style="position:absolute;margin-left:269.690002pt;margin-top:-66.862274pt;width:52.75pt;height:66.4pt;mso-position-horizontal-relative:page;mso-position-vertical-relative:paragraph;z-index:-827440" coordorigin="5394,-1337" coordsize="1055,1328">
            <v:group style="position:absolute;left:5394;top:-1337;width:1055;height:1328" coordorigin="5394,-1337" coordsize="1055,1328">
              <v:shape style="position:absolute;left:5394;top:-1337;width:1055;height:1328" coordorigin="5394,-1337" coordsize="1055,1328" path="m5394,-10l6448,-10,6448,-1337,5394,-1337,5394,-10xe" filled="true" fillcolor="#ffffff" stroked="false">
                <v:path arrowok="t"/>
                <v:fill type="solid"/>
              </v:shape>
            </v:group>
            <v:group style="position:absolute;left:5418;top:-869;width:1007;height:392" coordorigin="5418,-869" coordsize="1007,392">
              <v:shape style="position:absolute;left:5418;top:-869;width:1007;height:392" coordorigin="5418,-869" coordsize="1007,392" path="m5418,-478l6424,-478,6424,-869,5418,-869,5418,-478xe" filled="true" fillcolor="#ffffff" stroked="false">
                <v:path arrowok="t"/>
                <v:fill type="solid"/>
              </v:shape>
            </v:group>
            <w10:wrap type="none"/>
          </v:group>
        </w:pict>
      </w: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19,232.90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19,232.90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57,131.48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57,131.48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57,131.48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69,233.54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57,131.48</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3,770,604.30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1,700,210.60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-463,698.39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-110,688.55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3,306,905.91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1,589,522.05</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15,416,995.13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2,312,549.27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-102,941.09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969,820.80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-23,138.62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1,145,633.68</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257,348.96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-1,252,367.09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3,306,905.91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5,142,508.64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292,913.18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5,772,106.81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1,205,876.20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1,247,547.10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551,319.63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12,162,162.55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2,050,109.01</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19,575,329.67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23,327,069.52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6,409,872.29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1,320,443.67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25,985,201.96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24,647,513.19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4,503,442.19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4,503,442.19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609,431.09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609,431.09</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12,110,089.22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8,500,197.27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3,144,320.12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1,727,902.79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5,392,451.79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4,597,421.50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208.699982pt;width:185.55pt;height:19.6pt;mso-position-horizontal-relative:page;mso-position-vertical-relative:page;z-index:-8274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30005pt;margin-top:228.859985pt;width:185.55pt;height:19.6pt;mso-position-horizontal-relative:page;mso-position-vertical-relative:page;z-index:-8273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110"/>
        <w:gridCol w:w="194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1,599,445.43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1,622,073.54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241,790.13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251,343.83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18,075.40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1,157.50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-5,378,365.98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-3,223,854.42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-5,883,209.50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-3,745,855.84</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-327,112.63</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-194,197.17</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-136,585.76</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83,508.62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596,689.52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-999,081.67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-999,724.29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-10,551,888.56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2,245,711.73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5,873,933.10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12,605,499.78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3,960,735.89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241,150,175.57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8" w:right="0"/>
              <w:jc w:val="left"/>
              <w:rPr>
                <w:rFonts w:ascii="Times New Roman" w:hAnsi="Times New Roman" w:cs="Times New Roman" w:eastAsia="Times New Roman" w:hint="default"/>
                <w:sz w:val="18"/>
                <w:szCs w:val="18"/>
              </w:rPr>
            </w:pPr>
            <w:r>
              <w:rPr>
                <w:rFonts w:ascii="Times New Roman"/>
                <w:sz w:val="18"/>
              </w:rPr>
              <w:t>166,476,159.08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62,808,703.02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74,674,016.49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103,667,456.06</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334" w:hRule="exact"/>
        </w:trPr>
        <w:tc>
          <w:tcPr>
            <w:tcW w:w="4987" w:type="dxa"/>
            <w:tcBorders>
              <w:top w:val="single" w:sz="6" w:space="0" w:color="000000"/>
              <w:left w:val="nil" w:sz="6" w:space="0" w:color="auto"/>
              <w:bottom w:val="single" w:sz="4" w:space="0" w:color="000000"/>
              <w:right w:val="nil" w:sz="6" w:space="0" w:color="auto"/>
            </w:tcBorders>
          </w:tcPr>
          <w:p>
            <w:pPr/>
          </w:p>
        </w:tc>
        <w:tc>
          <w:tcPr>
            <w:tcW w:w="4583"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3" w:right="53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left="113" w:right="537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31,946.23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241,118,229.34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166,414,945.66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r>
    </w:tbl>
    <w:p>
      <w:pPr>
        <w:spacing w:before="49"/>
        <w:ind w:left="113" w:right="53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spacing w:line="482" w:lineRule="auto" w:before="0"/>
        <w:ind w:left="113" w:right="5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69</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before="5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6"/>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before="49"/>
        <w:ind w:left="113" w:right="537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left="113" w:right="5373"/>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left="113" w:right="537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1020" w:right="0"/>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314" w:lineRule="exact"/>
        <w:ind w:right="0"/>
        <w:jc w:val="left"/>
        <w:rPr>
          <w:b w:val="0"/>
          <w:bCs w:val="0"/>
        </w:rPr>
      </w:pPr>
      <w:r>
        <w:rPr>
          <w:spacing w:val="-2"/>
        </w:rPr>
        <w:t>（</w:t>
      </w:r>
      <w:r>
        <w:rPr>
          <w:rFonts w:ascii="Times New Roman" w:hAnsi="Times New Roman" w:cs="Times New Roman" w:eastAsia="Times New Roman" w:hint="default"/>
          <w:spacing w:val="-2"/>
        </w:rPr>
        <w:t>2</w:t>
      </w:r>
      <w:r>
        <w:rPr>
          <w:spacing w:val="-2"/>
        </w:rPr>
        <w:t>）境外经营实体说明，包括对于重要的境外经营实体，应披露其境外主要经营地、记账本位币及选择</w:t>
      </w:r>
      <w:r>
        <w:rPr>
          <w:spacing w:val="16"/>
        </w:rPr>
        <w:t> </w:t>
      </w:r>
      <w:r>
        <w:rPr>
          <w:spacing w:val="1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808"/>
        <w:gridCol w:w="2393"/>
        <w:gridCol w:w="2393"/>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同步学智能学习数字出版项目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467,120.60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研究开发资助</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3,830,568.73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3,830,568.73</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项目专项补助</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899,900.00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899,900.00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61,406.81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61,406.81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民营领军企业资助项目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64,800.00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深圳市场和质量监督管理局专利资助</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9,602,675.54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9,009,796.14</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49"/>
        <w:ind w:left="153"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15"/>
          <w:szCs w:val="15"/>
        </w:rPr>
      </w:pPr>
    </w:p>
    <w:p>
      <w:pPr>
        <w:pStyle w:val="Heading6"/>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4"/>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9" w:right="75"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859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8;top:14;width:24;height:392" coordorigin="3168,14" coordsize="24,392">
              <v:shape style="position:absolute;left:3168;top:14;width:24;height:392" coordorigin="3168,14" coordsize="24,392" path="m3168,406l3192,406,3192,14,3168,14,3168,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5;height:392" coordorigin="34,14" coordsize="3135,392">
              <v:shape style="position:absolute;left:34;top:14;width:3135;height:392" coordorigin="34,14" coordsize="3135,392" path="m34,406l3168,406,3168,14,34,14,34,406xe" filled="true" fillcolor="#d2d2d2" stroked="false">
                <v:path arrowok="t"/>
                <v:fill type="solid"/>
              </v:shape>
            </v:group>
            <v:group style="position:absolute;left:3202;top:14;width:22;height:392" coordorigin="3202,14" coordsize="22,392">
              <v:shape style="position:absolute;left:3202;top:14;width:22;height:392" coordorigin="3202,14" coordsize="22,392" path="m3202,406l3224,406,3224,14,3202,14,3202,406xe" filled="true" fillcolor="#e0ffff"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e0ffff" stroked="false">
                <v:path arrowok="t"/>
                <v:fill type="solid"/>
              </v:shape>
            </v:group>
            <v:group style="position:absolute;left:3224;top:14;width:6326;height:392" coordorigin="3224,14" coordsize="6326,392">
              <v:shape style="position:absolute;left:3224;top:14;width:6326;height:392" coordorigin="3224,14" coordsize="6326,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1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001pt" strokecolor="#000000">
                <v:path arrowok="t"/>
              </v:shape>
            </v:group>
            <v:group style="position:absolute;left:3168;top:415;width:24;height:394" coordorigin="3168,415" coordsize="24,394">
              <v:shape style="position:absolute;left:3168;top:415;width:24;height:394" coordorigin="3168,415" coordsize="24,394" path="m3168,809l3192,809,3192,415,3168,415,3168,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5;height:394" coordorigin="34,415" coordsize="3135,394">
              <v:shape style="position:absolute;left:34;top:415;width:3135;height:394" coordorigin="34,415" coordsize="3135,394" path="m34,809l3168,809,3168,415,34,415,34,809xe" filled="true" fillcolor="#d2d2d2" stroked="false">
                <v:path arrowok="t"/>
                <v:fill type="solid"/>
              </v:shape>
            </v:group>
            <v:group style="position:absolute;left:6359;top:415;width:24;height:394" coordorigin="6359,415" coordsize="24,394">
              <v:shape style="position:absolute;left:6359;top:415;width:24;height:394" coordorigin="6359,415" coordsize="24,394" path="m6359,809l6383,809,6383,415,6359,415,6359,809xe" filled="true" fillcolor="#d2d2d2" stroked="false">
                <v:path arrowok="t"/>
                <v:fill type="solid"/>
              </v:shape>
            </v:group>
            <v:group style="position:absolute;left:3202;top:415;width:22;height:394" coordorigin="3202,415" coordsize="22,394">
              <v:shape style="position:absolute;left:3202;top:415;width:22;height:394" coordorigin="3202,415" coordsize="22,394" path="m3202,809l3224,809,3224,415,3202,415,3202,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2;top:415;width:22;height:394" coordorigin="6392,415" coordsize="22,394">
              <v:shape style="position:absolute;left:6392;top:415;width:22;height:394" coordorigin="6392,415" coordsize="22,394" path="m6392,809l6414,809,6414,415,6392,415,6392,809xe" filled="true" fillcolor="#d2d2d2" stroked="false">
                <v:path arrowok="t"/>
                <v:fill type="solid"/>
              </v:shape>
            </v:group>
            <v:group style="position:absolute;left:6414;top:415;width:3136;height:394" coordorigin="6414,415" coordsize="3136,394">
              <v:shape style="position:absolute;left:6414;top:415;width:3136;height:394" coordorigin="6414,415" coordsize="3136,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0,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0,410e" filled="false" stroked="true" strokeweight=".47998pt" strokecolor="#000000">
                <v:path arrowok="t"/>
              </v:shape>
            </v:group>
            <v:group style="position:absolute;left:6390;top:410;width:3184;height:2" coordorigin="6390,410" coordsize="3184,2">
              <v:shape style="position:absolute;left:6390;top:410;width:3184;height:2" coordorigin="6390,410" coordsize="3184,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19" w:lineRule="auto" w:before="0"/>
        <w:ind w:left="153" w:right="1213" w:firstLine="0"/>
        <w:jc w:val="left"/>
        <w:rPr>
          <w:rFonts w:ascii="宋体" w:hAnsi="宋体" w:cs="宋体" w:eastAsia="宋体" w:hint="default"/>
          <w:sz w:val="18"/>
          <w:szCs w:val="18"/>
        </w:rPr>
      </w:pPr>
      <w:r>
        <w:rPr>
          <w:rFonts w:ascii="宋体" w:hAnsi="宋体" w:cs="宋体" w:eastAsia="宋体" w:hint="default"/>
          <w:sz w:val="18"/>
          <w:szCs w:val="18"/>
        </w:rPr>
        <w:t>交易基本信息、交易构成反向购买的依据、上市公司保留的资产、负债是否构成业务及其依据、合并成本的确定、按照权 益性交易处理时调整权益的金额及其计算：</w:t>
      </w:r>
    </w:p>
    <w:p>
      <w:pPr>
        <w:spacing w:line="240" w:lineRule="auto" w:before="5"/>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Heading5"/>
        <w:spacing w:line="240" w:lineRule="auto" w:before="85"/>
        <w:ind w:left="573" w:right="0"/>
        <w:jc w:val="left"/>
      </w:pPr>
      <w:r>
        <w:rPr/>
        <w:t>本公司合并报表范围与上年相比因新设增加子公司深圳市木愚科技有限公司。</w:t>
      </w:r>
    </w:p>
    <w:p>
      <w:pPr>
        <w:spacing w:line="240" w:lineRule="auto" w:before="2"/>
        <w:rPr>
          <w:rFonts w:ascii="宋体" w:hAnsi="宋体" w:cs="宋体" w:eastAsia="宋体" w:hint="default"/>
          <w:sz w:val="27"/>
          <w:szCs w:val="27"/>
        </w:rPr>
      </w:pPr>
    </w:p>
    <w:tbl>
      <w:tblPr>
        <w:tblW w:w="0" w:type="auto"/>
        <w:jc w:val="left"/>
        <w:tblInd w:w="388" w:type="dxa"/>
        <w:tblLayout w:type="fixed"/>
        <w:tblCellMar>
          <w:top w:w="0" w:type="dxa"/>
          <w:left w:w="0" w:type="dxa"/>
          <w:bottom w:w="0" w:type="dxa"/>
          <w:right w:w="0" w:type="dxa"/>
        </w:tblCellMar>
        <w:tblLook w:val="01E0"/>
      </w:tblPr>
      <w:tblGrid>
        <w:gridCol w:w="3181"/>
        <w:gridCol w:w="1844"/>
        <w:gridCol w:w="1844"/>
        <w:gridCol w:w="2310"/>
      </w:tblGrid>
      <w:tr>
        <w:trPr>
          <w:trHeight w:val="696" w:hRule="exact"/>
        </w:trPr>
        <w:tc>
          <w:tcPr>
            <w:tcW w:w="318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5"/>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子公司名称</w:t>
            </w:r>
            <w:r>
              <w:rPr>
                <w:rFonts w:ascii="Microsoft JhengHei" w:hAnsi="Microsoft JhengHei" w:cs="Microsoft JhengHei" w:eastAsia="Microsoft JhengHei"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5"/>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5"/>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投资成本</w:t>
            </w:r>
            <w:r>
              <w:rPr>
                <w:rFonts w:ascii="Microsoft JhengHei" w:hAnsi="Microsoft JhengHei" w:cs="Microsoft JhengHei" w:eastAsia="Microsoft JhengHei" w:hint="default"/>
                <w:sz w:val="20"/>
                <w:szCs w:val="20"/>
              </w:rPr>
            </w:r>
          </w:p>
        </w:tc>
        <w:tc>
          <w:tcPr>
            <w:tcW w:w="231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15"/>
              <w:ind w:right="3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新设日期</w:t>
            </w:r>
            <w:r>
              <w:rPr>
                <w:rFonts w:ascii="Microsoft JhengHei" w:hAnsi="Microsoft JhengHei" w:cs="Microsoft JhengHei" w:eastAsia="Microsoft JhengHei" w:hint="default"/>
                <w:sz w:val="20"/>
                <w:szCs w:val="20"/>
              </w:rPr>
            </w:r>
          </w:p>
        </w:tc>
      </w:tr>
      <w:tr>
        <w:trPr>
          <w:trHeight w:val="622" w:hRule="exact"/>
        </w:trPr>
        <w:tc>
          <w:tcPr>
            <w:tcW w:w="318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left="1" w:right="0"/>
              <w:jc w:val="center"/>
              <w:rPr>
                <w:rFonts w:ascii="宋体" w:hAnsi="宋体" w:cs="宋体" w:eastAsia="宋体" w:hint="default"/>
                <w:sz w:val="20"/>
                <w:szCs w:val="20"/>
              </w:rPr>
            </w:pPr>
            <w:r>
              <w:rPr>
                <w:rFonts w:ascii="宋体" w:hAnsi="宋体" w:cs="宋体" w:eastAsia="宋体" w:hint="default"/>
                <w:sz w:val="20"/>
                <w:szCs w:val="20"/>
              </w:rPr>
              <w:t>深圳市木愚科技有限公司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100.00</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1000,000.00</w:t>
            </w:r>
          </w:p>
        </w:tc>
        <w:tc>
          <w:tcPr>
            <w:tcW w:w="23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6"/>
              <w:ind w:right="28"/>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835"/>
        <w:gridCol w:w="2268"/>
        <w:gridCol w:w="852"/>
        <w:gridCol w:w="992"/>
        <w:gridCol w:w="852"/>
        <w:gridCol w:w="850"/>
        <w:gridCol w:w="924"/>
      </w:tblGrid>
      <w:tr>
        <w:trPr>
          <w:trHeight w:val="401"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深圳市木愚科技有限公司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49"/>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7"/>
        <w:ind w:left="153" w:right="76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0"/>
        <w:rPr>
          <w:rFonts w:ascii="宋体" w:hAnsi="宋体" w:cs="宋体" w:eastAsia="宋体" w:hint="default"/>
          <w:sz w:val="15"/>
          <w:szCs w:val="1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徐州金太阳教育科技有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-205,967.33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246,279.82</w:t>
            </w: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6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徐州金 太阳教 育科技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258,007.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778,025.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1,036,03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徐州金太阳 教育科技有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151,955.14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-457,705.18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-457,705.18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-220,195.08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146,934.25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-716,282.96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-716,282.96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-534,090.20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2734"/>
        <w:gridCol w:w="1366"/>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9"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7" w:right="46"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深圳嘉道方直教 育产业投资企业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深圳罗湖蓝海村 镇银行股份有限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吸收存款、发放 贷款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7"/>
          <w:szCs w:val="17"/>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嘉道方直</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蓝海村镇银行</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嘉道方直</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蓝海村镇银行</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53,864,423.99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1,796,520,228.45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73,864,423.99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1,313,874,579.46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1,272,013,115.57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805,483,013.58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524,507,112.88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73,864,423.99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508,391,565.88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27,988,320.28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52,450,711.30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29,445,617.54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50,839,156.60</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27,988,320.28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52,450,711.30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29,445,617.54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50,839,156.60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56,777,798.14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44,370,707.77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-3,655,397.35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16,115,547.00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-1,390,576.01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8,240,289.92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-3,655,397.35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16,115,547.00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-1,390,576.01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8,240,289.92</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49"/>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十、与金融工具相关的风险</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0" w:firstLine="420"/>
        <w:jc w:val="left"/>
      </w:pPr>
      <w:r>
        <w:rPr>
          <w:spacing w:val="-2"/>
        </w:rPr>
        <w:t>本公司的经营活动会面临各种金融风险：信用风险、流动风险和市场风险（主要为汇率风险和利率风</w:t>
      </w:r>
      <w:r>
        <w:rPr>
          <w:w w:val="100"/>
        </w:rPr>
        <w:t> </w:t>
      </w:r>
      <w:r>
        <w:rPr>
          <w:spacing w:val="-2"/>
        </w:rPr>
        <w:t>险）。本公司整体的风险管理计划针对金融市场的不可预见性，力求减少对本公司财务业绩的潜在不利影</w:t>
      </w:r>
    </w:p>
    <w:p>
      <w:pPr>
        <w:spacing w:after="0" w:line="408" w:lineRule="auto"/>
        <w:jc w:val="left"/>
        <w:sectPr>
          <w:pgSz w:w="11910" w:h="16840"/>
          <w:pgMar w:header="88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响。</w:t>
      </w:r>
    </w:p>
    <w:p>
      <w:pPr>
        <w:spacing w:line="240" w:lineRule="auto" w:before="2"/>
        <w:rPr>
          <w:rFonts w:ascii="宋体" w:hAnsi="宋体" w:cs="宋体" w:eastAsia="宋体" w:hint="default"/>
          <w:sz w:val="21"/>
          <w:szCs w:val="21"/>
        </w:rPr>
      </w:pPr>
    </w:p>
    <w:p>
      <w:pPr>
        <w:pStyle w:val="Heading4"/>
        <w:spacing w:line="240" w:lineRule="auto"/>
        <w:ind w:right="0"/>
        <w:jc w:val="left"/>
        <w:rPr>
          <w:rFonts w:ascii="Microsoft JhengHei" w:hAnsi="Microsoft JhengHei" w:cs="Microsoft JhengHei" w:eastAsia="Microsoft JhengHei" w:hint="default"/>
          <w:b w:val="0"/>
          <w:bCs w:val="0"/>
        </w:rPr>
      </w:pPr>
      <w:r>
        <w:rPr/>
        <w:t>1.</w:t>
      </w:r>
      <w:r>
        <w:rPr>
          <w:rFonts w:ascii="Microsoft JhengHei" w:hAnsi="Microsoft JhengHei" w:cs="Microsoft JhengHei" w:eastAsia="Microsoft JhengHei" w:hint="default"/>
        </w:rPr>
        <w:t>信用风险</w:t>
      </w:r>
      <w:r>
        <w:rPr>
          <w:rFonts w:ascii="Microsoft JhengHei" w:hAnsi="Microsoft JhengHei" w:cs="Microsoft JhengHei" w:eastAsia="Microsoft JhengHei" w:hint="default"/>
          <w:b w:val="0"/>
          <w:bCs w:val="0"/>
        </w:rPr>
      </w:r>
    </w:p>
    <w:p>
      <w:pPr>
        <w:pStyle w:val="BodyText"/>
        <w:spacing w:line="408" w:lineRule="auto" w:before="85"/>
        <w:ind w:right="1128" w:firstLine="420"/>
        <w:jc w:val="both"/>
      </w:pPr>
      <w:r>
        <w:rPr>
          <w:spacing w:val="-2"/>
        </w:rPr>
        <w:t>本公司的信用风险主要来自货币资金、应收账款、其他应收款、可供出售金融资产等。管理层已制定</w:t>
      </w:r>
      <w:r>
        <w:rPr>
          <w:w w:val="100"/>
        </w:rPr>
        <w:t> </w:t>
      </w:r>
      <w:r>
        <w:rPr/>
        <w:t>适当的信用政策，并且不断监察这些信用风险的敞口。</w:t>
      </w:r>
    </w:p>
    <w:p>
      <w:pPr>
        <w:pStyle w:val="BodyText"/>
        <w:spacing w:line="408" w:lineRule="auto"/>
        <w:ind w:right="1126" w:firstLine="420"/>
        <w:jc w:val="both"/>
      </w:pPr>
      <w:r>
        <w:rPr>
          <w:spacing w:val="-2"/>
        </w:rPr>
        <w:t>本公司持有的货币资金，主要存放于国有控股银行和其他大中型商业银行等金融机构，管理层认为这</w:t>
      </w:r>
      <w:r>
        <w:rPr>
          <w:w w:val="100"/>
        </w:rPr>
        <w:t> </w:t>
      </w:r>
      <w:r>
        <w:rPr>
          <w:spacing w:val="-2"/>
        </w:rPr>
        <w:t>些商业银行具备较高信誉和资产状况，不存在重大的信用风险，不会产生因对方单位违约而导致的任何重</w:t>
      </w:r>
      <w:r>
        <w:rPr>
          <w:spacing w:val="-44"/>
        </w:rPr>
        <w:t> </w:t>
      </w:r>
      <w:r>
        <w:rPr>
          <w:spacing w:val="-44"/>
        </w:rPr>
      </w:r>
      <w:r>
        <w:rPr/>
        <w:t>大损失。</w:t>
      </w:r>
    </w:p>
    <w:p>
      <w:pPr>
        <w:pStyle w:val="BodyText"/>
        <w:spacing w:line="408" w:lineRule="auto"/>
        <w:ind w:right="1104" w:firstLine="420"/>
        <w:jc w:val="both"/>
      </w:pPr>
      <w:r>
        <w:rPr>
          <w:spacing w:val="-2"/>
        </w:rPr>
        <w:t>对于应收账款和其他应收款，本公司设定相关政策以控制信用风险敞口。本公司基于对客户的财务状</w:t>
      </w:r>
      <w:r>
        <w:rPr>
          <w:w w:val="100"/>
        </w:rPr>
        <w:t> </w:t>
      </w:r>
      <w:r>
        <w:rPr>
          <w:spacing w:val="-2"/>
        </w:rPr>
        <w:t>况、从第三方获取担保的可能性、信用记录及其它因素诸如目前市场状况等评估客户的信用资质并设置相</w:t>
      </w:r>
      <w:r>
        <w:rPr>
          <w:spacing w:val="-44"/>
        </w:rPr>
        <w:t> </w:t>
      </w:r>
      <w:r>
        <w:rPr>
          <w:spacing w:val="-44"/>
        </w:rPr>
      </w:r>
      <w:r>
        <w:rPr>
          <w:spacing w:val="-2"/>
        </w:rPr>
        <w:t>应信用期。本公司会定期对客户信用记录进行监控，对于信用记录不良的客户，本公司会采用书面催款、</w:t>
      </w:r>
      <w:r>
        <w:rPr>
          <w:spacing w:val="-21"/>
        </w:rPr>
        <w:t> </w:t>
      </w:r>
      <w:r>
        <w:rPr>
          <w:spacing w:val="-21"/>
        </w:rPr>
      </w:r>
      <w:r>
        <w:rPr/>
        <w:t>缩短信用期或取消信用期等方式，以确保本公司的整体信用风险在可控的范围内。</w:t>
      </w:r>
    </w:p>
    <w:p>
      <w:pPr>
        <w:pStyle w:val="BodyText"/>
        <w:spacing w:line="240" w:lineRule="auto"/>
        <w:ind w:left="573"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59.59%(2017</w:t>
      </w:r>
      <w:r>
        <w:rPr/>
        <w:t>年：</w:t>
      </w:r>
    </w:p>
    <w:p>
      <w:pPr>
        <w:pStyle w:val="BodyText"/>
        <w:spacing w:line="240" w:lineRule="auto" w:before="177"/>
        <w:ind w:right="0"/>
        <w:jc w:val="left"/>
      </w:pPr>
      <w:r>
        <w:rPr>
          <w:rFonts w:ascii="Times New Roman" w:hAnsi="Times New Roman" w:cs="Times New Roman" w:eastAsia="Times New Roman" w:hint="default"/>
        </w:rPr>
        <w:t>56.29%)</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日，本公司的前五名其他应收款占本公司其他应收款总额</w:t>
      </w:r>
      <w:r>
        <w:rPr>
          <w:rFonts w:ascii="Times New Roman" w:hAnsi="Times New Roman" w:cs="Times New Roman" w:eastAsia="Times New Roman" w:hint="default"/>
        </w:rPr>
        <w:t>91.53%(2017</w:t>
      </w:r>
      <w:r>
        <w:rPr/>
        <w:t>年：</w:t>
      </w:r>
    </w:p>
    <w:p>
      <w:pPr>
        <w:pStyle w:val="BodyText"/>
        <w:spacing w:line="240" w:lineRule="auto" w:before="177"/>
        <w:ind w:right="0"/>
        <w:jc w:val="left"/>
      </w:pPr>
      <w:r>
        <w:rPr>
          <w:rFonts w:ascii="Times New Roman" w:hAnsi="Times New Roman" w:cs="Times New Roman" w:eastAsia="Times New Roman" w:hint="default"/>
        </w:rPr>
        <w:t>97.98%)</w:t>
      </w:r>
      <w:r>
        <w:rPr/>
        <w:t>。</w:t>
      </w:r>
    </w:p>
    <w:p>
      <w:pPr>
        <w:pStyle w:val="BodyText"/>
        <w:spacing w:line="386" w:lineRule="auto" w:before="177"/>
        <w:ind w:right="1174" w:firstLine="420"/>
        <w:jc w:val="both"/>
      </w:pPr>
      <w:r>
        <w:rPr>
          <w:spacing w:val="-2"/>
        </w:rPr>
        <w:t>本公司所承受的最大信用风险敞口为资产负债表中每项金融资产</w:t>
      </w:r>
      <w:r>
        <w:rPr>
          <w:rFonts w:ascii="Times New Roman" w:hAnsi="Times New Roman" w:cs="Times New Roman" w:eastAsia="Times New Roman" w:hint="default"/>
          <w:spacing w:val="-2"/>
        </w:rPr>
        <w:t>(</w:t>
      </w:r>
      <w:r>
        <w:rPr>
          <w:spacing w:val="-2"/>
        </w:rPr>
        <w:t>包括衍生金融工具</w:t>
      </w:r>
      <w:r>
        <w:rPr>
          <w:rFonts w:ascii="Times New Roman" w:hAnsi="Times New Roman" w:cs="Times New Roman" w:eastAsia="Times New Roman" w:hint="default"/>
          <w:spacing w:val="-2"/>
        </w:rPr>
        <w:t>)</w:t>
      </w:r>
      <w:r>
        <w:rPr>
          <w:spacing w:val="-2"/>
        </w:rPr>
        <w:t>的账面金额。本</w:t>
      </w:r>
      <w:r>
        <w:rPr>
          <w:w w:val="100"/>
        </w:rPr>
        <w:t> </w:t>
      </w:r>
      <w:r>
        <w:rPr/>
        <w:t>公司没有提供任何其他可能令本公司承受信用风险的担保。</w:t>
      </w:r>
    </w:p>
    <w:p>
      <w:pPr>
        <w:pStyle w:val="Heading4"/>
        <w:spacing w:line="240" w:lineRule="auto" w:before="149"/>
        <w:ind w:right="0"/>
        <w:jc w:val="left"/>
        <w:rPr>
          <w:rFonts w:ascii="Microsoft JhengHei" w:hAnsi="Microsoft JhengHei" w:cs="Microsoft JhengHei" w:eastAsia="Microsoft JhengHei" w:hint="default"/>
          <w:b w:val="0"/>
          <w:bCs w:val="0"/>
        </w:rPr>
      </w:pPr>
      <w:r>
        <w:rPr/>
        <w:t>2.</w:t>
      </w:r>
      <w:r>
        <w:rPr>
          <w:rFonts w:ascii="Microsoft JhengHei" w:hAnsi="Microsoft JhengHei" w:cs="Microsoft JhengHei" w:eastAsia="Microsoft JhengHei" w:hint="default"/>
        </w:rPr>
        <w:t>流动性风险</w:t>
      </w:r>
      <w:r>
        <w:rPr>
          <w:rFonts w:ascii="Microsoft JhengHei" w:hAnsi="Microsoft JhengHei" w:cs="Microsoft JhengHei" w:eastAsia="Microsoft JhengHei" w:hint="default"/>
          <w:b w:val="0"/>
          <w:bCs w:val="0"/>
        </w:rPr>
      </w:r>
    </w:p>
    <w:p>
      <w:pPr>
        <w:pStyle w:val="BodyText"/>
        <w:spacing w:line="386" w:lineRule="auto" w:before="85"/>
        <w:ind w:right="1118" w:firstLine="420"/>
        <w:jc w:val="left"/>
      </w:pPr>
      <w:r>
        <w:rPr>
          <w:spacing w:val="-2"/>
        </w:rPr>
        <w:t>流动性风险是指本公司无法及时获得充足资金</w:t>
      </w:r>
      <w:r>
        <w:rPr>
          <w:rFonts w:ascii="Times New Roman" w:hAnsi="Times New Roman" w:cs="Times New Roman" w:eastAsia="Times New Roman" w:hint="default"/>
          <w:spacing w:val="-2"/>
        </w:rPr>
        <w:t>,</w:t>
      </w:r>
      <w:r>
        <w:rPr>
          <w:spacing w:val="-2"/>
        </w:rPr>
        <w:t>满足业务发展需要或偿付到期债务以及其他支付义务</w:t>
      </w:r>
      <w:r>
        <w:rPr>
          <w:w w:val="100"/>
        </w:rPr>
        <w:t> </w:t>
      </w:r>
      <w:r>
        <w:rPr/>
        <w:t>的风险。</w:t>
      </w:r>
    </w:p>
    <w:p>
      <w:pPr>
        <w:pStyle w:val="BodyText"/>
        <w:spacing w:line="408" w:lineRule="auto" w:before="65"/>
        <w:ind w:right="1126" w:firstLine="420"/>
        <w:jc w:val="both"/>
      </w:pPr>
      <w:r>
        <w:rPr>
          <w:spacing w:val="-2"/>
        </w:rPr>
        <w:t>本公司财务部门持续监控公司短期和长期的资金需求，以确保维持充裕的现金储备；同时持续监控是</w:t>
      </w:r>
      <w:r>
        <w:rPr>
          <w:w w:val="100"/>
        </w:rPr>
        <w:t> </w:t>
      </w:r>
      <w:r>
        <w:rPr/>
        <w:t>否符合借款协议的规定，现阶段主要依靠自有资金满足资金需求。</w:t>
      </w:r>
    </w:p>
    <w:p>
      <w:pPr>
        <w:pStyle w:val="BodyText"/>
        <w:spacing w:line="240" w:lineRule="auto"/>
        <w:ind w:left="573" w:right="0"/>
        <w:jc w:val="left"/>
      </w:pPr>
      <w:r>
        <w:rPr/>
        <w:t>本公司持有的金融资产和金融负债按未折现剩余合同义务的到期期限分析如下：</w:t>
      </w:r>
    </w:p>
    <w:p>
      <w:pPr>
        <w:spacing w:line="240" w:lineRule="auto" w:before="9"/>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1526"/>
        <w:gridCol w:w="1844"/>
        <w:gridCol w:w="1558"/>
        <w:gridCol w:w="1418"/>
        <w:gridCol w:w="1275"/>
        <w:gridCol w:w="1560"/>
      </w:tblGrid>
      <w:tr>
        <w:trPr>
          <w:trHeight w:val="351" w:hRule="exact"/>
        </w:trPr>
        <w:tc>
          <w:tcPr>
            <w:tcW w:w="1526"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5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一年以内</w:t>
            </w:r>
            <w:r>
              <w:rPr>
                <w:rFonts w:ascii="Microsoft JhengHei" w:hAnsi="Microsoft JhengHei" w:cs="Microsoft JhengHei" w:eastAsia="Microsoft JhengHei" w:hint="default"/>
                <w:sz w:val="20"/>
                <w:szCs w:val="20"/>
              </w:rPr>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3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一到二年</w:t>
            </w:r>
            <w:r>
              <w:rPr>
                <w:rFonts w:ascii="Microsoft JhengHei" w:hAnsi="Microsoft JhengHei" w:cs="Microsoft JhengHei" w:eastAsia="Microsoft JhengHei" w:hint="default"/>
                <w:sz w:val="20"/>
                <w:szCs w:val="20"/>
              </w:rPr>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二到五年</w:t>
            </w:r>
            <w:r>
              <w:rPr>
                <w:rFonts w:ascii="Microsoft JhengHei" w:hAnsi="Microsoft JhengHei" w:cs="Microsoft JhengHei" w:eastAsia="Microsoft JhengHei" w:hint="default"/>
                <w:sz w:val="20"/>
                <w:szCs w:val="20"/>
              </w:rPr>
            </w:r>
          </w:p>
        </w:tc>
        <w:tc>
          <w:tcPr>
            <w:tcW w:w="1275"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2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五年以上</w:t>
            </w:r>
            <w:r>
              <w:rPr>
                <w:rFonts w:ascii="Microsoft JhengHei" w:hAnsi="Microsoft JhengHei" w:cs="Microsoft JhengHei" w:eastAsia="Microsoft JhengHei" w:hint="default"/>
                <w:sz w:val="20"/>
                <w:szCs w:val="20"/>
              </w:rPr>
            </w:r>
          </w:p>
        </w:tc>
        <w:tc>
          <w:tcPr>
            <w:tcW w:w="1560"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r>
      <w:tr>
        <w:trPr>
          <w:trHeight w:val="346"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84"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金融资产</w:t>
            </w:r>
            <w:r>
              <w:rPr>
                <w:rFonts w:ascii="Microsoft JhengHei" w:hAnsi="Microsoft JhengHei" w:cs="Microsoft JhengHei" w:eastAsia="Microsoft JhengHei" w:hint="default"/>
                <w:sz w:val="20"/>
                <w:szCs w:val="20"/>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241,150,175.57</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241,150,175.57</w:t>
            </w:r>
            <w:r>
              <w:rPr>
                <w:rFonts w:ascii="Times New Roman"/>
                <w:sz w:val="20"/>
              </w:rPr>
            </w:r>
          </w:p>
        </w:tc>
      </w:tr>
      <w:tr>
        <w:trPr>
          <w:trHeight w:val="65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08"/>
              <w:jc w:val="left"/>
              <w:rPr>
                <w:rFonts w:ascii="宋体" w:hAnsi="宋体" w:cs="宋体" w:eastAsia="宋体" w:hint="default"/>
                <w:sz w:val="20"/>
                <w:szCs w:val="20"/>
              </w:rPr>
            </w:pPr>
            <w:r>
              <w:rPr>
                <w:rFonts w:ascii="宋体" w:hAnsi="宋体" w:cs="宋体" w:eastAsia="宋体" w:hint="default"/>
                <w:sz w:val="20"/>
                <w:szCs w:val="20"/>
              </w:rPr>
              <w:t>应收票据及应收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26,587,405.60</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26,587,405.60</w:t>
            </w:r>
            <w:r>
              <w:rPr>
                <w:rFonts w:ascii="Times New Roman"/>
                <w:sz w:val="20"/>
              </w:rPr>
            </w:r>
          </w:p>
        </w:tc>
      </w:tr>
      <w:tr>
        <w:trPr>
          <w:trHeight w:val="346"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84"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金融负债</w:t>
            </w:r>
            <w:r>
              <w:rPr>
                <w:rFonts w:ascii="Microsoft JhengHei" w:hAnsi="Microsoft JhengHei" w:cs="Microsoft JhengHei" w:eastAsia="Microsoft JhengHei" w:hint="default"/>
                <w:sz w:val="20"/>
                <w:szCs w:val="20"/>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6,021,385.77</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6,021,385.77</w:t>
            </w:r>
            <w:r>
              <w:rPr>
                <w:rFonts w:ascii="Times New Roman"/>
                <w:sz w:val="20"/>
              </w:rPr>
            </w:r>
          </w:p>
        </w:tc>
      </w:tr>
      <w:tr>
        <w:trPr>
          <w:trHeight w:val="348"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4,055,775.08</w:t>
            </w:r>
            <w:r>
              <w:rPr>
                <w:rFonts w:ascii="Times New Roman"/>
                <w:sz w:val="20"/>
              </w:rPr>
            </w:r>
          </w:p>
        </w:tc>
        <w:tc>
          <w:tcPr>
            <w:tcW w:w="1558"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4,055,775.08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979" w:top="1060" w:bottom="1160" w:left="980" w:right="0"/>
        </w:sectPr>
      </w:pPr>
    </w:p>
    <w:p>
      <w:pPr>
        <w:spacing w:line="240" w:lineRule="auto" w:before="4"/>
        <w:rPr>
          <w:rFonts w:ascii="宋体" w:hAnsi="宋体" w:cs="宋体" w:eastAsia="宋体" w:hint="default"/>
          <w:sz w:val="24"/>
          <w:szCs w:val="24"/>
        </w:rPr>
      </w:pPr>
    </w:p>
    <w:p>
      <w:pPr>
        <w:pStyle w:val="Heading4"/>
        <w:spacing w:line="346" w:lineRule="exact"/>
        <w:ind w:right="0"/>
        <w:jc w:val="left"/>
        <w:rPr>
          <w:rFonts w:ascii="Microsoft JhengHei" w:hAnsi="Microsoft JhengHei" w:cs="Microsoft JhengHei" w:eastAsia="Microsoft JhengHei" w:hint="default"/>
          <w:b w:val="0"/>
          <w:bCs w:val="0"/>
        </w:rPr>
      </w:pPr>
      <w:r>
        <w:rPr/>
        <w:t>3.</w:t>
      </w:r>
      <w:r>
        <w:rPr>
          <w:rFonts w:ascii="Microsoft JhengHei" w:hAnsi="Microsoft JhengHei" w:cs="Microsoft JhengHei" w:eastAsia="Microsoft JhengHei" w:hint="default"/>
        </w:rPr>
        <w:t>市场风险</w:t>
      </w:r>
      <w:r>
        <w:rPr>
          <w:rFonts w:ascii="Microsoft JhengHei" w:hAnsi="Microsoft JhengHei" w:cs="Microsoft JhengHei" w:eastAsia="Microsoft JhengHei" w:hint="default"/>
          <w:b w:val="0"/>
          <w:bCs w:val="0"/>
        </w:rPr>
      </w:r>
    </w:p>
    <w:p>
      <w:pPr>
        <w:pStyle w:val="BodyText"/>
        <w:spacing w:line="386" w:lineRule="auto" w:before="85"/>
        <w:ind w:left="573" w:right="0"/>
        <w:jc w:val="left"/>
      </w:pPr>
      <w:r>
        <w:rPr/>
        <w:t>（</w:t>
      </w:r>
      <w:r>
        <w:rPr>
          <w:rFonts w:ascii="Times New Roman" w:hAnsi="Times New Roman" w:cs="Times New Roman" w:eastAsia="Times New Roman" w:hint="default"/>
        </w:rPr>
        <w:t>1</w:t>
      </w:r>
      <w:r>
        <w:rPr/>
        <w:t>）汇率风险</w:t>
      </w:r>
      <w:r>
        <w:rPr>
          <w:w w:val="100"/>
        </w:rPr>
        <w:t> </w:t>
      </w:r>
      <w:r>
        <w:rPr>
          <w:spacing w:val="-2"/>
        </w:rPr>
        <w:t>本公司产品全部内销，并且没有持有外币性金融资产和金融负债，因此汇率变动对本公司的经营业绩</w:t>
      </w:r>
    </w:p>
    <w:p>
      <w:pPr>
        <w:pStyle w:val="BodyText"/>
        <w:spacing w:line="240" w:lineRule="auto" w:before="65"/>
        <w:ind w:right="0"/>
        <w:jc w:val="left"/>
      </w:pPr>
      <w:r>
        <w:rPr/>
        <w:t>产生的影响较小。</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2</w:t>
      </w:r>
      <w:r>
        <w:rPr/>
        <w:t>）利率风险</w:t>
      </w:r>
      <w:r>
        <w:rPr>
          <w:w w:val="100"/>
        </w:rPr>
        <w:t> </w:t>
      </w:r>
      <w:r>
        <w:rPr>
          <w:spacing w:val="-2"/>
        </w:rPr>
        <w:t>本公司主要依靠自有资金满足生产经营的需要，近期未向银行借款，因此利率变动对本公司的经营业</w:t>
      </w:r>
    </w:p>
    <w:p>
      <w:pPr>
        <w:pStyle w:val="BodyText"/>
        <w:spacing w:line="240" w:lineRule="auto" w:before="65"/>
        <w:ind w:right="0"/>
        <w:jc w:val="left"/>
      </w:pPr>
      <w:r>
        <w:rPr/>
        <w:t>绩产生的影响较小。</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3</w:t>
      </w:r>
      <w:r>
        <w:rPr/>
        <w:t>）价格风险</w:t>
      </w:r>
      <w:r>
        <w:rPr>
          <w:w w:val="100"/>
        </w:rPr>
        <w:t> </w:t>
      </w:r>
      <w:r>
        <w:rPr>
          <w:spacing w:val="-2"/>
        </w:rPr>
        <w:t>本公司以市场价格销售方直金太阳教育软件及其他产品并提供技术开发服务，因此受到此等产品价格</w:t>
      </w:r>
    </w:p>
    <w:p>
      <w:pPr>
        <w:pStyle w:val="BodyText"/>
        <w:spacing w:line="240" w:lineRule="auto" w:before="65"/>
        <w:ind w:right="0"/>
        <w:jc w:val="left"/>
      </w:pPr>
      <w:r>
        <w:rPr/>
        <w:t>波动的影响。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7"/>
        <w:gridCol w:w="1913"/>
        <w:gridCol w:w="1913"/>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49"/>
        <w:ind w:left="153" w:right="859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362" w:lineRule="auto" w:before="25"/>
        <w:ind w:left="153" w:right="8413" w:firstLine="0"/>
        <w:jc w:val="left"/>
        <w:rPr>
          <w:rFonts w:ascii="宋体" w:hAnsi="宋体" w:cs="宋体" w:eastAsia="宋体" w:hint="default"/>
          <w:sz w:val="18"/>
          <w:szCs w:val="18"/>
        </w:rPr>
      </w:pPr>
      <w:r>
        <w:rPr>
          <w:rFonts w:ascii="宋体" w:hAnsi="宋体" w:cs="宋体" w:eastAsia="宋体" w:hint="default"/>
          <w:sz w:val="18"/>
          <w:szCs w:val="18"/>
        </w:rPr>
        <w:t>本企业最终控制方是黄元忠。 其他说明：</w:t>
      </w:r>
    </w:p>
    <w:tbl>
      <w:tblPr>
        <w:tblW w:w="0" w:type="auto"/>
        <w:jc w:val="left"/>
        <w:tblInd w:w="146" w:type="dxa"/>
        <w:tblLayout w:type="fixed"/>
        <w:tblCellMar>
          <w:top w:w="0" w:type="dxa"/>
          <w:left w:w="0" w:type="dxa"/>
          <w:bottom w:w="0" w:type="dxa"/>
          <w:right w:w="0" w:type="dxa"/>
        </w:tblCellMar>
        <w:tblLook w:val="01E0"/>
      </w:tblPr>
      <w:tblGrid>
        <w:gridCol w:w="2537"/>
        <w:gridCol w:w="1759"/>
        <w:gridCol w:w="2322"/>
        <w:gridCol w:w="2628"/>
      </w:tblGrid>
      <w:tr>
        <w:trPr>
          <w:trHeight w:val="350" w:hRule="exact"/>
        </w:trPr>
        <w:tc>
          <w:tcPr>
            <w:tcW w:w="2537"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控股股东及最终控制方</w:t>
            </w:r>
            <w:r>
              <w:rPr>
                <w:rFonts w:ascii="Microsoft JhengHei" w:hAnsi="Microsoft JhengHei" w:cs="Microsoft JhengHei" w:eastAsia="Microsoft JhengHei" w:hint="default"/>
                <w:sz w:val="20"/>
                <w:szCs w:val="20"/>
              </w:rPr>
            </w:r>
          </w:p>
        </w:tc>
        <w:tc>
          <w:tcPr>
            <w:tcW w:w="1759"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left="6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国籍</w:t>
            </w:r>
            <w:r>
              <w:rPr>
                <w:rFonts w:ascii="Microsoft JhengHei" w:hAnsi="Microsoft JhengHei" w:cs="Microsoft JhengHei" w:eastAsia="Microsoft JhengHei" w:hint="default"/>
                <w:sz w:val="20"/>
                <w:szCs w:val="20"/>
              </w:rPr>
            </w:r>
          </w:p>
        </w:tc>
        <w:tc>
          <w:tcPr>
            <w:tcW w:w="2322"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left="84"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对本公司的持股比例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628" w:type="dxa"/>
            <w:tcBorders>
              <w:top w:val="single" w:sz="6" w:space="0" w:color="000000"/>
              <w:left w:val="single" w:sz="6" w:space="0" w:color="000000"/>
              <w:bottom w:val="single" w:sz="8" w:space="0" w:color="000000"/>
              <w:right w:val="nil" w:sz="6" w:space="0" w:color="auto"/>
            </w:tcBorders>
          </w:tcPr>
          <w:p>
            <w:pPr>
              <w:pStyle w:val="TableParagraph"/>
              <w:spacing w:line="291" w:lineRule="exact"/>
              <w:ind w:left="136"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对本公司的表决权比例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8" w:hRule="exact"/>
        </w:trPr>
        <w:tc>
          <w:tcPr>
            <w:tcW w:w="253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黄元忠</w:t>
            </w:r>
          </w:p>
        </w:tc>
        <w:tc>
          <w:tcPr>
            <w:tcW w:w="17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672"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23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18.99</w:t>
            </w:r>
          </w:p>
        </w:tc>
        <w:tc>
          <w:tcPr>
            <w:tcW w:w="26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18.99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）企业集团的构成”相关内容。</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）重要的联营企业”相关内容。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监事会监事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贺林英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本公司高级管理人员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本公司股东施加重大影响的其他企业</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7"/>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168,103.44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66,037.74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979" w:top="1060" w:bottom="1160" w:left="980" w:right="0"/>
        </w:sectPr>
      </w:pPr>
    </w:p>
    <w:p>
      <w:pPr>
        <w:spacing w:line="343"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186"/>
            <w:col w:w="22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3,918,100.00</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3" w:right="87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before="17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spacing w:after="0" w:line="482"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十四、承诺及或有事项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9"/>
        <w:rPr>
          <w:rFonts w:ascii="宋体" w:hAnsi="宋体" w:cs="宋体" w:eastAsia="宋体" w:hint="default"/>
          <w:sz w:val="21"/>
          <w:szCs w:val="21"/>
        </w:rPr>
      </w:pPr>
    </w:p>
    <w:p>
      <w:pPr>
        <w:pStyle w:val="Heading5"/>
        <w:spacing w:line="240" w:lineRule="auto"/>
        <w:ind w:left="549"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日，本公司对外签定的不可撤销的经营租赁合约情况如下：</w:t>
      </w:r>
    </w:p>
    <w:p>
      <w:pPr>
        <w:spacing w:line="240" w:lineRule="auto" w:before="7"/>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4967"/>
        <w:gridCol w:w="4028"/>
      </w:tblGrid>
      <w:tr>
        <w:trPr>
          <w:trHeight w:val="348" w:hRule="exact"/>
        </w:trPr>
        <w:tc>
          <w:tcPr>
            <w:tcW w:w="496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项目名称</w:t>
            </w:r>
            <w:r>
              <w:rPr>
                <w:rFonts w:ascii="Microsoft JhengHei" w:hAnsi="Microsoft JhengHei" w:cs="Microsoft JhengHei" w:eastAsia="Microsoft JhengHei" w:hint="default"/>
                <w:sz w:val="20"/>
                <w:szCs w:val="20"/>
              </w:rPr>
            </w:r>
          </w:p>
        </w:tc>
        <w:tc>
          <w:tcPr>
            <w:tcW w:w="4028"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left="10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本年末最低租赁付款额</w:t>
            </w:r>
            <w:r>
              <w:rPr>
                <w:rFonts w:ascii="Microsoft JhengHei" w:hAnsi="Microsoft JhengHei" w:cs="Microsoft JhengHei" w:eastAsia="Microsoft JhengHei" w:hint="default"/>
                <w:sz w:val="20"/>
                <w:szCs w:val="20"/>
              </w:rPr>
            </w: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753,268.78</w:t>
            </w:r>
            <w:r>
              <w:rPr>
                <w:rFonts w:ascii="Times New Roman"/>
                <w:sz w:val="20"/>
              </w:rPr>
            </w:r>
          </w:p>
        </w:tc>
      </w:tr>
      <w:tr>
        <w:trPr>
          <w:trHeight w:val="346"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102,212.12</w:t>
            </w:r>
            <w:r>
              <w:rPr>
                <w:rFonts w:ascii="Times New Roman"/>
                <w:sz w:val="20"/>
              </w:rPr>
            </w: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6"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84"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b/>
                <w:w w:val="95"/>
                <w:sz w:val="20"/>
              </w:rPr>
              <w:t>855,480.90</w:t>
            </w:r>
            <w:r>
              <w:rPr>
                <w:rFonts w:ascii="Times New Roman"/>
                <w:sz w:val="20"/>
              </w:rPr>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2"/>
          <w:szCs w:val="22"/>
        </w:rPr>
      </w:pPr>
    </w:p>
    <w:p>
      <w:pPr>
        <w:spacing w:line="376" w:lineRule="auto" w:before="0"/>
        <w:ind w:left="153" w:right="78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7"/>
          <w:szCs w:val="7"/>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3" w:right="76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6"/>
        <w:spacing w:line="240" w:lineRule="auto" w:before="87"/>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3" w:right="69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、应收票据及应收账款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7"/>
          <w:szCs w:val="7"/>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36,573,625.49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34,642,160.63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36,573,625.49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34,642,160.63</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6"/>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37,054,5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97.28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480,971.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36,573,62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35,288,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106.77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645,946.1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34,642,160.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37,054,5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97.28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480,971.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36,573,62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35,288,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106.77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645,946.1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34,642,160.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8"/>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4" w:space="443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35,947,893.83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359,478.94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1,094,678.45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109,467.85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37,054,597.28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480,971.79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70"/>
        <w:ind w:left="573" w:right="0"/>
        <w:jc w:val="left"/>
      </w:pPr>
      <w:r>
        <w:rPr/>
        <w:t>本期计提坏账准备金额</w:t>
      </w:r>
      <w:r>
        <w:rPr>
          <w:rFonts w:ascii="Times New Roman" w:hAnsi="Times New Roman" w:cs="Times New Roman" w:eastAsia="Times New Roman" w:hint="default"/>
        </w:rPr>
        <w:t>232,213.49</w:t>
      </w:r>
      <w:r>
        <w:rPr/>
        <w:t>元；本期收回或转回坏账准备金额</w:t>
      </w:r>
      <w:r>
        <w:rPr>
          <w:rFonts w:ascii="Times New Roman" w:hAnsi="Times New Roman" w:cs="Times New Roman" w:eastAsia="Times New Roman" w:hint="default"/>
        </w:rPr>
        <w:t>397,187.84</w:t>
      </w:r>
      <w:r>
        <w:rPr/>
        <w:t>元。</w:t>
      </w:r>
    </w:p>
    <w:p>
      <w:pPr>
        <w:spacing w:line="240" w:lineRule="auto" w:before="11"/>
        <w:rPr>
          <w:rFonts w:ascii="宋体" w:hAnsi="宋体" w:cs="宋体" w:eastAsia="宋体" w:hint="default"/>
          <w:sz w:val="8"/>
          <w:szCs w:val="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618"/>
        <w:gridCol w:w="2357"/>
        <w:gridCol w:w="3258"/>
        <w:gridCol w:w="2268"/>
      </w:tblGrid>
      <w:tr>
        <w:trPr>
          <w:trHeight w:val="350" w:hRule="exact"/>
        </w:trPr>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前五名汇总</w:t>
            </w:r>
          </w:p>
        </w:tc>
        <w:tc>
          <w:tcPr>
            <w:tcW w:w="2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22,438,821.59</w:t>
            </w:r>
          </w:p>
        </w:tc>
        <w:tc>
          <w:tcPr>
            <w:tcW w:w="3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2" w:right="0"/>
              <w:jc w:val="center"/>
              <w:rPr>
                <w:rFonts w:ascii="Times New Roman" w:hAnsi="Times New Roman" w:cs="Times New Roman" w:eastAsia="Times New Roman" w:hint="default"/>
                <w:sz w:val="20"/>
                <w:szCs w:val="20"/>
              </w:rPr>
            </w:pPr>
            <w:r>
              <w:rPr>
                <w:rFonts w:ascii="Times New Roman"/>
                <w:sz w:val="20"/>
              </w:rPr>
              <w:t>60.56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224,388.22</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6"/>
        <w:ind w:left="153" w:right="6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6"/>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26,584,427.30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75,503,395.46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26,584,427.30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75,503,395.46</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29,880,1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63.03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3,295,73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26,584,42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76,641,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1,138,114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75,503,395.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29,880,1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63.03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3,295,73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5.73</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26,584,42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76,641,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510.29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1,138,114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75,503,395.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53"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4" w:space="4257"/>
            <w:col w:w="219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1,758,377.09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1,758,377.09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27,596,743.09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2,759,674.31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2,806.99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515,686.21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515,686.21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29,880,163.03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3,295,735.73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w:t>
            </w:r>
          </w:p>
        </w:tc>
      </w:tr>
    </w:tbl>
    <w:p>
      <w:pPr>
        <w:spacing w:line="362" w:lineRule="auto" w:before="49"/>
        <w:ind w:left="153" w:right="62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9"/>
        <w:ind w:left="573" w:right="0"/>
        <w:jc w:val="left"/>
      </w:pPr>
      <w:r>
        <w:rPr/>
        <w:t>本期计提坏账准备金额</w:t>
      </w:r>
      <w:r>
        <w:rPr>
          <w:rFonts w:ascii="Times New Roman" w:hAnsi="Times New Roman" w:cs="Times New Roman" w:eastAsia="Times New Roman" w:hint="default"/>
        </w:rPr>
        <w:t>2,631,896.71</w:t>
      </w:r>
      <w:r>
        <w:rPr/>
        <w:t>元；本期收回或转回坏账准备金额</w:t>
      </w:r>
      <w:r>
        <w:rPr>
          <w:rFonts w:ascii="Times New Roman" w:hAnsi="Times New Roman" w:cs="Times New Roman" w:eastAsia="Times New Roman" w:hint="default"/>
        </w:rPr>
        <w:t>474,275.81</w:t>
      </w:r>
      <w:r>
        <w:rPr/>
        <w:t>元。</w:t>
      </w:r>
    </w:p>
    <w:p>
      <w:pPr>
        <w:spacing w:line="240" w:lineRule="auto" w:before="10"/>
        <w:rPr>
          <w:rFonts w:ascii="宋体" w:hAnsi="宋体" w:cs="宋体" w:eastAsia="宋体" w:hint="default"/>
          <w:sz w:val="8"/>
          <w:szCs w:val="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463,925.81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收回退股款</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463,925.81</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880" w:footer="979" w:top="1060" w:bottom="1160" w:left="980" w:right="0"/>
        </w:sectPr>
      </w:pPr>
    </w:p>
    <w:p>
      <w:pPr>
        <w:spacing w:before="49"/>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20"/>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5905"/>
            <w:col w:w="22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919,939.95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911,989.95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279,062.32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215,485.06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27,307,690.09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75,402,128.59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1,373,470.67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111,906.69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29,880,163.03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76,641,510.29</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樟树市雨青木华投资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11,711,533.32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1,171,153.33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樟树市飞扬投资管理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7,083,503.04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708,350.30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樟树市锦鑫投资管理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8,512,653.73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851,265.37</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天猫商城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温州市教育装备和勤 工俭学管理中心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27,649,690.09</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2,861,869.00</w:t>
            </w:r>
          </w:p>
        </w:tc>
      </w:tr>
    </w:tbl>
    <w:p>
      <w:pPr>
        <w:spacing w:before="4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3" w:right="6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80,439,031.58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80,439,031.58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80,284,774.14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80,284,774.14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83,439,031.58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83,439,031.58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82,284,774.14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82,284,774.14</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深圳市木愚科技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深圳罗湖 蓝海村镇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50,839,15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1,611,554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52,450,71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深圳嘉道 方直教育 产业投资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29,445,61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-1,457,29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27,988,32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154,257.4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80,439,03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80,284,77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154,257.4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80,439,03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107,093,148.49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40,824,964.30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100,301,819.67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34,457,864.50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107,093,148.49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40,824,964.30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100,301,819.67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34,457,864.50</w:t>
            </w:r>
          </w:p>
        </w:tc>
      </w:tr>
    </w:tbl>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154,257.44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269,646.54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5,728,952.06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3,476,209.30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5,883,209.50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3,745,855.84</w:t>
            </w:r>
          </w:p>
        </w:tc>
      </w:tr>
    </w:tbl>
    <w:p>
      <w:pPr>
        <w:spacing w:line="240" w:lineRule="auto" w:before="5"/>
        <w:rPr>
          <w:rFonts w:ascii="宋体" w:hAnsi="宋体" w:cs="宋体" w:eastAsia="宋体" w:hint="default"/>
          <w:sz w:val="19"/>
          <w:szCs w:val="19"/>
        </w:rPr>
      </w:pPr>
    </w:p>
    <w:p>
      <w:pPr>
        <w:pStyle w:val="Heading6"/>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6,574,815.54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5,378,365.98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收回千锋利息收入</w:t>
            </w:r>
          </w:p>
        </w:tc>
      </w:tr>
    </w:tbl>
    <w:p>
      <w:pPr>
        <w:spacing w:after="0" w:line="240" w:lineRule="auto"/>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5,728,952.06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12,436.13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2,660,691.79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1,225.39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15,032,652.53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r>
    </w:tbl>
    <w:p>
      <w:pPr>
        <w:spacing w:line="240" w:lineRule="auto" w:before="10"/>
        <w:rPr>
          <w:rFonts w:ascii="Microsoft JhengHei" w:hAnsi="Microsoft JhengHei" w:cs="Microsoft JhengHei" w:eastAsia="Microsoft JhengHei" w:hint="default"/>
          <w:b/>
          <w:bCs/>
          <w:sz w:val="14"/>
          <w:szCs w:val="14"/>
        </w:rPr>
      </w:pPr>
    </w:p>
    <w:p>
      <w:pPr>
        <w:pStyle w:val="Heading6"/>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314" w:lineRule="exact"/>
        <w:ind w:right="0"/>
        <w:jc w:val="left"/>
        <w:rPr>
          <w:b w:val="0"/>
          <w:bCs w:val="0"/>
        </w:rPr>
      </w:pPr>
      <w:r>
        <w:rPr>
          <w:spacing w:val="-2"/>
        </w:rPr>
        <w:t>（</w:t>
      </w:r>
      <w:r>
        <w:rPr>
          <w:rFonts w:ascii="Times New Roman" w:hAnsi="Times New Roman" w:cs="Times New Roman" w:eastAsia="Times New Roman" w:hint="default"/>
          <w:spacing w:val="-2"/>
        </w:rPr>
        <w:t>3</w:t>
      </w:r>
      <w:r>
        <w:rPr>
          <w:spacing w:val="-2"/>
        </w:rPr>
        <w:t>）境内外会计准则下会计数据差异原因说明，对已经境外审计机构审计的数据进行差异调节的，应注</w:t>
      </w:r>
      <w:r>
        <w:rPr>
          <w:spacing w:val="18"/>
        </w:rPr>
        <w:t> </w:t>
      </w:r>
      <w:r>
        <w:rPr>
          <w:spacing w:val="18"/>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323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4"/>
        <w:rPr>
          <w:rFonts w:ascii="Microsoft JhengHei" w:hAnsi="Microsoft JhengHei" w:cs="Microsoft JhengHei" w:eastAsia="Microsoft JhengHei" w:hint="default"/>
          <w:b/>
          <w:bCs/>
          <w:sz w:val="33"/>
          <w:szCs w:val="33"/>
        </w:rPr>
      </w:pPr>
    </w:p>
    <w:p>
      <w:pPr>
        <w:pStyle w:val="BodyText"/>
        <w:spacing w:line="408" w:lineRule="auto" w:before="0"/>
        <w:ind w:right="1225" w:firstLine="420"/>
        <w:jc w:val="left"/>
      </w:pPr>
      <w:r>
        <w:rPr/>
        <w:t>一、</w:t>
      </w:r>
      <w:r>
        <w:rPr>
          <w:spacing w:val="-27"/>
        </w:rPr>
        <w:t> </w:t>
      </w:r>
      <w:r>
        <w:rPr/>
        <w:t>载有公司法定代表人、主管会计工作负责人、公司会计机构负责人（会计主管人员）签名并盖</w:t>
      </w:r>
      <w:r>
        <w:rPr>
          <w:w w:val="100"/>
        </w:rPr>
        <w:t> </w:t>
      </w:r>
      <w:r>
        <w:rPr/>
        <w:t>章的财务报表。</w:t>
      </w:r>
    </w:p>
    <w:p>
      <w:pPr>
        <w:pStyle w:val="BodyText"/>
        <w:spacing w:line="240" w:lineRule="auto"/>
        <w:ind w:left="573" w:right="0"/>
        <w:jc w:val="left"/>
      </w:pPr>
      <w:r>
        <w:rPr/>
        <w:t>二、</w:t>
      </w:r>
      <w:r>
        <w:rPr>
          <w:spacing w:val="-24"/>
        </w:rPr>
        <w:t> </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before="0"/>
        <w:ind w:left="573" w:right="2064"/>
        <w:jc w:val="left"/>
      </w:pPr>
      <w:r>
        <w:rPr/>
        <w:t>三、</w:t>
      </w:r>
      <w:r>
        <w:rPr>
          <w:spacing w:val="-26"/>
        </w:rPr>
        <w:t> </w:t>
      </w:r>
      <w:r>
        <w:rPr/>
        <w:t>报告期内在中国证监会指定网站上公开披露过的所有公司文件的正本及公告的原稿。</w:t>
      </w:r>
      <w:r>
        <w:rPr>
          <w:w w:val="100"/>
        </w:rPr>
        <w:t> </w:t>
      </w:r>
      <w:r>
        <w:rPr/>
        <w:t>四、</w:t>
      </w:r>
      <w:r>
        <w:rPr>
          <w:spacing w:val="-23"/>
        </w:rPr>
        <w:t> </w:t>
      </w:r>
      <w:r>
        <w:rPr/>
        <w:t>经公司法定代表人签名的</w:t>
      </w:r>
      <w:r>
        <w:rPr>
          <w:rFonts w:ascii="Times New Roman" w:hAnsi="Times New Roman" w:cs="Times New Roman" w:eastAsia="Times New Roman" w:hint="default"/>
        </w:rPr>
        <w:t>2018</w:t>
      </w:r>
      <w:r>
        <w:rPr/>
        <w:t>年年度报告文本原件。</w:t>
      </w:r>
    </w:p>
    <w:p>
      <w:pPr>
        <w:pStyle w:val="BodyText"/>
        <w:spacing w:line="408" w:lineRule="auto" w:before="15"/>
        <w:ind w:left="573" w:right="4993"/>
        <w:jc w:val="left"/>
      </w:pPr>
      <w:r>
        <w:rPr/>
        <w:t>五、</w:t>
      </w:r>
      <w:r>
        <w:rPr>
          <w:spacing w:val="-22"/>
        </w:rPr>
        <w:t> </w:t>
      </w:r>
      <w:r>
        <w:rPr/>
        <w:t>其他相关资料。</w:t>
      </w:r>
      <w:r>
        <w:rPr>
          <w:w w:val="100"/>
        </w:rPr>
        <w:t> </w:t>
      </w:r>
      <w:r>
        <w:rPr>
          <w:spacing w:val="-2"/>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408" w:lineRule="auto" w:before="0"/>
        <w:ind w:left="5381" w:right="2809"/>
        <w:jc w:val="center"/>
      </w:pPr>
      <w:r>
        <w:rPr>
          <w:spacing w:val="-2"/>
        </w:rPr>
        <w:t>深圳市方直科技股份有限公司</w:t>
      </w:r>
      <w:r>
        <w:rPr>
          <w:spacing w:val="-83"/>
        </w:rPr>
        <w:t> </w:t>
      </w:r>
      <w:r>
        <w:rPr>
          <w:spacing w:val="-83"/>
        </w:rPr>
      </w:r>
      <w:r>
        <w:rPr/>
        <w:t>法定代表人：黄元忠</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sectPr>
      <w:pgSz w:w="11910" w:h="16840"/>
      <w:pgMar w:header="880"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600" type="#_x0000_t75" stroked="false">
          <v:imagedata r:id="rId1" o:title=""/>
        </v:shape>
      </w:pict>
    </w:r>
    <w:r>
      <w:rPr/>
      <w:pict>
        <v:shape style="position:absolute;margin-left:533.119995pt;margin-top:795.637939pt;width:6.5pt;height:11pt;mso-position-horizontal-relative:page;mso-position-vertical-relative:page;z-index:-829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000" type="#_x0000_t75" stroked="false">
          <v:imagedata r:id="rId1" o:title=""/>
        </v:shape>
      </w:pict>
    </w:r>
    <w:r>
      <w:rPr/>
      <w:pict>
        <v:shape style="position:absolute;margin-left:527.679993pt;margin-top:781.957947pt;width:13.15pt;height:11pt;mso-position-horizontal-relative:page;mso-position-vertical-relative:page;z-index:-828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8928" type="#_x0000_t75" stroked="false">
          <v:imagedata r:id="rId1" o:title=""/>
        </v:shape>
      </w:pict>
    </w:r>
    <w:r>
      <w:rPr/>
      <w:pict>
        <v:shape style="position:absolute;margin-left:759.02002pt;margin-top:535.357971pt;width:13.15pt;height:11pt;mso-position-horizontal-relative:page;mso-position-vertical-relative:page;z-index:-828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8832" type="#_x0000_t75" stroked="false">
          <v:imagedata r:id="rId1" o:title=""/>
        </v:shape>
      </w:pict>
    </w:r>
    <w:r>
      <w:rPr/>
      <w:pict>
        <v:shape style="position:absolute;margin-left:527.679993pt;margin-top:781.957947pt;width:13.15pt;height:11pt;mso-position-horizontal-relative:page;mso-position-vertical-relative:page;z-index:-828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8760" type="#_x0000_t75" stroked="false">
          <v:imagedata r:id="rId1" o:title=""/>
        </v:shape>
      </w:pict>
    </w:r>
    <w:r>
      <w:rPr/>
      <w:pict>
        <v:shape style="position:absolute;margin-left:759.02002pt;margin-top:535.357971pt;width:13.15pt;height:11pt;mso-position-horizontal-relative:page;mso-position-vertical-relative:page;z-index:-82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8712" type="#_x0000_t75" stroked="false">
          <v:imagedata r:id="rId1" o:title=""/>
        </v:shape>
      </w:pict>
    </w:r>
    <w:r>
      <w:rPr/>
      <w:pict>
        <v:shape style="position:absolute;margin-left:755.460022pt;margin-top:535.357971pt;width:15.7pt;height:11pt;mso-position-horizontal-relative:page;mso-position-vertical-relative:page;z-index:-828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8664" type="#_x0000_t75" stroked="false">
          <v:imagedata r:id="rId1" o:title=""/>
        </v:shape>
      </w:pict>
    </w:r>
    <w:r>
      <w:rPr/>
      <w:pict>
        <v:shape style="position:absolute;margin-left:754.460022pt;margin-top:535.357971pt;width:17.7pt;height:11pt;mso-position-horizontal-relative:page;mso-position-vertical-relative:page;z-index:-828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8568" type="#_x0000_t75" stroked="false">
          <v:imagedata r:id="rId1" o:title=""/>
        </v:shape>
      </w:pict>
    </w:r>
    <w:r>
      <w:rPr/>
      <w:pict>
        <v:shape style="position:absolute;margin-left:523.119995pt;margin-top:781.957947pt;width:17.7pt;height:11pt;mso-position-horizontal-relative:page;mso-position-vertical-relative:page;z-index:-828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8520" type="#_x0000_t75" stroked="false">
          <v:imagedata r:id="rId1" o:title=""/>
        </v:shape>
      </w:pict>
    </w:r>
    <w:r>
      <w:rPr/>
      <w:pict>
        <v:shape style="position:absolute;margin-left:523.479980pt;margin-top:781.957947pt;width:17.3pt;height:11pt;mso-position-horizontal-relative:page;mso-position-vertical-relative:page;z-index:-828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8472" type="#_x0000_t75" stroked="false">
          <v:imagedata r:id="rId1" o:title=""/>
        </v:shape>
      </w:pict>
    </w:r>
    <w:r>
      <w:rPr/>
      <w:pict>
        <v:shape style="position:absolute;margin-left:523.119995pt;margin-top:781.957947pt;width:17.7pt;height:11pt;mso-position-horizontal-relative:page;mso-position-vertical-relative:page;z-index:-828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552" type="#_x0000_t75" stroked="false">
          <v:imagedata r:id="rId1" o:title=""/>
        </v:shape>
      </w:pict>
    </w:r>
    <w:r>
      <w:rPr/>
      <w:pict>
        <v:shape style="position:absolute;margin-left:527.679993pt;margin-top:781.957947pt;width:13.15pt;height:11pt;mso-position-horizontal-relative:page;mso-position-vertical-relative:page;z-index:-829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504" type="#_x0000_t75" stroked="false">
          <v:imagedata r:id="rId1" o:title=""/>
        </v:shape>
      </w:pict>
    </w:r>
    <w:r>
      <w:rPr/>
      <w:pict>
        <v:shape style="position:absolute;margin-left:527.679993pt;margin-top:781.957947pt;width:13.15pt;height:11pt;mso-position-horizontal-relative:page;mso-position-vertical-relative:page;z-index:-82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9432" type="#_x0000_t75" stroked="false">
          <v:imagedata r:id="rId1" o:title=""/>
        </v:shape>
      </w:pict>
    </w:r>
    <w:r>
      <w:rPr/>
      <w:pict>
        <v:shape style="position:absolute;margin-left:759.02002pt;margin-top:535.357971pt;width:13.15pt;height:11pt;mso-position-horizontal-relative:page;mso-position-vertical-relative:page;z-index:-82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336" type="#_x0000_t75" stroked="false">
          <v:imagedata r:id="rId1" o:title=""/>
        </v:shape>
      </w:pict>
    </w:r>
    <w:r>
      <w:rPr/>
      <w:pict>
        <v:shape style="position:absolute;margin-left:527.679993pt;margin-top:781.957947pt;width:13.15pt;height:11pt;mso-position-horizontal-relative:page;mso-position-vertical-relative:page;z-index:-829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9264" type="#_x0000_t75" stroked="false">
          <v:imagedata r:id="rId1" o:title=""/>
        </v:shape>
      </w:pict>
    </w:r>
    <w:r>
      <w:rPr/>
      <w:pict>
        <v:shape style="position:absolute;margin-left:759.02002pt;margin-top:535.357971pt;width:13.15pt;height:11pt;mso-position-horizontal-relative:page;mso-position-vertical-relative:page;z-index:-829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9168" type="#_x0000_t75" stroked="false">
          <v:imagedata r:id="rId1" o:title=""/>
        </v:shape>
      </w:pict>
    </w:r>
    <w:r>
      <w:rPr/>
      <w:pict>
        <v:shape style="position:absolute;margin-left:527.679993pt;margin-top:781.957947pt;width:13.15pt;height:11pt;mso-position-horizontal-relative:page;mso-position-vertical-relative:page;z-index:-829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29096" type="#_x0000_t75" stroked="false">
          <v:imagedata r:id="rId1" o:title=""/>
        </v:shape>
      </w:pict>
    </w:r>
    <w:r>
      <w:rPr/>
      <w:pict>
        <v:shape style="position:absolute;margin-left:759.02002pt;margin-top:535.357971pt;width:13.15pt;height:11pt;mso-position-horizontal-relative:page;mso-position-vertical-relative:page;z-index:-829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829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28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28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28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59982pt;width:484.9pt;height:.1pt;mso-position-horizontal-relative:page;mso-position-vertical-relative:page;z-index:-8286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28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29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293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29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29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29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29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29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29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29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28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ind w:left="183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53"/>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594"/>
      <w:outlineLvl w:val="4"/>
    </w:pPr>
    <w:rPr>
      <w:rFonts w:ascii="Times New Roman" w:hAnsi="Times New Roman" w:eastAsia="Times New Roman"/>
      <w:b/>
      <w:bCs/>
      <w:sz w:val="22"/>
      <w:szCs w:val="22"/>
    </w:rPr>
  </w:style>
  <w:style w:styleId="Heading5" w:type="paragraph">
    <w:name w:val="Heading 5"/>
    <w:basedOn w:val="Normal"/>
    <w:uiPriority w:val="1"/>
    <w:qFormat/>
    <w:pPr>
      <w:outlineLvl w:val="5"/>
    </w:pPr>
    <w:rPr>
      <w:rFonts w:ascii="宋体" w:hAnsi="宋体" w:eastAsia="宋体"/>
      <w:sz w:val="22"/>
      <w:szCs w:val="22"/>
    </w:rPr>
  </w:style>
  <w:style w:styleId="Heading6" w:type="paragraph">
    <w:name w:val="Heading 6"/>
    <w:basedOn w:val="Normal"/>
    <w:uiPriority w:val="1"/>
    <w:qFormat/>
    <w:pPr>
      <w:ind w:left="153"/>
      <w:outlineLvl w:val="6"/>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kingsunedu.com/" TargetMode="External"/><Relationship Id="rId10" Type="http://schemas.openxmlformats.org/officeDocument/2006/relationships/hyperlink" Target="mailto:kingsunsoft@kingsunsoft.com" TargetMode="External"/><Relationship Id="rId11" Type="http://schemas.openxmlformats.org/officeDocument/2006/relationships/hyperlink" Target="mailto:feng.li@kingsunsoft.com" TargetMode="External"/><Relationship Id="rId12" Type="http://schemas.openxmlformats.org/officeDocument/2006/relationships/hyperlink" Target="mailto:weiqian.nian@kingsunsoft.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image" Target="media/image1.jpeg"/><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header" Target="header8.xml"/><Relationship Id="rId30" Type="http://schemas.openxmlformats.org/officeDocument/2006/relationships/footer" Target="footer10.xml"/><Relationship Id="rId31" Type="http://schemas.openxmlformats.org/officeDocument/2006/relationships/image" Target="media/image4.png"/><Relationship Id="rId32" Type="http://schemas.openxmlformats.org/officeDocument/2006/relationships/header" Target="header9.xml"/><Relationship Id="rId33" Type="http://schemas.openxmlformats.org/officeDocument/2006/relationships/footer" Target="footer11.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header" Target="header11.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12.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深圳市方直科技股份有限公司</dc:creator>
  <dc:title>深圳市方直科技股份有限公司2018年年度报告全文</dc:title>
  <dcterms:created xsi:type="dcterms:W3CDTF">2020-05-05T01:06:08Z</dcterms:created>
  <dcterms:modified xsi:type="dcterms:W3CDTF">2020-05-05T01:06:08Z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2016</vt:lpwstr>
  </property>
  <property fmtid="{D5CDD505-2E9C-101B-9397-08002B2CF9AE}" pid="4" name="LastSaved">
    <vt:filetime>2020-05-04T00:00:00Z</vt:filetime>
  </property>
</Properties>
</file>