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536"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drawing>
          <wp:inline distT="0" distB="0" distL="0" distR="0">
            <wp:extent cx="1127760" cy="97535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127760" cy="975359"/>
                    </a:xfrm>
                    <a:prstGeom prst="rect">
                      <a:avLst/>
                    </a:prstGeom>
                  </pic:spPr>
                </pic:pic>
              </a:graphicData>
            </a:graphic>
          </wp:inline>
        </w:drawing>
      </w:r>
      <w:r>
        <w:rPr>
          <w:rFonts w:ascii="Times New Roman" w:hAnsi="Times New Roman" w:cs="Times New Roman" w:eastAsia="Times New Roman" w:hint="default"/>
          <w:position w:val="-30"/>
          <w:sz w:val="20"/>
          <w:szCs w:val="20"/>
        </w:rPr>
      </w:r>
    </w:p>
    <w:p>
      <w:pPr>
        <w:spacing w:line="240" w:lineRule="auto" w:before="3"/>
        <w:rPr>
          <w:rFonts w:ascii="Times New Roman" w:hAnsi="Times New Roman" w:cs="Times New Roman" w:eastAsia="Times New Roman" w:hint="default"/>
          <w:sz w:val="13"/>
          <w:szCs w:val="13"/>
        </w:rPr>
      </w:pPr>
    </w:p>
    <w:p>
      <w:pPr>
        <w:spacing w:line="501" w:lineRule="exact" w:before="0"/>
        <w:ind w:left="0" w:right="98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深圳市方直科技股份有限公司</w:t>
      </w:r>
      <w:r>
        <w:rPr>
          <w:rFonts w:ascii="Microsoft JhengHei" w:hAnsi="Microsoft JhengHei" w:cs="Microsoft JhengHei" w:eastAsia="Microsoft JhengHei" w:hint="default"/>
          <w:sz w:val="36"/>
          <w:szCs w:val="36"/>
        </w:rPr>
      </w:r>
    </w:p>
    <w:p>
      <w:pPr>
        <w:spacing w:before="259"/>
        <w:ind w:left="0" w:right="981"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23"/>
          <w:szCs w:val="23"/>
        </w:rPr>
      </w:pPr>
    </w:p>
    <w:p>
      <w:pPr>
        <w:pStyle w:val="Heading5"/>
        <w:spacing w:line="240" w:lineRule="auto"/>
        <w:ind w:right="977"/>
        <w:jc w:val="center"/>
        <w:rPr>
          <w:rFonts w:ascii="Times New Roman" w:hAnsi="Times New Roman" w:cs="Times New Roman" w:eastAsia="Times New Roman" w:hint="default"/>
          <w:b w:val="0"/>
          <w:bCs w:val="0"/>
        </w:rPr>
      </w:pPr>
      <w:r>
        <w:rPr>
          <w:rFonts w:ascii="Times New Roman"/>
        </w:rPr>
        <w:t>2020-021</w:t>
      </w:r>
      <w:r>
        <w:rPr>
          <w:rFonts w:ascii="Times New Roman"/>
          <w:b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6"/>
        <w:rPr>
          <w:rFonts w:ascii="Times New Roman" w:hAnsi="Times New Roman" w:cs="Times New Roman" w:eastAsia="Times New Roman" w:hint="default"/>
          <w:b/>
          <w:bCs/>
          <w:sz w:val="24"/>
          <w:szCs w:val="24"/>
        </w:rPr>
      </w:pPr>
    </w:p>
    <w:p>
      <w:pPr>
        <w:spacing w:before="0"/>
        <w:ind w:left="0" w:right="978"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2020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8" w:footer="979" w:top="1060" w:bottom="1160" w:left="980" w:right="0"/>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tabs>
          <w:tab w:pos="4010" w:val="left" w:leader="none"/>
        </w:tabs>
        <w:spacing w:line="456" w:lineRule="exact"/>
        <w:ind w:left="2724" w:right="995"/>
        <w:jc w:val="left"/>
        <w:rPr>
          <w:b w:val="0"/>
          <w:bCs w:val="0"/>
        </w:rPr>
      </w:pPr>
      <w:bookmarkStart w:name="_bookmark0" w:id="1"/>
      <w:bookmarkEnd w:id="1"/>
      <w:r>
        <w:rPr>
          <w:b w:val="0"/>
          <w:bCs w:val="0"/>
        </w:rPr>
      </w:r>
      <w:r>
        <w:rPr/>
        <w:t>第一节</w:t>
        <w:tab/>
        <w:t>重要提示、目录和释义</w:t>
      </w:r>
      <w:r>
        <w:rPr>
          <w:b w:val="0"/>
          <w:bCs w:val="0"/>
        </w:rPr>
      </w:r>
    </w:p>
    <w:p>
      <w:pPr>
        <w:spacing w:line="240" w:lineRule="auto" w:before="6"/>
        <w:rPr>
          <w:rFonts w:ascii="Microsoft JhengHei" w:hAnsi="Microsoft JhengHei" w:cs="Microsoft JhengHei" w:eastAsia="Microsoft JhengHei" w:hint="default"/>
          <w:b/>
          <w:bCs/>
          <w:sz w:val="29"/>
          <w:szCs w:val="29"/>
        </w:rPr>
      </w:pPr>
    </w:p>
    <w:p>
      <w:pPr>
        <w:pStyle w:val="Heading2"/>
        <w:spacing w:line="307" w:lineRule="auto"/>
        <w:ind w:right="1131" w:firstLine="561"/>
        <w:jc w:val="both"/>
        <w:rPr>
          <w:b w:val="0"/>
          <w:bCs w:val="0"/>
        </w:rPr>
      </w:pPr>
      <w:r>
        <w:rPr>
          <w:spacing w:val="2"/>
        </w:rPr>
        <w:t>公司董事会、监事会及董事、监事、高级管理人员保证年度报告内容的真</w:t>
      </w:r>
      <w:r>
        <w:rPr>
          <w:w w:val="100"/>
        </w:rPr>
        <w:t> </w:t>
      </w:r>
      <w:r>
        <w:rPr>
          <w:spacing w:val="2"/>
        </w:rPr>
        <w:t>实、准确、完整，不存在虚假记载、误导性陈述或重大遗漏，并承担个别和连</w:t>
      </w:r>
      <w:r>
        <w:rPr>
          <w:spacing w:val="-32"/>
        </w:rPr>
        <w:t> </w:t>
      </w:r>
      <w:r>
        <w:rPr>
          <w:spacing w:val="-32"/>
        </w:rPr>
      </w:r>
      <w:r>
        <w:rPr/>
        <w:t>带的法律责任。</w:t>
      </w:r>
      <w:r>
        <w:rPr>
          <w:b w:val="0"/>
          <w:bCs w:val="0"/>
        </w:rPr>
      </w:r>
    </w:p>
    <w:p>
      <w:pPr>
        <w:pStyle w:val="Heading2"/>
        <w:spacing w:line="307" w:lineRule="auto" w:before="133"/>
        <w:ind w:right="1130" w:firstLine="561"/>
        <w:jc w:val="both"/>
        <w:rPr>
          <w:b w:val="0"/>
          <w:bCs w:val="0"/>
        </w:rPr>
      </w:pPr>
      <w:r>
        <w:rPr/>
        <w:t>公司负责人黄元忠、主管会计工作负责人贺林英及会计机构负责人</w:t>
      </w:r>
      <w:r>
        <w:rPr>
          <w:rFonts w:ascii="Times New Roman" w:hAnsi="Times New Roman" w:cs="Times New Roman" w:eastAsia="Times New Roman" w:hint="default"/>
        </w:rPr>
        <w:t>(</w:t>
      </w:r>
      <w:r>
        <w:rPr/>
        <w:t>会计主</w:t>
      </w:r>
      <w:r>
        <w:rPr>
          <w:w w:val="100"/>
        </w:rPr>
        <w:t> </w:t>
      </w:r>
      <w:r>
        <w:rPr/>
        <w:t>管人员</w:t>
      </w:r>
      <w:r>
        <w:rPr>
          <w:rFonts w:ascii="Times New Roman" w:hAnsi="Times New Roman" w:cs="Times New Roman" w:eastAsia="Times New Roman" w:hint="default"/>
        </w:rPr>
        <w:t>)</w:t>
      </w:r>
      <w:r>
        <w:rPr/>
        <w:t>廖晓莉声明：保证年度报告中财务报告的真实、准确、完整。</w:t>
      </w:r>
      <w:r>
        <w:rPr>
          <w:b w:val="0"/>
          <w:bCs w:val="0"/>
        </w:rPr>
      </w:r>
    </w:p>
    <w:p>
      <w:pPr>
        <w:pStyle w:val="Heading2"/>
        <w:spacing w:line="240" w:lineRule="auto" w:before="133"/>
        <w:ind w:left="714" w:right="995"/>
        <w:jc w:val="left"/>
        <w:rPr>
          <w:b w:val="0"/>
          <w:bCs w:val="0"/>
        </w:rPr>
      </w:pPr>
      <w:r>
        <w:rPr/>
        <w:t>所有董事均已出席了审议本报告的董事会会议。</w:t>
      </w:r>
      <w:r>
        <w:rPr>
          <w:b w:val="0"/>
          <w:bCs w:val="0"/>
        </w:rPr>
      </w:r>
    </w:p>
    <w:p>
      <w:pPr>
        <w:spacing w:after="0" w:line="240" w:lineRule="auto"/>
        <w:jc w:val="left"/>
        <w:sectPr>
          <w:footerReference w:type="default" r:id="rId8"/>
          <w:pgSz w:w="11910" w:h="16840"/>
          <w:pgMar w:footer="979" w:header="748" w:top="1060" w:bottom="1160" w:left="980" w:right="0"/>
          <w:pgNumType w:start="2"/>
        </w:sectPr>
      </w:pPr>
    </w:p>
    <w:p>
      <w:pPr>
        <w:spacing w:line="240" w:lineRule="auto" w:before="0"/>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7"/>
        <w:rPr>
          <w:rFonts w:ascii="Microsoft JhengHei" w:hAnsi="Microsoft JhengHei" w:cs="Microsoft JhengHei" w:eastAsia="Microsoft JhengHei" w:hint="default"/>
          <w:b/>
          <w:bCs/>
          <w:sz w:val="22"/>
          <w:szCs w:val="22"/>
        </w:rPr>
      </w:pPr>
    </w:p>
    <w:p>
      <w:pPr>
        <w:pStyle w:val="Heading2"/>
        <w:spacing w:line="413" w:lineRule="exact"/>
        <w:ind w:left="714" w:right="995"/>
        <w:jc w:val="left"/>
        <w:rPr>
          <w:b w:val="0"/>
          <w:bCs w:val="0"/>
        </w:rPr>
      </w:pPr>
      <w:r>
        <w:rPr/>
        <w:t>重要提示：</w:t>
      </w:r>
      <w:r>
        <w:rPr>
          <w:b w:val="0"/>
          <w:bCs w:val="0"/>
        </w:rPr>
      </w:r>
    </w:p>
    <w:p>
      <w:pPr>
        <w:spacing w:line="240" w:lineRule="auto" w:before="15"/>
        <w:rPr>
          <w:rFonts w:ascii="Microsoft JhengHei" w:hAnsi="Microsoft JhengHei" w:cs="Microsoft JhengHei" w:eastAsia="Microsoft JhengHei" w:hint="default"/>
          <w:b/>
          <w:bCs/>
          <w:sz w:val="14"/>
          <w:szCs w:val="14"/>
        </w:rPr>
      </w:pPr>
    </w:p>
    <w:p>
      <w:pPr>
        <w:pStyle w:val="Heading3"/>
        <w:spacing w:line="240" w:lineRule="auto"/>
        <w:ind w:left="635" w:right="995"/>
        <w:jc w:val="left"/>
        <w:rPr>
          <w:b w:val="0"/>
          <w:bCs w:val="0"/>
        </w:rPr>
      </w:pPr>
      <w:r>
        <w:rPr/>
        <w:t>（一）可能存在的风险因素</w:t>
      </w:r>
      <w:r>
        <w:rPr>
          <w:b w:val="0"/>
          <w:bCs w:val="0"/>
        </w:rPr>
      </w:r>
    </w:p>
    <w:p>
      <w:pPr>
        <w:spacing w:line="403" w:lineRule="auto" w:before="206"/>
        <w:ind w:left="633" w:right="99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、市场不规范竞争风险</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随着近年来教育信息化建设快速推进，一方面进入教育领域的企业及资本快速增加，另</w:t>
      </w:r>
    </w:p>
    <w:p>
      <w:pPr>
        <w:pStyle w:val="Heading4"/>
        <w:spacing w:line="352" w:lineRule="auto"/>
        <w:ind w:right="995"/>
        <w:jc w:val="left"/>
      </w:pPr>
      <w:r>
        <w:rPr>
          <w:spacing w:val="-2"/>
        </w:rPr>
        <w:t>一方面教育信息化建设的技术及应用趋势在动态变化，部分在线教育企业存在含有网络游戏、</w:t>
      </w:r>
      <w:r>
        <w:rPr/>
        <w:t> 商业广告、诱导性消费、内容盗版、质量粗糙、侵犯知识产权等情况，行业竞争环境受到一</w:t>
      </w:r>
      <w:r>
        <w:rPr>
          <w:spacing w:val="-87"/>
        </w:rPr>
        <w:t> </w:t>
      </w:r>
      <w:r>
        <w:rPr>
          <w:spacing w:val="-87"/>
        </w:rPr>
      </w:r>
      <w:r>
        <w:rPr/>
        <w:t>定影响。随着政府不断完善法律法规政策，竞争环境将有所缓解。公司也将把握政策导向和</w:t>
      </w:r>
      <w:r>
        <w:rPr>
          <w:spacing w:val="-91"/>
        </w:rPr>
        <w:t> </w:t>
      </w:r>
      <w:r>
        <w:rPr>
          <w:spacing w:val="-91"/>
        </w:rPr>
      </w:r>
      <w:r>
        <w:rPr/>
        <w:t>市场需求，加强知识产权保护，增大研发投入从而提升产品研发迭代能力以及增强持续创新</w:t>
      </w:r>
      <w:r>
        <w:rPr>
          <w:spacing w:val="-91"/>
        </w:rPr>
        <w:t> </w:t>
      </w:r>
      <w:r>
        <w:rPr>
          <w:spacing w:val="-91"/>
        </w:rPr>
      </w:r>
      <w:r>
        <w:rPr/>
        <w:t>的能力，同时建设完善的渠道服务体系以满足市场需求。公司始终以用户需求为导向，坚持</w:t>
      </w:r>
      <w:r>
        <w:rPr>
          <w:spacing w:val="-91"/>
        </w:rPr>
        <w:t> </w:t>
      </w:r>
      <w:r>
        <w:rPr>
          <w:spacing w:val="-91"/>
        </w:rPr>
      </w:r>
      <w:r>
        <w:rPr/>
        <w:t>为用户提供优质产品和服务，同步学</w:t>
      </w:r>
      <w:r>
        <w:rPr>
          <w:spacing w:val="-67"/>
        </w:rPr>
        <w:t> </w:t>
      </w:r>
      <w:r>
        <w:rPr>
          <w:rFonts w:ascii="Times New Roman" w:hAnsi="Times New Roman" w:cs="Times New Roman" w:eastAsia="Times New Roman" w:hint="default"/>
        </w:rPr>
        <w:t>APP</w:t>
      </w:r>
      <w:r>
        <w:rPr>
          <w:rFonts w:ascii="Times New Roman" w:hAnsi="Times New Roman" w:cs="Times New Roman" w:eastAsia="Times New Roman" w:hint="default"/>
          <w:spacing w:val="-6"/>
        </w:rPr>
        <w:t> </w:t>
      </w:r>
      <w:r>
        <w:rPr/>
        <w:t>作为广东省教育厅首批过审白名单</w:t>
      </w:r>
      <w:r>
        <w:rPr>
          <w:spacing w:val="-66"/>
        </w:rPr>
        <w:t> </w:t>
      </w:r>
      <w:r>
        <w:rPr>
          <w:rFonts w:ascii="Times New Roman" w:hAnsi="Times New Roman" w:cs="Times New Roman" w:eastAsia="Times New Roman" w:hint="default"/>
          <w:spacing w:val="-4"/>
        </w:rPr>
        <w:t>APP</w:t>
      </w:r>
      <w:r>
        <w:rPr>
          <w:spacing w:val="-4"/>
        </w:rPr>
        <w:t>，以高于行</w:t>
      </w:r>
      <w:r>
        <w:rPr/>
        <w:t> 业标准研发，在使用优质内容服务用户的同时，同样注重用户信息安全保护，同步学</w:t>
      </w:r>
      <w:r>
        <w:rPr>
          <w:spacing w:val="-70"/>
        </w:rPr>
        <w:t> </w:t>
      </w:r>
      <w:r>
        <w:rPr>
          <w:rFonts w:ascii="Times New Roman" w:hAnsi="Times New Roman" w:cs="Times New Roman" w:eastAsia="Times New Roman" w:hint="default"/>
        </w:rPr>
        <w:t>APP</w:t>
      </w:r>
      <w:r>
        <w:rPr>
          <w:rFonts w:ascii="Times New Roman" w:hAnsi="Times New Roman" w:cs="Times New Roman" w:eastAsia="Times New Roman" w:hint="default"/>
          <w:spacing w:val="-10"/>
        </w:rPr>
        <w:t> </w:t>
      </w:r>
      <w:r>
        <w:rPr/>
        <w:t>在 接受了涵盖等级保护安全技术要求的五个层面和安全管理要求的五个层面的严格测评打分，</w:t>
      </w:r>
      <w:r>
        <w:rPr>
          <w:spacing w:val="-91"/>
        </w:rPr>
        <w:t> </w:t>
      </w:r>
      <w:r>
        <w:rPr>
          <w:spacing w:val="-91"/>
        </w:rPr>
      </w:r>
      <w:r>
        <w:rPr/>
        <w:t>成功通过了国家信息系统等级保护二级测试，并依法正式获取了《信息系统安全等级保护备</w:t>
      </w:r>
      <w:r>
        <w:rPr>
          <w:spacing w:val="-91"/>
        </w:rPr>
        <w:t> </w:t>
      </w:r>
      <w:r>
        <w:rPr>
          <w:spacing w:val="-91"/>
        </w:rPr>
      </w:r>
      <w:r>
        <w:rPr/>
        <w:t>案证明》二级证书，这标志着同步学</w:t>
      </w:r>
      <w:r>
        <w:rPr>
          <w:spacing w:val="-71"/>
        </w:rPr>
        <w:t> </w:t>
      </w:r>
      <w:r>
        <w:rPr>
          <w:rFonts w:ascii="Times New Roman" w:hAnsi="Times New Roman" w:cs="Times New Roman" w:eastAsia="Times New Roman" w:hint="default"/>
        </w:rPr>
        <w:t>APP</w:t>
      </w:r>
      <w:r>
        <w:rPr>
          <w:rFonts w:ascii="Times New Roman" w:hAnsi="Times New Roman" w:cs="Times New Roman" w:eastAsia="Times New Roman" w:hint="default"/>
          <w:spacing w:val="-10"/>
        </w:rPr>
        <w:t> </w:t>
      </w:r>
      <w:r>
        <w:rPr/>
        <w:t>在网络信息规范化管理方面更加严密，数据管理更 加安全，必将极大助推公司的全面发展。未来公司会充分发挥企业的社会价值，引领构建绿</w:t>
      </w:r>
      <w:r>
        <w:rPr>
          <w:spacing w:val="-91"/>
        </w:rPr>
        <w:t> </w:t>
      </w:r>
      <w:r>
        <w:rPr>
          <w:spacing w:val="-91"/>
        </w:rPr>
      </w:r>
      <w:r>
        <w:rPr/>
        <w:t>色、健康、高效的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教育</w:t>
      </w:r>
      <w:r>
        <w:rPr>
          <w:rFonts w:ascii="Times New Roman" w:hAnsi="Times New Roman" w:cs="Times New Roman" w:eastAsia="Times New Roman" w:hint="default"/>
        </w:rPr>
        <w:t>”</w:t>
      </w:r>
      <w:r>
        <w:rPr/>
        <w:t>育人环境。</w:t>
      </w:r>
    </w:p>
    <w:p>
      <w:pPr>
        <w:spacing w:line="403" w:lineRule="auto" w:before="90"/>
        <w:ind w:left="633" w:right="99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、客户相对集中的风险</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目前公司的销售区域仍主要以珠三角、长三角及京津地区等大中城市为主，市场区域相</w:t>
      </w:r>
    </w:p>
    <w:p>
      <w:pPr>
        <w:pStyle w:val="Heading4"/>
        <w:spacing w:line="357" w:lineRule="auto"/>
        <w:ind w:right="995"/>
        <w:jc w:val="left"/>
      </w:pPr>
      <w:r>
        <w:rPr/>
        <w:t>对集中并存在一定风险，可能对本公司未来盈利能力造成影响。公司将通过技术研发和产品</w:t>
      </w:r>
      <w:r>
        <w:rPr>
          <w:spacing w:val="-91"/>
        </w:rPr>
        <w:t> </w:t>
      </w:r>
      <w:r>
        <w:rPr>
          <w:spacing w:val="-91"/>
        </w:rPr>
      </w:r>
      <w:r>
        <w:rPr/>
        <w:t>拓展计划、营销渠道拓展计划解决上述产品及销售区域较为集中的风险。一方面通过开发语</w:t>
      </w:r>
      <w:r>
        <w:rPr>
          <w:spacing w:val="-87"/>
        </w:rPr>
        <w:t> </w:t>
      </w:r>
      <w:r>
        <w:rPr>
          <w:spacing w:val="-87"/>
        </w:rPr>
      </w:r>
      <w:r>
        <w:rPr/>
        <w:t>文、数学等其他学科的研发，将各学科发展均衡。另一方面，公司将把开拓创新的销售区域</w:t>
      </w:r>
      <w:r>
        <w:rPr>
          <w:spacing w:val="-91"/>
        </w:rPr>
        <w:t> </w:t>
      </w:r>
      <w:r>
        <w:rPr>
          <w:spacing w:val="-91"/>
        </w:rPr>
      </w:r>
      <w:r>
        <w:rPr/>
        <w:t>作为战略重点，通过与现有的主流出版社、教研系统所建立的良好的合作关系，充分把握各</w:t>
      </w:r>
      <w:r>
        <w:rPr>
          <w:spacing w:val="-91"/>
        </w:rPr>
        <w:t> </w:t>
      </w:r>
      <w:r>
        <w:rPr>
          <w:spacing w:val="-91"/>
        </w:rPr>
      </w:r>
      <w:r>
        <w:rPr/>
        <w:t>地中小学教材的新特点、新趋势，对潜在用户的市场需求进行调研分析，积极开发地方版本</w:t>
      </w:r>
      <w:r>
        <w:rPr>
          <w:spacing w:val="-91"/>
        </w:rPr>
        <w:t> </w:t>
      </w:r>
      <w:r>
        <w:rPr>
          <w:spacing w:val="-91"/>
        </w:rPr>
      </w:r>
      <w:r>
        <w:rPr/>
        <w:t>系列以满足二、三线城市的拓展需求。同时全面加速推进公司优质资源建设、自主知识产权</w:t>
      </w:r>
      <w:r>
        <w:rPr>
          <w:spacing w:val="-91"/>
        </w:rPr>
        <w:t> </w:t>
      </w:r>
      <w:r>
        <w:rPr>
          <w:spacing w:val="-91"/>
        </w:rPr>
      </w:r>
      <w:r>
        <w:rPr>
          <w:spacing w:val="-3"/>
        </w:rPr>
        <w:t>建设及平台建设，完成覆盖小学、初中、高中学段的多学科、多版本、全学段的优质、同步、</w:t>
      </w:r>
      <w:r>
        <w:rPr>
          <w:spacing w:val="-83"/>
        </w:rPr>
        <w:t> </w:t>
      </w:r>
      <w:r>
        <w:rPr>
          <w:spacing w:val="-83"/>
        </w:rPr>
      </w:r>
      <w:r>
        <w:rPr/>
        <w:t>配套的教与学资源体系，从而有效解决客户相对集中的风险。</w:t>
      </w:r>
    </w:p>
    <w:p>
      <w:pPr>
        <w:pStyle w:val="Heading3"/>
        <w:spacing w:line="240" w:lineRule="auto" w:before="116"/>
        <w:ind w:left="635" w:right="995"/>
        <w:jc w:val="left"/>
        <w:rPr>
          <w:b w:val="0"/>
          <w:bCs w:val="0"/>
        </w:rPr>
      </w:pPr>
      <w:r>
        <w:rPr>
          <w:rFonts w:ascii="Times New Roman" w:hAnsi="Times New Roman" w:cs="Times New Roman" w:eastAsia="Times New Roman" w:hint="default"/>
        </w:rPr>
        <w:t>3</w:t>
      </w:r>
      <w:r>
        <w:rPr/>
        <w:t>、新产品开发和技术更新换代的风险</w:t>
      </w:r>
      <w:r>
        <w:rPr>
          <w:b w:val="0"/>
          <w:bCs w:val="0"/>
        </w:rPr>
      </w:r>
    </w:p>
    <w:p>
      <w:pPr>
        <w:spacing w:after="0" w:line="240" w:lineRule="auto"/>
        <w:jc w:val="left"/>
        <w:sectPr>
          <w:pgSz w:w="11910" w:h="16840"/>
          <w:pgMar w:header="748" w:footer="979" w:top="1060" w:bottom="1160" w:left="980" w:right="0"/>
        </w:sectPr>
      </w:pPr>
    </w:p>
    <w:p>
      <w:pPr>
        <w:spacing w:line="240" w:lineRule="auto" w:before="3"/>
        <w:rPr>
          <w:rFonts w:ascii="Microsoft JhengHei" w:hAnsi="Microsoft JhengHei" w:cs="Microsoft JhengHei" w:eastAsia="Microsoft JhengHei" w:hint="default"/>
          <w:b/>
          <w:bCs/>
          <w:sz w:val="22"/>
          <w:szCs w:val="22"/>
        </w:rPr>
      </w:pPr>
    </w:p>
    <w:p>
      <w:pPr>
        <w:pStyle w:val="Heading4"/>
        <w:spacing w:line="357" w:lineRule="auto" w:before="26"/>
        <w:ind w:right="1138" w:firstLine="480"/>
        <w:jc w:val="both"/>
      </w:pPr>
      <w:r>
        <w:rPr/>
        <w:t>市场需求不断变化，教育技术应用趋势在动态变化，如人工智能、大数据等前沿技术不 断发展迭代。如果公司对行业关键技术的发展动态不能及时掌控，对教育教学当中的新理念</w:t>
      </w:r>
      <w:r>
        <w:rPr>
          <w:spacing w:val="-91"/>
        </w:rPr>
        <w:t> </w:t>
      </w:r>
      <w:r>
        <w:rPr>
          <w:spacing w:val="-91"/>
        </w:rPr>
      </w:r>
      <w:r>
        <w:rPr/>
        <w:t>以及广大教师和学生的教学需求不能正确把握，研发的产品将不具备竞争力。公司会积极投</w:t>
      </w:r>
      <w:r>
        <w:rPr>
          <w:spacing w:val="-91"/>
        </w:rPr>
        <w:t> </w:t>
      </w:r>
      <w:r>
        <w:rPr>
          <w:spacing w:val="-91"/>
        </w:rPr>
      </w:r>
      <w:r>
        <w:rPr/>
        <w:t>入同步教学软件及在线教育网络服务开发平台的开发，使公司开发的同步教育服务类产品具</w:t>
      </w:r>
      <w:r>
        <w:rPr>
          <w:spacing w:val="-91"/>
        </w:rPr>
        <w:t> </w:t>
      </w:r>
      <w:r>
        <w:rPr>
          <w:spacing w:val="-91"/>
        </w:rPr>
      </w:r>
      <w:r>
        <w:rPr/>
        <w:t>有更强的针对性和实用性；同时加强基础教育项目研究，在开发实施过程中进行有效管理、</w:t>
      </w:r>
      <w:r>
        <w:rPr>
          <w:spacing w:val="-91"/>
        </w:rPr>
        <w:t> </w:t>
      </w:r>
      <w:r>
        <w:rPr>
          <w:spacing w:val="-91"/>
        </w:rPr>
      </w:r>
      <w:r>
        <w:rPr/>
        <w:t>把握开发周期、降低开发成本。</w:t>
      </w:r>
    </w:p>
    <w:p>
      <w:pPr>
        <w:spacing w:line="403" w:lineRule="auto" w:before="116"/>
        <w:ind w:left="633" w:right="995"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、募集资金投资项目风险</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公司非公开发行的募集资金将投入</w:t>
      </w:r>
      <w:r>
        <w:rPr>
          <w:rFonts w:ascii="Times New Roman" w:hAnsi="Times New Roman" w:cs="Times New Roman" w:eastAsia="Times New Roman" w:hint="default"/>
          <w:sz w:val="24"/>
          <w:szCs w:val="24"/>
        </w:rPr>
        <w:t>“</w:t>
      </w:r>
      <w:r>
        <w:rPr>
          <w:rFonts w:ascii="宋体" w:hAnsi="宋体" w:cs="宋体" w:eastAsia="宋体" w:hint="default"/>
          <w:sz w:val="24"/>
          <w:szCs w:val="24"/>
        </w:rPr>
        <w:t>教学研云平台</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同步资源学习系统</w:t>
      </w:r>
      <w:r>
        <w:rPr>
          <w:rFonts w:ascii="Times New Roman" w:hAnsi="Times New Roman" w:cs="Times New Roman" w:eastAsia="Times New Roman" w:hint="default"/>
          <w:sz w:val="24"/>
          <w:szCs w:val="24"/>
        </w:rPr>
        <w:t>”</w:t>
      </w:r>
      <w:r>
        <w:rPr>
          <w:rFonts w:ascii="宋体" w:hAnsi="宋体" w:cs="宋体" w:eastAsia="宋体" w:hint="default"/>
          <w:sz w:val="24"/>
          <w:szCs w:val="24"/>
        </w:rPr>
        <w:t>项目。募集资</w:t>
      </w:r>
    </w:p>
    <w:p>
      <w:pPr>
        <w:pStyle w:val="Heading4"/>
        <w:spacing w:line="269" w:lineRule="exact"/>
        <w:ind w:right="995"/>
        <w:jc w:val="left"/>
      </w:pPr>
      <w:r>
        <w:rPr/>
        <w:t>金投资项目的顺利实施，将进一步增强公司的研发实力，扩大公司在既有市场的占有率并开</w:t>
      </w:r>
    </w:p>
    <w:p>
      <w:pPr>
        <w:pStyle w:val="Heading4"/>
        <w:spacing w:line="357" w:lineRule="auto" w:before="154"/>
        <w:ind w:right="995"/>
        <w:jc w:val="left"/>
      </w:pPr>
      <w:r>
        <w:rPr/>
        <w:t>拓新市场，提升公司的综合竞争力。尽管公司对前述建设项目已有一定的技术、人才及客户</w:t>
      </w:r>
      <w:r>
        <w:rPr>
          <w:spacing w:val="-91"/>
        </w:rPr>
        <w:t> </w:t>
      </w:r>
      <w:r>
        <w:rPr>
          <w:spacing w:val="-91"/>
        </w:rPr>
      </w:r>
      <w:r>
        <w:rPr>
          <w:spacing w:val="-2"/>
        </w:rPr>
        <w:t>资源储备，并在项目实施前进行了充分的可行性论证，但该论证系基于目前的技术发展水平、</w:t>
      </w:r>
      <w:r>
        <w:rPr/>
        <w:t> 国家产业政策、国内外市场环境、客户需求情况等条件所作出的投资决策，在实际运营过程</w:t>
      </w:r>
      <w:r>
        <w:rPr>
          <w:spacing w:val="-91"/>
        </w:rPr>
        <w:t> </w:t>
      </w:r>
      <w:r>
        <w:rPr>
          <w:spacing w:val="-91"/>
        </w:rPr>
      </w:r>
      <w:r>
        <w:rPr/>
        <w:t>中，随着时间的推移，上述因素存在发生变化的可能。由于市场本身具有的不确定性因素，</w:t>
      </w:r>
      <w:r>
        <w:rPr>
          <w:spacing w:val="-91"/>
        </w:rPr>
        <w:t> </w:t>
      </w:r>
      <w:r>
        <w:rPr>
          <w:spacing w:val="-91"/>
        </w:rPr>
      </w:r>
      <w:r>
        <w:rPr/>
        <w:t>仍有可能使该项目实施后面临一定的市场风险。</w:t>
      </w:r>
    </w:p>
    <w:p>
      <w:pPr>
        <w:pStyle w:val="Heading4"/>
        <w:spacing w:line="403" w:lineRule="auto" w:before="116"/>
        <w:ind w:left="633" w:right="995" w:firstLine="2"/>
        <w:jc w:val="left"/>
      </w:pP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、人才流失风险</w:t>
      </w:r>
      <w:r>
        <w:rPr>
          <w:rFonts w:ascii="Microsoft JhengHei" w:hAnsi="Microsoft JhengHei" w:cs="Microsoft JhengHei" w:eastAsia="Microsoft JhengHei" w:hint="default"/>
          <w:b/>
          <w:bCs/>
          <w:spacing w:val="-57"/>
        </w:rPr>
        <w:t> </w:t>
      </w:r>
      <w:r>
        <w:rPr>
          <w:rFonts w:ascii="Microsoft JhengHei" w:hAnsi="Microsoft JhengHei" w:cs="Microsoft JhengHei" w:eastAsia="Microsoft JhengHei" w:hint="default"/>
          <w:b/>
          <w:bCs/>
          <w:spacing w:val="-57"/>
        </w:rPr>
      </w:r>
      <w:r>
        <w:rPr/>
        <w:t>随着行业发展以及公司已全面向互联网模式进行转变，对与大平台合作的渠道人才和互</w:t>
      </w:r>
    </w:p>
    <w:p>
      <w:pPr>
        <w:pStyle w:val="Heading4"/>
        <w:spacing w:line="357" w:lineRule="auto"/>
        <w:ind w:right="1138"/>
        <w:jc w:val="both"/>
      </w:pPr>
      <w:r>
        <w:rPr/>
        <w:t>联网营销人才需求量较大，公司经营和管理需要面临更高的要求和挑战。如果公司不能有效</w:t>
      </w:r>
      <w:r>
        <w:rPr>
          <w:spacing w:val="-91"/>
        </w:rPr>
        <w:t> </w:t>
      </w:r>
      <w:r>
        <w:rPr>
          <w:spacing w:val="-91"/>
        </w:rPr>
      </w:r>
      <w:r>
        <w:rPr/>
        <w:t>保持和完善核心人员的激励机制，将会影响到核心人员积极性、创造性。而互联网人才流动</w:t>
      </w:r>
      <w:r>
        <w:rPr>
          <w:spacing w:val="-91"/>
        </w:rPr>
        <w:t> </w:t>
      </w:r>
      <w:r>
        <w:rPr>
          <w:spacing w:val="-91"/>
        </w:rPr>
      </w:r>
      <w:r>
        <w:rPr/>
        <w:t>大，优秀的互联网人才日益紧缺，人力成本不断攀升。公司需要引入优秀人才、增强企业技</w:t>
      </w:r>
      <w:r>
        <w:rPr>
          <w:spacing w:val="-91"/>
        </w:rPr>
        <w:t> </w:t>
      </w:r>
      <w:r>
        <w:rPr>
          <w:spacing w:val="-91"/>
        </w:rPr>
      </w:r>
      <w:r>
        <w:rPr/>
        <w:t>术竞争实力是改革基础之一，同时重视企业文化建设，建立人才激励分享企业经营成果。</w:t>
      </w:r>
    </w:p>
    <w:p>
      <w:pPr>
        <w:pStyle w:val="Heading3"/>
        <w:spacing w:line="240" w:lineRule="auto" w:before="116"/>
        <w:ind w:left="635" w:right="995"/>
        <w:jc w:val="left"/>
        <w:rPr>
          <w:b w:val="0"/>
          <w:bCs w:val="0"/>
        </w:rPr>
      </w:pPr>
      <w:r>
        <w:rPr/>
        <w:t>（二）利润分配预案</w:t>
      </w:r>
      <w:r>
        <w:rPr>
          <w:b w:val="0"/>
          <w:bCs w:val="0"/>
        </w:rPr>
      </w:r>
    </w:p>
    <w:p>
      <w:pPr>
        <w:spacing w:line="240" w:lineRule="auto" w:before="5"/>
        <w:rPr>
          <w:rFonts w:ascii="Microsoft JhengHei" w:hAnsi="Microsoft JhengHei" w:cs="Microsoft JhengHei" w:eastAsia="Microsoft JhengHei" w:hint="default"/>
          <w:b/>
          <w:bCs/>
          <w:sz w:val="16"/>
          <w:szCs w:val="16"/>
        </w:rPr>
      </w:pPr>
    </w:p>
    <w:p>
      <w:pPr>
        <w:pStyle w:val="Heading4"/>
        <w:spacing w:line="240" w:lineRule="auto"/>
        <w:ind w:left="633" w:right="995"/>
        <w:jc w:val="left"/>
        <w:rPr>
          <w:rFonts w:ascii="Times New Roman" w:hAnsi="Times New Roman" w:cs="Times New Roman" w:eastAsia="Times New Roman" w:hint="default"/>
        </w:rPr>
      </w:pPr>
      <w:r>
        <w:rPr/>
        <w:t>公司经本次董事会审议通过的利润分配预案为：以</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日股本</w:t>
      </w:r>
      <w:r>
        <w:rPr>
          <w:spacing w:val="-46"/>
        </w:rPr>
        <w:t> </w:t>
      </w:r>
      <w:r>
        <w:rPr>
          <w:rFonts w:ascii="Times New Roman" w:hAnsi="Times New Roman" w:cs="Times New Roman" w:eastAsia="Times New Roman" w:hint="default"/>
        </w:rPr>
        <w:t>167,831,090</w:t>
      </w:r>
    </w:p>
    <w:p>
      <w:pPr>
        <w:pStyle w:val="Heading4"/>
        <w:spacing w:line="240" w:lineRule="auto" w:before="135"/>
        <w:ind w:right="995"/>
        <w:jc w:val="left"/>
      </w:pPr>
      <w:r>
        <w:rPr/>
        <w:t>股为基数</w:t>
      </w:r>
      <w:r>
        <w:rPr>
          <w:spacing w:val="-3"/>
        </w:rPr>
        <w:t>，</w:t>
      </w:r>
      <w:r>
        <w:rPr/>
        <w:t>向全体股东每</w:t>
      </w:r>
      <w:r>
        <w:rPr>
          <w:spacing w:val="-60"/>
        </w:rPr>
        <w:t> </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0.5 </w:t>
      </w:r>
      <w:r>
        <w:rPr>
          <w:spacing w:val="-3"/>
        </w:rPr>
        <w:t>元</w:t>
      </w:r>
      <w:r>
        <w:rPr/>
        <w:t>（含税</w:t>
      </w:r>
      <w:r>
        <w:rPr>
          <w:spacing w:val="-120"/>
        </w:rPr>
        <w:t>）</w:t>
      </w:r>
      <w:r>
        <w:rPr>
          <w:spacing w:val="-3"/>
        </w:rPr>
        <w:t>，</w:t>
      </w:r>
      <w:r>
        <w:rPr/>
        <w:t>送红股</w:t>
      </w:r>
      <w:r>
        <w:rPr>
          <w:spacing w:val="-60"/>
        </w:rPr>
        <w:t> </w:t>
      </w:r>
      <w:r>
        <w:rPr>
          <w:rFonts w:ascii="Times New Roman" w:hAnsi="Times New Roman" w:cs="Times New Roman" w:eastAsia="Times New Roman" w:hint="default"/>
        </w:rPr>
        <w:t>0</w:t>
      </w:r>
      <w:r>
        <w:rPr>
          <w:rFonts w:ascii="Times New Roman" w:hAnsi="Times New Roman" w:cs="Times New Roman" w:eastAsia="Times New Roman" w:hint="default"/>
          <w:spacing w:val="-12"/>
        </w:rPr>
        <w:t> </w:t>
      </w:r>
      <w:r>
        <w:rPr>
          <w:spacing w:val="-3"/>
        </w:rPr>
        <w:t>股</w:t>
      </w:r>
      <w:r>
        <w:rPr/>
        <w:t>（含税</w:t>
      </w:r>
      <w:r>
        <w:rPr>
          <w:spacing w:val="-120"/>
        </w:rPr>
        <w:t>）</w:t>
      </w:r>
      <w:r>
        <w:rPr>
          <w:spacing w:val="-3"/>
        </w:rPr>
        <w:t>，</w:t>
      </w:r>
      <w:r>
        <w:rPr/>
        <w:t>以资本公</w:t>
      </w:r>
    </w:p>
    <w:p>
      <w:pPr>
        <w:pStyle w:val="Heading4"/>
        <w:spacing w:line="240" w:lineRule="auto" w:before="135"/>
        <w:ind w:right="995"/>
        <w:jc w:val="left"/>
      </w:pPr>
      <w:r>
        <w:rPr/>
        <w:t>积金向全体股东每</w:t>
      </w:r>
      <w:r>
        <w:rPr>
          <w:spacing w:val="-61"/>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0</w:t>
      </w:r>
      <w:r>
        <w:rPr>
          <w:rFonts w:ascii="Times New Roman" w:hAnsi="Times New Roman" w:cs="Times New Roman" w:eastAsia="Times New Roman" w:hint="default"/>
          <w:spacing w:val="-12"/>
        </w:rPr>
        <w:t> </w:t>
      </w:r>
      <w:r>
        <w:rPr/>
        <w:t>股。</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0"/>
        <w:ind w:left="0" w:right="977"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5"/>
        <w:rPr>
          <w:rFonts w:ascii="Microsoft JhengHei" w:hAnsi="Microsoft JhengHei" w:cs="Microsoft JhengHei" w:eastAsia="Microsoft JhengHei" w:hint="default"/>
          <w:b/>
          <w:bCs/>
          <w:sz w:val="51"/>
          <w:szCs w:val="5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before="136"/>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10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t>16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36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50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55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56</w:t>
            </w:r>
          </w:hyperlink>
        </w:p>
        <w:p>
          <w:pPr>
            <w:pStyle w:val="TOC1"/>
            <w:tabs>
              <w:tab w:pos="9783" w:val="right" w:leader="dot"/>
            </w:tabs>
            <w:spacing w:line="240" w:lineRule="auto" w:before="136"/>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57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65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72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1">
            <w:r>
              <w:rPr/>
              <w:t>第十二节财务报告</w:t>
            </w:r>
            <w:r>
              <w:rPr>
                <w:rFonts w:ascii="Times New Roman" w:hAnsi="Times New Roman" w:cs="Times New Roman" w:eastAsia="Times New Roman" w:hint="default"/>
              </w:rPr>
              <w:tab/>
              <w:t>73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2">
            <w:r>
              <w:rPr/>
              <w:t>第十三节备查文件目录</w:t>
            </w:r>
            <w:r>
              <w:rPr>
                <w:rFonts w:ascii="Times New Roman" w:hAnsi="Times New Roman" w:cs="Times New Roman" w:eastAsia="Times New Roman" w:hint="default"/>
              </w:rPr>
              <w:tab/>
              <w:t>204</w:t>
            </w:r>
          </w:hyperlink>
        </w:p>
        <w:p>
          <w:pPr/>
          <w:r>
            <w:fldChar w:fldCharType="end"/>
          </w:r>
        </w:p>
      </w:sdtContent>
    </w:sdt>
    <w:p>
      <w:pPr>
        <w:spacing w:after="0"/>
        <w:sectPr>
          <w:pgSz w:w="11910" w:h="16840"/>
          <w:pgMar w:header="748" w:footer="979" w:top="1060" w:bottom="1160" w:left="980" w:right="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before="285"/>
        <w:ind w:left="0" w:right="977"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公司、本公司或方直科技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黄元忠先生</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保荐人、保荐机构、主承销商</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同步教育</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教学内容、教学进度与学校课堂教学保持一致的教育方式</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线下产品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公司开发的以移动存储器、光盘等为载体的学生教材配套软件和教师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用书配套软件</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线上服务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9"/>
              <w:jc w:val="left"/>
              <w:rPr>
                <w:rFonts w:ascii="宋体" w:hAnsi="宋体" w:cs="宋体" w:eastAsia="宋体" w:hint="default"/>
                <w:sz w:val="18"/>
                <w:szCs w:val="18"/>
              </w:rPr>
            </w:pPr>
            <w:r>
              <w:rPr>
                <w:rFonts w:ascii="宋体" w:hAnsi="宋体" w:cs="宋体" w:eastAsia="宋体" w:hint="default"/>
                <w:sz w:val="18"/>
                <w:szCs w:val="18"/>
              </w:rPr>
              <w:t>基于公司的网络数据库支持平台通过互联网为用户提供的一系列同 步基础教育服务</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深圳市方直科技股份有限公司章程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深圳市方直科技股份有限公司股东大会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深圳市方直科技股份有限公司董事会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深圳市方直科技股份有限公司监事会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连邦信息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木愚科技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深圳市木愚科技有限公司，系公司全资子公司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千锋互联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北京千锋互联科技有限公司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嘉道方直</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深圳嘉道方直教育产业投资企业（有限合伙）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5"/>
          <w:szCs w:val="25"/>
        </w:rPr>
      </w:pPr>
    </w:p>
    <w:p>
      <w:pPr>
        <w:pStyle w:val="Heading1"/>
        <w:tabs>
          <w:tab w:pos="3849" w:val="left" w:leader="none"/>
        </w:tabs>
        <w:spacing w:line="456" w:lineRule="exact"/>
        <w:ind w:left="2563" w:right="995"/>
        <w:jc w:val="left"/>
        <w:rPr>
          <w:b w:val="0"/>
          <w:bCs w:val="0"/>
        </w:rPr>
      </w:pPr>
      <w:bookmarkStart w:name="_bookmark1" w:id="2"/>
      <w:bookmarkEnd w:id="2"/>
      <w:r>
        <w:rPr>
          <w:b w:val="0"/>
          <w:bCs w:val="0"/>
        </w:rPr>
      </w:r>
      <w:r>
        <w:rPr/>
        <w:t>第二节</w:t>
        <w:tab/>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995"/>
        <w:jc w:val="left"/>
        <w:rPr>
          <w:b w:val="0"/>
          <w:bCs w:val="0"/>
        </w:rPr>
      </w:pPr>
      <w:r>
        <w:rPr/>
        <w:pict>
          <v:shape style="position:absolute;margin-left:138.024002pt;margin-top:114.558502pt;width:396.95pt;height:19.75pt;mso-position-horizontal-relative:page;mso-position-vertical-relative:paragraph;z-index:-86423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t>一、公司信息</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方直科技</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300235</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方直科技</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SHENZHEN KINGSUN SCIENCE &amp; TECHNOLOGY</w:t>
            </w:r>
            <w:r>
              <w:rPr>
                <w:rFonts w:ascii="Times New Roman"/>
                <w:spacing w:val="-17"/>
                <w:sz w:val="18"/>
              </w:rPr>
              <w:t> </w:t>
            </w:r>
            <w:r>
              <w:rPr>
                <w:rFonts w:ascii="Times New Roman"/>
                <w:spacing w:val="-3"/>
                <w:sz w:val="18"/>
              </w:rPr>
              <w:t>CO.,LTD</w:t>
            </w:r>
          </w:p>
        </w:tc>
      </w:tr>
      <w:tr>
        <w:trPr>
          <w:trHeight w:val="404" w:hRule="exact"/>
        </w:trPr>
        <w:tc>
          <w:tcPr>
            <w:tcW w:w="228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12" w:space="0" w:color="FFFFFF"/>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Kingsun</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深圳市南山区南头街道马家龙社区大新路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198 </w:t>
            </w:r>
            <w:r>
              <w:rPr>
                <w:rFonts w:ascii="宋体" w:hAnsi="宋体" w:cs="宋体" w:eastAsia="宋体" w:hint="default"/>
                <w:sz w:val="18"/>
                <w:szCs w:val="18"/>
              </w:rPr>
              <w:t>号创新大厦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901</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深圳市南山区大新路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 </w:t>
            </w:r>
            <w:r>
              <w:rPr>
                <w:rFonts w:ascii="宋体" w:hAnsi="宋体" w:cs="宋体" w:eastAsia="宋体" w:hint="default"/>
                <w:sz w:val="18"/>
                <w:szCs w:val="18"/>
              </w:rPr>
              <w:t>号创新大厦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www.kingsunedu.com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kingsunsoft@kingsunsoft.com</w:t>
              </w:r>
            </w:hyperlink>
          </w:p>
        </w:tc>
      </w:tr>
    </w:tbl>
    <w:p>
      <w:pPr>
        <w:spacing w:line="240" w:lineRule="auto" w:before="13"/>
        <w:rPr>
          <w:rFonts w:ascii="Microsoft JhengHei" w:hAnsi="Microsoft JhengHei" w:cs="Microsoft JhengHei" w:eastAsia="Microsoft JhengHei" w:hint="default"/>
          <w:b/>
          <w:bCs/>
          <w:sz w:val="13"/>
          <w:szCs w:val="13"/>
        </w:rPr>
      </w:pPr>
    </w:p>
    <w:p>
      <w:pPr>
        <w:pStyle w:val="Heading3"/>
        <w:spacing w:line="367" w:lineRule="exact"/>
        <w:ind w:right="995"/>
        <w:jc w:val="left"/>
        <w:rPr>
          <w:b w:val="0"/>
          <w:bCs w:val="0"/>
        </w:rPr>
      </w:pP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1985"/>
        <w:gridCol w:w="3829"/>
        <w:gridCol w:w="3757"/>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李枫</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粘为倩</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深圳市南山区大新路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198 </w:t>
            </w:r>
            <w:r>
              <w:rPr>
                <w:rFonts w:ascii="宋体" w:hAnsi="宋体" w:cs="宋体" w:eastAsia="宋体" w:hint="default"/>
                <w:sz w:val="18"/>
                <w:szCs w:val="18"/>
              </w:rPr>
              <w:t>号创新大厦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深圳市南山区大新路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198 </w:t>
            </w:r>
            <w:r>
              <w:rPr>
                <w:rFonts w:ascii="宋体" w:hAnsi="宋体" w:cs="宋体" w:eastAsia="宋体" w:hint="default"/>
                <w:sz w:val="18"/>
                <w:szCs w:val="18"/>
              </w:rPr>
              <w:t>号创新大厦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0755-86336966</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0755-86336966</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0755-86336977</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0755-86336977</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feng.li@kingsunsoft.com</w:t>
              </w:r>
            </w:hyperlink>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weiqian.nian@kingsunsoft.com</w:t>
              </w:r>
            </w:hyperlink>
          </w:p>
        </w:tc>
      </w:tr>
    </w:tbl>
    <w:p>
      <w:pPr>
        <w:spacing w:line="240" w:lineRule="auto" w:before="12"/>
        <w:rPr>
          <w:rFonts w:ascii="Microsoft JhengHei" w:hAnsi="Microsoft JhengHei" w:cs="Microsoft JhengHei" w:eastAsia="Microsoft JhengHei" w:hint="default"/>
          <w:b/>
          <w:bCs/>
          <w:sz w:val="13"/>
          <w:szCs w:val="13"/>
        </w:rPr>
      </w:pPr>
    </w:p>
    <w:p>
      <w:pPr>
        <w:pStyle w:val="Heading3"/>
        <w:spacing w:line="367" w:lineRule="exact"/>
        <w:ind w:right="995"/>
        <w:jc w:val="left"/>
        <w:rPr>
          <w:b w:val="0"/>
          <w:bCs w:val="0"/>
        </w:rPr>
      </w:pPr>
      <w:r>
        <w:rPr/>
        <w:t>三、信息披露及备置地点</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12"/>
        <w:rPr>
          <w:rFonts w:ascii="Microsoft JhengHei" w:hAnsi="Microsoft JhengHei" w:cs="Microsoft JhengHei" w:eastAsia="Microsoft JhengHei" w:hint="default"/>
          <w:b/>
          <w:bCs/>
          <w:sz w:val="13"/>
          <w:szCs w:val="13"/>
        </w:rPr>
      </w:pPr>
    </w:p>
    <w:p>
      <w:pPr>
        <w:pStyle w:val="Heading3"/>
        <w:spacing w:line="367" w:lineRule="exact"/>
        <w:ind w:right="995"/>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彭建华、张媛</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2799"/>
        <w:gridCol w:w="2021"/>
        <w:gridCol w:w="2765"/>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深圳市福田区福田街道益田路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号平安金融中心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甘露、李茵</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至公司募集资金使用完毕为止</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995"/>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109,014,398.01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107,245,103.63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100,510,607.42</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32,187,455.63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12,316,056.55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8,822,524.60</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19,579,416.11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-2,716,595.98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4,727,257.23</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24,284,385.48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12,605,499.78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3,960,735.89</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655,996,153.98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624,266,087.24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608,796,383.19</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626,606,170.21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594,418,714.58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582,102,658.03</w:t>
            </w:r>
          </w:p>
        </w:tc>
      </w:tr>
    </w:tbl>
    <w:p>
      <w:pPr>
        <w:spacing w:line="240" w:lineRule="auto" w:before="3"/>
        <w:rPr>
          <w:rFonts w:ascii="宋体" w:hAnsi="宋体" w:cs="宋体" w:eastAsia="宋体" w:hint="default"/>
          <w:sz w:val="18"/>
          <w:szCs w:val="18"/>
        </w:rPr>
      </w:pPr>
    </w:p>
    <w:p>
      <w:pPr>
        <w:pStyle w:val="Heading3"/>
        <w:spacing w:line="367" w:lineRule="exact"/>
        <w:ind w:right="995"/>
        <w:jc w:val="left"/>
        <w:rPr>
          <w:b w:val="0"/>
          <w:bCs w:val="0"/>
        </w:rPr>
      </w:pPr>
      <w:r>
        <w:rPr/>
        <w:t>六、分季度主要财务指标</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1"/>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38,402,922.06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6,894,351.05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55,579,882.90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8,137,242.00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12,408,167.22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-3,464,559.45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30,457,519.69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-7,213,671.83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0"/>
        <w:gridCol w:w="1740"/>
        <w:gridCol w:w="1738"/>
        <w:gridCol w:w="1731"/>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10,675,215.01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-4,949,826.89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22,597,337.32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-8,743,309.33</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-5,265,017.33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-1,329,315.03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815,444.74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30,063,273.10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18"/>
          <w:szCs w:val="18"/>
        </w:rPr>
      </w:pPr>
    </w:p>
    <w:p>
      <w:pPr>
        <w:pStyle w:val="Heading3"/>
        <w:spacing w:line="240" w:lineRule="auto"/>
        <w:ind w:right="995"/>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6"/>
          <w:szCs w:val="16"/>
        </w:rPr>
      </w:pPr>
    </w:p>
    <w:p>
      <w:pPr>
        <w:pStyle w:val="Heading7"/>
        <w:spacing w:line="240" w:lineRule="auto"/>
        <w:ind w:right="995"/>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3"/>
          <w:szCs w:val="13"/>
        </w:rPr>
      </w:pPr>
    </w:p>
    <w:p>
      <w:pPr>
        <w:pStyle w:val="Heading3"/>
        <w:spacing w:line="240" w:lineRule="auto"/>
        <w:ind w:right="995"/>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112"/>
        <w:gridCol w:w="1277"/>
        <w:gridCol w:w="1275"/>
        <w:gridCol w:w="1277"/>
        <w:gridCol w:w="1630"/>
      </w:tblGrid>
      <w:tr>
        <w:trPr>
          <w:trHeight w:val="399"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20"/>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销部分）</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-46,018.59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-19,232.90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处置固定资产损益</w:t>
            </w:r>
          </w:p>
        </w:tc>
      </w:tr>
      <w:tr>
        <w:trPr>
          <w:trHeight w:val="715"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照国家统一标准定额或定量享受的政府补助除外）</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2,424,326.70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6,574,815.54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1,397,816.73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政府资助</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6,405,389.25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5,378,365.98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千锋互联利息</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5,315,570.74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5,728,952.06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3,476,209.30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理财收益</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-85,924.04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12,436.13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-36,622.87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1,405,304.54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2,660,691.79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722,264.98</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1,225.39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637.91</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12,608,039.52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15,032,652.53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4,095,267.37</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995"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3"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3"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tabs>
          <w:tab w:pos="4651" w:val="left" w:leader="none"/>
        </w:tabs>
        <w:spacing w:line="456" w:lineRule="exact"/>
        <w:ind w:left="3365" w:right="995"/>
        <w:jc w:val="left"/>
        <w:rPr>
          <w:b w:val="0"/>
          <w:bCs w:val="0"/>
        </w:rPr>
      </w:pPr>
      <w:bookmarkStart w:name="_bookmark2" w:id="3"/>
      <w:bookmarkEnd w:id="3"/>
      <w:r>
        <w:rPr>
          <w:b w:val="0"/>
          <w:bCs w:val="0"/>
        </w:rPr>
      </w:r>
      <w:r>
        <w:rPr/>
        <w:t>第三节</w:t>
        <w:tab/>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3"/>
        <w:spacing w:line="240" w:lineRule="auto"/>
        <w:ind w:right="995"/>
        <w:jc w:val="left"/>
        <w:rPr>
          <w:b w:val="0"/>
          <w:bCs w:val="0"/>
        </w:rPr>
      </w:pPr>
      <w:r>
        <w:rPr/>
        <w:t>一、报告期内公司从事的主要业务</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BodyText"/>
        <w:spacing w:line="408" w:lineRule="auto" w:before="0"/>
        <w:ind w:right="1126" w:firstLine="420"/>
        <w:jc w:val="both"/>
      </w:pPr>
      <w:r>
        <w:rPr>
          <w:spacing w:val="-2"/>
        </w:rPr>
        <w:t>公司是国内领先的智能教育优质资源服务提供商，公司成立至今一直专注于中小学同步教育产品的研</w:t>
      </w:r>
      <w:r>
        <w:rPr>
          <w:w w:val="100"/>
        </w:rPr>
        <w:t> </w:t>
      </w:r>
      <w:r>
        <w:rPr>
          <w:spacing w:val="-2"/>
        </w:rPr>
        <w:t>发、设计、销售及持续服务，公司拥有丰富的中小学全学段、多学科、多版本的优质教学资源，并通过这</w:t>
      </w:r>
      <w:r>
        <w:rPr>
          <w:spacing w:val="-42"/>
        </w:rPr>
        <w:t> </w:t>
      </w:r>
      <w:r>
        <w:rPr>
          <w:spacing w:val="-42"/>
        </w:rPr>
      </w:r>
      <w:r>
        <w:rPr>
          <w:spacing w:val="-2"/>
        </w:rPr>
        <w:t>些优质资源为广大中小学教师与学生提供优质、同步、配套的教育软件及互联网在线全面系统服务。公司</w:t>
      </w:r>
      <w:r>
        <w:rPr>
          <w:spacing w:val="-43"/>
        </w:rPr>
        <w:t> </w:t>
      </w:r>
      <w:r>
        <w:rPr>
          <w:spacing w:val="-43"/>
        </w:rPr>
      </w:r>
      <w:r>
        <w:rPr>
          <w:spacing w:val="-2"/>
        </w:rPr>
        <w:t>在在线教育同步垂直领域的优势在于利用企业内外资源打造资源、平台和应用为一体的底层相通、数据互</w:t>
      </w:r>
      <w:r>
        <w:rPr>
          <w:spacing w:val="-43"/>
        </w:rPr>
        <w:t> </w:t>
      </w:r>
      <w:r>
        <w:rPr>
          <w:spacing w:val="-43"/>
        </w:rPr>
      </w:r>
      <w:r>
        <w:rPr>
          <w:spacing w:val="-2"/>
        </w:rPr>
        <w:t>联，功能互补的教育应用生态。综合服务于教师、学生、家长等多重互动对象，覆盖多环节的线上线下综</w:t>
      </w:r>
      <w:r>
        <w:rPr>
          <w:spacing w:val="-43"/>
        </w:rPr>
        <w:t> </w:t>
      </w:r>
      <w:r>
        <w:rPr>
          <w:spacing w:val="-43"/>
        </w:rPr>
      </w:r>
      <w:r>
        <w:rPr/>
        <w:t>合应用体系，提供一套系统性的整体教育解决方案。报告期内公司主营业务未发生重大变化。</w:t>
      </w:r>
    </w:p>
    <w:p>
      <w:pPr>
        <w:pStyle w:val="BodyText"/>
        <w:spacing w:line="405" w:lineRule="auto"/>
        <w:ind w:right="1125" w:firstLine="420"/>
        <w:jc w:val="both"/>
      </w:pPr>
      <w:r>
        <w:rPr>
          <w:spacing w:val="-2"/>
        </w:rPr>
        <w:t>公司主营业务主要是以教学资源为基础，凭借企业多年积累的信息技术优势，对教学、管理、学科深</w:t>
      </w:r>
      <w:r>
        <w:rPr>
          <w:w w:val="100"/>
        </w:rPr>
        <w:t> </w:t>
      </w:r>
      <w:r>
        <w:rPr>
          <w:spacing w:val="-2"/>
        </w:rPr>
        <w:t>入融合及教育教学需求的深刻理解，运用移动互联、云计算、大数据、人工智能等技术，建立了先进的资</w:t>
      </w:r>
      <w:r>
        <w:rPr>
          <w:spacing w:val="-43"/>
        </w:rPr>
        <w:t> </w:t>
      </w:r>
      <w:r>
        <w:rPr>
          <w:spacing w:val="-43"/>
        </w:rPr>
      </w:r>
      <w:r>
        <w:rPr>
          <w:spacing w:val="-2"/>
        </w:rPr>
        <w:t>源管理运营平台，有效的教学方法和信息技术有机结合，一方面为广大师生和家长提供常态化的课前课后</w:t>
      </w:r>
      <w:r>
        <w:rPr>
          <w:spacing w:val="-43"/>
        </w:rPr>
        <w:t> </w:t>
      </w:r>
      <w:r>
        <w:rPr>
          <w:spacing w:val="-43"/>
        </w:rPr>
      </w:r>
      <w:r>
        <w:rPr>
          <w:spacing w:val="-2"/>
        </w:rPr>
        <w:t>服务，让教育管理者及老师提升管理及教学效率，另一方面可以通过技术手段改善地域差别带来的教学资</w:t>
      </w:r>
      <w:r>
        <w:rPr>
          <w:spacing w:val="-42"/>
        </w:rPr>
        <w:t> </w:t>
      </w:r>
      <w:r>
        <w:rPr>
          <w:spacing w:val="-42"/>
        </w:rPr>
      </w:r>
      <w:r>
        <w:rPr>
          <w:spacing w:val="-2"/>
        </w:rPr>
        <w:t>源不均衡的问题。公司为中小学学校提供贯穿课前课中课后管理的实用智慧教学平台、教学评测系统等信</w:t>
      </w:r>
      <w:r>
        <w:rPr>
          <w:spacing w:val="-43"/>
        </w:rPr>
        <w:t> </w:t>
      </w:r>
      <w:r>
        <w:rPr>
          <w:spacing w:val="-43"/>
        </w:rPr>
      </w:r>
      <w:r>
        <w:rPr>
          <w:spacing w:val="-2"/>
        </w:rPr>
        <w:t>息化一体化解决方案，帮助教师自我提升教学水平和优化教学过程、提高备课效率及信息化教学能力；公</w:t>
      </w:r>
      <w:r>
        <w:rPr>
          <w:spacing w:val="-44"/>
        </w:rPr>
        <w:t> </w:t>
      </w:r>
      <w:r>
        <w:rPr>
          <w:spacing w:val="-44"/>
        </w:rPr>
      </w:r>
      <w:r>
        <w:rPr>
          <w:spacing w:val="-2"/>
        </w:rPr>
        <w:t>司为学生提供多维交叉服务的专业应用的集群化</w:t>
      </w:r>
      <w:r>
        <w:rPr>
          <w:rFonts w:ascii="Times New Roman" w:hAnsi="Times New Roman" w:cs="Times New Roman" w:eastAsia="Times New Roman" w:hint="default"/>
          <w:spacing w:val="-2"/>
        </w:rPr>
        <w:t>APP</w:t>
      </w:r>
      <w:r>
        <w:rPr>
          <w:spacing w:val="-2"/>
        </w:rPr>
        <w:t>，覆盖中小学语文、数学、英语等多个学科。公司在</w:t>
      </w:r>
      <w:r>
        <w:rPr>
          <w:spacing w:val="-5"/>
        </w:rPr>
        <w:t> </w:t>
      </w:r>
      <w:r>
        <w:rPr>
          <w:spacing w:val="-5"/>
        </w:rPr>
      </w:r>
      <w:r>
        <w:rPr>
          <w:spacing w:val="-2"/>
        </w:rPr>
        <w:t>中小学同步教育领域积累了丰富的管理和市场经验，致力于以信息化技术丰富区域、学校的管理手段及创</w:t>
      </w:r>
      <w:r>
        <w:rPr>
          <w:spacing w:val="-44"/>
        </w:rPr>
        <w:t> </w:t>
      </w:r>
      <w:r>
        <w:rPr>
          <w:spacing w:val="-44"/>
        </w:rPr>
      </w:r>
      <w:r>
        <w:rPr>
          <w:spacing w:val="-2"/>
        </w:rPr>
        <w:t>新管理方式、提升教育质量、提高学生学习能力，不断推进我国基础教育信息化建设。目前公司已占有相</w:t>
      </w:r>
      <w:r>
        <w:rPr>
          <w:spacing w:val="-47"/>
        </w:rPr>
        <w:t> </w:t>
      </w:r>
      <w:r>
        <w:rPr>
          <w:spacing w:val="-47"/>
        </w:rPr>
      </w:r>
      <w:r>
        <w:rPr/>
        <w:t>当的市场份额并享有较高的美誉度。</w:t>
      </w:r>
    </w:p>
    <w:p>
      <w:pPr>
        <w:pStyle w:val="BodyText"/>
        <w:spacing w:line="408" w:lineRule="auto" w:before="48"/>
        <w:ind w:right="1126" w:firstLine="420"/>
        <w:jc w:val="both"/>
      </w:pPr>
      <w:r>
        <w:rPr>
          <w:spacing w:val="-2"/>
        </w:rPr>
        <w:t>报告期内，公司立足于教育行业，紧跟行业变化，结合公司发展战略目标，针对公司业务结构进行调</w:t>
      </w:r>
      <w:r>
        <w:rPr>
          <w:w w:val="100"/>
        </w:rPr>
        <w:t> </w:t>
      </w:r>
      <w:r>
        <w:rPr>
          <w:spacing w:val="-2"/>
        </w:rPr>
        <w:t>整，并向产品运营服务网络化发展，同时加大对产品运营及支撑服务投入。另一方面，公司从单项提供产</w:t>
      </w:r>
      <w:r>
        <w:rPr>
          <w:spacing w:val="-50"/>
        </w:rPr>
        <w:t> </w:t>
      </w:r>
      <w:r>
        <w:rPr>
          <w:spacing w:val="-50"/>
        </w:rPr>
      </w:r>
      <w:r>
        <w:rPr>
          <w:spacing w:val="-2"/>
        </w:rPr>
        <w:t>品服务逐步转向提供整体的教育信息化解决方案。公司产品始终围绕客户需求，以客户需求为出发点和归</w:t>
      </w:r>
      <w:r>
        <w:rPr>
          <w:spacing w:val="-43"/>
        </w:rPr>
        <w:t> </w:t>
      </w:r>
      <w:r>
        <w:rPr>
          <w:spacing w:val="-43"/>
        </w:rPr>
      </w:r>
      <w:r>
        <w:rPr/>
        <w:t>属点，逐步实现公司产品、运营模式、服务、推广的升级。各业务具体发展情况详见</w:t>
      </w:r>
      <w:r>
        <w:rPr>
          <w:spacing w:val="77"/>
        </w:rPr>
        <w:t> </w:t>
      </w:r>
      <w:r>
        <w:rPr/>
        <w:t>“第四节管理层讨</w:t>
      </w:r>
      <w:r>
        <w:rPr>
          <w:spacing w:val="-98"/>
        </w:rPr>
        <w:t> </w:t>
      </w:r>
      <w:r>
        <w:rPr>
          <w:spacing w:val="-98"/>
        </w:rPr>
      </w:r>
      <w:r>
        <w:rPr/>
        <w:t>论与分析”中“一、概述”及“二、主营业务分析”。</w:t>
      </w:r>
    </w:p>
    <w:p>
      <w:pPr>
        <w:pStyle w:val="Heading3"/>
        <w:spacing w:line="240" w:lineRule="auto" w:before="167"/>
        <w:ind w:right="995"/>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050"/>
        <w:gridCol w:w="6520"/>
      </w:tblGrid>
      <w:tr>
        <w:trPr>
          <w:trHeight w:val="362"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8" w:footer="979" w:top="1060" w:bottom="1160" w:left="980" w:right="0"/>
        </w:sectPr>
      </w:pPr>
    </w:p>
    <w:p>
      <w:pPr>
        <w:spacing w:line="240" w:lineRule="auto" w:before="5"/>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0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304"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、报告期内，公司与深圳市海天出版社有限责任公司为寻求合作发展，双方经充 </w:t>
            </w:r>
            <w:r>
              <w:rPr>
                <w:rFonts w:ascii="宋体" w:hAnsi="宋体" w:cs="宋体" w:eastAsia="宋体" w:hint="default"/>
                <w:spacing w:val="-3"/>
                <w:sz w:val="18"/>
                <w:szCs w:val="18"/>
              </w:rPr>
              <w:t>分协商，一致同意共同出资设立“深圳市深出发教育科技有限公司”。其中，海天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出版社认缴出资人民币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510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万元，占注册资本的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51%</w:t>
            </w:r>
            <w:r>
              <w:rPr>
                <w:rFonts w:ascii="宋体" w:hAnsi="宋体" w:cs="宋体" w:eastAsia="宋体" w:hint="default"/>
                <w:spacing w:val="-6"/>
                <w:sz w:val="18"/>
                <w:szCs w:val="18"/>
              </w:rPr>
              <w:t>；方直科技认缴出资人民币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490</w:t>
            </w:r>
            <w:r>
              <w:rPr>
                <w:rFonts w:ascii="Times New Roman" w:hAnsi="Times New Roman" w:cs="Times New Roman" w:eastAsia="Times New Roman" w:hint="default"/>
                <w:sz w:val="18"/>
                <w:szCs w:val="18"/>
              </w:rPr>
              <w:t> </w:t>
            </w:r>
            <w:r>
              <w:rPr>
                <w:rFonts w:ascii="宋体" w:hAnsi="宋体" w:cs="宋体" w:eastAsia="宋体" w:hint="default"/>
                <w:sz w:val="18"/>
                <w:szCs w:val="18"/>
              </w:rPr>
              <w:t>万元，占注册资本的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p>
          <w:p>
            <w:pPr>
              <w:pStyle w:val="TableParagraph"/>
              <w:spacing w:line="300" w:lineRule="auto" w:before="50"/>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、报告期内，在巩固现有主营业务的基础上，根据公司发展战略，方直科技以人 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万元对“江西新华云教育科技有限公司”增资扩股，本次增资已完成，方 直科技持有</w:t>
            </w:r>
            <w:r>
              <w:rPr>
                <w:rFonts w:ascii="Times New Roman" w:hAnsi="Times New Roman" w:cs="Times New Roman" w:eastAsia="Times New Roman" w:hint="default"/>
                <w:sz w:val="18"/>
                <w:szCs w:val="18"/>
              </w:rPr>
              <w:t>“</w:t>
            </w:r>
            <w:r>
              <w:rPr>
                <w:rFonts w:ascii="宋体" w:hAnsi="宋体" w:cs="宋体" w:eastAsia="宋体" w:hint="default"/>
                <w:sz w:val="18"/>
                <w:szCs w:val="18"/>
              </w:rPr>
              <w:t>江西新华云</w:t>
            </w:r>
            <w:r>
              <w:rPr>
                <w:rFonts w:ascii="Times New Roman" w:hAnsi="Times New Roman" w:cs="Times New Roman" w:eastAsia="Times New Roman" w:hint="default"/>
                <w:sz w:val="18"/>
                <w:szCs w:val="18"/>
              </w:rPr>
              <w:t>”13.04%</w:t>
            </w:r>
            <w:r>
              <w:rPr>
                <w:rFonts w:ascii="宋体" w:hAnsi="宋体" w:cs="宋体" w:eastAsia="宋体" w:hint="default"/>
                <w:sz w:val="18"/>
                <w:szCs w:val="18"/>
              </w:rPr>
              <w:t>的股权。</w:t>
            </w:r>
          </w:p>
          <w:p>
            <w:pPr>
              <w:pStyle w:val="TableParagraph"/>
              <w:spacing w:line="300" w:lineRule="auto" w:before="53"/>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、报告期内，公司在巩固现有主营业务的基础上，面对国家完善和发展职业教育 政策为职教行业带来的广阔市场，根据公司发展战略，公司以自有资金人民币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 受让通航人力资源所持有的通航教育科技公司</w:t>
            </w:r>
            <w:r>
              <w:rPr>
                <w:rFonts w:ascii="宋体" w:hAnsi="宋体" w:cs="宋体" w:eastAsia="宋体" w:hint="default"/>
                <w:spacing w:val="-33"/>
                <w:sz w:val="18"/>
                <w:szCs w:val="18"/>
              </w:rPr>
              <w:t> </w:t>
            </w:r>
            <w:r>
              <w:rPr>
                <w:rFonts w:ascii="Times New Roman" w:hAnsi="Times New Roman" w:cs="Times New Roman" w:eastAsia="Times New Roman" w:hint="default"/>
                <w:spacing w:val="-13"/>
                <w:sz w:val="18"/>
                <w:szCs w:val="18"/>
              </w:rPr>
              <w:t>15%</w:t>
            </w:r>
            <w:r>
              <w:rPr>
                <w:rFonts w:ascii="宋体" w:hAnsi="宋体" w:cs="宋体" w:eastAsia="宋体" w:hint="default"/>
                <w:spacing w:val="-13"/>
                <w:sz w:val="18"/>
                <w:szCs w:val="18"/>
              </w:rPr>
              <w:t>的股权（未实缴），对应认缴“通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航教育科技公司”注册资本人民币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 </w:t>
            </w:r>
            <w:r>
              <w:rPr>
                <w:rFonts w:ascii="宋体" w:hAnsi="宋体" w:cs="宋体" w:eastAsia="宋体" w:hint="default"/>
                <w:sz w:val="18"/>
                <w:szCs w:val="18"/>
              </w:rPr>
              <w:t>万元。</w:t>
            </w: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vMerge/>
            <w:tcBorders>
              <w:left w:val="single" w:sz="4" w:space="0" w:color="000000"/>
              <w:right w:val="single" w:sz="4" w:space="0" w:color="000000"/>
            </w:tcBorders>
          </w:tcPr>
          <w:p>
            <w:pPr/>
          </w:p>
        </w:tc>
      </w:tr>
      <w:tr>
        <w:trPr>
          <w:trHeight w:val="1604"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10"/>
        <w:rPr>
          <w:rFonts w:ascii="Microsoft JhengHei" w:hAnsi="Microsoft JhengHei" w:cs="Microsoft JhengHei" w:eastAsia="Microsoft JhengHei" w:hint="default"/>
          <w:b/>
          <w:bCs/>
          <w:sz w:val="14"/>
          <w:szCs w:val="14"/>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995"/>
        <w:jc w:val="left"/>
        <w:rPr>
          <w:b w:val="0"/>
          <w:bCs w:val="0"/>
        </w:rPr>
      </w:pPr>
      <w:r>
        <w:rPr/>
        <w:t>三、核心竞争力分析</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408" w:lineRule="auto" w:before="0"/>
        <w:ind w:right="1104" w:firstLine="420"/>
        <w:jc w:val="both"/>
      </w:pPr>
      <w:r>
        <w:rPr>
          <w:spacing w:val="-2"/>
        </w:rPr>
        <w:t>报告期内，公司核心竞争力没有发生重大改变，公司秉承“人人分享优质教育资源”的理念，成立至</w:t>
      </w:r>
      <w:r>
        <w:rPr>
          <w:w w:val="100"/>
        </w:rPr>
        <w:t> </w:t>
      </w:r>
      <w:r>
        <w:rPr>
          <w:spacing w:val="-2"/>
        </w:rPr>
        <w:t>今一直专注于中小学同步教育产品的研发、设计、销售及持续服务，为广大中小学教师与学生提供优质、</w:t>
      </w:r>
      <w:r>
        <w:rPr>
          <w:spacing w:val="-21"/>
        </w:rPr>
        <w:t> </w:t>
      </w:r>
      <w:r>
        <w:rPr>
          <w:spacing w:val="-21"/>
        </w:rPr>
      </w:r>
      <w:r>
        <w:rPr/>
        <w:t>同步、配套的教育软件及互联网在线全面系统服务。</w:t>
      </w:r>
    </w:p>
    <w:p>
      <w:pPr>
        <w:pStyle w:val="BodyText"/>
        <w:spacing w:line="408" w:lineRule="auto"/>
        <w:ind w:right="1126" w:firstLine="420"/>
        <w:jc w:val="both"/>
      </w:pPr>
      <w:r>
        <w:rPr>
          <w:spacing w:val="-2"/>
        </w:rPr>
        <w:t>立足教学需求切实提供解决方案以及用户、品牌的积累是公司的核心竞争力。公司始终致力于“科技</w:t>
      </w:r>
      <w:r>
        <w:rPr>
          <w:spacing w:val="-3"/>
          <w:w w:val="100"/>
        </w:rPr>
        <w:t> </w:t>
      </w:r>
      <w:r>
        <w:rPr>
          <w:spacing w:val="-2"/>
        </w:rPr>
        <w:t>服务教育”，利用信息技术结合对教学的理解提供产品及服务，进而帮助提升教学效率。公司设立的教学</w:t>
      </w:r>
      <w:r>
        <w:rPr>
          <w:spacing w:val="-47"/>
        </w:rPr>
        <w:t> </w:t>
      </w:r>
      <w:r>
        <w:rPr>
          <w:spacing w:val="-47"/>
        </w:rPr>
      </w:r>
      <w:r>
        <w:rPr>
          <w:spacing w:val="-2"/>
        </w:rPr>
        <w:t>研究院亦是为了强化自身优质资源整体化解决方案的优势，始终围绕客户需求，以客户需求为出发点和归</w:t>
      </w:r>
      <w:r>
        <w:rPr>
          <w:spacing w:val="-44"/>
        </w:rPr>
        <w:t> </w:t>
      </w:r>
      <w:r>
        <w:rPr>
          <w:spacing w:val="-44"/>
        </w:rPr>
      </w:r>
      <w:r>
        <w:rPr>
          <w:spacing w:val="-2"/>
        </w:rPr>
        <w:t>属点，实现公司的产品、模式、服务、推广的升级。通过对教育需求的充分了解以及用户积累，立足教学</w:t>
      </w:r>
      <w:r>
        <w:rPr>
          <w:spacing w:val="-42"/>
        </w:rPr>
        <w:t> </w:t>
      </w:r>
      <w:r>
        <w:rPr>
          <w:spacing w:val="-42"/>
        </w:rPr>
      </w:r>
      <w:r>
        <w:rPr>
          <w:spacing w:val="-2"/>
        </w:rPr>
        <w:t>需求切实提供解决方案。同时利用企业内外资源打造资源、平台和应用为一体的底层相通，数据相连，功</w:t>
      </w:r>
      <w:r>
        <w:rPr>
          <w:spacing w:val="-47"/>
        </w:rPr>
        <w:t> </w:t>
      </w:r>
      <w:r>
        <w:rPr>
          <w:spacing w:val="-47"/>
        </w:rPr>
      </w:r>
      <w:r>
        <w:rPr>
          <w:spacing w:val="-2"/>
        </w:rPr>
        <w:t>能互补的教育应用生态，实现了与三通两平台的国家战略相对接的战略目标，综合服务于教师、学生、家</w:t>
      </w:r>
      <w:r>
        <w:rPr>
          <w:spacing w:val="-44"/>
        </w:rPr>
        <w:t> </w:t>
      </w:r>
      <w:r>
        <w:rPr>
          <w:spacing w:val="-44"/>
        </w:rPr>
      </w:r>
      <w:r>
        <w:rPr/>
        <w:t>长、校长、教研和出版多重互动对象，覆盖教、学、练、考、评等环节的线上线下综合应用体系。</w:t>
      </w:r>
    </w:p>
    <w:p>
      <w:pPr>
        <w:pStyle w:val="BodyText"/>
        <w:spacing w:line="386" w:lineRule="auto"/>
        <w:ind w:right="1126" w:firstLine="420"/>
        <w:jc w:val="both"/>
      </w:pPr>
      <w:r>
        <w:rPr>
          <w:spacing w:val="-2"/>
        </w:rPr>
        <w:t>公司始终坚持</w:t>
      </w:r>
      <w:r>
        <w:rPr>
          <w:rFonts w:ascii="Times New Roman" w:hAnsi="Times New Roman" w:cs="Times New Roman" w:eastAsia="Times New Roman" w:hint="default"/>
          <w:spacing w:val="-2"/>
        </w:rPr>
        <w:t>“</w:t>
      </w:r>
      <w:r>
        <w:rPr>
          <w:spacing w:val="-2"/>
        </w:rPr>
        <w:t>关注教育需求，致力于科技创新，全心全意促进教育进步</w:t>
      </w:r>
      <w:r>
        <w:rPr>
          <w:rFonts w:ascii="Times New Roman" w:hAnsi="Times New Roman" w:cs="Times New Roman" w:eastAsia="Times New Roman" w:hint="default"/>
          <w:spacing w:val="-2"/>
        </w:rPr>
        <w:t>”</w:t>
      </w:r>
      <w:r>
        <w:rPr>
          <w:spacing w:val="-2"/>
        </w:rPr>
        <w:t>这一使命，通过多年多方位</w:t>
      </w:r>
      <w:r>
        <w:rPr>
          <w:w w:val="100"/>
        </w:rPr>
        <w:t> </w:t>
      </w:r>
      <w:r>
        <w:rPr/>
        <w:t>的努力奠定了同步教育服务领域的优势地位。</w:t>
      </w:r>
    </w:p>
    <w:p>
      <w:pPr>
        <w:pStyle w:val="BodyText"/>
        <w:spacing w:line="386" w:lineRule="auto" w:before="65"/>
        <w:ind w:left="573" w:right="995"/>
        <w:jc w:val="left"/>
      </w:pPr>
      <w:r>
        <w:rPr>
          <w:rFonts w:ascii="Times New Roman" w:hAnsi="Times New Roman" w:cs="Times New Roman" w:eastAsia="Times New Roman" w:hint="default"/>
        </w:rPr>
        <w:t>1</w:t>
      </w:r>
      <w:r>
        <w:rPr/>
        <w:t>、区域优质教育内容及客户资源优势</w:t>
      </w:r>
      <w:r>
        <w:rPr>
          <w:w w:val="100"/>
        </w:rPr>
        <w:t> </w:t>
      </w:r>
      <w:r>
        <w:rPr>
          <w:spacing w:val="-2"/>
        </w:rPr>
        <w:t>方直科技通过与各出版社、各新闻出版发行集团等线下渠道建立全方位的合作关系，已经拥有了稳定</w:t>
      </w:r>
    </w:p>
    <w:p>
      <w:pPr>
        <w:spacing w:after="0" w:line="386"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left="573" w:right="995" w:hanging="420"/>
        <w:jc w:val="left"/>
      </w:pPr>
      <w:r>
        <w:rPr/>
        <w:t>的教师和学生用户群。在做好持续服务的基础上，确保用户群的稳定和持续增长。</w:t>
      </w:r>
      <w:r>
        <w:rPr>
          <w:w w:val="100"/>
        </w:rPr>
        <w:t> </w:t>
      </w:r>
      <w:r>
        <w:rPr>
          <w:spacing w:val="-2"/>
        </w:rPr>
        <w:t>方直科技采取重点突破的市场策略，先拓展一线核心城市，后向二、三线城市和农村地区拓展，从而</w:t>
      </w:r>
    </w:p>
    <w:p>
      <w:pPr>
        <w:pStyle w:val="BodyText"/>
        <w:spacing w:line="400" w:lineRule="auto"/>
        <w:ind w:left="0" w:right="1126"/>
        <w:jc w:val="right"/>
      </w:pPr>
      <w:r>
        <w:rPr>
          <w:spacing w:val="-2"/>
        </w:rPr>
        <w:t>占领市场制高点。处于一线城市的用户一般具有较高的经济能力，教育投入意愿强，具有较大的教育消费</w:t>
      </w:r>
      <w:r>
        <w:rPr>
          <w:spacing w:val="-66"/>
        </w:rPr>
        <w:t> </w:t>
      </w:r>
      <w:r>
        <w:rPr>
          <w:spacing w:val="-66"/>
        </w:rPr>
      </w:r>
      <w:r>
        <w:rPr>
          <w:spacing w:val="-2"/>
        </w:rPr>
        <w:t>挖掘潜力。通过提供网络出版服务，可以有效巩固现有用户的消费行为，形成稳固的消费习惯。借助网络</w:t>
      </w:r>
      <w:r>
        <w:rPr>
          <w:spacing w:val="-78"/>
        </w:rPr>
        <w:t> </w:t>
      </w:r>
      <w:r>
        <w:rPr>
          <w:spacing w:val="-78"/>
        </w:rPr>
      </w:r>
      <w:r>
        <w:rPr>
          <w:spacing w:val="-2"/>
        </w:rPr>
        <w:t>出版打破时间和空间的限制，能够为用户提供</w:t>
      </w:r>
      <w:r>
        <w:rPr>
          <w:rFonts w:ascii="Times New Roman" w:hAnsi="Times New Roman" w:cs="Times New Roman" w:eastAsia="Times New Roman" w:hint="default"/>
          <w:spacing w:val="-2"/>
        </w:rPr>
        <w:t>“</w:t>
      </w:r>
      <w:r>
        <w:rPr>
          <w:spacing w:val="-2"/>
        </w:rPr>
        <w:t>沉浸式</w:t>
      </w:r>
      <w:r>
        <w:rPr>
          <w:rFonts w:ascii="Times New Roman" w:hAnsi="Times New Roman" w:cs="Times New Roman" w:eastAsia="Times New Roman" w:hint="default"/>
          <w:spacing w:val="-2"/>
        </w:rPr>
        <w:t>”</w:t>
      </w:r>
      <w:r>
        <w:rPr>
          <w:spacing w:val="-2"/>
        </w:rPr>
        <w:t>的学习环境，更好地开展定制化的内容推送服务。</w:t>
      </w:r>
      <w:r>
        <w:rPr>
          <w:spacing w:val="-51"/>
        </w:rPr>
        <w:t> </w:t>
      </w:r>
      <w:r>
        <w:rPr>
          <w:spacing w:val="-51"/>
        </w:rPr>
      </w:r>
      <w:r>
        <w:rPr>
          <w:spacing w:val="-2"/>
        </w:rPr>
        <w:t>通过长达</w:t>
      </w:r>
      <w:r>
        <w:rPr>
          <w:rFonts w:ascii="Times New Roman" w:hAnsi="Times New Roman" w:cs="Times New Roman" w:eastAsia="Times New Roman" w:hint="default"/>
          <w:spacing w:val="-2"/>
        </w:rPr>
        <w:t>20</w:t>
      </w:r>
      <w:r>
        <w:rPr>
          <w:spacing w:val="-2"/>
        </w:rPr>
        <w:t>多年的用户积累和使用习惯的培养，方直科技已经拥有了稳定的用户群体，方直科技市场</w:t>
      </w:r>
    </w:p>
    <w:p>
      <w:pPr>
        <w:pStyle w:val="BodyText"/>
        <w:spacing w:line="240" w:lineRule="auto" w:before="21"/>
        <w:ind w:right="0"/>
        <w:jc w:val="both"/>
      </w:pPr>
      <w:r>
        <w:rPr/>
        <w:t>已涉及</w:t>
      </w:r>
      <w:r>
        <w:rPr>
          <w:rFonts w:ascii="Times New Roman" w:hAnsi="Times New Roman" w:cs="Times New Roman" w:eastAsia="Times New Roman" w:hint="default"/>
        </w:rPr>
        <w:t>30</w:t>
      </w:r>
      <w:r>
        <w:rPr/>
        <w:t>个省（直辖市），覆盖到全国</w:t>
      </w:r>
      <w:r>
        <w:rPr>
          <w:rFonts w:ascii="Times New Roman" w:hAnsi="Times New Roman" w:cs="Times New Roman" w:eastAsia="Times New Roman" w:hint="default"/>
        </w:rPr>
        <w:t>100</w:t>
      </w:r>
      <w:r>
        <w:rPr/>
        <w:t>多个城市，受益用户数量超过了</w:t>
      </w:r>
      <w:r>
        <w:rPr>
          <w:rFonts w:ascii="Times New Roman" w:hAnsi="Times New Roman" w:cs="Times New Roman" w:eastAsia="Times New Roman" w:hint="default"/>
        </w:rPr>
        <w:t>6000</w:t>
      </w:r>
      <w:r>
        <w:rPr/>
        <w:t>万人。</w:t>
      </w:r>
    </w:p>
    <w:p>
      <w:pPr>
        <w:pStyle w:val="BodyText"/>
        <w:spacing w:line="386" w:lineRule="auto" w:before="177"/>
        <w:ind w:left="573" w:right="995"/>
        <w:jc w:val="left"/>
      </w:pPr>
      <w:r>
        <w:rPr>
          <w:rFonts w:ascii="Times New Roman" w:hAnsi="Times New Roman" w:cs="Times New Roman" w:eastAsia="Times New Roman" w:hint="default"/>
        </w:rPr>
        <w:t>2</w:t>
      </w:r>
      <w:r>
        <w:rPr/>
        <w:t>、核心人才优势</w:t>
      </w:r>
      <w:r>
        <w:rPr>
          <w:w w:val="100"/>
        </w:rPr>
        <w:t> </w:t>
      </w:r>
      <w:r>
        <w:rPr>
          <w:spacing w:val="-2"/>
        </w:rPr>
        <w:t>公司始终坚持“员工是公司最大的财富”的核心价值观，在文化和制度设计上，积极围绕企业发展、</w:t>
      </w:r>
    </w:p>
    <w:p>
      <w:pPr>
        <w:pStyle w:val="BodyText"/>
        <w:spacing w:line="408" w:lineRule="auto" w:before="65"/>
        <w:ind w:right="1021"/>
        <w:jc w:val="both"/>
      </w:pPr>
      <w:r>
        <w:rPr>
          <w:spacing w:val="-2"/>
        </w:rPr>
        <w:t>员工特点以及个体内的需求，将人才培养与发展作为公司及各级管理者的核心工作之一，不断激发员工成</w:t>
      </w:r>
      <w:r>
        <w:rPr>
          <w:spacing w:val="-44"/>
        </w:rPr>
        <w:t> </w:t>
      </w:r>
      <w:r>
        <w:rPr>
          <w:spacing w:val="-44"/>
        </w:rPr>
      </w:r>
      <w:r>
        <w:rPr>
          <w:spacing w:val="-2"/>
        </w:rPr>
        <w:t>长。公司对人才进行全盘梳理，将公司内部的人才管理与公司经营战略相匹配，较大程度提高公司的工作</w:t>
      </w:r>
      <w:r>
        <w:rPr>
          <w:spacing w:val="-43"/>
        </w:rPr>
        <w:t> </w:t>
      </w:r>
      <w:r>
        <w:rPr>
          <w:spacing w:val="-43"/>
        </w:rPr>
      </w:r>
      <w:r>
        <w:rPr>
          <w:spacing w:val="-2"/>
        </w:rPr>
        <w:t>组织能力。结合公司战略发展要求，针对核心人才、管理团队以及公司重点关注的人才队伍，公司制定了</w:t>
      </w:r>
      <w:r>
        <w:rPr>
          <w:spacing w:val="-50"/>
        </w:rPr>
        <w:t> </w:t>
      </w:r>
      <w:r>
        <w:rPr>
          <w:spacing w:val="-50"/>
        </w:rPr>
      </w:r>
      <w:r>
        <w:rPr>
          <w:spacing w:val="-2"/>
        </w:rPr>
        <w:t>人才培养计划体系，以“起航”、“远航”、“领航”三类计划人才为培养对象，基于不同群体的专项培</w:t>
      </w:r>
      <w:r>
        <w:rPr>
          <w:spacing w:val="-41"/>
        </w:rPr>
        <w:t> </w:t>
      </w:r>
      <w:r>
        <w:rPr>
          <w:spacing w:val="-41"/>
        </w:rPr>
      </w:r>
      <w:r>
        <w:rPr>
          <w:spacing w:val="-2"/>
        </w:rPr>
        <w:t>训、主题交流会、导师辅导、行动计划等培养计划，分析激励因子在工作环境中的使用，为公司识别、发</w:t>
      </w:r>
      <w:r>
        <w:rPr>
          <w:spacing w:val="-45"/>
        </w:rPr>
        <w:t> </w:t>
      </w:r>
      <w:r>
        <w:rPr>
          <w:spacing w:val="-45"/>
        </w:rPr>
      </w:r>
      <w:r>
        <w:rPr>
          <w:spacing w:val="-2"/>
        </w:rPr>
        <w:t>展和保留人才，助力企业不断完善的组织与人才架构，确保各类人才持续供给。同时搭配具有竞争力的薪</w:t>
      </w:r>
      <w:r>
        <w:rPr>
          <w:spacing w:val="-43"/>
        </w:rPr>
        <w:t> </w:t>
      </w:r>
      <w:r>
        <w:rPr>
          <w:spacing w:val="-43"/>
        </w:rPr>
      </w:r>
      <w:r>
        <w:rPr>
          <w:spacing w:val="-5"/>
        </w:rPr>
        <w:t>酬体系，通过完备的职级晋升发展通道，激发员工内生动力，推动企业内生人才持续发展战略目标的实现。</w:t>
      </w:r>
    </w:p>
    <w:p>
      <w:pPr>
        <w:pStyle w:val="BodyText"/>
        <w:spacing w:line="240" w:lineRule="auto"/>
        <w:ind w:left="573" w:right="995"/>
        <w:jc w:val="left"/>
      </w:pPr>
      <w:r>
        <w:rPr>
          <w:rFonts w:ascii="Times New Roman" w:hAnsi="Times New Roman" w:cs="Times New Roman" w:eastAsia="Times New Roman" w:hint="default"/>
        </w:rPr>
        <w:t>3</w:t>
      </w:r>
      <w:r>
        <w:rPr/>
        <w:t>、技术研发优势</w:t>
      </w:r>
    </w:p>
    <w:p>
      <w:pPr>
        <w:pStyle w:val="BodyText"/>
        <w:spacing w:line="405" w:lineRule="auto" w:before="177"/>
        <w:ind w:right="995" w:firstLine="420"/>
        <w:jc w:val="left"/>
      </w:pPr>
      <w:r>
        <w:rPr/>
        <w:t>公司始终秉承“人人分享优质教育”的使命</w:t>
      </w:r>
      <w:r>
        <w:rPr>
          <w:rFonts w:ascii="宋体" w:hAnsi="宋体" w:cs="宋体" w:eastAsia="宋体" w:hint="default"/>
        </w:rPr>
        <w:t>,</w:t>
      </w:r>
      <w:r>
        <w:rPr>
          <w:rFonts w:ascii="宋体" w:hAnsi="宋体" w:cs="宋体" w:eastAsia="宋体" w:hint="default"/>
          <w:spacing w:val="-15"/>
        </w:rPr>
        <w:t> </w:t>
      </w:r>
      <w:r>
        <w:rPr/>
        <w:t>坚持用科技创新推动教育均衡发展，始终保持对技术研</w:t>
      </w:r>
      <w:r>
        <w:rPr>
          <w:w w:val="100"/>
        </w:rPr>
        <w:t> </w:t>
      </w:r>
      <w:r>
        <w:rPr>
          <w:spacing w:val="-2"/>
        </w:rPr>
        <w:t>发领域的持续投入。凭借创新技术与专业服务，公司先后获取国家高新技术企业、国家动漫企业、深圳市</w:t>
      </w:r>
      <w:r>
        <w:rPr>
          <w:spacing w:val="-47"/>
        </w:rPr>
        <w:t> </w:t>
      </w:r>
      <w:r>
        <w:rPr>
          <w:spacing w:val="-47"/>
        </w:rPr>
      </w:r>
      <w:r>
        <w:rPr>
          <w:spacing w:val="-2"/>
        </w:rPr>
        <w:t>重点软件企业、重点文化企业等荣誉资质。公司拥有一支高素质、专业化的研发队伍，在大型互联网平台</w:t>
      </w:r>
      <w:r>
        <w:rPr>
          <w:spacing w:val="-50"/>
        </w:rPr>
        <w:t> </w:t>
      </w:r>
      <w:r>
        <w:rPr>
          <w:spacing w:val="-50"/>
        </w:rPr>
      </w:r>
      <w:r>
        <w:rPr>
          <w:spacing w:val="-2"/>
        </w:rPr>
        <w:t>架构能力、大数据处理能力、智能教学产品研发与运营等方面积累了较为丰富的技术实践经验，具备较强</w:t>
      </w:r>
      <w:r>
        <w:rPr>
          <w:spacing w:val="-43"/>
        </w:rPr>
        <w:t> </w:t>
      </w:r>
      <w:r>
        <w:rPr>
          <w:spacing w:val="-43"/>
        </w:rPr>
      </w:r>
      <w:r>
        <w:rPr>
          <w:spacing w:val="-5"/>
        </w:rPr>
        <w:t>的技术创新和产品研发及迭代能力。公司研发机构还包含了博士后创新实践基地、省级智能教学研究中心，</w:t>
      </w:r>
      <w:r>
        <w:rPr>
          <w:spacing w:val="-6"/>
        </w:rPr>
        <w:t> </w:t>
      </w:r>
      <w:r>
        <w:rPr>
          <w:spacing w:val="-6"/>
        </w:rPr>
      </w:r>
      <w:r>
        <w:rPr>
          <w:spacing w:val="-2"/>
        </w:rPr>
        <w:t>还组建了以海归博士后、研究员为核心的人工智能研究团队（全资子公司：木愚科技），专门从事人工智</w:t>
      </w:r>
      <w:r>
        <w:rPr>
          <w:spacing w:val="-43"/>
        </w:rPr>
        <w:t> </w:t>
      </w:r>
      <w:r>
        <w:rPr>
          <w:spacing w:val="-43"/>
        </w:rPr>
      </w:r>
      <w:r>
        <w:rPr/>
        <w:t>能</w:t>
      </w:r>
      <w:r>
        <w:rPr>
          <w:rFonts w:ascii="Times New Roman" w:hAnsi="Times New Roman" w:cs="Times New Roman" w:eastAsia="Times New Roman" w:hint="default"/>
        </w:rPr>
        <w:t>+</w:t>
      </w:r>
      <w:r>
        <w:rPr/>
        <w:t>教育相关研究。通过不断完善研发体系，公司进一步细化数据研究和产品开发分工，实现关键技术成</w:t>
      </w:r>
      <w:r>
        <w:rPr>
          <w:spacing w:val="-38"/>
        </w:rPr>
        <w:t> </w:t>
      </w:r>
      <w:r>
        <w:rPr>
          <w:spacing w:val="-38"/>
        </w:rPr>
      </w:r>
      <w:r>
        <w:rPr>
          <w:spacing w:val="-5"/>
        </w:rPr>
        <w:t>果成功转化，构建自主知识产权内容体系，巩固提升技术研发能力，优化升级教育信息化相关平台和产品，</w:t>
      </w:r>
      <w:r>
        <w:rPr>
          <w:spacing w:val="-6"/>
        </w:rPr>
        <w:t> </w:t>
      </w:r>
      <w:r>
        <w:rPr>
          <w:spacing w:val="-6"/>
        </w:rPr>
      </w:r>
      <w:r>
        <w:rPr/>
        <w:t>提升公司产品的核心竞争力。</w:t>
      </w:r>
    </w:p>
    <w:p>
      <w:pPr>
        <w:pStyle w:val="BodyText"/>
        <w:spacing w:line="386" w:lineRule="auto" w:before="48"/>
        <w:ind w:right="1126" w:firstLine="420"/>
        <w:jc w:val="both"/>
      </w:pPr>
      <w:r>
        <w:rPr>
          <w:rFonts w:ascii="Times New Roman" w:hAnsi="Times New Roman" w:cs="Times New Roman" w:eastAsia="Times New Roman" w:hint="default"/>
        </w:rPr>
        <w:t>4</w:t>
      </w:r>
      <w:r>
        <w:rPr/>
        <w:t>、方直课程教学研究院承担的课题</w:t>
      </w:r>
      <w:r>
        <w:rPr>
          <w:spacing w:val="32"/>
        </w:rPr>
        <w:t> </w:t>
      </w:r>
      <w:r>
        <w:rPr>
          <w:spacing w:val="-3"/>
        </w:rPr>
        <w:t>“智慧教学环境中大数据支持下的个性化教与学实践研究”，作</w:t>
      </w:r>
      <w:r>
        <w:rPr>
          <w:spacing w:val="-8"/>
          <w:w w:val="100"/>
        </w:rPr>
        <w:t> </w:t>
      </w:r>
      <w:r>
        <w:rPr>
          <w:spacing w:val="-2"/>
        </w:rPr>
        <w:t>为全国教育信息技术研究课题领导小组办公室批准立项的全国教育信息技术研究</w:t>
      </w:r>
      <w:r>
        <w:rPr>
          <w:rFonts w:ascii="Times New Roman" w:hAnsi="Times New Roman" w:cs="Times New Roman" w:eastAsia="Times New Roman" w:hint="default"/>
          <w:spacing w:val="-2"/>
        </w:rPr>
        <w:t>2017</w:t>
      </w:r>
      <w:r>
        <w:rPr>
          <w:spacing w:val="-2"/>
        </w:rPr>
        <w:t>年度重点课题。本课</w:t>
      </w:r>
      <w:r>
        <w:rPr>
          <w:spacing w:val="-41"/>
        </w:rPr>
        <w:t> </w:t>
      </w:r>
      <w:r>
        <w:rPr>
          <w:spacing w:val="-41"/>
        </w:rPr>
      </w:r>
      <w:r>
        <w:rPr>
          <w:spacing w:val="-1"/>
        </w:rPr>
        <w:t>题研究时间为三年（</w:t>
      </w:r>
      <w:r>
        <w:rPr>
          <w:rFonts w:ascii="Times New Roman" w:hAnsi="Times New Roman" w:cs="Times New Roman" w:eastAsia="Times New Roman" w:hint="default"/>
          <w:spacing w:val="-1"/>
        </w:rPr>
        <w:t>2018.4-2021.3</w:t>
      </w:r>
      <w:r>
        <w:rPr>
          <w:spacing w:val="-1"/>
        </w:rPr>
        <w:t>）。本课题立足教育信息化发展的前沿，以深入推进信息技术与教育教</w:t>
      </w:r>
      <w:r>
        <w:rPr>
          <w:spacing w:val="-47"/>
        </w:rPr>
        <w:t> </w:t>
      </w:r>
      <w:r>
        <w:rPr>
          <w:spacing w:val="-47"/>
        </w:rPr>
      </w:r>
      <w:r>
        <w:rPr>
          <w:spacing w:val="-2"/>
        </w:rPr>
        <w:t>学深度融合为目标，利用智慧环境、信息化设备、教育大数据等工具，旨在变革传统教学理念、模式和方</w:t>
      </w:r>
    </w:p>
    <w:p>
      <w:pPr>
        <w:spacing w:after="0" w:line="386"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left="693" w:right="0" w:hanging="420"/>
        <w:jc w:val="left"/>
      </w:pPr>
      <w:r>
        <w:rPr/>
        <w:t>法，探索教育信息化与现代学科教学工作相融发展的理念、模式、方法和策略，引领教育创新发展。</w:t>
      </w:r>
      <w:r>
        <w:rPr>
          <w:w w:val="100"/>
        </w:rPr>
        <w:t> </w:t>
      </w:r>
      <w:r>
        <w:rPr>
          <w:spacing w:val="-2"/>
        </w:rPr>
        <w:t>为了更好地开展课题研究，经全国教育信息技术研究课题领导小组办公室批准，在总课题下设子课题</w:t>
      </w:r>
    </w:p>
    <w:p>
      <w:pPr>
        <w:pStyle w:val="BodyText"/>
        <w:spacing w:line="398" w:lineRule="auto"/>
        <w:ind w:left="273" w:right="1126"/>
        <w:jc w:val="both"/>
      </w:pPr>
      <w:r>
        <w:rPr/>
        <w:t>开展研究，让一线教师参与到智慧环境下个性化教学研究中来，以此产生高水平的研究结果。目前已有</w:t>
      </w:r>
      <w:r>
        <w:rPr>
          <w:rFonts w:ascii="Times New Roman" w:hAnsi="Times New Roman" w:cs="Times New Roman" w:eastAsia="Times New Roman" w:hint="default"/>
        </w:rPr>
        <w:t>5</w:t>
      </w:r>
      <w:r>
        <w:rPr>
          <w:rFonts w:ascii="Times New Roman" w:hAnsi="Times New Roman" w:cs="Times New Roman" w:eastAsia="Times New Roman" w:hint="default"/>
          <w:spacing w:val="33"/>
        </w:rPr>
        <w:t> </w:t>
      </w:r>
      <w:r>
        <w:rPr>
          <w:spacing w:val="-2"/>
        </w:rPr>
        <w:t>个子课题参与到研究中，分别关于小学英语口语个性化教学研究，提高小学生英语听说能力研究，形成性</w:t>
      </w:r>
      <w:r>
        <w:rPr>
          <w:spacing w:val="-45"/>
        </w:rPr>
        <w:t> </w:t>
      </w:r>
      <w:r>
        <w:rPr>
          <w:spacing w:val="-45"/>
        </w:rPr>
      </w:r>
      <w:r>
        <w:rPr/>
        <w:t>评价在农村小学英语教学中应用研究，英语绘本与教材整合研究，优化对话教学情境研究。</w:t>
      </w:r>
    </w:p>
    <w:p>
      <w:pPr>
        <w:pStyle w:val="BodyText"/>
        <w:spacing w:line="398" w:lineRule="auto" w:before="54"/>
        <w:ind w:left="273" w:right="1126" w:firstLine="420"/>
        <w:jc w:val="both"/>
      </w:pPr>
      <w:r>
        <w:rPr>
          <w:spacing w:val="-2"/>
        </w:rPr>
        <w:t>本课题研究基于我司的</w:t>
      </w:r>
      <w:r>
        <w:rPr>
          <w:rFonts w:ascii="Times New Roman" w:hAnsi="Times New Roman" w:cs="Times New Roman" w:eastAsia="Times New Roman" w:hint="default"/>
          <w:spacing w:val="-2"/>
        </w:rPr>
        <w:t>“</w:t>
      </w:r>
      <w:r>
        <w:rPr>
          <w:spacing w:val="-2"/>
        </w:rPr>
        <w:t>优教学云平台和同步学软件</w:t>
      </w:r>
      <w:r>
        <w:rPr>
          <w:rFonts w:ascii="Times New Roman" w:hAnsi="Times New Roman" w:cs="Times New Roman" w:eastAsia="Times New Roman" w:hint="default"/>
          <w:spacing w:val="-2"/>
        </w:rPr>
        <w:t>”</w:t>
      </w:r>
      <w:r>
        <w:rPr>
          <w:spacing w:val="-2"/>
        </w:rPr>
        <w:t>开展，优教学云平台主要应用于教师端，同步学</w:t>
      </w:r>
      <w:r>
        <w:rPr>
          <w:w w:val="100"/>
        </w:rPr>
        <w:t> </w:t>
      </w:r>
      <w:r>
        <w:rPr>
          <w:spacing w:val="-2"/>
        </w:rPr>
        <w:t>软件主要基于学生端。在前期研究中，课题组研发的</w:t>
      </w:r>
      <w:r>
        <w:rPr>
          <w:rFonts w:ascii="Times New Roman" w:hAnsi="Times New Roman" w:cs="Times New Roman" w:eastAsia="Times New Roman" w:hint="default"/>
          <w:spacing w:val="-2"/>
        </w:rPr>
        <w:t>“</w:t>
      </w:r>
      <w:r>
        <w:rPr>
          <w:spacing w:val="-2"/>
        </w:rPr>
        <w:t>优教学云平台</w:t>
      </w:r>
      <w:r>
        <w:rPr>
          <w:rFonts w:ascii="Times New Roman" w:hAnsi="Times New Roman" w:cs="Times New Roman" w:eastAsia="Times New Roman" w:hint="default"/>
          <w:spacing w:val="-2"/>
        </w:rPr>
        <w:t>”</w:t>
      </w:r>
      <w:r>
        <w:rPr>
          <w:spacing w:val="-2"/>
        </w:rPr>
        <w:t>和同步学软件已投入使用，并取得一</w:t>
      </w:r>
      <w:r>
        <w:rPr>
          <w:spacing w:val="-18"/>
        </w:rPr>
        <w:t> </w:t>
      </w:r>
      <w:r>
        <w:rPr>
          <w:spacing w:val="-18"/>
        </w:rPr>
      </w:r>
      <w:r>
        <w:rPr>
          <w:spacing w:val="-2"/>
        </w:rPr>
        <w:t>定成效。通过本课题研究进一步验证与改善云平台功能。在课题实验校进行同步实验，并通过同步实验分</w:t>
      </w:r>
      <w:r>
        <w:rPr>
          <w:spacing w:val="-44"/>
        </w:rPr>
        <w:t> </w:t>
      </w:r>
      <w:r>
        <w:rPr>
          <w:spacing w:val="-44"/>
        </w:rPr>
      </w:r>
      <w:r>
        <w:rPr>
          <w:spacing w:val="-2"/>
        </w:rPr>
        <w:t>步骤改善效果，从而实现大规模成果应用，推动基础教育信息化进程，打造方直品牌课题，提升公司行业</w:t>
      </w:r>
      <w:r>
        <w:rPr>
          <w:spacing w:val="-50"/>
        </w:rPr>
        <w:t> </w:t>
      </w:r>
      <w:r>
        <w:rPr>
          <w:spacing w:val="-50"/>
        </w:rPr>
      </w:r>
      <w:r>
        <w:rPr/>
        <w:t>地位及竞争力。</w:t>
      </w:r>
    </w:p>
    <w:p>
      <w:pPr>
        <w:pStyle w:val="BodyText"/>
        <w:spacing w:line="386" w:lineRule="auto" w:before="54"/>
        <w:ind w:left="273" w:right="1109" w:firstLine="420"/>
        <w:jc w:val="both"/>
      </w:pPr>
      <w:r>
        <w:rPr/>
        <w:t>截至期末，公司共拥有软件著作权</w:t>
      </w:r>
      <w:r>
        <w:rPr>
          <w:rFonts w:ascii="Times New Roman" w:hAnsi="Times New Roman" w:cs="Times New Roman" w:eastAsia="Times New Roman" w:hint="default"/>
        </w:rPr>
        <w:t>91</w:t>
      </w:r>
      <w:r>
        <w:rPr/>
        <w:t>项，作品著作权</w:t>
      </w:r>
      <w:r>
        <w:rPr>
          <w:rFonts w:ascii="Times New Roman" w:hAnsi="Times New Roman" w:cs="Times New Roman" w:eastAsia="Times New Roman" w:hint="default"/>
        </w:rPr>
        <w:t>15</w:t>
      </w:r>
      <w:r>
        <w:rPr/>
        <w:t>项，外观专利</w:t>
      </w:r>
      <w:r>
        <w:rPr>
          <w:rFonts w:ascii="Times New Roman" w:hAnsi="Times New Roman" w:cs="Times New Roman" w:eastAsia="Times New Roman" w:hint="default"/>
        </w:rPr>
        <w:t>1</w:t>
      </w:r>
      <w:r>
        <w:rPr/>
        <w:t>项。其中公司报告期内新增软</w:t>
      </w:r>
      <w:r>
        <w:rPr>
          <w:w w:val="100"/>
        </w:rPr>
        <w:t> </w:t>
      </w:r>
      <w:r>
        <w:rPr>
          <w:spacing w:val="-2"/>
        </w:rPr>
        <w:t>件著作权</w:t>
      </w:r>
      <w:r>
        <w:rPr>
          <w:rFonts w:ascii="Times New Roman" w:hAnsi="Times New Roman" w:cs="Times New Roman" w:eastAsia="Times New Roman" w:hint="default"/>
          <w:spacing w:val="-2"/>
        </w:rPr>
        <w:t>11</w:t>
      </w:r>
      <w:r>
        <w:rPr>
          <w:spacing w:val="-2"/>
        </w:rPr>
        <w:t>项，新增作品著作权</w:t>
      </w:r>
      <w:r>
        <w:rPr>
          <w:rFonts w:ascii="Times New Roman" w:hAnsi="Times New Roman" w:cs="Times New Roman" w:eastAsia="Times New Roman" w:hint="default"/>
          <w:spacing w:val="-2"/>
        </w:rPr>
        <w:t>5</w:t>
      </w:r>
      <w:r>
        <w:rPr>
          <w:spacing w:val="-2"/>
        </w:rPr>
        <w:t>项。公司共拥有注册商标权</w:t>
      </w:r>
      <w:r>
        <w:rPr>
          <w:rFonts w:ascii="Times New Roman" w:hAnsi="Times New Roman" w:cs="Times New Roman" w:eastAsia="Times New Roman" w:hint="default"/>
          <w:spacing w:val="-2"/>
        </w:rPr>
        <w:t>31</w:t>
      </w:r>
      <w:r>
        <w:rPr>
          <w:spacing w:val="-2"/>
        </w:rPr>
        <w:t>项（其中方直科技</w:t>
      </w:r>
      <w:r>
        <w:rPr>
          <w:rFonts w:ascii="Times New Roman" w:hAnsi="Times New Roman" w:cs="Times New Roman" w:eastAsia="Times New Roman" w:hint="default"/>
          <w:spacing w:val="-2"/>
        </w:rPr>
        <w:t>24</w:t>
      </w:r>
      <w:r>
        <w:rPr>
          <w:spacing w:val="-2"/>
        </w:rPr>
        <w:t>项，木愚科技</w:t>
      </w:r>
      <w:r>
        <w:rPr>
          <w:rFonts w:ascii="Times New Roman" w:hAnsi="Times New Roman" w:cs="Times New Roman" w:eastAsia="Times New Roman" w:hint="default"/>
          <w:spacing w:val="-2"/>
        </w:rPr>
        <w:t>7</w:t>
      </w:r>
      <w:r>
        <w:rPr>
          <w:spacing w:val="-2"/>
        </w:rPr>
        <w:t>项），</w:t>
      </w:r>
      <w:r>
        <w:rPr>
          <w:spacing w:val="-21"/>
        </w:rPr>
        <w:t> </w:t>
      </w:r>
      <w:r>
        <w:rPr/>
        <w:t>其中公司报告期内新增</w:t>
      </w:r>
      <w:r>
        <w:rPr>
          <w:rFonts w:ascii="Times New Roman" w:hAnsi="Times New Roman" w:cs="Times New Roman" w:eastAsia="Times New Roman" w:hint="default"/>
        </w:rPr>
        <w:t>10</w:t>
      </w:r>
      <w:r>
        <w:rPr/>
        <w:t>项。</w:t>
      </w:r>
    </w:p>
    <w:p>
      <w:pPr>
        <w:pStyle w:val="BodyText"/>
        <w:spacing w:line="240" w:lineRule="auto" w:before="35"/>
        <w:ind w:left="693" w:right="0"/>
        <w:jc w:val="left"/>
      </w:pPr>
      <w:r>
        <w:rPr/>
        <w:t>报告期内新增</w:t>
      </w:r>
      <w:r>
        <w:rPr>
          <w:rFonts w:ascii="Times New Roman" w:hAnsi="Times New Roman" w:cs="Times New Roman" w:eastAsia="Times New Roman" w:hint="default"/>
        </w:rPr>
        <w:t>11</w:t>
      </w:r>
      <w:r>
        <w:rPr/>
        <w:t>项软件著作权如下：</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64"/>
        <w:gridCol w:w="2410"/>
        <w:gridCol w:w="869"/>
        <w:gridCol w:w="1400"/>
        <w:gridCol w:w="1294"/>
        <w:gridCol w:w="1419"/>
        <w:gridCol w:w="1995"/>
      </w:tblGrid>
      <w:tr>
        <w:trPr>
          <w:trHeight w:val="348"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著作权人</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著作权登记日</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权利取得方式</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证书号</w:t>
            </w:r>
          </w:p>
        </w:tc>
      </w:tr>
      <w:tr>
        <w:trPr>
          <w:trHeight w:val="658"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方直</w:t>
            </w:r>
            <w:r>
              <w:rPr>
                <w:rFonts w:ascii="Times New Roman" w:hAnsi="Times New Roman" w:cs="Times New Roman" w:eastAsia="Times New Roman" w:hint="default"/>
                <w:sz w:val="18"/>
                <w:szCs w:val="18"/>
              </w:rPr>
              <w:t>MOD</w:t>
            </w:r>
            <w:r>
              <w:rPr>
                <w:rFonts w:ascii="宋体" w:hAnsi="宋体" w:cs="宋体" w:eastAsia="宋体" w:hint="default"/>
                <w:sz w:val="18"/>
                <w:szCs w:val="18"/>
              </w:rPr>
              <w:t>综合服务平台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MOD</w:t>
            </w:r>
            <w:r>
              <w:rPr>
                <w:rFonts w:ascii="宋体" w:hAnsi="宋体" w:cs="宋体" w:eastAsia="宋体" w:hint="default"/>
                <w:sz w:val="18"/>
                <w:szCs w:val="18"/>
              </w:rPr>
              <w:t>平台</w:t>
            </w:r>
            <w:r>
              <w:rPr>
                <w:rFonts w:ascii="Times New Roman" w:hAnsi="Times New Roman" w:cs="Times New Roman" w:eastAsia="Times New Roman" w:hint="default"/>
                <w:sz w:val="18"/>
                <w:szCs w:val="18"/>
              </w:rPr>
              <w:t>]V1.0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2019-3-27</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2019SR0285583</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3706340</w:t>
            </w:r>
            <w:r>
              <w:rPr>
                <w:rFonts w:ascii="宋体" w:hAnsi="宋体" w:cs="宋体" w:eastAsia="宋体" w:hint="default"/>
                <w:sz w:val="18"/>
                <w:szCs w:val="18"/>
              </w:rPr>
              <w:t>号</w:t>
            </w:r>
          </w:p>
        </w:tc>
      </w:tr>
      <w:tr>
        <w:trPr>
          <w:trHeight w:val="660"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628" w:right="0" w:hanging="627"/>
              <w:jc w:val="left"/>
              <w:rPr>
                <w:rFonts w:ascii="Times New Roman" w:hAnsi="Times New Roman" w:cs="Times New Roman" w:eastAsia="Times New Roman" w:hint="default"/>
                <w:sz w:val="18"/>
                <w:szCs w:val="18"/>
              </w:rPr>
            </w:pPr>
            <w:r>
              <w:rPr>
                <w:rFonts w:ascii="宋体" w:hAnsi="宋体" w:cs="宋体" w:eastAsia="宋体" w:hint="default"/>
                <w:sz w:val="18"/>
                <w:szCs w:val="18"/>
              </w:rPr>
              <w:t>方直互动学习平台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简称：互动 学习平台</w:t>
            </w:r>
            <w:r>
              <w:rPr>
                <w:rFonts w:ascii="Times New Roman" w:hAnsi="Times New Roman" w:cs="Times New Roman" w:eastAsia="Times New Roman" w:hint="default"/>
                <w:sz w:val="18"/>
                <w:szCs w:val="18"/>
              </w:rPr>
              <w:t>]V1.0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2019-4-28</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2019SR0407777</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3828534</w:t>
            </w:r>
            <w:r>
              <w:rPr>
                <w:rFonts w:ascii="宋体" w:hAnsi="宋体" w:cs="宋体" w:eastAsia="宋体" w:hint="default"/>
                <w:sz w:val="18"/>
                <w:szCs w:val="18"/>
              </w:rPr>
              <w:t>号</w:t>
            </w:r>
          </w:p>
        </w:tc>
      </w:tr>
      <w:tr>
        <w:trPr>
          <w:trHeight w:val="658"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48" w:right="-10" w:hanging="447"/>
              <w:jc w:val="left"/>
              <w:rPr>
                <w:rFonts w:ascii="Times New Roman" w:hAnsi="Times New Roman" w:cs="Times New Roman" w:eastAsia="Times New Roman" w:hint="default"/>
                <w:sz w:val="18"/>
                <w:szCs w:val="18"/>
              </w:rPr>
            </w:pPr>
            <w:r>
              <w:rPr>
                <w:rFonts w:ascii="宋体" w:hAnsi="宋体" w:cs="宋体" w:eastAsia="宋体" w:hint="default"/>
                <w:sz w:val="18"/>
                <w:szCs w:val="18"/>
              </w:rPr>
              <w:t>金太阳老师小程序软件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 金太阳小程序</w:t>
            </w:r>
            <w:r>
              <w:rPr>
                <w:rFonts w:ascii="Times New Roman" w:hAnsi="Times New Roman" w:cs="Times New Roman" w:eastAsia="Times New Roman" w:hint="default"/>
                <w:sz w:val="18"/>
                <w:szCs w:val="18"/>
              </w:rPr>
              <w:t>]V1.0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2019-4-28</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2019SR0406455</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3827212</w:t>
            </w:r>
            <w:r>
              <w:rPr>
                <w:rFonts w:ascii="宋体" w:hAnsi="宋体" w:cs="宋体" w:eastAsia="宋体" w:hint="default"/>
                <w:sz w:val="18"/>
                <w:szCs w:val="18"/>
              </w:rPr>
              <w:t>号</w:t>
            </w:r>
          </w:p>
        </w:tc>
      </w:tr>
      <w:tr>
        <w:trPr>
          <w:trHeight w:val="972"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2"/>
              <w:ind w:left="26" w:right="27"/>
              <w:jc w:val="center"/>
              <w:rPr>
                <w:rFonts w:ascii="Times New Roman" w:hAnsi="Times New Roman" w:cs="Times New Roman" w:eastAsia="Times New Roman" w:hint="default"/>
                <w:sz w:val="18"/>
                <w:szCs w:val="18"/>
              </w:rPr>
            </w:pPr>
            <w:r>
              <w:rPr>
                <w:rFonts w:ascii="宋体" w:hAnsi="宋体" w:cs="宋体" w:eastAsia="宋体" w:hint="default"/>
                <w:sz w:val="18"/>
                <w:szCs w:val="18"/>
              </w:rPr>
              <w:t>金太阳小学英语点读小程序软 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简称：小学英语点读小程 序</w:t>
            </w:r>
            <w:r>
              <w:rPr>
                <w:rFonts w:ascii="Times New Roman" w:hAnsi="Times New Roman" w:cs="Times New Roman" w:eastAsia="Times New Roman" w:hint="default"/>
                <w:sz w:val="18"/>
                <w:szCs w:val="18"/>
              </w:rPr>
              <w:t>]V1.0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2019-4-28</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2019SR0406459</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3827216</w:t>
            </w:r>
            <w:r>
              <w:rPr>
                <w:rFonts w:ascii="宋体" w:hAnsi="宋体" w:cs="宋体" w:eastAsia="宋体" w:hint="default"/>
                <w:sz w:val="18"/>
                <w:szCs w:val="18"/>
              </w:rPr>
              <w:t>号</w:t>
            </w:r>
          </w:p>
        </w:tc>
      </w:tr>
      <w:tr>
        <w:trPr>
          <w:trHeight w:val="658"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7" w:right="0"/>
              <w:jc w:val="left"/>
              <w:rPr>
                <w:rFonts w:ascii="宋体" w:hAnsi="宋体" w:cs="宋体" w:eastAsia="宋体" w:hint="default"/>
                <w:sz w:val="18"/>
                <w:szCs w:val="18"/>
              </w:rPr>
            </w:pPr>
            <w:r>
              <w:rPr>
                <w:rFonts w:ascii="宋体" w:hAnsi="宋体" w:cs="宋体" w:eastAsia="宋体" w:hint="default"/>
                <w:sz w:val="18"/>
                <w:szCs w:val="18"/>
              </w:rPr>
              <w:t>金太阳小学语文小程序软件</w:t>
            </w:r>
          </w:p>
          <w:p>
            <w:pPr>
              <w:pStyle w:val="TableParagraph"/>
              <w:spacing w:line="240" w:lineRule="auto" w:before="76"/>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简称：小学语文小程序</w:t>
            </w:r>
            <w:r>
              <w:rPr>
                <w:rFonts w:ascii="Times New Roman" w:hAnsi="Times New Roman" w:cs="Times New Roman" w:eastAsia="Times New Roman" w:hint="default"/>
                <w:sz w:val="18"/>
                <w:szCs w:val="18"/>
              </w:rPr>
              <w:t>]V1.0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2019-4-28</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2019SR0405147</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3825904</w:t>
            </w:r>
            <w:r>
              <w:rPr>
                <w:rFonts w:ascii="宋体" w:hAnsi="宋体" w:cs="宋体" w:eastAsia="宋体" w:hint="default"/>
                <w:sz w:val="18"/>
                <w:szCs w:val="18"/>
              </w:rPr>
              <w:t>号</w:t>
            </w:r>
          </w:p>
        </w:tc>
      </w:tr>
      <w:tr>
        <w:trPr>
          <w:trHeight w:val="661"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金太阳小学英语圈小程序软件</w:t>
            </w:r>
          </w:p>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简称：小学英语圈</w:t>
            </w:r>
            <w:r>
              <w:rPr>
                <w:rFonts w:ascii="Times New Roman" w:hAnsi="Times New Roman" w:cs="Times New Roman" w:eastAsia="Times New Roman" w:hint="default"/>
                <w:sz w:val="18"/>
                <w:szCs w:val="18"/>
              </w:rPr>
              <w:t>]V1.0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2019-4-28</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2019SR0405107</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3825864</w:t>
            </w:r>
            <w:r>
              <w:rPr>
                <w:rFonts w:ascii="宋体" w:hAnsi="宋体" w:cs="宋体" w:eastAsia="宋体" w:hint="default"/>
                <w:sz w:val="18"/>
                <w:szCs w:val="18"/>
              </w:rPr>
              <w:t>号</w:t>
            </w:r>
          </w:p>
        </w:tc>
      </w:tr>
      <w:tr>
        <w:trPr>
          <w:trHeight w:val="660"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719" w:right="0" w:hanging="718"/>
              <w:jc w:val="left"/>
              <w:rPr>
                <w:rFonts w:ascii="Times New Roman" w:hAnsi="Times New Roman" w:cs="Times New Roman" w:eastAsia="Times New Roman" w:hint="default"/>
                <w:sz w:val="18"/>
                <w:szCs w:val="18"/>
              </w:rPr>
            </w:pPr>
            <w:r>
              <w:rPr>
                <w:rFonts w:ascii="宋体" w:hAnsi="宋体" w:cs="宋体" w:eastAsia="宋体" w:hint="default"/>
                <w:sz w:val="18"/>
                <w:szCs w:val="18"/>
              </w:rPr>
              <w:t>金太阳在线辅导平台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简称：在 线辅导</w:t>
            </w:r>
            <w:r>
              <w:rPr>
                <w:rFonts w:ascii="Times New Roman" w:hAnsi="Times New Roman" w:cs="Times New Roman" w:eastAsia="Times New Roman" w:hint="default"/>
                <w:sz w:val="18"/>
                <w:szCs w:val="18"/>
              </w:rPr>
              <w:t>]V1.0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2019-4-28</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2019SR0403682</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3824439</w:t>
            </w:r>
            <w:r>
              <w:rPr>
                <w:rFonts w:ascii="宋体" w:hAnsi="宋体" w:cs="宋体" w:eastAsia="宋体" w:hint="default"/>
                <w:sz w:val="18"/>
                <w:szCs w:val="18"/>
              </w:rPr>
              <w:t>号</w:t>
            </w:r>
          </w:p>
        </w:tc>
      </w:tr>
      <w:tr>
        <w:trPr>
          <w:trHeight w:val="658"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方直考试报名及成绩分析系统</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V1.0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2019-11-23</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2019SR1200078</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4620835</w:t>
            </w:r>
            <w:r>
              <w:rPr>
                <w:rFonts w:ascii="宋体" w:hAnsi="宋体" w:cs="宋体" w:eastAsia="宋体" w:hint="default"/>
                <w:sz w:val="18"/>
                <w:szCs w:val="18"/>
              </w:rPr>
              <w:t>号</w:t>
            </w:r>
          </w:p>
        </w:tc>
      </w:tr>
      <w:tr>
        <w:trPr>
          <w:trHeight w:val="660"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808" w:right="0" w:hanging="807"/>
              <w:jc w:val="left"/>
              <w:rPr>
                <w:rFonts w:ascii="Times New Roman" w:hAnsi="Times New Roman" w:cs="Times New Roman" w:eastAsia="Times New Roman" w:hint="default"/>
                <w:sz w:val="18"/>
                <w:szCs w:val="18"/>
              </w:rPr>
            </w:pPr>
            <w:r>
              <w:rPr>
                <w:rFonts w:ascii="宋体" w:hAnsi="宋体" w:cs="宋体" w:eastAsia="宋体" w:hint="default"/>
                <w:sz w:val="18"/>
                <w:szCs w:val="18"/>
              </w:rPr>
              <w:t>方直国学云平台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简称：国学云 平台</w:t>
            </w:r>
            <w:r>
              <w:rPr>
                <w:rFonts w:ascii="Times New Roman" w:hAnsi="Times New Roman" w:cs="Times New Roman" w:eastAsia="Times New Roman" w:hint="default"/>
                <w:sz w:val="18"/>
                <w:szCs w:val="18"/>
              </w:rPr>
              <w:t>]V1.0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2019-11-25</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2019SR1208886</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4629643</w:t>
            </w:r>
            <w:r>
              <w:rPr>
                <w:rFonts w:ascii="宋体" w:hAnsi="宋体" w:cs="宋体" w:eastAsia="宋体" w:hint="default"/>
                <w:sz w:val="18"/>
                <w:szCs w:val="18"/>
              </w:rPr>
              <w:t>号</w:t>
            </w:r>
          </w:p>
        </w:tc>
      </w:tr>
      <w:tr>
        <w:trPr>
          <w:trHeight w:val="660"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木愚三维形象智能驱动系统</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简称：三维形象智能驱动</w:t>
            </w:r>
            <w:r>
              <w:rPr>
                <w:rFonts w:ascii="Times New Roman" w:hAnsi="Times New Roman" w:cs="Times New Roman" w:eastAsia="Times New Roman" w:hint="default"/>
                <w:spacing w:val="-4"/>
                <w:sz w:val="18"/>
                <w:szCs w:val="18"/>
              </w:rPr>
              <w:t>V1.0]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木愚科技</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2019-11-25</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2019SR1209324</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4630081</w:t>
            </w:r>
            <w:r>
              <w:rPr>
                <w:rFonts w:ascii="宋体" w:hAnsi="宋体" w:cs="宋体" w:eastAsia="宋体" w:hint="default"/>
                <w:sz w:val="18"/>
                <w:szCs w:val="18"/>
              </w:rPr>
              <w:t>号</w:t>
            </w:r>
          </w:p>
        </w:tc>
      </w:tr>
    </w:tbl>
    <w:p>
      <w:pPr>
        <w:spacing w:after="0" w:line="240" w:lineRule="auto"/>
        <w:jc w:val="center"/>
        <w:rPr>
          <w:rFonts w:ascii="宋体" w:hAnsi="宋体" w:cs="宋体" w:eastAsia="宋体" w:hint="default"/>
          <w:sz w:val="18"/>
          <w:szCs w:val="18"/>
        </w:rPr>
        <w:sectPr>
          <w:pgSz w:w="11910" w:h="16840"/>
          <w:pgMar w:header="748" w:footer="979" w:top="1060" w:bottom="1160" w:left="860" w:right="0"/>
        </w:sectPr>
      </w:pPr>
    </w:p>
    <w:p>
      <w:pPr>
        <w:spacing w:line="240" w:lineRule="auto" w:before="4"/>
        <w:rPr>
          <w:rFonts w:ascii="宋体" w:hAnsi="宋体" w:cs="宋体" w:eastAsia="宋体" w:hint="default"/>
          <w:sz w:val="28"/>
          <w:szCs w:val="28"/>
        </w:rPr>
      </w:pPr>
      <w:r>
        <w:rPr/>
        <w:pict>
          <v:shape style="position:absolute;margin-left:158.050003pt;margin-top:296.499969pt;width:73.210299pt;height:33.3pt;mso-position-horizontal-relative:page;mso-position-vertical-relative:page;z-index:1144" type="#_x0000_t75" stroked="false">
            <v:imagedata r:id="rId14" o:title=""/>
          </v:shape>
        </w:pict>
      </w:r>
    </w:p>
    <w:tbl>
      <w:tblPr>
        <w:tblW w:w="0" w:type="auto"/>
        <w:jc w:val="left"/>
        <w:tblInd w:w="109" w:type="dxa"/>
        <w:tblLayout w:type="fixed"/>
        <w:tblCellMar>
          <w:top w:w="0" w:type="dxa"/>
          <w:left w:w="0" w:type="dxa"/>
          <w:bottom w:w="0" w:type="dxa"/>
          <w:right w:w="0" w:type="dxa"/>
        </w:tblCellMar>
        <w:tblLook w:val="01E0"/>
      </w:tblPr>
      <w:tblGrid>
        <w:gridCol w:w="564"/>
        <w:gridCol w:w="2410"/>
        <w:gridCol w:w="869"/>
        <w:gridCol w:w="1400"/>
        <w:gridCol w:w="1294"/>
        <w:gridCol w:w="1419"/>
        <w:gridCol w:w="1995"/>
      </w:tblGrid>
      <w:tr>
        <w:trPr>
          <w:trHeight w:val="660"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木愚虚拟形象智能设计系统</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V1.0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木愚科技</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2019-11-25</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2019SR1209328</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4630085</w:t>
            </w:r>
            <w:r>
              <w:rPr>
                <w:rFonts w:ascii="宋体" w:hAnsi="宋体" w:cs="宋体" w:eastAsia="宋体" w:hint="default"/>
                <w:sz w:val="18"/>
                <w:szCs w:val="18"/>
              </w:rPr>
              <w:t>号</w:t>
            </w:r>
          </w:p>
        </w:tc>
      </w:tr>
    </w:tbl>
    <w:p>
      <w:pPr>
        <w:spacing w:line="240" w:lineRule="auto" w:before="3"/>
        <w:rPr>
          <w:rFonts w:ascii="宋体" w:hAnsi="宋体" w:cs="宋体" w:eastAsia="宋体" w:hint="default"/>
          <w:sz w:val="14"/>
          <w:szCs w:val="14"/>
        </w:rPr>
      </w:pPr>
    </w:p>
    <w:p>
      <w:pPr>
        <w:pStyle w:val="BodyText"/>
        <w:spacing w:line="240" w:lineRule="auto" w:before="36"/>
        <w:ind w:left="693" w:right="0"/>
        <w:jc w:val="left"/>
      </w:pPr>
      <w:r>
        <w:rPr/>
        <w:pict>
          <v:shape style="position:absolute;margin-left:158.5pt;margin-top:85.5737pt;width:72.6pt;height:34.8pt;mso-position-horizontal-relative:page;mso-position-vertical-relative:paragraph;z-index:1120" type="#_x0000_t75" stroked="false">
            <v:imagedata r:id="rId15" o:title=""/>
          </v:shape>
        </w:pict>
      </w:r>
      <w:r>
        <w:rPr/>
        <w:pict>
          <v:group style="position:absolute;margin-left:49.68pt;margin-top:29.303717pt;width:496.35pt;height:592.8pt;mso-position-horizontal-relative:page;mso-position-vertical-relative:paragraph;z-index:-864160" coordorigin="994,586" coordsize="9927,11856">
            <v:shape style="position:absolute;left:3269;top:4812;width:1255;height:1183" type="#_x0000_t75" stroked="false">
              <v:imagedata r:id="rId16" o:title=""/>
            </v:shape>
            <v:group style="position:absolute;left:1001;top:4763;width:548;height:2" coordorigin="1001,4763" coordsize="548,2">
              <v:shape style="position:absolute;left:1001;top:4763;width:548;height:2" coordorigin="1001,4763" coordsize="548,0" path="m1001,4763l1548,4763e" filled="false" stroked="true" strokeweight=".72pt" strokecolor="#000000">
                <v:path arrowok="t"/>
              </v:shape>
            </v:group>
            <v:group style="position:absolute;left:1563;top:4763;width:982;height:2" coordorigin="1563,4763" coordsize="982,2">
              <v:shape style="position:absolute;left:1563;top:4763;width:982;height:2" coordorigin="1563,4763" coordsize="982,0" path="m1563,4763l2544,4763e" filled="false" stroked="true" strokeweight=".72pt" strokecolor="#000000">
                <v:path arrowok="t"/>
              </v:shape>
            </v:group>
            <v:group style="position:absolute;left:2559;top:4763;width:2679;height:2" coordorigin="2559,4763" coordsize="2679,2">
              <v:shape style="position:absolute;left:2559;top:4763;width:2679;height:2" coordorigin="2559,4763" coordsize="2679,0" path="m2559,4763l5238,4763e" filled="false" stroked="true" strokeweight=".72pt" strokecolor="#000000">
                <v:path arrowok="t"/>
              </v:shape>
            </v:group>
            <v:group style="position:absolute;left:5252;top:4763;width:1098;height:2" coordorigin="5252,4763" coordsize="1098,2">
              <v:shape style="position:absolute;left:5252;top:4763;width:1098;height:2" coordorigin="5252,4763" coordsize="1098,0" path="m5252,4763l6349,4763e" filled="false" stroked="true" strokeweight=".72pt" strokecolor="#000000">
                <v:path arrowok="t"/>
              </v:shape>
            </v:group>
            <v:group style="position:absolute;left:6364;top:4763;width:1181;height:2" coordorigin="6364,4763" coordsize="1181,2">
              <v:shape style="position:absolute;left:6364;top:4763;width:1181;height:2" coordorigin="6364,4763" coordsize="1181,0" path="m6364,4763l7545,4763e" filled="false" stroked="true" strokeweight=".72pt" strokecolor="#000000">
                <v:path arrowok="t"/>
              </v:shape>
            </v:group>
            <v:group style="position:absolute;left:7559;top:4763;width:3347;height:2" coordorigin="7559,4763" coordsize="3347,2">
              <v:shape style="position:absolute;left:7559;top:4763;width:3347;height:2" coordorigin="7559,4763" coordsize="3347,0" path="m7559,4763l10906,4763e" filled="false" stroked="true" strokeweight=".72pt" strokecolor="#000000">
                <v:path arrowok="t"/>
              </v:shape>
            </v:group>
            <v:group style="position:absolute;left:1001;top:6044;width:548;height:2" coordorigin="1001,6044" coordsize="548,2">
              <v:shape style="position:absolute;left:1001;top:6044;width:548;height:2" coordorigin="1001,6044" coordsize="548,0" path="m1001,6044l1548,6044e" filled="false" stroked="true" strokeweight=".72pt" strokecolor="#000000">
                <v:path arrowok="t"/>
              </v:shape>
            </v:group>
            <v:group style="position:absolute;left:1563;top:6044;width:982;height:2" coordorigin="1563,6044" coordsize="982,2">
              <v:shape style="position:absolute;left:1563;top:6044;width:982;height:2" coordorigin="1563,6044" coordsize="982,0" path="m1563,6044l2544,6044e" filled="false" stroked="true" strokeweight=".72pt" strokecolor="#000000">
                <v:path arrowok="t"/>
              </v:shape>
              <v:shape style="position:absolute;left:2832;top:6098;width:2129;height:1181" type="#_x0000_t75" stroked="false">
                <v:imagedata r:id="rId17" o:title=""/>
              </v:shape>
            </v:group>
            <v:group style="position:absolute;left:2559;top:6044;width:2679;height:2" coordorigin="2559,6044" coordsize="2679,2">
              <v:shape style="position:absolute;left:2559;top:6044;width:2679;height:2" coordorigin="2559,6044" coordsize="2679,0" path="m2559,6044l5238,6044e" filled="false" stroked="true" strokeweight=".72pt" strokecolor="#000000">
                <v:path arrowok="t"/>
              </v:shape>
            </v:group>
            <v:group style="position:absolute;left:5252;top:6044;width:1098;height:2" coordorigin="5252,6044" coordsize="1098,2">
              <v:shape style="position:absolute;left:5252;top:6044;width:1098;height:2" coordorigin="5252,6044" coordsize="1098,0" path="m5252,6044l6349,6044e" filled="false" stroked="true" strokeweight=".72pt" strokecolor="#000000">
                <v:path arrowok="t"/>
              </v:shape>
            </v:group>
            <v:group style="position:absolute;left:6364;top:6044;width:1181;height:2" coordorigin="6364,6044" coordsize="1181,2">
              <v:shape style="position:absolute;left:6364;top:6044;width:1181;height:2" coordorigin="6364,6044" coordsize="1181,0" path="m6364,6044l7545,6044e" filled="false" stroked="true" strokeweight=".72pt" strokecolor="#000000">
                <v:path arrowok="t"/>
              </v:shape>
            </v:group>
            <v:group style="position:absolute;left:7559;top:6044;width:3347;height:2" coordorigin="7559,6044" coordsize="3347,2">
              <v:shape style="position:absolute;left:7559;top:6044;width:3347;height:2" coordorigin="7559,6044" coordsize="3347,0" path="m7559,6044l10906,6044e" filled="false" stroked="true" strokeweight=".72pt" strokecolor="#000000">
                <v:path arrowok="t"/>
              </v:shape>
            </v:group>
            <v:group style="position:absolute;left:1001;top:7329;width:548;height:2" coordorigin="1001,7329" coordsize="548,2">
              <v:shape style="position:absolute;left:1001;top:7329;width:548;height:2" coordorigin="1001,7329" coordsize="548,0" path="m1001,7329l1548,7329e" filled="false" stroked="true" strokeweight=".72pt" strokecolor="#000000">
                <v:path arrowok="t"/>
              </v:shape>
            </v:group>
            <v:group style="position:absolute;left:1563;top:7329;width:982;height:2" coordorigin="1563,7329" coordsize="982,2">
              <v:shape style="position:absolute;left:1563;top:7329;width:982;height:2" coordorigin="1563,7329" coordsize="982,0" path="m1563,7329l2544,7329e" filled="false" stroked="true" strokeweight=".72pt" strokecolor="#000000">
                <v:path arrowok="t"/>
              </v:shape>
            </v:group>
            <v:group style="position:absolute;left:2559;top:7329;width:2679;height:2" coordorigin="2559,7329" coordsize="2679,2">
              <v:shape style="position:absolute;left:2559;top:7329;width:2679;height:2" coordorigin="2559,7329" coordsize="2679,0" path="m2559,7329l5238,7329e" filled="false" stroked="true" strokeweight=".72pt" strokecolor="#000000">
                <v:path arrowok="t"/>
              </v:shape>
            </v:group>
            <v:group style="position:absolute;left:5252;top:7329;width:1098;height:2" coordorigin="5252,7329" coordsize="1098,2">
              <v:shape style="position:absolute;left:5252;top:7329;width:1098;height:2" coordorigin="5252,7329" coordsize="1098,0" path="m5252,7329l6349,7329e" filled="false" stroked="true" strokeweight=".72pt" strokecolor="#000000">
                <v:path arrowok="t"/>
              </v:shape>
            </v:group>
            <v:group style="position:absolute;left:6364;top:7329;width:1181;height:2" coordorigin="6364,7329" coordsize="1181,2">
              <v:shape style="position:absolute;left:6364;top:7329;width:1181;height:2" coordorigin="6364,7329" coordsize="1181,0" path="m6364,7329l7545,7329e" filled="false" stroked="true" strokeweight=".72pt" strokecolor="#000000">
                <v:path arrowok="t"/>
              </v:shape>
            </v:group>
            <v:group style="position:absolute;left:7559;top:7329;width:3347;height:2" coordorigin="7559,7329" coordsize="3347,2">
              <v:shape style="position:absolute;left:7559;top:7329;width:3347;height:2" coordorigin="7559,7329" coordsize="3347,0" path="m7559,7329l10906,7329e" filled="false" stroked="true" strokeweight=".72pt" strokecolor="#000000">
                <v:path arrowok="t"/>
              </v:shape>
            </v:group>
            <v:group style="position:absolute;left:1001;top:9234;width:548;height:2" coordorigin="1001,9234" coordsize="548,2">
              <v:shape style="position:absolute;left:1001;top:9234;width:548;height:2" coordorigin="1001,9234" coordsize="548,0" path="m1001,9234l1548,9234e" filled="false" stroked="true" strokeweight=".71997pt" strokecolor="#000000">
                <v:path arrowok="t"/>
              </v:shape>
            </v:group>
            <v:group style="position:absolute;left:1563;top:9234;width:982;height:2" coordorigin="1563,9234" coordsize="982,2">
              <v:shape style="position:absolute;left:1563;top:9234;width:982;height:2" coordorigin="1563,9234" coordsize="982,0" path="m1563,9234l2544,9234e" filled="false" stroked="true" strokeweight=".71997pt" strokecolor="#000000">
                <v:path arrowok="t"/>
              </v:shape>
            </v:group>
            <v:group style="position:absolute;left:2559;top:9234;width:2679;height:2" coordorigin="2559,9234" coordsize="2679,2">
              <v:shape style="position:absolute;left:2559;top:9234;width:2679;height:2" coordorigin="2559,9234" coordsize="2679,0" path="m2559,9234l5238,9234e" filled="false" stroked="true" strokeweight=".71997pt" strokecolor="#000000">
                <v:path arrowok="t"/>
              </v:shape>
            </v:group>
            <v:group style="position:absolute;left:5252;top:9234;width:1098;height:2" coordorigin="5252,9234" coordsize="1098,2">
              <v:shape style="position:absolute;left:5252;top:9234;width:1098;height:2" coordorigin="5252,9234" coordsize="1098,0" path="m5252,9234l6349,9234e" filled="false" stroked="true" strokeweight=".71997pt" strokecolor="#000000">
                <v:path arrowok="t"/>
              </v:shape>
            </v:group>
            <v:group style="position:absolute;left:6364;top:9234;width:1181;height:2" coordorigin="6364,9234" coordsize="1181,2">
              <v:shape style="position:absolute;left:6364;top:9234;width:1181;height:2" coordorigin="6364,9234" coordsize="1181,0" path="m6364,9234l7545,9234e" filled="false" stroked="true" strokeweight=".71997pt" strokecolor="#000000">
                <v:path arrowok="t"/>
              </v:shape>
            </v:group>
            <v:group style="position:absolute;left:7559;top:9234;width:3347;height:2" coordorigin="7559,9234" coordsize="3347,2">
              <v:shape style="position:absolute;left:7559;top:9234;width:3347;height:2" coordorigin="7559,9234" coordsize="3347,0" path="m7559,9234l10906,9234e" filled="false" stroked="true" strokeweight=".71997pt" strokecolor="#000000">
                <v:path arrowok="t"/>
              </v:shape>
              <v:shape style="position:absolute;left:2837;top:11184;width:2119;height:1200" type="#_x0000_t75" stroked="false">
                <v:imagedata r:id="rId18" o:title=""/>
              </v:shape>
            </v:group>
            <v:group style="position:absolute;left:1001;top:11143;width:548;height:2" coordorigin="1001,11143" coordsize="548,2">
              <v:shape style="position:absolute;left:1001;top:11143;width:548;height:2" coordorigin="1001,11143" coordsize="548,0" path="m1001,11143l1548,11143e" filled="false" stroked="true" strokeweight=".71997pt" strokecolor="#000000">
                <v:path arrowok="t"/>
              </v:shape>
            </v:group>
            <v:group style="position:absolute;left:1563;top:11143;width:982;height:2" coordorigin="1563,11143" coordsize="982,2">
              <v:shape style="position:absolute;left:1563;top:11143;width:982;height:2" coordorigin="1563,11143" coordsize="982,0" path="m1563,11143l2544,11143e" filled="false" stroked="true" strokeweight=".71997pt" strokecolor="#000000">
                <v:path arrowok="t"/>
              </v:shape>
            </v:group>
            <v:group style="position:absolute;left:2559;top:11143;width:2679;height:2" coordorigin="2559,11143" coordsize="2679,2">
              <v:shape style="position:absolute;left:2559;top:11143;width:2679;height:2" coordorigin="2559,11143" coordsize="2679,0" path="m2559,11143l5238,11143e" filled="false" stroked="true" strokeweight=".71997pt" strokecolor="#000000">
                <v:path arrowok="t"/>
              </v:shape>
            </v:group>
            <v:group style="position:absolute;left:5252;top:11143;width:1098;height:2" coordorigin="5252,11143" coordsize="1098,2">
              <v:shape style="position:absolute;left:5252;top:11143;width:1098;height:2" coordorigin="5252,11143" coordsize="1098,0" path="m5252,11143l6349,11143e" filled="false" stroked="true" strokeweight=".71997pt" strokecolor="#000000">
                <v:path arrowok="t"/>
              </v:shape>
            </v:group>
            <v:group style="position:absolute;left:6364;top:11143;width:1181;height:2" coordorigin="6364,11143" coordsize="1181,2">
              <v:shape style="position:absolute;left:6364;top:11143;width:1181;height:2" coordorigin="6364,11143" coordsize="1181,0" path="m6364,11143l7545,11143e" filled="false" stroked="true" strokeweight=".71997pt" strokecolor="#000000">
                <v:path arrowok="t"/>
              </v:shape>
            </v:group>
            <v:group style="position:absolute;left:7559;top:11143;width:3347;height:2" coordorigin="7559,11143" coordsize="3347,2">
              <v:shape style="position:absolute;left:7559;top:11143;width:3347;height:2" coordorigin="7559,11143" coordsize="3347,0" path="m7559,11143l10906,11143e" filled="false" stroked="true" strokeweight=".71997pt" strokecolor="#000000">
                <v:path arrowok="t"/>
              </v:shape>
            </v:group>
            <v:group style="position:absolute;left:10913;top:593;width:2;height:11841" coordorigin="10913,593" coordsize="2,11841">
              <v:shape style="position:absolute;left:10913;top:593;width:2;height:11841" coordorigin="10913,593" coordsize="0,11841" path="m10913,593l10913,12434e" filled="false" stroked="true" strokeweight=".71997pt" strokecolor="#000000">
                <v:path arrowok="t"/>
              </v:shape>
            </v:group>
            <w10:wrap type="none"/>
          </v:group>
        </w:pict>
      </w:r>
      <w:r>
        <w:rPr/>
        <w:t>报告期内新增</w:t>
      </w:r>
      <w:r>
        <w:rPr>
          <w:rFonts w:ascii="Times New Roman" w:hAnsi="Times New Roman" w:cs="Times New Roman" w:eastAsia="Times New Roman" w:hint="default"/>
        </w:rPr>
        <w:t>10</w:t>
      </w:r>
      <w:r>
        <w:rPr/>
        <w:t>项注册商标权如下：</w:t>
      </w:r>
    </w:p>
    <w:p>
      <w:pPr>
        <w:spacing w:line="240" w:lineRule="auto" w:before="12"/>
        <w:rPr>
          <w:rFonts w:ascii="宋体" w:hAnsi="宋体" w:cs="宋体" w:eastAsia="宋体" w:hint="default"/>
          <w:sz w:val="20"/>
          <w:szCs w:val="20"/>
        </w:rPr>
      </w:pPr>
    </w:p>
    <w:tbl>
      <w:tblPr>
        <w:tblW w:w="0" w:type="auto"/>
        <w:jc w:val="left"/>
        <w:tblInd w:w="126" w:type="dxa"/>
        <w:tblLayout w:type="fixed"/>
        <w:tblCellMar>
          <w:top w:w="0" w:type="dxa"/>
          <w:left w:w="0" w:type="dxa"/>
          <w:bottom w:w="0" w:type="dxa"/>
          <w:right w:w="0" w:type="dxa"/>
        </w:tblCellMar>
        <w:tblLook w:val="01E0"/>
      </w:tblPr>
      <w:tblGrid>
        <w:gridCol w:w="562"/>
        <w:gridCol w:w="996"/>
        <w:gridCol w:w="2693"/>
        <w:gridCol w:w="1112"/>
        <w:gridCol w:w="1195"/>
        <w:gridCol w:w="3442"/>
      </w:tblGrid>
      <w:tr>
        <w:trPr>
          <w:trHeight w:val="346"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证书号</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商标图形</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申请类别</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有效期</w:t>
            </w:r>
          </w:p>
        </w:tc>
        <w:tc>
          <w:tcPr>
            <w:tcW w:w="34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1135" w:right="0"/>
              <w:jc w:val="left"/>
              <w:rPr>
                <w:rFonts w:ascii="宋体" w:hAnsi="宋体" w:cs="宋体" w:eastAsia="宋体" w:hint="default"/>
                <w:sz w:val="18"/>
                <w:szCs w:val="18"/>
              </w:rPr>
            </w:pPr>
            <w:r>
              <w:rPr>
                <w:rFonts w:ascii="宋体" w:hAnsi="宋体" w:cs="宋体" w:eastAsia="宋体" w:hint="default"/>
                <w:sz w:val="18"/>
                <w:szCs w:val="18"/>
              </w:rPr>
              <w:t>种类适用范围</w:t>
            </w:r>
          </w:p>
        </w:tc>
      </w:tr>
      <w:tr>
        <w:trPr>
          <w:trHeight w:val="331" w:hRule="exact"/>
        </w:trPr>
        <w:tc>
          <w:tcPr>
            <w:tcW w:w="562" w:type="dxa"/>
            <w:tcBorders>
              <w:top w:val="single" w:sz="6" w:space="0" w:color="000000"/>
              <w:left w:val="single" w:sz="6" w:space="0" w:color="000000"/>
              <w:bottom w:val="nil" w:sz="6" w:space="0" w:color="auto"/>
              <w:right w:val="single" w:sz="6" w:space="0" w:color="000000"/>
            </w:tcBorders>
          </w:tcPr>
          <w:p>
            <w:pPr/>
          </w:p>
        </w:tc>
        <w:tc>
          <w:tcPr>
            <w:tcW w:w="996" w:type="dxa"/>
            <w:tcBorders>
              <w:top w:val="single" w:sz="6" w:space="0" w:color="000000"/>
              <w:left w:val="single" w:sz="6" w:space="0" w:color="000000"/>
              <w:bottom w:val="nil" w:sz="6" w:space="0" w:color="auto"/>
              <w:right w:val="single" w:sz="6" w:space="0" w:color="000000"/>
            </w:tcBorders>
          </w:tcPr>
          <w:p>
            <w:pPr/>
          </w:p>
        </w:tc>
        <w:tc>
          <w:tcPr>
            <w:tcW w:w="2693" w:type="dxa"/>
            <w:tcBorders>
              <w:top w:val="single" w:sz="6" w:space="0" w:color="000000"/>
              <w:left w:val="single" w:sz="6" w:space="0" w:color="000000"/>
              <w:bottom w:val="nil" w:sz="6" w:space="0" w:color="auto"/>
              <w:right w:val="single" w:sz="6" w:space="0" w:color="000000"/>
            </w:tcBorders>
          </w:tcPr>
          <w:p>
            <w:pPr/>
          </w:p>
        </w:tc>
        <w:tc>
          <w:tcPr>
            <w:tcW w:w="1112" w:type="dxa"/>
            <w:tcBorders>
              <w:top w:val="single" w:sz="6" w:space="0" w:color="000000"/>
              <w:left w:val="single" w:sz="6" w:space="0" w:color="000000"/>
              <w:bottom w:val="nil" w:sz="6" w:space="0" w:color="auto"/>
              <w:right w:val="single" w:sz="6" w:space="0" w:color="000000"/>
            </w:tcBorders>
          </w:tcPr>
          <w:p>
            <w:pPr/>
          </w:p>
        </w:tc>
        <w:tc>
          <w:tcPr>
            <w:tcW w:w="1195" w:type="dxa"/>
            <w:tcBorders>
              <w:top w:val="single" w:sz="6" w:space="0" w:color="000000"/>
              <w:left w:val="single" w:sz="6" w:space="0" w:color="000000"/>
              <w:bottom w:val="nil" w:sz="6" w:space="0" w:color="auto"/>
              <w:right w:val="single" w:sz="6" w:space="0" w:color="000000"/>
            </w:tcBorders>
          </w:tcPr>
          <w:p>
            <w:pPr/>
          </w:p>
        </w:tc>
        <w:tc>
          <w:tcPr>
            <w:tcW w:w="3442" w:type="dxa"/>
            <w:tcBorders>
              <w:top w:val="single" w:sz="6" w:space="0" w:color="000000"/>
              <w:left w:val="single" w:sz="6" w:space="0" w:color="000000"/>
              <w:bottom w:val="nil" w:sz="6" w:space="0" w:color="auto"/>
              <w:right w:val="nil" w:sz="6" w:space="0" w:color="auto"/>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计算机</w:t>
            </w:r>
            <w:r>
              <w:rPr>
                <w:rFonts w:ascii="宋体" w:hAnsi="宋体" w:cs="宋体" w:eastAsia="宋体" w:hint="default"/>
                <w:spacing w:val="-85"/>
                <w:sz w:val="18"/>
                <w:szCs w:val="18"/>
              </w:rPr>
              <w:t>；</w:t>
            </w:r>
            <w:r>
              <w:rPr>
                <w:rFonts w:ascii="宋体" w:hAnsi="宋体" w:cs="宋体" w:eastAsia="宋体" w:hint="default"/>
                <w:sz w:val="18"/>
                <w:szCs w:val="18"/>
              </w:rPr>
              <w:t>计算机外围设备</w:t>
            </w:r>
            <w:r>
              <w:rPr>
                <w:rFonts w:ascii="宋体" w:hAnsi="宋体" w:cs="宋体" w:eastAsia="宋体" w:hint="default"/>
                <w:spacing w:val="-85"/>
                <w:sz w:val="18"/>
                <w:szCs w:val="18"/>
              </w:rPr>
              <w:t>；</w:t>
            </w:r>
            <w:r>
              <w:rPr>
                <w:rFonts w:ascii="宋体" w:hAnsi="宋体" w:cs="宋体" w:eastAsia="宋体" w:hint="default"/>
                <w:sz w:val="18"/>
                <w:szCs w:val="18"/>
              </w:rPr>
              <w:t>计</w:t>
            </w:r>
            <w:r>
              <w:rPr>
                <w:rFonts w:ascii="宋体" w:hAnsi="宋体" w:cs="宋体" w:eastAsia="宋体" w:hint="default"/>
                <w:spacing w:val="-3"/>
                <w:sz w:val="18"/>
                <w:szCs w:val="18"/>
              </w:rPr>
              <w:t>算</w:t>
            </w:r>
            <w:r>
              <w:rPr>
                <w:rFonts w:ascii="宋体" w:hAnsi="宋体" w:cs="宋体" w:eastAsia="宋体" w:hint="default"/>
                <w:sz w:val="18"/>
                <w:szCs w:val="18"/>
              </w:rPr>
              <w:t>机游戏软件；</w:t>
            </w:r>
          </w:p>
        </w:tc>
      </w:tr>
      <w:tr>
        <w:trPr>
          <w:trHeight w:val="312" w:hRule="exact"/>
        </w:trPr>
        <w:tc>
          <w:tcPr>
            <w:tcW w:w="562" w:type="dxa"/>
            <w:tcBorders>
              <w:top w:val="nil" w:sz="6" w:space="0" w:color="auto"/>
              <w:left w:val="single" w:sz="6" w:space="0" w:color="000000"/>
              <w:bottom w:val="nil" w:sz="6" w:space="0" w:color="auto"/>
              <w:right w:val="single" w:sz="6" w:space="0" w:color="000000"/>
            </w:tcBorders>
          </w:tcPr>
          <w:p>
            <w:pPr/>
          </w:p>
        </w:tc>
        <w:tc>
          <w:tcPr>
            <w:tcW w:w="996"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95" w:type="dxa"/>
            <w:tcBorders>
              <w:top w:val="nil" w:sz="6" w:space="0" w:color="auto"/>
              <w:left w:val="single" w:sz="6" w:space="0" w:color="000000"/>
              <w:bottom w:val="nil" w:sz="6" w:space="0" w:color="auto"/>
              <w:right w:val="single" w:sz="6" w:space="0" w:color="000000"/>
            </w:tcBorders>
          </w:tcPr>
          <w:p>
            <w:pPr/>
          </w:p>
        </w:tc>
        <w:tc>
          <w:tcPr>
            <w:tcW w:w="3442"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计算机用光盘驱动器；计算机软件（已录</w:t>
            </w:r>
          </w:p>
        </w:tc>
      </w:tr>
      <w:tr>
        <w:trPr>
          <w:trHeight w:val="312" w:hRule="exact"/>
        </w:trPr>
        <w:tc>
          <w:tcPr>
            <w:tcW w:w="562" w:type="dxa"/>
            <w:tcBorders>
              <w:top w:val="nil" w:sz="6" w:space="0" w:color="auto"/>
              <w:left w:val="single" w:sz="6" w:space="0" w:color="000000"/>
              <w:bottom w:val="nil" w:sz="6" w:space="0" w:color="auto"/>
              <w:right w:val="single" w:sz="6" w:space="0" w:color="000000"/>
            </w:tcBorders>
          </w:tcPr>
          <w:p>
            <w:pPr/>
          </w:p>
        </w:tc>
        <w:tc>
          <w:tcPr>
            <w:tcW w:w="996"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95" w:type="dxa"/>
            <w:tcBorders>
              <w:top w:val="nil" w:sz="6" w:space="0" w:color="auto"/>
              <w:left w:val="single" w:sz="6" w:space="0" w:color="000000"/>
              <w:bottom w:val="nil" w:sz="6" w:space="0" w:color="auto"/>
              <w:right w:val="single" w:sz="6" w:space="0" w:color="000000"/>
            </w:tcBorders>
          </w:tcPr>
          <w:p>
            <w:pPr/>
          </w:p>
        </w:tc>
        <w:tc>
          <w:tcPr>
            <w:tcW w:w="3442"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5"/>
                <w:sz w:val="18"/>
                <w:szCs w:val="18"/>
              </w:rPr>
              <w:t>制）；计算机程序（可下载软件）；已录制</w:t>
            </w:r>
          </w:p>
        </w:tc>
      </w:tr>
      <w:tr>
        <w:trPr>
          <w:trHeight w:val="317" w:hRule="exact"/>
        </w:trPr>
        <w:tc>
          <w:tcPr>
            <w:tcW w:w="562" w:type="dxa"/>
            <w:tcBorders>
              <w:top w:val="nil" w:sz="6" w:space="0" w:color="auto"/>
              <w:left w:val="single" w:sz="6" w:space="0" w:color="000000"/>
              <w:bottom w:val="nil" w:sz="6" w:space="0" w:color="auto"/>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w:t>
            </w:r>
          </w:p>
        </w:tc>
        <w:tc>
          <w:tcPr>
            <w:tcW w:w="996" w:type="dxa"/>
            <w:tcBorders>
              <w:top w:val="nil" w:sz="6" w:space="0" w:color="auto"/>
              <w:left w:val="single" w:sz="6" w:space="0" w:color="000000"/>
              <w:bottom w:val="nil" w:sz="6" w:space="0" w:color="auto"/>
              <w:right w:val="single" w:sz="6"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33460106</w:t>
            </w:r>
          </w:p>
        </w:tc>
        <w:tc>
          <w:tcPr>
            <w:tcW w:w="2693"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195" w:type="dxa"/>
            <w:tcBorders>
              <w:top w:val="nil" w:sz="6" w:space="0" w:color="auto"/>
              <w:left w:val="single" w:sz="6" w:space="0" w:color="000000"/>
              <w:bottom w:val="nil" w:sz="6" w:space="0" w:color="auto"/>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2029.05.13</w:t>
            </w:r>
          </w:p>
        </w:tc>
        <w:tc>
          <w:tcPr>
            <w:tcW w:w="3442"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的计算机程序；可下载的计算机应用软件；</w:t>
            </w:r>
          </w:p>
        </w:tc>
      </w:tr>
      <w:tr>
        <w:trPr>
          <w:trHeight w:val="307" w:hRule="exact"/>
        </w:trPr>
        <w:tc>
          <w:tcPr>
            <w:tcW w:w="562" w:type="dxa"/>
            <w:tcBorders>
              <w:top w:val="nil" w:sz="6" w:space="0" w:color="auto"/>
              <w:left w:val="single" w:sz="6" w:space="0" w:color="000000"/>
              <w:bottom w:val="nil" w:sz="6" w:space="0" w:color="auto"/>
              <w:right w:val="single" w:sz="6" w:space="0" w:color="000000"/>
            </w:tcBorders>
          </w:tcPr>
          <w:p>
            <w:pPr/>
          </w:p>
        </w:tc>
        <w:tc>
          <w:tcPr>
            <w:tcW w:w="996"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95" w:type="dxa"/>
            <w:tcBorders>
              <w:top w:val="nil" w:sz="6" w:space="0" w:color="auto"/>
              <w:left w:val="single" w:sz="6" w:space="0" w:color="000000"/>
              <w:bottom w:val="nil" w:sz="6" w:space="0" w:color="auto"/>
              <w:right w:val="single" w:sz="6" w:space="0" w:color="000000"/>
            </w:tcBorders>
          </w:tcPr>
          <w:p>
            <w:pPr/>
          </w:p>
        </w:tc>
        <w:tc>
          <w:tcPr>
            <w:tcW w:w="3442"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5"/>
                <w:sz w:val="18"/>
                <w:szCs w:val="18"/>
              </w:rPr>
              <w:t>光盘；电子字典；笔记本电脑；电子出版物</w:t>
            </w:r>
          </w:p>
        </w:tc>
      </w:tr>
      <w:tr>
        <w:trPr>
          <w:trHeight w:val="312" w:hRule="exact"/>
        </w:trPr>
        <w:tc>
          <w:tcPr>
            <w:tcW w:w="562" w:type="dxa"/>
            <w:tcBorders>
              <w:top w:val="nil" w:sz="6" w:space="0" w:color="auto"/>
              <w:left w:val="single" w:sz="6" w:space="0" w:color="000000"/>
              <w:bottom w:val="nil" w:sz="6" w:space="0" w:color="auto"/>
              <w:right w:val="single" w:sz="6" w:space="0" w:color="000000"/>
            </w:tcBorders>
          </w:tcPr>
          <w:p>
            <w:pPr/>
          </w:p>
        </w:tc>
        <w:tc>
          <w:tcPr>
            <w:tcW w:w="996"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95" w:type="dxa"/>
            <w:tcBorders>
              <w:top w:val="nil" w:sz="6" w:space="0" w:color="auto"/>
              <w:left w:val="single" w:sz="6" w:space="0" w:color="000000"/>
              <w:bottom w:val="nil" w:sz="6" w:space="0" w:color="auto"/>
              <w:right w:val="single" w:sz="6" w:space="0" w:color="000000"/>
            </w:tcBorders>
          </w:tcPr>
          <w:p>
            <w:pPr/>
          </w:p>
        </w:tc>
        <w:tc>
          <w:tcPr>
            <w:tcW w:w="3442"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5"/>
                <w:sz w:val="18"/>
                <w:szCs w:val="18"/>
              </w:rPr>
              <w:t>（可下载）；已录制的计算机操作程序（截</w:t>
            </w:r>
          </w:p>
        </w:tc>
      </w:tr>
      <w:tr>
        <w:trPr>
          <w:trHeight w:val="329" w:hRule="exact"/>
        </w:trPr>
        <w:tc>
          <w:tcPr>
            <w:tcW w:w="562" w:type="dxa"/>
            <w:tcBorders>
              <w:top w:val="nil" w:sz="6" w:space="0" w:color="auto"/>
              <w:left w:val="single" w:sz="6" w:space="0" w:color="000000"/>
              <w:bottom w:val="single" w:sz="6" w:space="0" w:color="000000"/>
              <w:right w:val="single" w:sz="6" w:space="0" w:color="000000"/>
            </w:tcBorders>
          </w:tcPr>
          <w:p>
            <w:pPr/>
          </w:p>
        </w:tc>
        <w:tc>
          <w:tcPr>
            <w:tcW w:w="996" w:type="dxa"/>
            <w:tcBorders>
              <w:top w:val="nil" w:sz="6" w:space="0" w:color="auto"/>
              <w:left w:val="single" w:sz="6" w:space="0" w:color="000000"/>
              <w:bottom w:val="single" w:sz="6" w:space="0" w:color="000000"/>
              <w:right w:val="single" w:sz="6" w:space="0" w:color="000000"/>
            </w:tcBorders>
          </w:tcPr>
          <w:p>
            <w:pPr/>
          </w:p>
        </w:tc>
        <w:tc>
          <w:tcPr>
            <w:tcW w:w="2693" w:type="dxa"/>
            <w:tcBorders>
              <w:top w:val="nil" w:sz="6" w:space="0" w:color="auto"/>
              <w:left w:val="single" w:sz="6" w:space="0" w:color="000000"/>
              <w:bottom w:val="single" w:sz="6" w:space="0" w:color="000000"/>
              <w:right w:val="single" w:sz="6" w:space="0" w:color="000000"/>
            </w:tcBorders>
          </w:tcPr>
          <w:p>
            <w:pPr/>
          </w:p>
        </w:tc>
        <w:tc>
          <w:tcPr>
            <w:tcW w:w="1112" w:type="dxa"/>
            <w:tcBorders>
              <w:top w:val="nil" w:sz="6" w:space="0" w:color="auto"/>
              <w:left w:val="single" w:sz="6" w:space="0" w:color="000000"/>
              <w:bottom w:val="single" w:sz="6" w:space="0" w:color="000000"/>
              <w:right w:val="single" w:sz="6" w:space="0" w:color="000000"/>
            </w:tcBorders>
          </w:tcPr>
          <w:p>
            <w:pPr/>
          </w:p>
        </w:tc>
        <w:tc>
          <w:tcPr>
            <w:tcW w:w="1195" w:type="dxa"/>
            <w:tcBorders>
              <w:top w:val="nil" w:sz="6" w:space="0" w:color="auto"/>
              <w:left w:val="single" w:sz="6" w:space="0" w:color="000000"/>
              <w:bottom w:val="single" w:sz="6" w:space="0" w:color="000000"/>
              <w:right w:val="single" w:sz="6" w:space="0" w:color="000000"/>
            </w:tcBorders>
          </w:tcPr>
          <w:p>
            <w:pPr/>
          </w:p>
        </w:tc>
        <w:tc>
          <w:tcPr>
            <w:tcW w:w="3442"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止）</w:t>
            </w:r>
          </w:p>
        </w:tc>
      </w:tr>
      <w:tr>
        <w:trPr>
          <w:trHeight w:val="329" w:hRule="exact"/>
        </w:trPr>
        <w:tc>
          <w:tcPr>
            <w:tcW w:w="562" w:type="dxa"/>
            <w:tcBorders>
              <w:top w:val="single" w:sz="6" w:space="0" w:color="000000"/>
              <w:left w:val="single" w:sz="6" w:space="0" w:color="000000"/>
              <w:bottom w:val="nil" w:sz="6" w:space="0" w:color="auto"/>
              <w:right w:val="single" w:sz="6" w:space="0" w:color="000000"/>
            </w:tcBorders>
          </w:tcPr>
          <w:p>
            <w:pPr/>
          </w:p>
        </w:tc>
        <w:tc>
          <w:tcPr>
            <w:tcW w:w="996" w:type="dxa"/>
            <w:tcBorders>
              <w:top w:val="single" w:sz="6" w:space="0" w:color="000000"/>
              <w:left w:val="single" w:sz="6" w:space="0" w:color="000000"/>
              <w:bottom w:val="nil" w:sz="6" w:space="0" w:color="auto"/>
              <w:right w:val="single" w:sz="6" w:space="0" w:color="000000"/>
            </w:tcBorders>
          </w:tcPr>
          <w:p>
            <w:pPr/>
          </w:p>
        </w:tc>
        <w:tc>
          <w:tcPr>
            <w:tcW w:w="2693" w:type="dxa"/>
            <w:tcBorders>
              <w:top w:val="single" w:sz="6" w:space="0" w:color="000000"/>
              <w:left w:val="single" w:sz="6" w:space="0" w:color="000000"/>
              <w:bottom w:val="nil" w:sz="6" w:space="0" w:color="auto"/>
              <w:right w:val="single" w:sz="6" w:space="0" w:color="000000"/>
            </w:tcBorders>
          </w:tcPr>
          <w:p>
            <w:pPr/>
          </w:p>
        </w:tc>
        <w:tc>
          <w:tcPr>
            <w:tcW w:w="1112" w:type="dxa"/>
            <w:tcBorders>
              <w:top w:val="single" w:sz="6" w:space="0" w:color="000000"/>
              <w:left w:val="single" w:sz="6" w:space="0" w:color="000000"/>
              <w:bottom w:val="nil" w:sz="6" w:space="0" w:color="auto"/>
              <w:right w:val="single" w:sz="6" w:space="0" w:color="000000"/>
            </w:tcBorders>
          </w:tcPr>
          <w:p>
            <w:pPr/>
          </w:p>
        </w:tc>
        <w:tc>
          <w:tcPr>
            <w:tcW w:w="1195" w:type="dxa"/>
            <w:tcBorders>
              <w:top w:val="single" w:sz="6" w:space="0" w:color="000000"/>
              <w:left w:val="single" w:sz="6" w:space="0" w:color="000000"/>
              <w:bottom w:val="nil" w:sz="6" w:space="0" w:color="auto"/>
              <w:right w:val="single" w:sz="6" w:space="0" w:color="000000"/>
            </w:tcBorders>
          </w:tcPr>
          <w:p>
            <w:pPr/>
          </w:p>
        </w:tc>
        <w:tc>
          <w:tcPr>
            <w:tcW w:w="3442" w:type="dxa"/>
            <w:tcBorders>
              <w:top w:val="single" w:sz="6" w:space="0" w:color="000000"/>
              <w:left w:val="single" w:sz="6" w:space="0" w:color="000000"/>
              <w:bottom w:val="nil" w:sz="6" w:space="0" w:color="auto"/>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把有形的数据或文件转换成电子媒体</w:t>
            </w:r>
            <w:r>
              <w:rPr>
                <w:rFonts w:ascii="宋体" w:hAnsi="宋体" w:cs="宋体" w:eastAsia="宋体" w:hint="default"/>
                <w:spacing w:val="-80"/>
                <w:sz w:val="18"/>
                <w:szCs w:val="18"/>
              </w:rPr>
              <w:t>；</w:t>
            </w:r>
            <w:r>
              <w:rPr>
                <w:rFonts w:ascii="宋体" w:hAnsi="宋体" w:cs="宋体" w:eastAsia="宋体" w:hint="default"/>
                <w:sz w:val="18"/>
                <w:szCs w:val="18"/>
              </w:rPr>
              <w:t>计算</w:t>
            </w:r>
          </w:p>
        </w:tc>
      </w:tr>
      <w:tr>
        <w:trPr>
          <w:trHeight w:val="312" w:hRule="exact"/>
        </w:trPr>
        <w:tc>
          <w:tcPr>
            <w:tcW w:w="562" w:type="dxa"/>
            <w:tcBorders>
              <w:top w:val="nil" w:sz="6" w:space="0" w:color="auto"/>
              <w:left w:val="single" w:sz="6" w:space="0" w:color="000000"/>
              <w:bottom w:val="nil" w:sz="6" w:space="0" w:color="auto"/>
              <w:right w:val="single" w:sz="6" w:space="0" w:color="000000"/>
            </w:tcBorders>
          </w:tcPr>
          <w:p>
            <w:pPr/>
          </w:p>
        </w:tc>
        <w:tc>
          <w:tcPr>
            <w:tcW w:w="996"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95" w:type="dxa"/>
            <w:tcBorders>
              <w:top w:val="nil" w:sz="6" w:space="0" w:color="auto"/>
              <w:left w:val="single" w:sz="6" w:space="0" w:color="000000"/>
              <w:bottom w:val="nil" w:sz="6" w:space="0" w:color="auto"/>
              <w:right w:val="single" w:sz="6" w:space="0" w:color="000000"/>
            </w:tcBorders>
          </w:tcPr>
          <w:p>
            <w:pPr/>
          </w:p>
        </w:tc>
        <w:tc>
          <w:tcPr>
            <w:tcW w:w="3442"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机编程</w:t>
            </w:r>
            <w:r>
              <w:rPr>
                <w:rFonts w:ascii="宋体" w:hAnsi="宋体" w:cs="宋体" w:eastAsia="宋体" w:hint="default"/>
                <w:spacing w:val="-85"/>
                <w:sz w:val="18"/>
                <w:szCs w:val="18"/>
              </w:rPr>
              <w:t>；</w:t>
            </w:r>
            <w:r>
              <w:rPr>
                <w:rFonts w:ascii="宋体" w:hAnsi="宋体" w:cs="宋体" w:eastAsia="宋体" w:hint="default"/>
                <w:sz w:val="18"/>
                <w:szCs w:val="18"/>
              </w:rPr>
              <w:t>计算机软件出租</w:t>
            </w:r>
            <w:r>
              <w:rPr>
                <w:rFonts w:ascii="宋体" w:hAnsi="宋体" w:cs="宋体" w:eastAsia="宋体" w:hint="default"/>
                <w:spacing w:val="-85"/>
                <w:sz w:val="18"/>
                <w:szCs w:val="18"/>
              </w:rPr>
              <w:t>；</w:t>
            </w:r>
            <w:r>
              <w:rPr>
                <w:rFonts w:ascii="宋体" w:hAnsi="宋体" w:cs="宋体" w:eastAsia="宋体" w:hint="default"/>
                <w:sz w:val="18"/>
                <w:szCs w:val="18"/>
              </w:rPr>
              <w:t>计</w:t>
            </w:r>
            <w:r>
              <w:rPr>
                <w:rFonts w:ascii="宋体" w:hAnsi="宋体" w:cs="宋体" w:eastAsia="宋体" w:hint="default"/>
                <w:spacing w:val="-3"/>
                <w:sz w:val="18"/>
                <w:szCs w:val="18"/>
              </w:rPr>
              <w:t>算</w:t>
            </w:r>
            <w:r>
              <w:rPr>
                <w:rFonts w:ascii="宋体" w:hAnsi="宋体" w:cs="宋体" w:eastAsia="宋体" w:hint="default"/>
                <w:sz w:val="18"/>
                <w:szCs w:val="18"/>
              </w:rPr>
              <w:t>机软件设计；</w:t>
            </w:r>
          </w:p>
        </w:tc>
      </w:tr>
      <w:tr>
        <w:trPr>
          <w:trHeight w:val="317" w:hRule="exact"/>
        </w:trPr>
        <w:tc>
          <w:tcPr>
            <w:tcW w:w="562" w:type="dxa"/>
            <w:tcBorders>
              <w:top w:val="nil" w:sz="6" w:space="0" w:color="auto"/>
              <w:left w:val="single" w:sz="6" w:space="0" w:color="000000"/>
              <w:bottom w:val="nil" w:sz="6" w:space="0" w:color="auto"/>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w:t>
            </w:r>
          </w:p>
        </w:tc>
        <w:tc>
          <w:tcPr>
            <w:tcW w:w="996" w:type="dxa"/>
            <w:tcBorders>
              <w:top w:val="nil" w:sz="6" w:space="0" w:color="auto"/>
              <w:left w:val="single" w:sz="6" w:space="0" w:color="000000"/>
              <w:bottom w:val="nil" w:sz="6" w:space="0" w:color="auto"/>
              <w:right w:val="single" w:sz="6"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33445363</w:t>
            </w:r>
          </w:p>
        </w:tc>
        <w:tc>
          <w:tcPr>
            <w:tcW w:w="2693"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195" w:type="dxa"/>
            <w:tcBorders>
              <w:top w:val="nil" w:sz="6" w:space="0" w:color="auto"/>
              <w:left w:val="single" w:sz="6" w:space="0" w:color="000000"/>
              <w:bottom w:val="nil" w:sz="6" w:space="0" w:color="auto"/>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2029.05.13</w:t>
            </w:r>
          </w:p>
        </w:tc>
        <w:tc>
          <w:tcPr>
            <w:tcW w:w="3442"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计算机软件维护和升级；计算机软件维护；</w:t>
            </w:r>
          </w:p>
        </w:tc>
      </w:tr>
      <w:tr>
        <w:trPr>
          <w:trHeight w:val="307" w:hRule="exact"/>
        </w:trPr>
        <w:tc>
          <w:tcPr>
            <w:tcW w:w="562" w:type="dxa"/>
            <w:tcBorders>
              <w:top w:val="nil" w:sz="6" w:space="0" w:color="auto"/>
              <w:left w:val="single" w:sz="6" w:space="0" w:color="000000"/>
              <w:bottom w:val="nil" w:sz="6" w:space="0" w:color="auto"/>
              <w:right w:val="single" w:sz="6" w:space="0" w:color="000000"/>
            </w:tcBorders>
          </w:tcPr>
          <w:p>
            <w:pPr/>
          </w:p>
        </w:tc>
        <w:tc>
          <w:tcPr>
            <w:tcW w:w="996"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95" w:type="dxa"/>
            <w:tcBorders>
              <w:top w:val="nil" w:sz="6" w:space="0" w:color="auto"/>
              <w:left w:val="single" w:sz="6" w:space="0" w:color="000000"/>
              <w:bottom w:val="nil" w:sz="6" w:space="0" w:color="auto"/>
              <w:right w:val="single" w:sz="6" w:space="0" w:color="000000"/>
            </w:tcBorders>
          </w:tcPr>
          <w:p>
            <w:pPr/>
          </w:p>
        </w:tc>
        <w:tc>
          <w:tcPr>
            <w:tcW w:w="3442" w:type="dxa"/>
            <w:tcBorders>
              <w:top w:val="nil" w:sz="6" w:space="0" w:color="auto"/>
              <w:left w:val="single" w:sz="6" w:space="0" w:color="000000"/>
              <w:bottom w:val="nil" w:sz="6" w:space="0" w:color="auto"/>
              <w:right w:val="nil" w:sz="6" w:space="0" w:color="auto"/>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5"/>
                <w:sz w:val="18"/>
                <w:szCs w:val="18"/>
              </w:rPr>
              <w:t>计算机软件咨询；计算机系统分析；计算机</w:t>
            </w:r>
          </w:p>
        </w:tc>
      </w:tr>
      <w:tr>
        <w:trPr>
          <w:trHeight w:val="246" w:hRule="exact"/>
        </w:trPr>
        <w:tc>
          <w:tcPr>
            <w:tcW w:w="562" w:type="dxa"/>
            <w:tcBorders>
              <w:top w:val="nil" w:sz="6" w:space="0" w:color="auto"/>
              <w:left w:val="single" w:sz="6" w:space="0" w:color="000000"/>
              <w:bottom w:val="nil" w:sz="6" w:space="0" w:color="auto"/>
              <w:right w:val="single" w:sz="6" w:space="0" w:color="000000"/>
            </w:tcBorders>
          </w:tcPr>
          <w:p>
            <w:pPr/>
          </w:p>
        </w:tc>
        <w:tc>
          <w:tcPr>
            <w:tcW w:w="996" w:type="dxa"/>
            <w:tcBorders>
              <w:top w:val="nil" w:sz="6" w:space="0" w:color="auto"/>
              <w:left w:val="single" w:sz="6" w:space="0" w:color="000000"/>
              <w:bottom w:val="nil" w:sz="6" w:space="0" w:color="auto"/>
              <w:right w:val="single" w:sz="6" w:space="0" w:color="000000"/>
            </w:tcBorders>
          </w:tcPr>
          <w:p>
            <w:pPr/>
          </w:p>
        </w:tc>
        <w:tc>
          <w:tcPr>
            <w:tcW w:w="2693" w:type="dxa"/>
            <w:tcBorders>
              <w:top w:val="nil" w:sz="6" w:space="0" w:color="auto"/>
              <w:left w:val="single" w:sz="6" w:space="0" w:color="000000"/>
              <w:bottom w:val="nil" w:sz="6" w:space="0" w:color="auto"/>
              <w:right w:val="single" w:sz="6" w:space="0" w:color="000000"/>
            </w:tcBorders>
          </w:tcPr>
          <w:p>
            <w:pPr/>
          </w:p>
        </w:tc>
        <w:tc>
          <w:tcPr>
            <w:tcW w:w="1112" w:type="dxa"/>
            <w:tcBorders>
              <w:top w:val="nil" w:sz="6" w:space="0" w:color="auto"/>
              <w:left w:val="single" w:sz="6" w:space="0" w:color="000000"/>
              <w:bottom w:val="nil" w:sz="6" w:space="0" w:color="auto"/>
              <w:right w:val="single" w:sz="6" w:space="0" w:color="000000"/>
            </w:tcBorders>
          </w:tcPr>
          <w:p>
            <w:pPr/>
          </w:p>
        </w:tc>
        <w:tc>
          <w:tcPr>
            <w:tcW w:w="1195" w:type="dxa"/>
            <w:tcBorders>
              <w:top w:val="nil" w:sz="6" w:space="0" w:color="auto"/>
              <w:left w:val="single" w:sz="6" w:space="0" w:color="000000"/>
              <w:bottom w:val="nil" w:sz="6" w:space="0" w:color="auto"/>
              <w:right w:val="single" w:sz="6" w:space="0" w:color="000000"/>
            </w:tcBorders>
          </w:tcPr>
          <w:p>
            <w:pPr/>
          </w:p>
        </w:tc>
        <w:tc>
          <w:tcPr>
            <w:tcW w:w="3442"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系统设计；提供互联网搜索引擎（截止）</w:t>
            </w:r>
          </w:p>
        </w:tc>
      </w:tr>
      <w:tr>
        <w:trPr>
          <w:trHeight w:val="7749" w:hRule="exact"/>
        </w:trPr>
        <w:tc>
          <w:tcPr>
            <w:tcW w:w="562"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996"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32" w:right="0"/>
              <w:jc w:val="left"/>
              <w:rPr>
                <w:rFonts w:ascii="Times New Roman" w:hAnsi="Times New Roman" w:cs="Times New Roman" w:eastAsia="Times New Roman" w:hint="default"/>
                <w:sz w:val="18"/>
                <w:szCs w:val="18"/>
              </w:rPr>
            </w:pPr>
            <w:r>
              <w:rPr>
                <w:rFonts w:ascii="Times New Roman"/>
                <w:sz w:val="18"/>
              </w:rPr>
              <w:t>27234622</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32" w:right="0"/>
              <w:jc w:val="left"/>
              <w:rPr>
                <w:rFonts w:ascii="Times New Roman" w:hAnsi="Times New Roman" w:cs="Times New Roman" w:eastAsia="Times New Roman" w:hint="default"/>
                <w:sz w:val="18"/>
                <w:szCs w:val="18"/>
              </w:rPr>
            </w:pPr>
            <w:r>
              <w:rPr>
                <w:rFonts w:ascii="Times New Roman"/>
                <w:sz w:val="18"/>
              </w:rPr>
              <w:t>37370789</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37382686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37372303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37375916</w:t>
            </w:r>
          </w:p>
        </w:tc>
        <w:tc>
          <w:tcPr>
            <w:tcW w:w="2693"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1755" w:lineRule="exact"/>
              <w:ind w:left="273" w:right="0"/>
              <w:jc w:val="left"/>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1353032" cy="1114710"/>
                  <wp:effectExtent l="0" t="0" r="0" b="0"/>
                  <wp:docPr id="3" name="image8.jpeg" descr=""/>
                  <wp:cNvGraphicFramePr>
                    <a:graphicFrameLocks noChangeAspect="1"/>
                  </wp:cNvGraphicFramePr>
                  <a:graphic>
                    <a:graphicData uri="http://schemas.openxmlformats.org/drawingml/2006/picture">
                      <pic:pic>
                        <pic:nvPicPr>
                          <pic:cNvPr id="4" name="image8.jpeg"/>
                          <pic:cNvPicPr/>
                        </pic:nvPicPr>
                        <pic:blipFill>
                          <a:blip r:embed="rId19" cstate="print"/>
                          <a:stretch>
                            <a:fillRect/>
                          </a:stretch>
                        </pic:blipFill>
                        <pic:spPr>
                          <a:xfrm>
                            <a:off x="0" y="0"/>
                            <a:ext cx="1353032" cy="1114710"/>
                          </a:xfrm>
                          <a:prstGeom prst="rect">
                            <a:avLst/>
                          </a:prstGeom>
                        </pic:spPr>
                      </pic:pic>
                    </a:graphicData>
                  </a:graphic>
                </wp:inline>
              </w:drawing>
            </w:r>
            <w:r>
              <w:rPr>
                <w:rFonts w:ascii="宋体" w:hAnsi="宋体" w:cs="宋体" w:eastAsia="宋体" w:hint="default"/>
                <w:position w:val="-34"/>
                <w:sz w:val="20"/>
                <w:szCs w:val="20"/>
              </w:rPr>
            </w:r>
          </w:p>
          <w:p>
            <w:pPr>
              <w:pStyle w:val="TableParagraph"/>
              <w:spacing w:line="240" w:lineRule="auto" w:before="12"/>
              <w:ind w:right="0"/>
              <w:jc w:val="left"/>
              <w:rPr>
                <w:rFonts w:ascii="宋体" w:hAnsi="宋体" w:cs="宋体" w:eastAsia="宋体" w:hint="default"/>
                <w:sz w:val="12"/>
                <w:szCs w:val="12"/>
              </w:rPr>
            </w:pPr>
          </w:p>
          <w:p>
            <w:pPr>
              <w:pStyle w:val="TableParagraph"/>
              <w:spacing w:line="1720" w:lineRule="exact"/>
              <w:ind w:left="273" w:right="0"/>
              <w:jc w:val="left"/>
              <w:rPr>
                <w:rFonts w:ascii="宋体" w:hAnsi="宋体" w:cs="宋体" w:eastAsia="宋体" w:hint="default"/>
                <w:sz w:val="20"/>
                <w:szCs w:val="20"/>
              </w:rPr>
            </w:pPr>
            <w:r>
              <w:rPr>
                <w:rFonts w:ascii="宋体" w:hAnsi="宋体" w:cs="宋体" w:eastAsia="宋体" w:hint="default"/>
                <w:position w:val="-33"/>
                <w:sz w:val="20"/>
                <w:szCs w:val="20"/>
              </w:rPr>
              <w:drawing>
                <wp:inline distT="0" distB="0" distL="0" distR="0">
                  <wp:extent cx="1351286" cy="1092327"/>
                  <wp:effectExtent l="0" t="0" r="0" b="0"/>
                  <wp:docPr id="5" name="image9.jpeg" descr=""/>
                  <wp:cNvGraphicFramePr>
                    <a:graphicFrameLocks noChangeAspect="1"/>
                  </wp:cNvGraphicFramePr>
                  <a:graphic>
                    <a:graphicData uri="http://schemas.openxmlformats.org/drawingml/2006/picture">
                      <pic:pic>
                        <pic:nvPicPr>
                          <pic:cNvPr id="6" name="image9.jpeg"/>
                          <pic:cNvPicPr/>
                        </pic:nvPicPr>
                        <pic:blipFill>
                          <a:blip r:embed="rId20" cstate="print"/>
                          <a:stretch>
                            <a:fillRect/>
                          </a:stretch>
                        </pic:blipFill>
                        <pic:spPr>
                          <a:xfrm>
                            <a:off x="0" y="0"/>
                            <a:ext cx="1351286" cy="1092327"/>
                          </a:xfrm>
                          <a:prstGeom prst="rect">
                            <a:avLst/>
                          </a:prstGeom>
                        </pic:spPr>
                      </pic:pic>
                    </a:graphicData>
                  </a:graphic>
                </wp:inline>
              </w:drawing>
            </w:r>
            <w:r>
              <w:rPr>
                <w:rFonts w:ascii="宋体" w:hAnsi="宋体" w:cs="宋体" w:eastAsia="宋体" w:hint="default"/>
                <w:position w:val="-33"/>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tc>
        <w:tc>
          <w:tcPr>
            <w:tcW w:w="1112"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45</w:t>
            </w:r>
            <w:r>
              <w:rPr>
                <w:rFonts w:ascii="宋体" w:hAnsi="宋体" w:cs="宋体" w:eastAsia="宋体" w:hint="default"/>
                <w:sz w:val="18"/>
                <w:szCs w:val="18"/>
              </w:rPr>
              <w:t>类</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16</w:t>
            </w:r>
            <w:r>
              <w:rPr>
                <w:rFonts w:ascii="宋体" w:hAnsi="宋体" w:cs="宋体" w:eastAsia="宋体" w:hint="default"/>
                <w:sz w:val="18"/>
                <w:szCs w:val="18"/>
              </w:rPr>
              <w:t>类</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16</w:t>
            </w:r>
            <w:r>
              <w:rPr>
                <w:rFonts w:ascii="宋体" w:hAnsi="宋体" w:cs="宋体" w:eastAsia="宋体" w:hint="default"/>
                <w:sz w:val="18"/>
                <w:szCs w:val="18"/>
              </w:rPr>
              <w:t>类</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41</w:t>
            </w:r>
            <w:r>
              <w:rPr>
                <w:rFonts w:ascii="宋体" w:hAnsi="宋体" w:cs="宋体" w:eastAsia="宋体" w:hint="default"/>
                <w:sz w:val="18"/>
                <w:szCs w:val="18"/>
              </w:rPr>
              <w:t>类</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41</w:t>
            </w:r>
            <w:r>
              <w:rPr>
                <w:rFonts w:ascii="宋体" w:hAnsi="宋体" w:cs="宋体" w:eastAsia="宋体" w:hint="default"/>
                <w:sz w:val="18"/>
                <w:szCs w:val="18"/>
              </w:rPr>
              <w:t>类</w:t>
            </w:r>
          </w:p>
        </w:tc>
        <w:tc>
          <w:tcPr>
            <w:tcW w:w="1195"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87" w:right="0"/>
              <w:jc w:val="left"/>
              <w:rPr>
                <w:rFonts w:ascii="Times New Roman" w:hAnsi="Times New Roman" w:cs="Times New Roman" w:eastAsia="Times New Roman" w:hint="default"/>
                <w:sz w:val="18"/>
                <w:szCs w:val="18"/>
              </w:rPr>
            </w:pPr>
            <w:r>
              <w:rPr>
                <w:rFonts w:ascii="Times New Roman"/>
                <w:sz w:val="18"/>
              </w:rPr>
              <w:t>2029.10.13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87" w:right="0"/>
              <w:jc w:val="left"/>
              <w:rPr>
                <w:rFonts w:ascii="Times New Roman" w:hAnsi="Times New Roman" w:cs="Times New Roman" w:eastAsia="Times New Roman" w:hint="default"/>
                <w:sz w:val="18"/>
                <w:szCs w:val="18"/>
              </w:rPr>
            </w:pPr>
            <w:r>
              <w:rPr>
                <w:rFonts w:ascii="Times New Roman"/>
                <w:sz w:val="18"/>
              </w:rPr>
              <w:t>2029.12.13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2029.12.13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2029.12.20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2029.12.20</w:t>
            </w:r>
          </w:p>
        </w:tc>
        <w:tc>
          <w:tcPr>
            <w:tcW w:w="3442" w:type="dxa"/>
            <w:tcBorders>
              <w:top w:val="nil" w:sz="6" w:space="0" w:color="auto"/>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4" w:right="0"/>
              <w:jc w:val="left"/>
              <w:rPr>
                <w:rFonts w:ascii="宋体" w:hAnsi="宋体" w:cs="宋体" w:eastAsia="宋体" w:hint="default"/>
                <w:sz w:val="18"/>
                <w:szCs w:val="18"/>
              </w:rPr>
            </w:pPr>
            <w:r>
              <w:rPr>
                <w:rFonts w:ascii="宋体" w:hAnsi="宋体" w:cs="宋体" w:eastAsia="宋体" w:hint="default"/>
                <w:spacing w:val="-5"/>
                <w:sz w:val="18"/>
                <w:szCs w:val="18"/>
              </w:rPr>
              <w:t>互联网域名租赁；火警报警器出租；保险箱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出租（截止）</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319" w:lineRule="auto"/>
              <w:ind w:left="4" w:right="0"/>
              <w:jc w:val="left"/>
              <w:rPr>
                <w:rFonts w:ascii="宋体" w:hAnsi="宋体" w:cs="宋体" w:eastAsia="宋体" w:hint="default"/>
                <w:sz w:val="18"/>
                <w:szCs w:val="18"/>
              </w:rPr>
            </w:pPr>
            <w:r>
              <w:rPr>
                <w:rFonts w:ascii="宋体" w:hAnsi="宋体" w:cs="宋体" w:eastAsia="宋体" w:hint="default"/>
                <w:spacing w:val="-9"/>
                <w:sz w:val="18"/>
                <w:szCs w:val="18"/>
              </w:rPr>
              <w:t>纸；书写本；图画；教学材料（仪器除外）；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书籍；卡片；印刷出版物；文具；海报；包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装纸（截止）</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 w:right="0"/>
              <w:jc w:val="left"/>
              <w:rPr>
                <w:rFonts w:ascii="宋体" w:hAnsi="宋体" w:cs="宋体" w:eastAsia="宋体" w:hint="default"/>
                <w:sz w:val="18"/>
                <w:szCs w:val="18"/>
              </w:rPr>
            </w:pPr>
            <w:r>
              <w:rPr>
                <w:rFonts w:ascii="宋体" w:hAnsi="宋体" w:cs="宋体" w:eastAsia="宋体" w:hint="default"/>
                <w:spacing w:val="-9"/>
                <w:sz w:val="18"/>
                <w:szCs w:val="18"/>
              </w:rPr>
              <w:t>纸；书写本；图画；教学材料（仪器除外）；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书籍；卡片；印刷出版物；文具；海报；包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装纸（截止）</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 w:right="7"/>
              <w:jc w:val="both"/>
              <w:rPr>
                <w:rFonts w:ascii="宋体" w:hAnsi="宋体" w:cs="宋体" w:eastAsia="宋体" w:hint="default"/>
                <w:sz w:val="18"/>
                <w:szCs w:val="18"/>
              </w:rPr>
            </w:pPr>
            <w:r>
              <w:rPr>
                <w:rFonts w:ascii="宋体" w:hAnsi="宋体" w:cs="宋体" w:eastAsia="宋体" w:hint="default"/>
                <w:spacing w:val="-5"/>
                <w:sz w:val="18"/>
                <w:szCs w:val="18"/>
              </w:rPr>
              <w:t>教育；学校（教育）；教育信息；组织教育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或娱乐竞赛；提供不可下载在线视频；提供</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不可下载的在线电子出版物；培训；娱乐服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务；除广告片外的影视制作；配音（截止）</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 w:right="7"/>
              <w:jc w:val="both"/>
              <w:rPr>
                <w:rFonts w:ascii="宋体" w:hAnsi="宋体" w:cs="宋体" w:eastAsia="宋体" w:hint="default"/>
                <w:sz w:val="18"/>
                <w:szCs w:val="18"/>
              </w:rPr>
            </w:pPr>
            <w:r>
              <w:rPr>
                <w:rFonts w:ascii="宋体" w:hAnsi="宋体" w:cs="宋体" w:eastAsia="宋体" w:hint="default"/>
                <w:spacing w:val="-5"/>
                <w:sz w:val="18"/>
                <w:szCs w:val="18"/>
              </w:rPr>
              <w:t>教育；学校（教育）；教育信息；组织教育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或娱乐竞赛；提供不可下载在线视频；提供</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不可下载的在线电子出版物；培训；娱乐服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务；除广告片外的影视制作；配音（截止）</w:t>
            </w:r>
          </w:p>
        </w:tc>
      </w:tr>
    </w:tbl>
    <w:p>
      <w:pPr>
        <w:spacing w:after="0" w:line="316" w:lineRule="auto"/>
        <w:jc w:val="both"/>
        <w:rPr>
          <w:rFonts w:ascii="宋体" w:hAnsi="宋体" w:cs="宋体" w:eastAsia="宋体" w:hint="default"/>
          <w:sz w:val="18"/>
          <w:szCs w:val="18"/>
        </w:rPr>
        <w:sectPr>
          <w:pgSz w:w="11910" w:h="16840"/>
          <w:pgMar w:header="748" w:footer="979" w:top="1060" w:bottom="1160" w:left="86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spacing w:before="0"/>
        <w:ind w:left="0" w:right="920" w:firstLine="0"/>
        <w:jc w:val="right"/>
        <w:rPr>
          <w:rFonts w:ascii="宋体" w:hAnsi="宋体" w:cs="宋体" w:eastAsia="宋体" w:hint="default"/>
          <w:sz w:val="18"/>
          <w:szCs w:val="18"/>
        </w:rPr>
      </w:pPr>
      <w:r>
        <w:rPr/>
        <w:pict>
          <v:shape style="position:absolute;margin-left:141.600006pt;margin-top:.751716pt;width:106.55pt;height:60pt;mso-position-horizontal-relative:page;mso-position-vertical-relative:paragraph;z-index:1192" type="#_x0000_t75" stroked="false">
            <v:imagedata r:id="rId21" o:title=""/>
          </v:shape>
        </w:pict>
      </w:r>
      <w:r>
        <w:rPr/>
        <w:pict>
          <v:shape style="position:absolute;margin-left:49.32pt;margin-top:-17.348284pt;width:497.05pt;height:286.8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2"/>
                    <w:gridCol w:w="996"/>
                    <w:gridCol w:w="2693"/>
                    <w:gridCol w:w="1112"/>
                    <w:gridCol w:w="1195"/>
                    <w:gridCol w:w="3361"/>
                  </w:tblGrid>
                  <w:tr>
                    <w:trPr>
                      <w:trHeight w:val="1908"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8" w:right="0"/>
                          <w:jc w:val="left"/>
                          <w:rPr>
                            <w:rFonts w:ascii="Times New Roman" w:hAnsi="Times New Roman" w:cs="Times New Roman" w:eastAsia="Times New Roman" w:hint="default"/>
                            <w:sz w:val="18"/>
                            <w:szCs w:val="18"/>
                          </w:rPr>
                        </w:pPr>
                        <w:r>
                          <w:rPr>
                            <w:rFonts w:ascii="Times New Roman"/>
                            <w:sz w:val="18"/>
                          </w:rPr>
                          <w:t>8</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37375933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1198" w:lineRule="exact"/>
                          <w:ind w:left="273" w:right="0"/>
                          <w:jc w:val="left"/>
                          <w:rPr>
                            <w:rFonts w:ascii="宋体" w:hAnsi="宋体" w:cs="宋体" w:eastAsia="宋体" w:hint="default"/>
                            <w:sz w:val="20"/>
                            <w:szCs w:val="20"/>
                          </w:rPr>
                        </w:pPr>
                        <w:r>
                          <w:rPr>
                            <w:rFonts w:ascii="宋体" w:hAnsi="宋体" w:cs="宋体" w:eastAsia="宋体" w:hint="default"/>
                            <w:position w:val="-23"/>
                            <w:sz w:val="20"/>
                            <w:szCs w:val="20"/>
                          </w:rPr>
                          <w:drawing>
                            <wp:inline distT="0" distB="0" distL="0" distR="0">
                              <wp:extent cx="1351831" cy="761237"/>
                              <wp:effectExtent l="0" t="0" r="0" b="0"/>
                              <wp:docPr id="7" name="image10.jpeg" descr=""/>
                              <wp:cNvGraphicFramePr>
                                <a:graphicFrameLocks noChangeAspect="1"/>
                              </wp:cNvGraphicFramePr>
                              <a:graphic>
                                <a:graphicData uri="http://schemas.openxmlformats.org/drawingml/2006/picture">
                                  <pic:pic>
                                    <pic:nvPicPr>
                                      <pic:cNvPr id="8" name="image10.jpeg"/>
                                      <pic:cNvPicPr/>
                                    </pic:nvPicPr>
                                    <pic:blipFill>
                                      <a:blip r:embed="rId21" cstate="print"/>
                                      <a:stretch>
                                        <a:fillRect/>
                                      </a:stretch>
                                    </pic:blipFill>
                                    <pic:spPr>
                                      <a:xfrm>
                                        <a:off x="0" y="0"/>
                                        <a:ext cx="1351831" cy="761237"/>
                                      </a:xfrm>
                                      <a:prstGeom prst="rect">
                                        <a:avLst/>
                                      </a:prstGeom>
                                    </pic:spPr>
                                  </pic:pic>
                                </a:graphicData>
                              </a:graphic>
                            </wp:inline>
                          </w:drawing>
                        </w:r>
                        <w:r>
                          <w:rPr>
                            <w:rFonts w:ascii="宋体" w:hAnsi="宋体" w:cs="宋体" w:eastAsia="宋体" w:hint="default"/>
                            <w:position w:val="-23"/>
                            <w:sz w:val="20"/>
                            <w:szCs w:val="20"/>
                          </w:rPr>
                        </w:r>
                      </w:p>
                      <w:p>
                        <w:pPr>
                          <w:pStyle w:val="TableParagraph"/>
                          <w:spacing w:line="240" w:lineRule="auto" w:before="8"/>
                          <w:ind w:right="0"/>
                          <w:jc w:val="left"/>
                          <w:rPr>
                            <w:rFonts w:ascii="宋体" w:hAnsi="宋体" w:cs="宋体" w:eastAsia="宋体" w:hint="default"/>
                            <w:sz w:val="26"/>
                            <w:szCs w:val="26"/>
                          </w:rPr>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79"/>
                          <w:jc w:val="right"/>
                          <w:rPr>
                            <w:rFonts w:ascii="Times New Roman" w:hAnsi="Times New Roman" w:cs="Times New Roman" w:eastAsia="Times New Roman" w:hint="default"/>
                            <w:sz w:val="18"/>
                            <w:szCs w:val="18"/>
                          </w:rPr>
                        </w:pPr>
                        <w:r>
                          <w:rPr>
                            <w:rFonts w:ascii="Times New Roman"/>
                            <w:w w:val="95"/>
                            <w:sz w:val="18"/>
                          </w:rPr>
                          <w:t>2029.12.20</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把有形的数据或文件转换成电子媒体；计算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机软件设计；计算机硬件设计和开发咨询 </w:t>
                        </w:r>
                        <w:r>
                          <w:rPr>
                            <w:rFonts w:ascii="宋体" w:hAnsi="宋体" w:cs="宋体" w:eastAsia="宋体" w:hint="default"/>
                            <w:spacing w:val="-5"/>
                            <w:sz w:val="18"/>
                            <w:szCs w:val="18"/>
                          </w:rPr>
                          <w:t>计算机编程；技术研究；多媒体产品的设计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和开发；平台即服务（</w:t>
                        </w:r>
                        <w:r>
                          <w:rPr>
                            <w:rFonts w:ascii="Times New Roman" w:hAnsi="Times New Roman" w:cs="Times New Roman" w:eastAsia="Times New Roman" w:hint="default"/>
                            <w:spacing w:val="-4"/>
                            <w:sz w:val="18"/>
                            <w:szCs w:val="18"/>
                          </w:rPr>
                          <w:t>PaaS</w:t>
                        </w:r>
                        <w:r>
                          <w:rPr>
                            <w:rFonts w:ascii="宋体" w:hAnsi="宋体" w:cs="宋体" w:eastAsia="宋体" w:hint="default"/>
                            <w:spacing w:val="-4"/>
                            <w:sz w:val="18"/>
                            <w:szCs w:val="18"/>
                          </w:rPr>
                          <w:t>）；提供互联网</w:t>
                        </w:r>
                        <w:r>
                          <w:rPr>
                            <w:rFonts w:ascii="宋体" w:hAnsi="宋体" w:cs="宋体" w:eastAsia="宋体" w:hint="default"/>
                            <w:sz w:val="18"/>
                            <w:szCs w:val="18"/>
                          </w:rPr>
                          <w:t> </w:t>
                        </w:r>
                        <w:r>
                          <w:rPr>
                            <w:rFonts w:ascii="宋体" w:hAnsi="宋体" w:cs="宋体" w:eastAsia="宋体" w:hint="default"/>
                            <w:spacing w:val="-14"/>
                            <w:sz w:val="18"/>
                            <w:szCs w:val="18"/>
                          </w:rPr>
                          <w:t>搜索引擎；电子数据存储；网站设计咨询（截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止）</w:t>
                        </w:r>
                      </w:p>
                    </w:tc>
                  </w:tr>
                  <w:tr>
                    <w:trPr>
                      <w:trHeight w:val="1906"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28" w:right="0"/>
                          <w:jc w:val="left"/>
                          <w:rPr>
                            <w:rFonts w:ascii="Times New Roman" w:hAnsi="Times New Roman" w:cs="Times New Roman" w:eastAsia="Times New Roman" w:hint="default"/>
                            <w:sz w:val="18"/>
                            <w:szCs w:val="18"/>
                          </w:rPr>
                        </w:pPr>
                        <w:r>
                          <w:rPr>
                            <w:rFonts w:ascii="Times New Roman"/>
                            <w:sz w:val="18"/>
                          </w:rPr>
                          <w:t>9</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 w:right="0"/>
                          <w:jc w:val="center"/>
                          <w:rPr>
                            <w:rFonts w:ascii="Times New Roman" w:hAnsi="Times New Roman" w:cs="Times New Roman" w:eastAsia="Times New Roman" w:hint="default"/>
                            <w:sz w:val="18"/>
                            <w:szCs w:val="18"/>
                          </w:rPr>
                        </w:pPr>
                        <w:r>
                          <w:rPr>
                            <w:rFonts w:ascii="Times New Roman"/>
                            <w:sz w:val="18"/>
                          </w:rPr>
                          <w:t>37377052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79"/>
                          <w:jc w:val="right"/>
                          <w:rPr>
                            <w:rFonts w:ascii="Times New Roman" w:hAnsi="Times New Roman" w:cs="Times New Roman" w:eastAsia="Times New Roman" w:hint="default"/>
                            <w:sz w:val="18"/>
                            <w:szCs w:val="18"/>
                          </w:rPr>
                        </w:pPr>
                        <w:r>
                          <w:rPr>
                            <w:rFonts w:ascii="Times New Roman"/>
                            <w:w w:val="95"/>
                            <w:sz w:val="18"/>
                          </w:rPr>
                          <w:t>2029.12.20</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计算机；计算机软件（已录制）；互联网服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务器；已录制的或可下载的计算机软件平 </w:t>
                        </w:r>
                        <w:r>
                          <w:rPr>
                            <w:rFonts w:ascii="宋体" w:hAnsi="宋体" w:cs="宋体" w:eastAsia="宋体" w:hint="default"/>
                            <w:spacing w:val="-5"/>
                            <w:sz w:val="18"/>
                            <w:szCs w:val="18"/>
                          </w:rPr>
                          <w:t>台；电子出版物（可下载）；可下载的计算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机应用软件；交互式触屏终端；手机；具有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人工智能的人形机器人；计算机网络交换机</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（截止）</w:t>
                        </w:r>
                      </w:p>
                    </w:tc>
                  </w:tr>
                  <w:tr>
                    <w:trPr>
                      <w:trHeight w:val="1908"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82" w:right="0"/>
                          <w:jc w:val="left"/>
                          <w:rPr>
                            <w:rFonts w:ascii="Times New Roman" w:hAnsi="Times New Roman" w:cs="Times New Roman" w:eastAsia="Times New Roman" w:hint="default"/>
                            <w:sz w:val="18"/>
                            <w:szCs w:val="18"/>
                          </w:rPr>
                        </w:pPr>
                        <w:r>
                          <w:rPr>
                            <w:rFonts w:ascii="Times New Roman"/>
                            <w:sz w:val="18"/>
                          </w:rPr>
                          <w:t>10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 w:right="0"/>
                          <w:jc w:val="center"/>
                          <w:rPr>
                            <w:rFonts w:ascii="Times New Roman" w:hAnsi="Times New Roman" w:cs="Times New Roman" w:eastAsia="Times New Roman" w:hint="default"/>
                            <w:sz w:val="18"/>
                            <w:szCs w:val="18"/>
                          </w:rPr>
                        </w:pPr>
                        <w:r>
                          <w:rPr>
                            <w:rFonts w:ascii="Times New Roman"/>
                            <w:sz w:val="18"/>
                          </w:rPr>
                          <w:t>37393778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1781" w:lineRule="exact"/>
                          <w:ind w:left="275" w:right="0"/>
                          <w:jc w:val="left"/>
                          <w:rPr>
                            <w:rFonts w:ascii="宋体" w:hAnsi="宋体" w:cs="宋体" w:eastAsia="宋体" w:hint="default"/>
                            <w:sz w:val="20"/>
                            <w:szCs w:val="20"/>
                          </w:rPr>
                        </w:pPr>
                        <w:r>
                          <w:rPr>
                            <w:rFonts w:ascii="宋体" w:hAnsi="宋体" w:cs="宋体" w:eastAsia="宋体" w:hint="default"/>
                            <w:position w:val="-35"/>
                            <w:sz w:val="20"/>
                            <w:szCs w:val="20"/>
                          </w:rPr>
                          <w:drawing>
                            <wp:inline distT="0" distB="0" distL="0" distR="0">
                              <wp:extent cx="1348929" cy="1131093"/>
                              <wp:effectExtent l="0" t="0" r="0" b="0"/>
                              <wp:docPr id="9" name="image11.jpeg" descr=""/>
                              <wp:cNvGraphicFramePr>
                                <a:graphicFrameLocks noChangeAspect="1"/>
                              </wp:cNvGraphicFramePr>
                              <a:graphic>
                                <a:graphicData uri="http://schemas.openxmlformats.org/drawingml/2006/picture">
                                  <pic:pic>
                                    <pic:nvPicPr>
                                      <pic:cNvPr id="10" name="image11.jpeg"/>
                                      <pic:cNvPicPr/>
                                    </pic:nvPicPr>
                                    <pic:blipFill>
                                      <a:blip r:embed="rId22" cstate="print"/>
                                      <a:stretch>
                                        <a:fillRect/>
                                      </a:stretch>
                                    </pic:blipFill>
                                    <pic:spPr>
                                      <a:xfrm>
                                        <a:off x="0" y="0"/>
                                        <a:ext cx="1348929" cy="1131093"/>
                                      </a:xfrm>
                                      <a:prstGeom prst="rect">
                                        <a:avLst/>
                                      </a:prstGeom>
                                    </pic:spPr>
                                  </pic:pic>
                                </a:graphicData>
                              </a:graphic>
                            </wp:inline>
                          </w:drawing>
                        </w:r>
                        <w:r>
                          <w:rPr>
                            <w:rFonts w:ascii="宋体" w:hAnsi="宋体" w:cs="宋体" w:eastAsia="宋体" w:hint="default"/>
                            <w:position w:val="-35"/>
                            <w:sz w:val="20"/>
                            <w:szCs w:val="20"/>
                          </w:rPr>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号</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79"/>
                          <w:jc w:val="right"/>
                          <w:rPr>
                            <w:rFonts w:ascii="Times New Roman" w:hAnsi="Times New Roman" w:cs="Times New Roman" w:eastAsia="Times New Roman" w:hint="default"/>
                            <w:sz w:val="18"/>
                            <w:szCs w:val="18"/>
                          </w:rPr>
                        </w:pPr>
                        <w:r>
                          <w:rPr>
                            <w:rFonts w:ascii="Times New Roman"/>
                            <w:w w:val="95"/>
                            <w:sz w:val="18"/>
                          </w:rPr>
                          <w:t>2029.12.20</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2"/>
                          <w:ind w:left="4" w:right="0"/>
                          <w:jc w:val="left"/>
                          <w:rPr>
                            <w:rFonts w:ascii="宋体" w:hAnsi="宋体" w:cs="宋体" w:eastAsia="宋体" w:hint="default"/>
                            <w:sz w:val="18"/>
                            <w:szCs w:val="18"/>
                          </w:rPr>
                        </w:pPr>
                        <w:r>
                          <w:rPr>
                            <w:rFonts w:ascii="宋体" w:hAnsi="宋体" w:cs="宋体" w:eastAsia="宋体" w:hint="default"/>
                            <w:spacing w:val="-5"/>
                            <w:sz w:val="18"/>
                            <w:szCs w:val="18"/>
                          </w:rPr>
                          <w:t>把有形的数据或文件转换成电子媒体；计算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机软件设计；计算机硬件设计和开发咨询 </w:t>
                        </w:r>
                        <w:r>
                          <w:rPr>
                            <w:rFonts w:ascii="宋体" w:hAnsi="宋体" w:cs="宋体" w:eastAsia="宋体" w:hint="default"/>
                            <w:spacing w:val="-5"/>
                            <w:sz w:val="18"/>
                            <w:szCs w:val="18"/>
                          </w:rPr>
                          <w:t>计算机编程；技术研究；多媒体产品的设计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和开发；平台即服务（</w:t>
                        </w:r>
                        <w:r>
                          <w:rPr>
                            <w:rFonts w:ascii="Times New Roman" w:hAnsi="Times New Roman" w:cs="Times New Roman" w:eastAsia="Times New Roman" w:hint="default"/>
                            <w:spacing w:val="-4"/>
                            <w:sz w:val="18"/>
                            <w:szCs w:val="18"/>
                          </w:rPr>
                          <w:t>PaaS</w:t>
                        </w:r>
                        <w:r>
                          <w:rPr>
                            <w:rFonts w:ascii="宋体" w:hAnsi="宋体" w:cs="宋体" w:eastAsia="宋体" w:hint="default"/>
                            <w:spacing w:val="-4"/>
                            <w:sz w:val="18"/>
                            <w:szCs w:val="18"/>
                          </w:rPr>
                          <w:t>）；提供互联网</w:t>
                        </w:r>
                        <w:r>
                          <w:rPr>
                            <w:rFonts w:ascii="宋体" w:hAnsi="宋体" w:cs="宋体" w:eastAsia="宋体" w:hint="default"/>
                            <w:sz w:val="18"/>
                            <w:szCs w:val="18"/>
                          </w:rPr>
                          <w:t> </w:t>
                        </w:r>
                        <w:r>
                          <w:rPr>
                            <w:rFonts w:ascii="宋体" w:hAnsi="宋体" w:cs="宋体" w:eastAsia="宋体" w:hint="default"/>
                            <w:spacing w:val="-14"/>
                            <w:sz w:val="18"/>
                            <w:szCs w:val="18"/>
                          </w:rPr>
                          <w:t>搜索引擎；电子数据存储；网站设计咨询（截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止）</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line="1187" w:lineRule="exact"/>
        <w:ind w:left="1952" w:right="0" w:firstLine="0"/>
        <w:rPr>
          <w:rFonts w:ascii="宋体" w:hAnsi="宋体" w:cs="宋体" w:eastAsia="宋体" w:hint="default"/>
          <w:sz w:val="20"/>
          <w:szCs w:val="20"/>
        </w:rPr>
      </w:pPr>
      <w:r>
        <w:rPr>
          <w:rFonts w:ascii="宋体" w:hAnsi="宋体" w:cs="宋体" w:eastAsia="宋体" w:hint="default"/>
          <w:position w:val="-23"/>
          <w:sz w:val="20"/>
          <w:szCs w:val="20"/>
        </w:rPr>
        <w:drawing>
          <wp:inline distT="0" distB="0" distL="0" distR="0">
            <wp:extent cx="1352843" cy="754189"/>
            <wp:effectExtent l="0" t="0" r="0" b="0"/>
            <wp:docPr id="11" name="image12.jpeg" descr=""/>
            <wp:cNvGraphicFramePr>
              <a:graphicFrameLocks noChangeAspect="1"/>
            </wp:cNvGraphicFramePr>
            <a:graphic>
              <a:graphicData uri="http://schemas.openxmlformats.org/drawingml/2006/picture">
                <pic:pic>
                  <pic:nvPicPr>
                    <pic:cNvPr id="12" name="image12.jpeg"/>
                    <pic:cNvPicPr/>
                  </pic:nvPicPr>
                  <pic:blipFill>
                    <a:blip r:embed="rId23" cstate="print"/>
                    <a:stretch>
                      <a:fillRect/>
                    </a:stretch>
                  </pic:blipFill>
                  <pic:spPr>
                    <a:xfrm>
                      <a:off x="0" y="0"/>
                      <a:ext cx="1352843" cy="754189"/>
                    </a:xfrm>
                    <a:prstGeom prst="rect">
                      <a:avLst/>
                    </a:prstGeom>
                  </pic:spPr>
                </pic:pic>
              </a:graphicData>
            </a:graphic>
          </wp:inline>
        </w:drawing>
      </w:r>
      <w:r>
        <w:rPr>
          <w:rFonts w:ascii="宋体" w:hAnsi="宋体" w:cs="宋体" w:eastAsia="宋体" w:hint="default"/>
          <w:position w:val="-23"/>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spacing w:before="0"/>
        <w:ind w:left="0" w:right="920" w:firstLine="0"/>
        <w:jc w:val="right"/>
        <w:rPr>
          <w:rFonts w:ascii="宋体" w:hAnsi="宋体" w:cs="宋体" w:eastAsia="宋体" w:hint="default"/>
          <w:sz w:val="18"/>
          <w:szCs w:val="18"/>
        </w:rPr>
      </w:pPr>
      <w:r>
        <w:rPr/>
        <w:pict>
          <v:shape style="position:absolute;margin-left:141.699997pt;margin-top:-13.778301pt;width:106.2pt;height:89.05pt;mso-position-horizontal-relative:page;mso-position-vertical-relative:paragraph;z-index:1216" type="#_x0000_t75" stroked="false">
            <v:imagedata r:id="rId22" o:title=""/>
          </v:shape>
        </w:pic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2"/>
        <w:ind w:left="733" w:right="0"/>
        <w:jc w:val="left"/>
      </w:pPr>
      <w:r>
        <w:rPr/>
        <w:t>报告期内新增</w:t>
      </w:r>
      <w:r>
        <w:rPr>
          <w:rFonts w:ascii="Times New Roman" w:hAnsi="Times New Roman" w:cs="Times New Roman" w:eastAsia="Times New Roman" w:hint="default"/>
        </w:rPr>
        <w:t>5</w:t>
      </w:r>
      <w:r>
        <w:rPr/>
        <w:t>项作品著作权如下：</w:t>
      </w:r>
    </w:p>
    <w:p>
      <w:pPr>
        <w:spacing w:line="240" w:lineRule="auto" w:before="2"/>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562"/>
        <w:gridCol w:w="1560"/>
        <w:gridCol w:w="1702"/>
        <w:gridCol w:w="1133"/>
        <w:gridCol w:w="1135"/>
        <w:gridCol w:w="1133"/>
        <w:gridCol w:w="1558"/>
        <w:gridCol w:w="1136"/>
      </w:tblGrid>
      <w:tr>
        <w:trPr>
          <w:trHeight w:val="348"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3" w:right="0"/>
              <w:jc w:val="left"/>
              <w:rPr>
                <w:rFonts w:ascii="宋体" w:hAnsi="宋体" w:cs="宋体" w:eastAsia="宋体" w:hint="default"/>
                <w:sz w:val="18"/>
                <w:szCs w:val="18"/>
              </w:rPr>
            </w:pPr>
            <w:r>
              <w:rPr>
                <w:rFonts w:ascii="宋体" w:hAnsi="宋体" w:cs="宋体" w:eastAsia="宋体" w:hint="default"/>
                <w:sz w:val="18"/>
                <w:szCs w:val="18"/>
              </w:rPr>
              <w:t>登记号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宋体" w:hAnsi="宋体" w:cs="宋体" w:eastAsia="宋体" w:hint="default"/>
                <w:sz w:val="18"/>
                <w:szCs w:val="18"/>
              </w:rPr>
              <w:t>作品名称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作品类别</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作者</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sz w:val="18"/>
                <w:szCs w:val="18"/>
              </w:rPr>
              <w:t>著作权人</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创作完成时间</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7"/>
              <w:jc w:val="right"/>
              <w:rPr>
                <w:rFonts w:ascii="宋体" w:hAnsi="宋体" w:cs="宋体" w:eastAsia="宋体" w:hint="default"/>
                <w:sz w:val="18"/>
                <w:szCs w:val="18"/>
              </w:rPr>
            </w:pPr>
            <w:r>
              <w:rPr>
                <w:rFonts w:ascii="宋体" w:hAnsi="宋体" w:cs="宋体" w:eastAsia="宋体" w:hint="default"/>
                <w:sz w:val="18"/>
                <w:szCs w:val="18"/>
              </w:rPr>
              <w:t>登记日期</w:t>
            </w:r>
          </w:p>
        </w:tc>
      </w:tr>
      <w:tr>
        <w:trPr>
          <w:trHeight w:val="658"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国作登字</w:t>
            </w:r>
          </w:p>
          <w:p>
            <w:pPr>
              <w:pStyle w:val="TableParagraph"/>
              <w:spacing w:line="240" w:lineRule="auto" w:before="119"/>
              <w:ind w:left="2" w:right="0"/>
              <w:jc w:val="center"/>
              <w:rPr>
                <w:rFonts w:ascii="Times New Roman" w:hAnsi="Times New Roman" w:cs="Times New Roman" w:eastAsia="Times New Roman" w:hint="default"/>
                <w:sz w:val="18"/>
                <w:szCs w:val="18"/>
              </w:rPr>
            </w:pPr>
            <w:r>
              <w:rPr>
                <w:rFonts w:ascii="Times New Roman"/>
                <w:sz w:val="18"/>
              </w:rPr>
              <w:t>-2019-F-00754213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94" w:right="32" w:hanging="361"/>
              <w:jc w:val="left"/>
              <w:rPr>
                <w:rFonts w:ascii="宋体" w:hAnsi="宋体" w:cs="宋体" w:eastAsia="宋体" w:hint="default"/>
                <w:sz w:val="18"/>
                <w:szCs w:val="18"/>
              </w:rPr>
            </w:pPr>
            <w:r>
              <w:rPr>
                <w:rFonts w:ascii="宋体" w:hAnsi="宋体" w:cs="宋体" w:eastAsia="宋体" w:hint="default"/>
                <w:sz w:val="18"/>
                <w:szCs w:val="18"/>
              </w:rPr>
              <w:t>方直金太阳精选成语 故事第一辑</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方直科技</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2018-12-1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2019-4-23</w:t>
            </w:r>
            <w:r>
              <w:rPr>
                <w:rFonts w:ascii="Times New Roman"/>
                <w:sz w:val="18"/>
              </w:rPr>
            </w:r>
          </w:p>
        </w:tc>
      </w:tr>
      <w:tr>
        <w:trPr>
          <w:trHeight w:val="660"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国作登字</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-2019-F-00754214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94" w:right="32" w:hanging="361"/>
              <w:jc w:val="left"/>
              <w:rPr>
                <w:rFonts w:ascii="宋体" w:hAnsi="宋体" w:cs="宋体" w:eastAsia="宋体" w:hint="default"/>
                <w:sz w:val="18"/>
                <w:szCs w:val="18"/>
              </w:rPr>
            </w:pPr>
            <w:r>
              <w:rPr>
                <w:rFonts w:ascii="宋体" w:hAnsi="宋体" w:cs="宋体" w:eastAsia="宋体" w:hint="default"/>
                <w:sz w:val="18"/>
                <w:szCs w:val="18"/>
              </w:rPr>
              <w:t>方直金太阳精选古诗 故事第一辑</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美术作品</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方直科技</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2018-12-1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2019-4-23</w:t>
            </w:r>
            <w:r>
              <w:rPr>
                <w:rFonts w:ascii="Times New Roman"/>
                <w:sz w:val="18"/>
              </w:rPr>
            </w:r>
          </w:p>
        </w:tc>
      </w:tr>
      <w:tr>
        <w:trPr>
          <w:trHeight w:val="658"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国作登字</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-2019-A-00754211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94" w:right="32" w:hanging="361"/>
              <w:jc w:val="left"/>
              <w:rPr>
                <w:rFonts w:ascii="宋体" w:hAnsi="宋体" w:cs="宋体" w:eastAsia="宋体" w:hint="default"/>
                <w:sz w:val="18"/>
                <w:szCs w:val="18"/>
              </w:rPr>
            </w:pPr>
            <w:r>
              <w:rPr>
                <w:rFonts w:ascii="宋体" w:hAnsi="宋体" w:cs="宋体" w:eastAsia="宋体" w:hint="default"/>
                <w:sz w:val="18"/>
                <w:szCs w:val="18"/>
              </w:rPr>
              <w:t>方直金太阳精选成语 故事第一辑</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方直科技</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2018-12-1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2019-4-23</w:t>
            </w:r>
            <w:r>
              <w:rPr>
                <w:rFonts w:ascii="Times New Roman"/>
                <w:sz w:val="18"/>
              </w:rPr>
            </w:r>
          </w:p>
        </w:tc>
      </w:tr>
      <w:tr>
        <w:trPr>
          <w:trHeight w:val="660"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国作登字</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-2019-A-00754209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94" w:right="32" w:hanging="361"/>
              <w:jc w:val="left"/>
              <w:rPr>
                <w:rFonts w:ascii="宋体" w:hAnsi="宋体" w:cs="宋体" w:eastAsia="宋体" w:hint="default"/>
                <w:sz w:val="18"/>
                <w:szCs w:val="18"/>
              </w:rPr>
            </w:pPr>
            <w:r>
              <w:rPr>
                <w:rFonts w:ascii="宋体" w:hAnsi="宋体" w:cs="宋体" w:eastAsia="宋体" w:hint="default"/>
                <w:sz w:val="18"/>
                <w:szCs w:val="18"/>
              </w:rPr>
              <w:t>方直金太阳精选古诗 故事第一辑</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文字作品</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方直科技</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2018-12-1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2019-4-23</w:t>
            </w:r>
            <w:r>
              <w:rPr>
                <w:rFonts w:ascii="Times New Roman"/>
                <w:sz w:val="18"/>
              </w:rPr>
            </w:r>
          </w:p>
        </w:tc>
      </w:tr>
      <w:tr>
        <w:trPr>
          <w:trHeight w:val="660"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国作登字</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-2019-B-00754205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54" w:right="32" w:hanging="721"/>
              <w:jc w:val="left"/>
              <w:rPr>
                <w:rFonts w:ascii="宋体" w:hAnsi="宋体" w:cs="宋体" w:eastAsia="宋体" w:hint="default"/>
                <w:sz w:val="18"/>
                <w:szCs w:val="18"/>
              </w:rPr>
            </w:pPr>
            <w:r>
              <w:rPr>
                <w:rFonts w:ascii="宋体" w:hAnsi="宋体" w:cs="宋体" w:eastAsia="宋体" w:hint="default"/>
                <w:sz w:val="18"/>
                <w:szCs w:val="18"/>
              </w:rPr>
              <w:t>方直金太阳配曲第一 辑</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音乐作品</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方直科技</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方直科技</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2018-12-1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2019-4-23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9" w:top="1060" w:bottom="116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tabs>
          <w:tab w:pos="4171" w:val="left" w:leader="none"/>
        </w:tabs>
        <w:spacing w:line="456" w:lineRule="exact"/>
        <w:ind w:left="2885" w:right="995"/>
        <w:jc w:val="left"/>
        <w:rPr>
          <w:b w:val="0"/>
          <w:bCs w:val="0"/>
        </w:rPr>
      </w:pPr>
      <w:bookmarkStart w:name="_bookmark3" w:id="4"/>
      <w:bookmarkEnd w:id="4"/>
      <w:r>
        <w:rPr>
          <w:b w:val="0"/>
          <w:bCs w:val="0"/>
        </w:rPr>
      </w:r>
      <w:r>
        <w:rPr/>
        <w:t>第四节</w:t>
        <w:tab/>
        <w:t>经营情况讨论与分析</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0"/>
        <w:jc w:val="both"/>
        <w:rPr>
          <w:b w:val="0"/>
          <w:bCs w:val="0"/>
        </w:rPr>
      </w:pPr>
      <w:r>
        <w:rPr/>
        <w:t>一、概述</w:t>
      </w:r>
      <w:r>
        <w:rPr>
          <w:b w:val="0"/>
          <w:bCs w:val="0"/>
        </w:rPr>
      </w:r>
    </w:p>
    <w:p>
      <w:pPr>
        <w:spacing w:line="240" w:lineRule="auto" w:before="0"/>
        <w:rPr>
          <w:rFonts w:ascii="Microsoft JhengHei" w:hAnsi="Microsoft JhengHei" w:cs="Microsoft JhengHei" w:eastAsia="Microsoft JhengHei" w:hint="default"/>
          <w:b/>
          <w:bCs/>
          <w:sz w:val="21"/>
          <w:szCs w:val="21"/>
        </w:rPr>
      </w:pPr>
    </w:p>
    <w:p>
      <w:pPr>
        <w:pStyle w:val="BodyText"/>
        <w:spacing w:line="405" w:lineRule="auto" w:before="0"/>
        <w:ind w:right="1104" w:firstLine="420"/>
        <w:jc w:val="both"/>
      </w:pPr>
      <w:r>
        <w:rPr>
          <w:spacing w:val="-2"/>
        </w:rPr>
        <w:t>报告期内，方直科技始终秉承“人人分享优质教育”的使命</w:t>
      </w:r>
      <w:r>
        <w:rPr>
          <w:rFonts w:ascii="等线" w:hAnsi="等线" w:cs="等线" w:eastAsia="等线" w:hint="default"/>
          <w:spacing w:val="-2"/>
        </w:rPr>
        <w:t>，</w:t>
      </w:r>
      <w:r>
        <w:rPr>
          <w:spacing w:val="-2"/>
        </w:rPr>
        <w:t>坚持用科技创新推动教育均衡发展，为</w:t>
      </w:r>
      <w:r>
        <w:rPr>
          <w:w w:val="100"/>
        </w:rPr>
        <w:t> </w:t>
      </w:r>
      <w:r>
        <w:rPr>
          <w:spacing w:val="-2"/>
        </w:rPr>
        <w:t>中小学校、教师、学生提供与多种主流教材配套的教育资源，并按照与教学进度同步的方式提供服务。公</w:t>
      </w:r>
      <w:r>
        <w:rPr>
          <w:spacing w:val="-44"/>
        </w:rPr>
        <w:t> </w:t>
      </w:r>
      <w:r>
        <w:rPr>
          <w:spacing w:val="-44"/>
        </w:rPr>
      </w:r>
      <w:r>
        <w:rPr>
          <w:spacing w:val="-2"/>
        </w:rPr>
        <w:t>司将研发更多的品类、更丰富的内容、更具有市场竞争力的产品，满足广大中小学生不同的层级和不同的</w:t>
      </w:r>
      <w:r>
        <w:rPr>
          <w:spacing w:val="-44"/>
        </w:rPr>
        <w:t> </w:t>
      </w:r>
      <w:r>
        <w:rPr>
          <w:spacing w:val="-44"/>
        </w:rPr>
      </w:r>
      <w:r>
        <w:rPr>
          <w:spacing w:val="-2"/>
        </w:rPr>
        <w:t>阶段性学习需求，使实现优质资源的常态化教学应用与推动信息化技术及教育教学深度融合成为可能。为</w:t>
      </w:r>
      <w:r>
        <w:rPr>
          <w:spacing w:val="-44"/>
        </w:rPr>
        <w:t> </w:t>
      </w:r>
      <w:r>
        <w:rPr>
          <w:spacing w:val="-44"/>
        </w:rPr>
      </w:r>
      <w:r>
        <w:rPr>
          <w:spacing w:val="-2"/>
        </w:rPr>
        <w:t>各级教育管理部门、学校、教师、学生和家长提供以优质教学资源内容为核心，有效实现在教学课前、课</w:t>
      </w:r>
      <w:r>
        <w:rPr>
          <w:spacing w:val="-43"/>
        </w:rPr>
        <w:t> </w:t>
      </w:r>
      <w:r>
        <w:rPr>
          <w:spacing w:val="-43"/>
        </w:rPr>
      </w:r>
      <w:r>
        <w:rPr>
          <w:spacing w:val="-2"/>
        </w:rPr>
        <w:t>中和课后的全过程服务跟踪，覆盖认识、学习、巩固、评测各个认知阶段的立体化综合服务体系和产品体</w:t>
      </w:r>
      <w:r>
        <w:rPr>
          <w:spacing w:val="-44"/>
        </w:rPr>
        <w:t> </w:t>
      </w:r>
      <w:r>
        <w:rPr>
          <w:spacing w:val="-44"/>
        </w:rPr>
      </w:r>
      <w:r>
        <w:rPr>
          <w:spacing w:val="-2"/>
        </w:rPr>
        <w:t>系，让每个服务对象在不同时段不同地域获得个性化的优质资源服务。同时公司紧跟趋势优化营销运营、</w:t>
      </w:r>
      <w:r>
        <w:rPr>
          <w:spacing w:val="-21"/>
        </w:rPr>
        <w:t> </w:t>
      </w:r>
      <w:r>
        <w:rPr>
          <w:spacing w:val="-21"/>
        </w:rPr>
      </w:r>
      <w:r>
        <w:rPr/>
        <w:t>渠道服务体系等工作，进一步夯实公司的市场竞争优势。</w:t>
      </w:r>
    </w:p>
    <w:p>
      <w:pPr>
        <w:pStyle w:val="BodyText"/>
        <w:spacing w:line="396" w:lineRule="auto" w:before="48"/>
        <w:ind w:right="995" w:firstLine="420"/>
        <w:jc w:val="left"/>
      </w:pPr>
      <w:r>
        <w:rPr>
          <w:spacing w:val="-2"/>
        </w:rPr>
        <w:t>公司一如既往的严格要求产品质量，积极推动以实际行动践行“人人分享优质教育”的理念，推出的</w:t>
      </w:r>
      <w:r>
        <w:rPr>
          <w:w w:val="100"/>
        </w:rPr>
        <w:t> </w:t>
      </w:r>
      <w:r>
        <w:rPr>
          <w:spacing w:val="-2"/>
        </w:rPr>
        <w:t>同步学</w:t>
      </w:r>
      <w:r>
        <w:rPr>
          <w:rFonts w:ascii="Times New Roman" w:hAnsi="Times New Roman" w:cs="Times New Roman" w:eastAsia="Times New Roman" w:hint="default"/>
          <w:spacing w:val="-2"/>
        </w:rPr>
        <w:t>APP</w:t>
      </w:r>
      <w:r>
        <w:rPr>
          <w:spacing w:val="-2"/>
        </w:rPr>
        <w:t>通过广东省教育厅的首批校园学习</w:t>
      </w:r>
      <w:r>
        <w:rPr>
          <w:rFonts w:ascii="Times New Roman" w:hAnsi="Times New Roman" w:cs="Times New Roman" w:eastAsia="Times New Roman" w:hint="default"/>
          <w:spacing w:val="-2"/>
        </w:rPr>
        <w:t>APP</w:t>
      </w:r>
      <w:r>
        <w:rPr>
          <w:spacing w:val="-2"/>
        </w:rPr>
        <w:t>的白名单，并于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月份提交教育部备案（在</w:t>
      </w:r>
      <w:r>
        <w:rPr>
          <w:rFonts w:ascii="Times New Roman" w:hAnsi="Times New Roman" w:cs="Times New Roman" w:eastAsia="Times New Roman" w:hint="default"/>
          <w:spacing w:val="-2"/>
        </w:rPr>
        <w:t>2020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1</w:t>
      </w:r>
      <w:r>
        <w:rPr/>
        <w:t>月已通过备案），同步学被评为</w:t>
      </w:r>
      <w:r>
        <w:rPr>
          <w:rFonts w:ascii="Times New Roman" w:hAnsi="Times New Roman" w:cs="Times New Roman" w:eastAsia="Times New Roman" w:hint="default"/>
        </w:rPr>
        <w:t>2019</w:t>
      </w:r>
      <w:r>
        <w:rPr/>
        <w:t>年度影响力在线教育品牌。同时公司也积极履行社会责任，公司</w:t>
      </w:r>
      <w:r>
        <w:rPr>
          <w:w w:val="100"/>
        </w:rPr>
        <w:t> </w:t>
      </w:r>
      <w:r>
        <w:rPr>
          <w:spacing w:val="-2"/>
        </w:rPr>
        <w:t>向深圳市南山区的慈善基金捐赠了</w:t>
      </w:r>
      <w:r>
        <w:rPr>
          <w:rFonts w:ascii="Times New Roman" w:hAnsi="Times New Roman" w:cs="Times New Roman" w:eastAsia="Times New Roman" w:hint="default"/>
          <w:spacing w:val="-2"/>
        </w:rPr>
        <w:t>14.5</w:t>
      </w:r>
      <w:r>
        <w:rPr>
          <w:spacing w:val="-2"/>
        </w:rPr>
        <w:t>万套的金太阳教育软件产品，希望通过我们的方式帮助到扶贫地区</w:t>
      </w:r>
      <w:r>
        <w:rPr>
          <w:spacing w:val="-15"/>
        </w:rPr>
        <w:t> </w:t>
      </w:r>
      <w:r>
        <w:rPr>
          <w:spacing w:val="-15"/>
        </w:rPr>
      </w:r>
      <w:r>
        <w:rPr>
          <w:spacing w:val="-2"/>
        </w:rPr>
        <w:t>的孩子们，为孩子们提供更多丰富的教育资源，推动更多地区扶贫工作，提升扶贫地区教育教学水平，让</w:t>
      </w:r>
      <w:r>
        <w:rPr>
          <w:spacing w:val="-47"/>
        </w:rPr>
        <w:t> </w:t>
      </w:r>
      <w:r>
        <w:rPr>
          <w:spacing w:val="-47"/>
        </w:rPr>
      </w:r>
      <w:r>
        <w:rPr/>
        <w:t>每个孩子都能获得优质的教育资源，拥有同等的成长机会。</w:t>
      </w:r>
    </w:p>
    <w:p>
      <w:pPr>
        <w:pStyle w:val="BodyText"/>
        <w:spacing w:line="398" w:lineRule="auto" w:before="56"/>
        <w:ind w:right="1126" w:firstLine="420"/>
        <w:jc w:val="both"/>
      </w:pPr>
      <w:r>
        <w:rPr>
          <w:spacing w:val="-2"/>
        </w:rPr>
        <w:t>报告期，公司</w:t>
      </w:r>
      <w:r>
        <w:rPr>
          <w:rFonts w:ascii="Times New Roman" w:hAnsi="Times New Roman" w:cs="Times New Roman" w:eastAsia="Times New Roman" w:hint="default"/>
          <w:spacing w:val="-2"/>
        </w:rPr>
        <w:t>2019</w:t>
      </w:r>
      <w:r>
        <w:rPr>
          <w:spacing w:val="-2"/>
        </w:rPr>
        <w:t>年度实现营业收入</w:t>
      </w:r>
      <w:r>
        <w:rPr>
          <w:rFonts w:ascii="Times New Roman" w:hAnsi="Times New Roman" w:cs="Times New Roman" w:eastAsia="Times New Roman" w:hint="default"/>
          <w:spacing w:val="-2"/>
        </w:rPr>
        <w:t>10,901.44</w:t>
      </w:r>
      <w:r>
        <w:rPr>
          <w:spacing w:val="-2"/>
        </w:rPr>
        <w:t>万元，较去年同期增长</w:t>
      </w:r>
      <w:r>
        <w:rPr>
          <w:rFonts w:ascii="Times New Roman" w:hAnsi="Times New Roman" w:cs="Times New Roman" w:eastAsia="Times New Roman" w:hint="default"/>
          <w:spacing w:val="-2"/>
        </w:rPr>
        <w:t>1.65%</w:t>
      </w:r>
      <w:r>
        <w:rPr>
          <w:spacing w:val="-2"/>
        </w:rPr>
        <w:t>。公司核心产品业务及其</w:t>
      </w:r>
      <w:r>
        <w:rPr>
          <w:w w:val="100"/>
        </w:rPr>
        <w:t> </w:t>
      </w:r>
      <w:r>
        <w:rPr>
          <w:spacing w:val="-2"/>
        </w:rPr>
        <w:t>结构未发生重大变化，金太阳教育软件的开发、销售业务仍是公司的核心业务，金太阳教育软件收入占公</w:t>
      </w:r>
      <w:r>
        <w:rPr>
          <w:spacing w:val="-44"/>
        </w:rPr>
        <w:t> </w:t>
      </w:r>
      <w:r>
        <w:rPr>
          <w:spacing w:val="-44"/>
        </w:rPr>
      </w:r>
      <w:r>
        <w:rPr>
          <w:spacing w:val="-3"/>
        </w:rPr>
        <w:t>司主营业务收入的</w:t>
      </w:r>
      <w:r>
        <w:rPr>
          <w:rFonts w:ascii="Times New Roman" w:hAnsi="Times New Roman" w:cs="Times New Roman" w:eastAsia="Times New Roman" w:hint="default"/>
          <w:spacing w:val="-3"/>
        </w:rPr>
        <w:t>80.53%</w:t>
      </w:r>
      <w:r>
        <w:rPr>
          <w:spacing w:val="-3"/>
        </w:rPr>
        <w:t>，公司其他产品与服务及技术开发收入占公司主营业务收入的</w:t>
      </w:r>
      <w:r>
        <w:rPr>
          <w:rFonts w:ascii="Times New Roman" w:hAnsi="Times New Roman" w:cs="Times New Roman" w:eastAsia="Times New Roman" w:hint="default"/>
          <w:spacing w:val="-3"/>
        </w:rPr>
        <w:t>19.47%</w:t>
      </w:r>
      <w:r>
        <w:rPr>
          <w:spacing w:val="-3"/>
        </w:rPr>
        <w:t>。华南、华</w:t>
      </w:r>
      <w:r>
        <w:rPr>
          <w:spacing w:val="-14"/>
        </w:rPr>
        <w:t> </w:t>
      </w:r>
      <w:r>
        <w:rPr>
          <w:spacing w:val="-14"/>
        </w:rPr>
      </w:r>
      <w:r>
        <w:rPr>
          <w:spacing w:val="-2"/>
        </w:rPr>
        <w:t>北和华东三个地区是公司产品销售比较集中的区域，报告期内各地区销售收入占主营业务收入比例分别为</w:t>
      </w:r>
      <w:r>
        <w:rPr>
          <w:spacing w:val="-43"/>
        </w:rPr>
        <w:t> </w:t>
      </w:r>
      <w:r>
        <w:rPr>
          <w:spacing w:val="-43"/>
        </w:rPr>
      </w:r>
      <w:r>
        <w:rPr>
          <w:rFonts w:ascii="Times New Roman" w:hAnsi="Times New Roman" w:cs="Times New Roman" w:eastAsia="Times New Roman" w:hint="default"/>
        </w:rPr>
        <w:t>55.45%</w:t>
      </w:r>
      <w:r>
        <w:rPr/>
        <w:t>、</w:t>
      </w:r>
      <w:r>
        <w:rPr>
          <w:rFonts w:ascii="Times New Roman" w:hAnsi="Times New Roman" w:cs="Times New Roman" w:eastAsia="Times New Roman" w:hint="default"/>
        </w:rPr>
        <w:t>21.02%</w:t>
      </w:r>
      <w:r>
        <w:rPr/>
        <w:t>、</w:t>
      </w:r>
      <w:r>
        <w:rPr>
          <w:rFonts w:ascii="Times New Roman" w:hAnsi="Times New Roman" w:cs="Times New Roman" w:eastAsia="Times New Roman" w:hint="default"/>
        </w:rPr>
        <w:t>8.64%</w:t>
      </w:r>
      <w:r>
        <w:rPr/>
        <w:t>。</w:t>
      </w:r>
    </w:p>
    <w:p>
      <w:pPr>
        <w:pStyle w:val="Heading7"/>
        <w:spacing w:line="323" w:lineRule="exact"/>
        <w:ind w:left="575" w:right="995"/>
        <w:jc w:val="left"/>
        <w:rPr>
          <w:b w:val="0"/>
          <w:bCs w:val="0"/>
        </w:rPr>
      </w:pPr>
      <w:r>
        <w:rPr/>
        <w:t>报告期内主要工作回顾</w:t>
      </w:r>
      <w:r>
        <w:rPr>
          <w:b w:val="0"/>
          <w:bCs w:val="0"/>
        </w:rPr>
      </w:r>
    </w:p>
    <w:p>
      <w:pPr>
        <w:pStyle w:val="BodyText"/>
        <w:spacing w:line="386" w:lineRule="auto" w:before="169"/>
        <w:ind w:left="573" w:right="995"/>
        <w:jc w:val="left"/>
      </w:pPr>
      <w:r>
        <w:rPr>
          <w:rFonts w:ascii="Times New Roman" w:hAnsi="Times New Roman" w:cs="Times New Roman" w:eastAsia="Times New Roman" w:hint="default"/>
        </w:rPr>
        <w:t>1</w:t>
      </w:r>
      <w:r>
        <w:rPr/>
        <w:t>、营销建设方面</w:t>
      </w:r>
      <w:r>
        <w:rPr>
          <w:w w:val="100"/>
        </w:rPr>
        <w:t> </w:t>
      </w:r>
      <w:r>
        <w:rPr>
          <w:spacing w:val="-5"/>
        </w:rPr>
        <w:t>报告期内，根据“人人分享优质教育”的企业使命，公司大规模发展用户，解决从普及到定制高、中、</w:t>
      </w:r>
    </w:p>
    <w:p>
      <w:pPr>
        <w:pStyle w:val="BodyText"/>
        <w:spacing w:line="386" w:lineRule="auto" w:before="65"/>
        <w:ind w:right="1126"/>
        <w:jc w:val="both"/>
      </w:pPr>
      <w:r>
        <w:rPr>
          <w:spacing w:val="-2"/>
        </w:rPr>
        <w:t>低端服务痛点，满足从整体到个体课内课外学习需求。</w:t>
      </w:r>
      <w:r>
        <w:rPr>
          <w:rFonts w:ascii="Times New Roman" w:hAnsi="Times New Roman" w:cs="Times New Roman" w:eastAsia="Times New Roman" w:hint="default"/>
          <w:spacing w:val="-2"/>
        </w:rPr>
        <w:t>2019</w:t>
      </w:r>
      <w:r>
        <w:rPr>
          <w:spacing w:val="-2"/>
        </w:rPr>
        <w:t>年度，公司重点建设了深圳、广州、北京一线</w:t>
      </w:r>
      <w:r>
        <w:rPr>
          <w:spacing w:val="-40"/>
        </w:rPr>
        <w:t> </w:t>
      </w:r>
      <w:r>
        <w:rPr>
          <w:spacing w:val="-40"/>
        </w:rPr>
      </w:r>
      <w:r>
        <w:rPr/>
        <w:t>城市的业务团队，通过</w:t>
      </w:r>
      <w:r>
        <w:rPr>
          <w:rFonts w:ascii="Times New Roman" w:hAnsi="Times New Roman" w:cs="Times New Roman" w:eastAsia="Times New Roman" w:hint="default"/>
        </w:rPr>
        <w:t>VIP</w:t>
      </w:r>
      <w:r>
        <w:rPr/>
        <w:t>学校服务理念更新以及标杆案例推广加强团队服务技能培训，着力提升团队信</w:t>
      </w:r>
      <w:r>
        <w:rPr>
          <w:spacing w:val="-46"/>
        </w:rPr>
        <w:t> </w:t>
      </w:r>
      <w:r>
        <w:rPr>
          <w:spacing w:val="-46"/>
        </w:rPr>
      </w:r>
      <w:r>
        <w:rPr/>
        <w:t>息化应用素养整体水平，提高公司整体营销水平，从而大大提升了一线城市的市场覆盖率。</w:t>
      </w:r>
    </w:p>
    <w:p>
      <w:pPr>
        <w:spacing w:after="0" w:line="386"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6"/>
        <w:ind w:right="995" w:firstLine="420"/>
        <w:jc w:val="left"/>
      </w:pPr>
      <w:r>
        <w:rPr>
          <w:spacing w:val="-2"/>
        </w:rPr>
        <w:t>公司继续拓展中国移动、中国电信、中国联通运营商的多维数字化教育内容的运营和营销合作，与客</w:t>
      </w:r>
      <w:r>
        <w:rPr>
          <w:w w:val="100"/>
        </w:rPr>
        <w:t> </w:t>
      </w:r>
      <w:r>
        <w:rPr>
          <w:spacing w:val="-2"/>
        </w:rPr>
        <w:t>户达成稳定创新服务模式。公司持续为运营商提供优质数字教育内容服务，成为其中小学同步学习类内容</w:t>
      </w:r>
      <w:r>
        <w:rPr>
          <w:spacing w:val="-43"/>
        </w:rPr>
        <w:t> </w:t>
      </w:r>
      <w:r>
        <w:rPr>
          <w:spacing w:val="-43"/>
        </w:rPr>
      </w:r>
      <w:r>
        <w:rPr>
          <w:spacing w:val="-2"/>
        </w:rPr>
        <w:t>产品细分领域的核心优质内容服务供应商，通过运营商增值业务服务平台为学生提供服务。同时基于中国</w:t>
      </w:r>
      <w:r>
        <w:rPr>
          <w:spacing w:val="-44"/>
        </w:rPr>
        <w:t> </w:t>
      </w:r>
      <w:r>
        <w:rPr>
          <w:spacing w:val="-44"/>
        </w:rPr>
      </w:r>
      <w:r>
        <w:rPr>
          <w:spacing w:val="-2"/>
        </w:rPr>
        <w:t>大力发展</w:t>
      </w:r>
      <w:r>
        <w:rPr>
          <w:rFonts w:ascii="Times New Roman" w:hAnsi="Times New Roman" w:cs="Times New Roman" w:eastAsia="Times New Roman" w:hint="default"/>
          <w:spacing w:val="-2"/>
        </w:rPr>
        <w:t>5G</w:t>
      </w:r>
      <w:r>
        <w:rPr>
          <w:spacing w:val="-2"/>
        </w:rPr>
        <w:t>产业及在线教育的高速成长，公司协同中国移动在基于数字化教学资源的生产和运营能力上，</w:t>
      </w:r>
      <w:r>
        <w:rPr>
          <w:spacing w:val="-19"/>
        </w:rPr>
        <w:t> </w:t>
      </w:r>
      <w:r>
        <w:rPr>
          <w:spacing w:val="-19"/>
        </w:rPr>
      </w:r>
      <w:r>
        <w:rPr/>
        <w:t>大力发展</w:t>
      </w:r>
      <w:r>
        <w:rPr>
          <w:rFonts w:ascii="Times New Roman" w:hAnsi="Times New Roman" w:cs="Times New Roman" w:eastAsia="Times New Roman" w:hint="default"/>
        </w:rPr>
        <w:t>5G</w:t>
      </w:r>
      <w:r>
        <w:rPr/>
        <w:t>智慧教育产品的研发和业务营销、运营支撑，包括但不限于</w:t>
      </w:r>
      <w:r>
        <w:rPr>
          <w:rFonts w:ascii="Times New Roman" w:hAnsi="Times New Roman" w:cs="Times New Roman" w:eastAsia="Times New Roman" w:hint="default"/>
        </w:rPr>
        <w:t>5G </w:t>
      </w:r>
      <w:r>
        <w:rPr/>
        <w:t>、</w:t>
      </w:r>
      <w:r>
        <w:rPr>
          <w:rFonts w:ascii="Times New Roman" w:hAnsi="Times New Roman" w:cs="Times New Roman" w:eastAsia="Times New Roman" w:hint="default"/>
        </w:rPr>
        <w:t>AR/VR/MR</w:t>
      </w:r>
      <w:r>
        <w:rPr/>
        <w:t>数字化教学平台</w:t>
      </w:r>
      <w:r>
        <w:rPr>
          <w:spacing w:val="-100"/>
        </w:rPr>
        <w:t> </w:t>
      </w:r>
      <w:r>
        <w:rPr>
          <w:spacing w:val="-100"/>
        </w:rPr>
      </w:r>
      <w:r>
        <w:rPr/>
        <w:t>运营支撑，</w:t>
      </w:r>
      <w:r>
        <w:rPr>
          <w:rFonts w:ascii="Times New Roman" w:hAnsi="Times New Roman" w:cs="Times New Roman" w:eastAsia="Times New Roman" w:hint="default"/>
        </w:rPr>
        <w:t>5G</w:t>
      </w:r>
      <w:r>
        <w:rPr/>
        <w:t>智慧校园解决方案产品研发及运营支撑等，并与中国移动、北京师范大学共同发起</w:t>
      </w:r>
      <w:r>
        <w:rPr>
          <w:rFonts w:ascii="Times New Roman" w:hAnsi="Times New Roman" w:cs="Times New Roman" w:eastAsia="Times New Roman" w:hint="default"/>
        </w:rPr>
        <w:t>5G</w:t>
      </w:r>
      <w:r>
        <w:rPr/>
        <w:t>智慧</w:t>
      </w:r>
      <w:r>
        <w:rPr>
          <w:spacing w:val="-13"/>
        </w:rPr>
        <w:t> </w:t>
      </w:r>
      <w:r>
        <w:rPr>
          <w:spacing w:val="-2"/>
        </w:rPr>
        <w:t>教育联盟并作为理事单位承担在线智能课程、资源服务标准研究工作。为长期的智能教育行业发展奠定基</w:t>
      </w:r>
      <w:r>
        <w:rPr>
          <w:spacing w:val="-42"/>
        </w:rPr>
        <w:t> </w:t>
      </w:r>
      <w:r>
        <w:rPr>
          <w:spacing w:val="-42"/>
        </w:rPr>
      </w:r>
      <w:r>
        <w:rPr/>
        <w:t>础。</w:t>
      </w:r>
    </w:p>
    <w:p>
      <w:pPr>
        <w:pStyle w:val="BodyText"/>
        <w:spacing w:line="386" w:lineRule="auto" w:before="55"/>
        <w:ind w:left="573" w:right="995"/>
        <w:jc w:val="left"/>
      </w:pPr>
      <w:r>
        <w:rPr>
          <w:rFonts w:ascii="Times New Roman" w:hAnsi="Times New Roman" w:cs="Times New Roman" w:eastAsia="Times New Roman" w:hint="default"/>
        </w:rPr>
        <w:t>2</w:t>
      </w:r>
      <w:r>
        <w:rPr/>
        <w:t>、自主研发产品：构建教与学立体的产品体系</w:t>
      </w:r>
      <w:r>
        <w:rPr>
          <w:w w:val="100"/>
        </w:rPr>
        <w:t> </w:t>
      </w:r>
      <w:r>
        <w:rPr>
          <w:spacing w:val="-5"/>
        </w:rPr>
        <w:t>报告期内，公司以小学语数外等多学科作为核心自主研发产品，研发了智能型的数字教材与数字教辅，</w:t>
      </w:r>
    </w:p>
    <w:p>
      <w:pPr>
        <w:pStyle w:val="BodyText"/>
        <w:spacing w:line="408" w:lineRule="auto" w:before="65"/>
        <w:ind w:right="1126"/>
        <w:jc w:val="both"/>
      </w:pPr>
      <w:r>
        <w:rPr>
          <w:spacing w:val="-2"/>
        </w:rPr>
        <w:t>进一步丰富和优化小学各科资源，建设完善了语文语言类学科。同时加强了与名师本地化资源的合作，推</w:t>
      </w:r>
      <w:r>
        <w:rPr>
          <w:spacing w:val="-42"/>
        </w:rPr>
        <w:t> </w:t>
      </w:r>
      <w:r>
        <w:rPr>
          <w:spacing w:val="-42"/>
        </w:rPr>
      </w:r>
      <w:r>
        <w:rPr/>
        <w:t>进本地化深度应用。</w:t>
      </w:r>
    </w:p>
    <w:p>
      <w:pPr>
        <w:pStyle w:val="BodyText"/>
        <w:spacing w:line="403" w:lineRule="auto"/>
        <w:ind w:right="1126" w:firstLine="420"/>
        <w:jc w:val="both"/>
      </w:pPr>
      <w:r>
        <w:rPr/>
        <w:t>公司各产品线以“专家</w:t>
      </w:r>
      <w:r>
        <w:rPr>
          <w:rFonts w:ascii="宋体" w:hAnsi="宋体" w:cs="宋体" w:eastAsia="宋体" w:hint="default"/>
        </w:rPr>
        <w:t>+</w:t>
      </w:r>
      <w:r>
        <w:rPr/>
        <w:t>教研”模式深入教研、教学，多学科产品规划结合区域商业化项目推进公司</w:t>
      </w:r>
      <w:r>
        <w:rPr>
          <w:w w:val="100"/>
        </w:rPr>
        <w:t> </w:t>
      </w:r>
      <w:r>
        <w:rPr>
          <w:spacing w:val="-2"/>
        </w:rPr>
        <w:t>产品落地工作，在深圳区域以英语为试点推进数字教辅项目建设，相继在广西柳州、海南三亚等城市签订</w:t>
      </w:r>
      <w:r>
        <w:rPr>
          <w:spacing w:val="-44"/>
        </w:rPr>
        <w:t> </w:t>
      </w:r>
      <w:r>
        <w:rPr>
          <w:spacing w:val="-44"/>
        </w:rPr>
      </w:r>
      <w:r>
        <w:rPr>
          <w:spacing w:val="-2"/>
        </w:rPr>
        <w:t>区域数字教辅合作合同；通过输出</w:t>
      </w:r>
      <w:r>
        <w:rPr>
          <w:rFonts w:ascii="Times New Roman" w:hAnsi="Times New Roman" w:cs="Times New Roman" w:eastAsia="Times New Roman" w:hint="default"/>
          <w:spacing w:val="-2"/>
        </w:rPr>
        <w:t>“</w:t>
      </w:r>
      <w:r>
        <w:rPr>
          <w:spacing w:val="-2"/>
        </w:rPr>
        <w:t>资源</w:t>
      </w:r>
      <w:r>
        <w:rPr>
          <w:rFonts w:ascii="Times New Roman" w:hAnsi="Times New Roman" w:cs="Times New Roman" w:eastAsia="Times New Roman" w:hint="default"/>
          <w:spacing w:val="-2"/>
        </w:rPr>
        <w:t>+</w:t>
      </w:r>
      <w:r>
        <w:rPr>
          <w:spacing w:val="-2"/>
        </w:rPr>
        <w:t>平台</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的综合开放能力，创造性的开辟了一体化教研运营服</w:t>
      </w:r>
      <w:r>
        <w:rPr>
          <w:spacing w:val="-46"/>
        </w:rPr>
        <w:t> </w:t>
      </w:r>
      <w:r>
        <w:rPr>
          <w:spacing w:val="-46"/>
        </w:rPr>
      </w:r>
      <w:r>
        <w:rPr>
          <w:spacing w:val="-2"/>
        </w:rPr>
        <w:t>务模式，并应用于规模性渠道合作项目，逐步形成不同服务场景下的对外合作开放能力，拓宽了更多渠道</w:t>
      </w:r>
      <w:r>
        <w:rPr>
          <w:spacing w:val="-43"/>
        </w:rPr>
        <w:t> </w:t>
      </w:r>
      <w:r>
        <w:rPr>
          <w:spacing w:val="-43"/>
        </w:rPr>
      </w:r>
      <w:r>
        <w:rPr/>
        <w:t>的合作空间。</w:t>
      </w:r>
    </w:p>
    <w:p>
      <w:pPr>
        <w:pStyle w:val="BodyText"/>
        <w:spacing w:line="386" w:lineRule="auto" w:before="50"/>
        <w:ind w:left="573" w:right="995"/>
        <w:jc w:val="left"/>
      </w:pPr>
      <w:r>
        <w:rPr>
          <w:rFonts w:ascii="Times New Roman" w:hAnsi="Times New Roman" w:cs="Times New Roman" w:eastAsia="Times New Roman" w:hint="default"/>
        </w:rPr>
        <w:t>3</w:t>
      </w:r>
      <w:r>
        <w:rPr/>
        <w:t>、平台建设方面</w:t>
      </w:r>
      <w:r>
        <w:rPr>
          <w:w w:val="100"/>
        </w:rPr>
        <w:t> </w:t>
      </w:r>
      <w:r>
        <w:rPr>
          <w:spacing w:val="-4"/>
        </w:rPr>
        <w:t>报告期内，公司持续推进</w:t>
      </w:r>
      <w:r>
        <w:rPr>
          <w:rFonts w:ascii="Times New Roman" w:hAnsi="Times New Roman" w:cs="Times New Roman" w:eastAsia="Times New Roman" w:hint="default"/>
          <w:spacing w:val="-4"/>
        </w:rPr>
        <w:t>MOD</w:t>
      </w:r>
      <w:r>
        <w:rPr>
          <w:spacing w:val="-4"/>
        </w:rPr>
        <w:t>平台建设，扩展基础设施服务和基础服务，在此基础上包括资源管理平</w:t>
      </w:r>
    </w:p>
    <w:p>
      <w:pPr>
        <w:pStyle w:val="BodyText"/>
        <w:spacing w:line="408" w:lineRule="auto" w:before="35"/>
        <w:ind w:right="1127"/>
        <w:jc w:val="both"/>
      </w:pPr>
      <w:r>
        <w:rPr>
          <w:spacing w:val="-2"/>
        </w:rPr>
        <w:t>台、营销管理系统、激活码管理系统、数据分析系统等信息管理系统的迭代更新，以及业务支撑平台包括</w:t>
      </w:r>
      <w:r>
        <w:rPr>
          <w:spacing w:val="-47"/>
        </w:rPr>
        <w:t> </w:t>
      </w:r>
      <w:r>
        <w:rPr>
          <w:spacing w:val="-47"/>
        </w:rPr>
      </w:r>
      <w:r>
        <w:rPr>
          <w:spacing w:val="-2"/>
        </w:rPr>
        <w:t>消息中心、支付中心、会员中心、产品中心、活动中心等公共支撑服务能力的持续迭代更新和运营管理中</w:t>
      </w:r>
      <w:r>
        <w:rPr>
          <w:spacing w:val="-44"/>
        </w:rPr>
        <w:t> </w:t>
      </w:r>
      <w:r>
        <w:rPr>
          <w:spacing w:val="-44"/>
        </w:rPr>
      </w:r>
      <w:r>
        <w:rPr>
          <w:spacing w:val="-2"/>
        </w:rPr>
        <w:t>心、认证授权中心、应用管理中心、数据中心等持续规划与建设。在资源管理平台方面对同步资源、教学</w:t>
      </w:r>
      <w:r>
        <w:rPr>
          <w:spacing w:val="-43"/>
        </w:rPr>
        <w:t> </w:t>
      </w:r>
      <w:r>
        <w:rPr>
          <w:spacing w:val="-43"/>
        </w:rPr>
      </w:r>
      <w:r>
        <w:rPr>
          <w:spacing w:val="-2"/>
        </w:rPr>
        <w:t>资源、题库资源、知识点引擎的迭代，实现资源平台全学科全学段覆盖，新增公共资源库，持续输出更多</w:t>
      </w:r>
      <w:r>
        <w:rPr>
          <w:spacing w:val="-43"/>
        </w:rPr>
        <w:t> </w:t>
      </w:r>
      <w:r>
        <w:rPr>
          <w:spacing w:val="-43"/>
        </w:rPr>
      </w:r>
      <w:r>
        <w:rPr>
          <w:spacing w:val="-2"/>
        </w:rPr>
        <w:t>的资源标准规范，完善平台功能性建设，尝试对市场化导向的新产品预演，并优先支撑收入型的产品协同</w:t>
      </w:r>
      <w:r>
        <w:rPr>
          <w:spacing w:val="-44"/>
        </w:rPr>
        <w:t> </w:t>
      </w:r>
      <w:r>
        <w:rPr>
          <w:spacing w:val="-44"/>
        </w:rPr>
      </w:r>
      <w:r>
        <w:rPr>
          <w:spacing w:val="-2"/>
        </w:rPr>
        <w:t>开发。在持续建设平台能力同时，有序支撑同步学，数字教材小程序，电影课，金太阳客户端、教师资源</w:t>
      </w:r>
      <w:r>
        <w:rPr>
          <w:spacing w:val="-42"/>
        </w:rPr>
        <w:t> </w:t>
      </w:r>
      <w:r>
        <w:rPr>
          <w:spacing w:val="-42"/>
        </w:rPr>
      </w:r>
      <w:r>
        <w:rPr>
          <w:spacing w:val="-2"/>
        </w:rPr>
        <w:t>网、区域智慧教育解决方案、智慧学校、课堂解决方案以及个性辅导等产品的支撑，形成一套高效的联合</w:t>
      </w:r>
      <w:r>
        <w:rPr>
          <w:spacing w:val="-47"/>
        </w:rPr>
        <w:t> </w:t>
      </w:r>
      <w:r>
        <w:rPr>
          <w:spacing w:val="-47"/>
        </w:rPr>
      </w:r>
      <w:r>
        <w:rPr/>
        <w:t>开发机制。</w:t>
      </w:r>
    </w:p>
    <w:p>
      <w:pPr>
        <w:pStyle w:val="BodyText"/>
        <w:spacing w:line="386" w:lineRule="auto"/>
        <w:ind w:left="573" w:right="995"/>
        <w:jc w:val="left"/>
      </w:pPr>
      <w:r>
        <w:rPr>
          <w:rFonts w:ascii="Times New Roman" w:hAnsi="Times New Roman" w:cs="Times New Roman" w:eastAsia="Times New Roman" w:hint="default"/>
        </w:rPr>
        <w:t>4</w:t>
      </w:r>
      <w:r>
        <w:rPr/>
        <w:t>、资源建设方面</w:t>
      </w:r>
      <w:r>
        <w:rPr>
          <w:w w:val="100"/>
        </w:rPr>
        <w:t> </w:t>
      </w:r>
      <w:r>
        <w:rPr>
          <w:spacing w:val="-5"/>
        </w:rPr>
        <w:t>在资源建设上，结合运营需求，进一步丰富英语学科的配音、测评类资源体系。在教师资源服务方面，</w:t>
      </w:r>
    </w:p>
    <w:p>
      <w:pPr>
        <w:pStyle w:val="BodyText"/>
        <w:spacing w:line="240" w:lineRule="auto" w:before="65"/>
        <w:ind w:right="0"/>
        <w:jc w:val="both"/>
      </w:pPr>
      <w:r>
        <w:rPr/>
        <w:t>根据不同层次不同场景的需求，系统整理和完善现有配套资源，充分满足教师课前、课中和课后的不同的</w:t>
      </w:r>
    </w:p>
    <w:p>
      <w:pPr>
        <w:spacing w:after="0" w:line="240" w:lineRule="auto"/>
        <w:jc w:val="both"/>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1126"/>
        <w:jc w:val="both"/>
      </w:pPr>
      <w:r>
        <w:rPr>
          <w:spacing w:val="-2"/>
        </w:rPr>
        <w:t>资源需求。在语文学科方面，随着教材的发行节奏，同步建设统编版语文配套优质资源。同时，结合其他</w:t>
      </w:r>
      <w:r>
        <w:rPr>
          <w:spacing w:val="-43"/>
        </w:rPr>
        <w:t> </w:t>
      </w:r>
      <w:r>
        <w:rPr>
          <w:spacing w:val="-43"/>
        </w:rPr>
      </w:r>
      <w:r>
        <w:rPr>
          <w:spacing w:val="-2"/>
        </w:rPr>
        <w:t>项目建设，进一步拓展小初高不同学段不同学科的配套资源建设，继续构建和丰富多学科全学段配套资源</w:t>
      </w:r>
      <w:r>
        <w:rPr>
          <w:spacing w:val="-42"/>
        </w:rPr>
        <w:t> </w:t>
      </w:r>
      <w:r>
        <w:rPr>
          <w:spacing w:val="-42"/>
        </w:rPr>
      </w:r>
      <w:r>
        <w:rPr/>
        <w:t>体系。</w:t>
      </w:r>
    </w:p>
    <w:p>
      <w:pPr>
        <w:pStyle w:val="BodyText"/>
        <w:spacing w:line="386" w:lineRule="auto"/>
        <w:ind w:left="573" w:right="995"/>
        <w:jc w:val="left"/>
      </w:pPr>
      <w:r>
        <w:rPr>
          <w:rFonts w:ascii="Times New Roman" w:hAnsi="Times New Roman" w:cs="Times New Roman" w:eastAsia="Times New Roman" w:hint="default"/>
        </w:rPr>
        <w:t>5</w:t>
      </w:r>
      <w:r>
        <w:rPr/>
        <w:t>、人才建设方面</w:t>
      </w:r>
      <w:r>
        <w:rPr>
          <w:w w:val="100"/>
        </w:rPr>
        <w:t> </w:t>
      </w:r>
      <w:r>
        <w:rPr>
          <w:spacing w:val="-2"/>
        </w:rPr>
        <w:t>报告期内，公司对人才进行全盘梳理，将公司内部的人才管理与公司经营战略相匹配，较大程度提高</w:t>
      </w:r>
    </w:p>
    <w:p>
      <w:pPr>
        <w:pStyle w:val="BodyText"/>
        <w:spacing w:line="408" w:lineRule="auto" w:before="65"/>
        <w:ind w:right="1104"/>
        <w:jc w:val="both"/>
      </w:pPr>
      <w:r>
        <w:rPr>
          <w:spacing w:val="-2"/>
        </w:rPr>
        <w:t>公司的工作组织能力。结合公司战略发展要求，针对核心人才、管理团队以及公司重点关注的人才队伍，</w:t>
      </w:r>
      <w:r>
        <w:rPr>
          <w:spacing w:val="-21"/>
        </w:rPr>
        <w:t> </w:t>
      </w:r>
      <w:r>
        <w:rPr>
          <w:spacing w:val="-21"/>
        </w:rPr>
      </w:r>
      <w:r>
        <w:rPr>
          <w:spacing w:val="-2"/>
        </w:rPr>
        <w:t>公司制定了人才培养计划体系，以“起航”、“远航”、“领航”三类计划人才为培养对象，基于不同群</w:t>
      </w:r>
      <w:r>
        <w:rPr>
          <w:spacing w:val="-44"/>
        </w:rPr>
        <w:t> </w:t>
      </w:r>
      <w:r>
        <w:rPr>
          <w:spacing w:val="-44"/>
        </w:rPr>
      </w:r>
      <w:r>
        <w:rPr>
          <w:spacing w:val="-2"/>
        </w:rPr>
        <w:t>体的专项培训、主题交流会、导师辅导、行动计划等培养计划，分析激励因子在工作环境中的使用，为公</w:t>
      </w:r>
      <w:r>
        <w:rPr>
          <w:spacing w:val="-43"/>
        </w:rPr>
        <w:t> </w:t>
      </w:r>
      <w:r>
        <w:rPr>
          <w:spacing w:val="-43"/>
        </w:rPr>
      </w:r>
      <w:r>
        <w:rPr>
          <w:spacing w:val="-2"/>
        </w:rPr>
        <w:t>司识别、发展和保留人才，助力企业不断完善的组织与人才架构，确保各类人才持续供给。同时搭配具有</w:t>
      </w:r>
      <w:r>
        <w:rPr>
          <w:spacing w:val="-50"/>
        </w:rPr>
        <w:t> </w:t>
      </w:r>
      <w:r>
        <w:rPr>
          <w:spacing w:val="-50"/>
        </w:rPr>
      </w:r>
      <w:r>
        <w:rPr>
          <w:spacing w:val="-2"/>
        </w:rPr>
        <w:t>竞争力的薪酬体系，通过完备的职级晋升发展通道，激发员工内生动力，推动企业内生人才持续发展战略</w:t>
      </w:r>
      <w:r>
        <w:rPr>
          <w:spacing w:val="-43"/>
        </w:rPr>
        <w:t> </w:t>
      </w:r>
      <w:r>
        <w:rPr>
          <w:spacing w:val="-43"/>
        </w:rPr>
      </w:r>
      <w:r>
        <w:rPr/>
        <w:t>目标的实现。</w:t>
      </w:r>
    </w:p>
    <w:p>
      <w:pPr>
        <w:pStyle w:val="BodyText"/>
        <w:spacing w:line="240" w:lineRule="auto"/>
        <w:ind w:left="573" w:right="995"/>
        <w:jc w:val="left"/>
      </w:pPr>
      <w:r>
        <w:rPr>
          <w:rFonts w:ascii="Times New Roman" w:hAnsi="Times New Roman" w:cs="Times New Roman" w:eastAsia="Times New Roman" w:hint="default"/>
        </w:rPr>
        <w:t>6</w:t>
      </w:r>
      <w:r>
        <w:rPr/>
        <w:t>、资本运作情况</w:t>
      </w:r>
    </w:p>
    <w:p>
      <w:pPr>
        <w:pStyle w:val="BodyText"/>
        <w:spacing w:line="391" w:lineRule="auto" w:before="177"/>
        <w:ind w:right="1126" w:firstLine="420"/>
        <w:jc w:val="both"/>
      </w:pPr>
      <w:r>
        <w:rPr/>
        <w:t>（</w:t>
      </w:r>
      <w:r>
        <w:rPr>
          <w:rFonts w:ascii="Times New Roman" w:hAnsi="Times New Roman" w:cs="Times New Roman" w:eastAsia="Times New Roman" w:hint="default"/>
        </w:rPr>
        <w:t>1</w:t>
      </w:r>
      <w:r>
        <w:rPr/>
        <w:t>）报告期内，公司在巩固现有主营业务的基础上，面对国家完善和发展职业教育政策为职教行业</w:t>
      </w:r>
      <w:r>
        <w:rPr>
          <w:w w:val="100"/>
        </w:rPr>
        <w:t> </w:t>
      </w:r>
      <w:r>
        <w:rPr>
          <w:spacing w:val="-2"/>
        </w:rPr>
        <w:t>带来的广阔市场，公司，经过与通航人力资源有限公司（下称</w:t>
      </w:r>
      <w:r>
        <w:rPr>
          <w:rFonts w:ascii="Times New Roman" w:hAnsi="Times New Roman" w:cs="Times New Roman" w:eastAsia="Times New Roman" w:hint="default"/>
          <w:spacing w:val="-2"/>
        </w:rPr>
        <w:t>“</w:t>
      </w:r>
      <w:r>
        <w:rPr>
          <w:spacing w:val="-2"/>
        </w:rPr>
        <w:t>通航人力资源</w:t>
      </w:r>
      <w:r>
        <w:rPr>
          <w:rFonts w:ascii="Times New Roman" w:hAnsi="Times New Roman" w:cs="Times New Roman" w:eastAsia="Times New Roman" w:hint="default"/>
          <w:spacing w:val="-2"/>
        </w:rPr>
        <w:t>”</w:t>
      </w:r>
      <w:r>
        <w:rPr>
          <w:spacing w:val="-2"/>
        </w:rPr>
        <w:t>）协商确认，综合考虑通航</w:t>
      </w:r>
      <w:r>
        <w:rPr>
          <w:spacing w:val="-19"/>
        </w:rPr>
        <w:t> </w:t>
      </w:r>
      <w:r>
        <w:rPr>
          <w:spacing w:val="-19"/>
        </w:rPr>
      </w:r>
      <w:r>
        <w:rPr>
          <w:spacing w:val="-2"/>
        </w:rPr>
        <w:t>教育科技有限公司（下称“通航教育”）在航空职业教育及相关产业方面培养通航专业人才的优势，经双</w:t>
      </w:r>
      <w:r>
        <w:rPr>
          <w:spacing w:val="-42"/>
        </w:rPr>
        <w:t> </w:t>
      </w:r>
      <w:r>
        <w:rPr>
          <w:spacing w:val="-42"/>
        </w:rPr>
      </w:r>
      <w:r>
        <w:rPr>
          <w:spacing w:val="-4"/>
        </w:rPr>
        <w:t>方充分沟通，公司以自有资金人民币</w:t>
      </w:r>
      <w:r>
        <w:rPr>
          <w:rFonts w:ascii="Times New Roman" w:hAnsi="Times New Roman" w:cs="Times New Roman" w:eastAsia="Times New Roman" w:hint="default"/>
          <w:spacing w:val="-4"/>
        </w:rPr>
        <w:t>1</w:t>
      </w:r>
      <w:r>
        <w:rPr>
          <w:spacing w:val="-4"/>
        </w:rPr>
        <w:t>元受让通航人力资源所持有的通航教育</w:t>
      </w:r>
      <w:r>
        <w:rPr>
          <w:rFonts w:ascii="Times New Roman" w:hAnsi="Times New Roman" w:cs="Times New Roman" w:eastAsia="Times New Roman" w:hint="default"/>
          <w:spacing w:val="-4"/>
        </w:rPr>
        <w:t>15%</w:t>
      </w:r>
      <w:r>
        <w:rPr>
          <w:spacing w:val="-4"/>
        </w:rPr>
        <w:t>的股权（未实缴），对应</w:t>
      </w:r>
      <w:r>
        <w:rPr>
          <w:spacing w:val="-20"/>
        </w:rPr>
        <w:t> </w:t>
      </w:r>
      <w:r>
        <w:rPr>
          <w:spacing w:val="-20"/>
        </w:rPr>
      </w:r>
      <w:r>
        <w:rPr/>
        <w:t>认缴通航教育注册资本人民币</w:t>
      </w:r>
      <w:r>
        <w:rPr>
          <w:rFonts w:ascii="Times New Roman" w:hAnsi="Times New Roman" w:cs="Times New Roman" w:eastAsia="Times New Roman" w:hint="default"/>
        </w:rPr>
        <w:t>750</w:t>
      </w:r>
      <w:r>
        <w:rPr/>
        <w:t>万元，甲乙双方按通航教育《公司章程》中规定的期限实缴出资额。</w:t>
      </w:r>
    </w:p>
    <w:p>
      <w:pPr>
        <w:pStyle w:val="BodyText"/>
        <w:spacing w:line="408" w:lineRule="auto" w:before="30"/>
        <w:ind w:right="1126" w:firstLine="420"/>
        <w:jc w:val="both"/>
      </w:pPr>
      <w:r>
        <w:rPr>
          <w:spacing w:val="-2"/>
        </w:rPr>
        <w:t>本次投资是公司从整体战略及长远发展所作出的决策，进一步增强公司的市场竞争能力和风险抵御能</w:t>
      </w:r>
      <w:r>
        <w:rPr>
          <w:w w:val="100"/>
        </w:rPr>
        <w:t> </w:t>
      </w:r>
      <w:r>
        <w:rPr>
          <w:spacing w:val="-2"/>
        </w:rPr>
        <w:t>力，全面提升公司的综合竞争优势，促进公司的可持续发展，对公司业务发展产生积极影响。具体内容已</w:t>
      </w:r>
      <w:r>
        <w:rPr>
          <w:spacing w:val="-50"/>
        </w:rPr>
        <w:t> </w:t>
      </w:r>
      <w:r>
        <w:rPr>
          <w:spacing w:val="-50"/>
        </w:rPr>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日在中国证监会指定的创业板信息披露网站巨潮资讯网站上披露（</w:t>
      </w:r>
      <w:r>
        <w:rPr>
          <w:rFonts w:ascii="Times New Roman" w:hAnsi="Times New Roman" w:cs="Times New Roman" w:eastAsia="Times New Roman" w:hint="default"/>
          <w:color w:val="0462C1"/>
          <w:spacing w:val="-2"/>
        </w:rPr>
      </w:r>
      <w:hyperlink r:id="rId13">
        <w:r>
          <w:rPr>
            <w:rFonts w:ascii="Times New Roman" w:hAnsi="Times New Roman" w:cs="Times New Roman" w:eastAsia="Times New Roman" w:hint="default"/>
            <w:color w:val="0462C1"/>
            <w:spacing w:val="-2"/>
            <w:u w:val="single" w:color="0462C1"/>
          </w:rPr>
          <w:t>www.cninfo.com.cn</w:t>
        </w:r>
        <w:r>
          <w:rPr>
            <w:rFonts w:ascii="Times New Roman" w:hAnsi="Times New Roman" w:cs="Times New Roman" w:eastAsia="Times New Roman" w:hint="default"/>
            <w:color w:val="0462C1"/>
            <w:spacing w:val="-2"/>
          </w:rPr>
        </w:r>
      </w:hyperlink>
      <w:r>
        <w:rPr>
          <w:spacing w:val="-2"/>
        </w:rPr>
        <w:t>）。</w:t>
      </w:r>
    </w:p>
    <w:p>
      <w:pPr>
        <w:pStyle w:val="BodyText"/>
        <w:spacing w:line="398" w:lineRule="auto" w:before="14"/>
        <w:ind w:right="1126" w:firstLine="420"/>
        <w:jc w:val="both"/>
      </w:pPr>
      <w:r>
        <w:rPr/>
        <w:t>（</w:t>
      </w:r>
      <w:r>
        <w:rPr>
          <w:rFonts w:ascii="Times New Roman" w:hAnsi="Times New Roman" w:cs="Times New Roman" w:eastAsia="Times New Roman" w:hint="default"/>
        </w:rPr>
        <w:t>2</w:t>
      </w:r>
      <w:r>
        <w:rPr/>
        <w:t>）报告期内，公司与深圳市海天出版社有限责任公司（下称“海天出版社”）为寻求合作发展，</w:t>
      </w:r>
      <w:r>
        <w:rPr>
          <w:w w:val="100"/>
        </w:rPr>
        <w:t> </w:t>
      </w:r>
      <w:r>
        <w:rPr>
          <w:spacing w:val="-2"/>
        </w:rPr>
        <w:t>双方经充分协商，一致同意共同出资设立深圳市深出发教育科技有限公司。其中，海天出版社认缴出资人</w:t>
      </w:r>
      <w:r>
        <w:rPr>
          <w:spacing w:val="-44"/>
        </w:rPr>
        <w:t> </w:t>
      </w:r>
      <w:r>
        <w:rPr>
          <w:spacing w:val="-44"/>
        </w:rPr>
      </w:r>
      <w:r>
        <w:rPr/>
        <w:t>民币</w:t>
      </w:r>
      <w:r>
        <w:rPr>
          <w:rFonts w:ascii="Times New Roman" w:hAnsi="Times New Roman" w:cs="Times New Roman" w:eastAsia="Times New Roman" w:hint="default"/>
        </w:rPr>
        <w:t>510</w:t>
      </w:r>
      <w:r>
        <w:rPr/>
        <w:t>万元，占注册资本的</w:t>
      </w:r>
      <w:r>
        <w:rPr>
          <w:rFonts w:ascii="Times New Roman" w:hAnsi="Times New Roman" w:cs="Times New Roman" w:eastAsia="Times New Roman" w:hint="default"/>
        </w:rPr>
        <w:t>51%</w:t>
      </w:r>
      <w:r>
        <w:rPr/>
        <w:t>；方直科技认缴出资人民币</w:t>
      </w:r>
      <w:r>
        <w:rPr>
          <w:rFonts w:ascii="Times New Roman" w:hAnsi="Times New Roman" w:cs="Times New Roman" w:eastAsia="Times New Roman" w:hint="default"/>
        </w:rPr>
        <w:t>490</w:t>
      </w:r>
      <w:r>
        <w:rPr/>
        <w:t>万元，占注册资本的</w:t>
      </w:r>
      <w:r>
        <w:rPr>
          <w:rFonts w:ascii="Times New Roman" w:hAnsi="Times New Roman" w:cs="Times New Roman" w:eastAsia="Times New Roman" w:hint="default"/>
        </w:rPr>
        <w:t>49%</w:t>
      </w:r>
      <w:r>
        <w:rPr/>
        <w:t>。</w:t>
      </w:r>
    </w:p>
    <w:p>
      <w:pPr>
        <w:pStyle w:val="BodyText"/>
        <w:spacing w:line="408" w:lineRule="auto" w:before="24"/>
        <w:ind w:right="1099" w:firstLine="420"/>
        <w:jc w:val="both"/>
      </w:pPr>
      <w:r>
        <w:rPr>
          <w:spacing w:val="-2"/>
        </w:rPr>
        <w:t>本次投资是公司从整体战略及长远发展所作出的决策，进一步增强公司在数字教育出版和原创教学数</w:t>
      </w:r>
      <w:r>
        <w:rPr>
          <w:w w:val="100"/>
        </w:rPr>
        <w:t> </w:t>
      </w:r>
      <w:r>
        <w:rPr>
          <w:spacing w:val="-2"/>
        </w:rPr>
        <w:t>字内容资源研发等领域的投入，结合海天出版社在深圳的出版资源，进一步巩固我司在深圳数字教育市场</w:t>
      </w:r>
      <w:r>
        <w:rPr>
          <w:spacing w:val="-43"/>
        </w:rPr>
        <w:t> </w:t>
      </w:r>
      <w:r>
        <w:rPr>
          <w:spacing w:val="-43"/>
        </w:rPr>
      </w:r>
      <w:r>
        <w:rPr>
          <w:spacing w:val="-2"/>
        </w:rPr>
        <w:t>基础，全面提升公司的综合竞争优势，促进公司的可持续发展，对公司业务发展产生积极影响。具体内容</w:t>
      </w:r>
      <w:r>
        <w:rPr>
          <w:spacing w:val="-50"/>
        </w:rPr>
        <w:t> </w:t>
      </w:r>
      <w:r>
        <w:rPr>
          <w:spacing w:val="-50"/>
        </w:rPr>
      </w:r>
      <w:r>
        <w:rPr>
          <w:spacing w:val="-6"/>
        </w:rPr>
        <w:t>已于</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18</w:t>
      </w:r>
      <w:r>
        <w:rPr>
          <w:spacing w:val="-6"/>
        </w:rPr>
        <w:t>日在中国证监会指定的创业板信息披露网站巨潮资讯网站上披露（</w:t>
      </w:r>
      <w:r>
        <w:rPr>
          <w:rFonts w:ascii="Times New Roman" w:hAnsi="Times New Roman" w:cs="Times New Roman" w:eastAsia="Times New Roman" w:hint="default"/>
          <w:color w:val="0462C1"/>
          <w:spacing w:val="-6"/>
        </w:rPr>
      </w:r>
      <w:hyperlink r:id="rId13">
        <w:r>
          <w:rPr>
            <w:rFonts w:ascii="Times New Roman" w:hAnsi="Times New Roman" w:cs="Times New Roman" w:eastAsia="Times New Roman" w:hint="default"/>
            <w:color w:val="0462C1"/>
            <w:spacing w:val="-6"/>
            <w:u w:val="single" w:color="0462C1"/>
          </w:rPr>
          <w:t>www.cninfo.com.cn</w:t>
        </w:r>
        <w:r>
          <w:rPr>
            <w:rFonts w:ascii="Times New Roman" w:hAnsi="Times New Roman" w:cs="Times New Roman" w:eastAsia="Times New Roman" w:hint="default"/>
            <w:color w:val="0462C1"/>
            <w:spacing w:val="-6"/>
          </w:rPr>
        </w:r>
      </w:hyperlink>
      <w:r>
        <w:rPr>
          <w:spacing w:val="-6"/>
        </w:rPr>
        <w:t>）。</w:t>
      </w:r>
      <w:r>
        <w:rPr/>
      </w:r>
    </w:p>
    <w:p>
      <w:pPr>
        <w:pStyle w:val="BodyText"/>
        <w:spacing w:line="398" w:lineRule="auto" w:before="14"/>
        <w:ind w:right="995" w:firstLine="420"/>
        <w:jc w:val="left"/>
      </w:pPr>
      <w:r>
        <w:rPr>
          <w:spacing w:val="-2"/>
        </w:rPr>
        <w:t>（</w:t>
      </w:r>
      <w:r>
        <w:rPr>
          <w:rFonts w:ascii="Times New Roman" w:hAnsi="Times New Roman" w:cs="Times New Roman" w:eastAsia="Times New Roman" w:hint="default"/>
          <w:spacing w:val="-2"/>
        </w:rPr>
        <w:t>3</w:t>
      </w:r>
      <w:r>
        <w:rPr>
          <w:spacing w:val="-2"/>
        </w:rPr>
        <w:t>）报告期内，在巩固现有主营业务的基础上，根据公司发展战略，与江西新华发行集团有限公司、</w:t>
      </w:r>
      <w:r>
        <w:rPr>
          <w:w w:val="100"/>
        </w:rPr>
        <w:t> </w:t>
      </w:r>
      <w:r>
        <w:rPr>
          <w:spacing w:val="-7"/>
        </w:rPr>
        <w:t>江西点石科技有限公司以及标的公司江西新华云教育科技有限公司（下称“江西新华云”）共同签订了《关</w:t>
      </w:r>
      <w:r>
        <w:rPr>
          <w:spacing w:val="-18"/>
        </w:rPr>
        <w:t> </w:t>
      </w:r>
      <w:r>
        <w:rPr>
          <w:spacing w:val="-18"/>
        </w:rPr>
      </w:r>
      <w:r>
        <w:rPr>
          <w:spacing w:val="-2"/>
        </w:rPr>
        <w:t>于江西新华云教育科技有限公司增资扩股协议》，约定方直科技以人民币</w:t>
      </w:r>
      <w:r>
        <w:rPr>
          <w:rFonts w:ascii="Times New Roman" w:hAnsi="Times New Roman" w:cs="Times New Roman" w:eastAsia="Times New Roman" w:hint="default"/>
          <w:spacing w:val="-2"/>
        </w:rPr>
        <w:t>800</w:t>
      </w:r>
      <w:r>
        <w:rPr>
          <w:spacing w:val="-2"/>
        </w:rPr>
        <w:t>万元对江西新华云进行增资，</w:t>
      </w:r>
    </w:p>
    <w:p>
      <w:pPr>
        <w:spacing w:after="0" w:line="398"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6"/>
        <w:ind w:right="995"/>
        <w:jc w:val="left"/>
      </w:pPr>
      <w:r>
        <w:rPr>
          <w:spacing w:val="-2"/>
        </w:rPr>
        <w:t>其中：</w:t>
      </w:r>
      <w:r>
        <w:rPr>
          <w:rFonts w:ascii="Times New Roman" w:hAnsi="Times New Roman" w:cs="Times New Roman" w:eastAsia="Times New Roman" w:hint="default"/>
          <w:spacing w:val="-2"/>
        </w:rPr>
        <w:t>270</w:t>
      </w:r>
      <w:r>
        <w:rPr>
          <w:spacing w:val="-2"/>
        </w:rPr>
        <w:t>万元作为方直科技出资进入江西新华云的注册资本，剩余的</w:t>
      </w:r>
      <w:r>
        <w:rPr>
          <w:rFonts w:ascii="Times New Roman" w:hAnsi="Times New Roman" w:cs="Times New Roman" w:eastAsia="Times New Roman" w:hint="default"/>
          <w:spacing w:val="-2"/>
        </w:rPr>
        <w:t>530</w:t>
      </w:r>
      <w:r>
        <w:rPr>
          <w:spacing w:val="-2"/>
        </w:rPr>
        <w:t>万元作为溢价计入江西新华云的</w:t>
      </w:r>
      <w:r>
        <w:rPr>
          <w:spacing w:val="-38"/>
        </w:rPr>
        <w:t> </w:t>
      </w:r>
      <w:r>
        <w:rPr>
          <w:spacing w:val="-38"/>
        </w:rPr>
      </w:r>
      <w:r>
        <w:rPr/>
        <w:t>资本公积。本次增资已完成，方直科技持有江西新华云</w:t>
      </w:r>
      <w:r>
        <w:rPr>
          <w:rFonts w:ascii="Times New Roman" w:hAnsi="Times New Roman" w:cs="Times New Roman" w:eastAsia="Times New Roman" w:hint="default"/>
        </w:rPr>
        <w:t>13.04%</w:t>
      </w:r>
      <w:r>
        <w:rPr/>
        <w:t>的股权。</w:t>
      </w:r>
    </w:p>
    <w:p>
      <w:pPr>
        <w:pStyle w:val="BodyText"/>
        <w:spacing w:line="408" w:lineRule="auto" w:before="35"/>
        <w:ind w:right="1078" w:firstLine="420"/>
        <w:jc w:val="both"/>
      </w:pPr>
      <w:r>
        <w:rPr>
          <w:spacing w:val="-2"/>
        </w:rPr>
        <w:t>本次投资是公司从整体战略及长远发展所作出的决策，进一步增强公司的市场竞争能力和风险抵御能</w:t>
      </w:r>
      <w:r>
        <w:rPr>
          <w:w w:val="100"/>
        </w:rPr>
        <w:t> </w:t>
      </w:r>
      <w:r>
        <w:rPr>
          <w:spacing w:val="-2"/>
        </w:rPr>
        <w:t>力，全面提升公司的综合竞争优势，促进公司的可持续发展，对公司业务发展产生积极影响。具体内容已</w:t>
      </w:r>
      <w:r>
        <w:rPr>
          <w:spacing w:val="-50"/>
        </w:rPr>
        <w:t> </w:t>
      </w:r>
      <w:r>
        <w:rPr>
          <w:spacing w:val="-50"/>
        </w:rPr>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日在中国证监会指定的创业板信息披露网站巨潮资讯网站上披露（</w:t>
      </w:r>
      <w:r>
        <w:rPr>
          <w:rFonts w:ascii="Times New Roman" w:hAnsi="Times New Roman" w:cs="Times New Roman" w:eastAsia="Times New Roman" w:hint="default"/>
          <w:color w:val="0462C1"/>
          <w:spacing w:val="-2"/>
        </w:rPr>
      </w:r>
      <w:hyperlink r:id="rId13">
        <w:r>
          <w:rPr>
            <w:rFonts w:ascii="Times New Roman" w:hAnsi="Times New Roman" w:cs="Times New Roman" w:eastAsia="Times New Roman" w:hint="default"/>
            <w:color w:val="0462C1"/>
            <w:spacing w:val="-2"/>
            <w:u w:val="single" w:color="0462C1"/>
          </w:rPr>
          <w:t>www.cninfo.com.cn</w:t>
        </w:r>
        <w:r>
          <w:rPr>
            <w:rFonts w:ascii="Times New Roman" w:hAnsi="Times New Roman" w:cs="Times New Roman" w:eastAsia="Times New Roman" w:hint="default"/>
            <w:color w:val="0462C1"/>
            <w:spacing w:val="-2"/>
          </w:rPr>
        </w:r>
      </w:hyperlink>
      <w:r>
        <w:rPr>
          <w:spacing w:val="-2"/>
        </w:rPr>
        <w:t>）。</w:t>
      </w:r>
      <w:r>
        <w:rPr/>
      </w:r>
    </w:p>
    <w:p>
      <w:pPr>
        <w:spacing w:line="240" w:lineRule="auto" w:before="3"/>
        <w:rPr>
          <w:rFonts w:ascii="宋体" w:hAnsi="宋体" w:cs="宋体" w:eastAsia="宋体" w:hint="default"/>
          <w:sz w:val="14"/>
          <w:szCs w:val="14"/>
        </w:rPr>
      </w:pPr>
    </w:p>
    <w:p>
      <w:pPr>
        <w:pStyle w:val="Heading3"/>
        <w:spacing w:line="367" w:lineRule="exact"/>
        <w:ind w:right="995"/>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参见“经营情况讨论与分析”中的“一、概述”相关内容。</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702"/>
        <w:gridCol w:w="1560"/>
        <w:gridCol w:w="1558"/>
        <w:gridCol w:w="1561"/>
        <w:gridCol w:w="1486"/>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86"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109,014,398.01</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z w:val="18"/>
              </w:rPr>
              <w:t>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107,245,103.63</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1.65%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104,788,316.20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96.12%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103,343,487.95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96.36%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4,226,081.81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3,901,615.68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方直金太阳教育软件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87,790,373.99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88,652,299.04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82.66%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4,226,081.81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3,901,615.68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8.32%</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服务收入及技术开发 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16,997,942.21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14,691,188.91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13.70%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15.70%</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22,909,926.09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20,504,253.90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11.73%</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9,416,557.12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11,758,985.69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10.96%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-19.92%</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60,453,591.16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56,808,886.17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52.97%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16,234,323.64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18,172,977.87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-10.67%</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9"/>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104,788,316.20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35,087,384.66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4,226,081.81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1,497,623.09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方直金太阳教育 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87,790,373.99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33,606,403.74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4,226,081.81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1,497,623.09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服务收入及技术 开发收入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16,997,942.21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1,480,980.92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22,909,926.09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9,397,780.72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28.33%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9,416,557.12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625,482.64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-78.03%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17.57%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60,453,591.16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15,521,814.32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16,234,323.64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11,039,930.07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6"/>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金太阳教育软件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18,224,412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18,786,787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-2.99%</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17,873,219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18,276,289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-46.75%</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PCS</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703.79%</w:t>
            </w:r>
          </w:p>
        </w:tc>
      </w:tr>
      <w:tr>
        <w:trPr>
          <w:trHeight w:val="404"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PCS</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-90.94%</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PCS</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-95.23%</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9"/>
        <w:ind w:right="995" w:firstLine="420"/>
        <w:jc w:val="left"/>
      </w:pPr>
      <w:r>
        <w:rPr>
          <w:spacing w:val="-3"/>
        </w:rPr>
        <w:t>金太阳教育软件产品，采购量及销售量下降，主要是随着科技的高速发展，客户需求发生变化，公司</w:t>
      </w:r>
      <w:r>
        <w:rPr>
          <w:w w:val="100"/>
        </w:rPr>
        <w:t> </w:t>
      </w:r>
      <w:r>
        <w:rPr/>
        <w:t>在线教育产品销量较去年同期增长，但以光盘、移动存储器等实体为介质的产品销量下降所致。</w:t>
      </w:r>
    </w:p>
    <w:p>
      <w:pPr>
        <w:pStyle w:val="BodyText"/>
        <w:spacing w:line="240" w:lineRule="auto" w:before="43"/>
        <w:ind w:left="573" w:right="995"/>
        <w:jc w:val="left"/>
      </w:pPr>
      <w:r>
        <w:rPr/>
        <w:t>其他产品主要是“和校园”定制项目的库存产品，随着项目结项结转出库所致。</w:t>
      </w:r>
    </w:p>
    <w:p>
      <w:pPr>
        <w:spacing w:after="0" w:line="240" w:lineRule="auto"/>
        <w:jc w:val="left"/>
        <w:sectPr>
          <w:footerReference w:type="default" r:id="rId24"/>
          <w:pgSz w:w="11910" w:h="16840"/>
          <w:pgMar w:footer="979" w:header="748" w:top="1060" w:bottom="1160" w:left="980" w:right="0"/>
          <w:pgNumType w:start="2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35,087,384.66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38,897,126.57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-9.79%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1,497,623.09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1,953,314.31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-23.33%</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4"/>
        <w:gridCol w:w="5175"/>
      </w:tblGrid>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59,350,448.05</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54.44%</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26,951,934.09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24.72%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13,435,751.10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7,168,548.67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6,259,494.62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5,534,719.57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59,350,448.05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54.44%</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9"/>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after="0" w:line="338" w:lineRule="auto"/>
        <w:jc w:val="left"/>
        <w:rPr>
          <w:rFonts w:ascii="宋体" w:hAnsi="宋体" w:cs="宋体" w:eastAsia="宋体" w:hint="default"/>
          <w:sz w:val="18"/>
          <w:szCs w:val="18"/>
        </w:rPr>
        <w:sectPr>
          <w:pgSz w:w="11910" w:h="16840"/>
          <w:pgMar w:header="748"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20,253,334.59</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83.86%</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9"/>
              <w:jc w:val="right"/>
              <w:rPr>
                <w:rFonts w:ascii="Times New Roman" w:hAnsi="Times New Roman" w:cs="Times New Roman" w:eastAsia="Times New Roman" w:hint="default"/>
                <w:sz w:val="18"/>
                <w:szCs w:val="18"/>
              </w:rPr>
            </w:pPr>
            <w:r>
              <w:rPr>
                <w:rFonts w:ascii="Times New Roman"/>
                <w:spacing w:val="-1"/>
                <w:sz w:val="18"/>
              </w:rPr>
              <w:t>8,576,681.06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35.51%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pacing w:val="-1"/>
                <w:sz w:val="18"/>
              </w:rPr>
              <w:t>3,891,627.00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9"/>
              <w:jc w:val="right"/>
              <w:rPr>
                <w:rFonts w:ascii="Times New Roman" w:hAnsi="Times New Roman" w:cs="Times New Roman" w:eastAsia="Times New Roman" w:hint="default"/>
                <w:sz w:val="18"/>
                <w:szCs w:val="18"/>
              </w:rPr>
            </w:pPr>
            <w:r>
              <w:rPr>
                <w:rFonts w:ascii="Times New Roman"/>
                <w:spacing w:val="-1"/>
                <w:sz w:val="18"/>
              </w:rPr>
              <w:t>3,484,799.69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14.43%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pacing w:val="-1"/>
                <w:sz w:val="18"/>
              </w:rPr>
              <w:t>3,336,895.17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13.82%</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3"/>
              <w:jc w:val="right"/>
              <w:rPr>
                <w:rFonts w:ascii="Times New Roman" w:hAnsi="Times New Roman" w:cs="Times New Roman" w:eastAsia="Times New Roman" w:hint="default"/>
                <w:sz w:val="18"/>
                <w:szCs w:val="18"/>
              </w:rPr>
            </w:pPr>
            <w:r>
              <w:rPr>
                <w:rFonts w:ascii="Times New Roman"/>
                <w:spacing w:val="-1"/>
                <w:sz w:val="18"/>
              </w:rPr>
              <w:t>963,331.67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3.99%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
              <w:jc w:val="right"/>
              <w:rPr>
                <w:rFonts w:ascii="Times New Roman" w:hAnsi="Times New Roman" w:cs="Times New Roman" w:eastAsia="Times New Roman" w:hint="default"/>
                <w:sz w:val="18"/>
                <w:szCs w:val="18"/>
              </w:rPr>
            </w:pPr>
            <w:r>
              <w:rPr>
                <w:rFonts w:ascii="Times New Roman"/>
                <w:spacing w:val="-1"/>
                <w:sz w:val="18"/>
              </w:rPr>
              <w:t>20,253,334.59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83.86%</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38" w:firstLine="0"/>
        <w:jc w:val="right"/>
        <w:rPr>
          <w:rFonts w:ascii="宋体" w:hAnsi="宋体" w:cs="宋体" w:eastAsia="宋体" w:hint="default"/>
          <w:sz w:val="18"/>
          <w:szCs w:val="18"/>
        </w:rPr>
      </w:pPr>
      <w:r>
        <w:rPr/>
        <w:pict>
          <v:shape style="position:absolute;margin-left:56.424pt;margin-top:-52.228245pt;width:479.3pt;height:163.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417"/>
                    <w:gridCol w:w="1418"/>
                    <w:gridCol w:w="1275"/>
                    <w:gridCol w:w="4467"/>
                  </w:tblGrid>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20,670,051.51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28,785,837.20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-28.19%</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1"/>
                          <w:jc w:val="both"/>
                          <w:rPr>
                            <w:rFonts w:ascii="宋体" w:hAnsi="宋体" w:cs="宋体" w:eastAsia="宋体" w:hint="default"/>
                            <w:sz w:val="18"/>
                            <w:szCs w:val="18"/>
                          </w:rPr>
                        </w:pPr>
                        <w:r>
                          <w:rPr>
                            <w:rFonts w:ascii="宋体" w:hAnsi="宋体" w:cs="宋体" w:eastAsia="宋体" w:hint="default"/>
                            <w:sz w:val="18"/>
                            <w:szCs w:val="18"/>
                          </w:rPr>
                          <w:t>报告期内，在保障公司各项业务正常运作的前提下，对 公司的人力结构进行了优化及业务整合，有效降低了公 司的人力成本</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差旅费、会务费、宣传推广费等相关费用</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14,702,702.54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14,967,095.75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c>
                      <w:tcPr>
                        <w:tcW w:w="44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-12,967,879.77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-10,530,280.34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-23.15%</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公司收到千锋互联三位原股东投资款利息</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24,646,512.29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29,817,734.94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-17.34%</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1"/>
                          <w:jc w:val="both"/>
                          <w:rPr>
                            <w:rFonts w:ascii="宋体" w:hAnsi="宋体" w:cs="宋体" w:eastAsia="宋体" w:hint="default"/>
                            <w:sz w:val="18"/>
                            <w:szCs w:val="18"/>
                          </w:rPr>
                        </w:pPr>
                        <w:r>
                          <w:rPr>
                            <w:rFonts w:ascii="宋体" w:hAnsi="宋体" w:cs="宋体" w:eastAsia="宋体" w:hint="default"/>
                            <w:sz w:val="18"/>
                            <w:szCs w:val="18"/>
                          </w:rPr>
                          <w:t>报告期内，在保障公司各项业务正常运作的前提下，对 公司的人力结构进行了优化及业务整合，有效降低了公 司的人力成本。</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7"/>
        <w:spacing w:line="335" w:lineRule="exact"/>
        <w:ind w:right="995"/>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0" w:lineRule="auto" w:before="160"/>
        <w:ind w:right="995" w:firstLine="420"/>
        <w:jc w:val="left"/>
      </w:pPr>
      <w:r>
        <w:rPr>
          <w:spacing w:val="-4"/>
        </w:rPr>
        <w:t>报告期内，为了引导和适应市场新需求和新变化，公司持续加大研发投入持续推进</w:t>
      </w:r>
      <w:r>
        <w:rPr>
          <w:rFonts w:ascii="Times New Roman" w:hAnsi="Times New Roman" w:cs="Times New Roman" w:eastAsia="Times New Roman" w:hint="default"/>
          <w:spacing w:val="-4"/>
        </w:rPr>
        <w:t>MOD</w:t>
      </w:r>
      <w:r>
        <w:rPr>
          <w:spacing w:val="-4"/>
        </w:rPr>
        <w:t>平台建设，扩</w:t>
      </w:r>
      <w:r>
        <w:rPr>
          <w:w w:val="100"/>
        </w:rPr>
        <w:t> </w:t>
      </w:r>
      <w:r>
        <w:rPr>
          <w:spacing w:val="-2"/>
        </w:rPr>
        <w:t>展基础设施服务和基础服务，在此基础上包括资源管理平台、营销管理系统、激活码管理系统、数据分析</w:t>
      </w:r>
      <w:r>
        <w:rPr>
          <w:spacing w:val="-47"/>
        </w:rPr>
        <w:t> </w:t>
      </w:r>
      <w:r>
        <w:rPr>
          <w:spacing w:val="-47"/>
        </w:rPr>
      </w:r>
      <w:r>
        <w:rPr>
          <w:spacing w:val="-2"/>
        </w:rPr>
        <w:t>系统等信息管理系统的迭代更新，以及业务支撑平台包括消息中心、支付中心、会员中心、产品中心、活</w:t>
      </w:r>
      <w:r>
        <w:rPr>
          <w:spacing w:val="-43"/>
        </w:rPr>
        <w:t> </w:t>
      </w:r>
      <w:r>
        <w:rPr>
          <w:spacing w:val="-43"/>
        </w:rPr>
      </w:r>
      <w:r>
        <w:rPr>
          <w:spacing w:val="-3"/>
        </w:rPr>
        <w:t>动中心、任务中心、订单中心、</w:t>
      </w:r>
      <w:r>
        <w:rPr>
          <w:rFonts w:ascii="Times New Roman" w:hAnsi="Times New Roman" w:cs="Times New Roman" w:eastAsia="Times New Roman" w:hint="default"/>
          <w:spacing w:val="-3"/>
        </w:rPr>
        <w:t>CP</w:t>
      </w:r>
      <w:r>
        <w:rPr>
          <w:spacing w:val="-3"/>
        </w:rPr>
        <w:t>中心等公共支撑服务能力的持续迭代更新和运营管理中心、认证授权中</w:t>
      </w:r>
      <w:r>
        <w:rPr>
          <w:spacing w:val="-45"/>
        </w:rPr>
        <w:t> </w:t>
      </w:r>
      <w:r>
        <w:rPr>
          <w:spacing w:val="-45"/>
        </w:rPr>
      </w:r>
      <w:r>
        <w:rPr>
          <w:spacing w:val="-5"/>
        </w:rPr>
        <w:t>心、应用管理中心、数据中心等持续规划与建设。在资源管理平台方面对同步资源、教学资源、题库资源、</w:t>
      </w:r>
      <w:r>
        <w:rPr>
          <w:spacing w:val="-8"/>
        </w:rPr>
        <w:t> </w:t>
      </w:r>
      <w:r>
        <w:rPr>
          <w:spacing w:val="-8"/>
        </w:rPr>
      </w:r>
      <w:r>
        <w:rPr/>
        <w:t>知识点引擎的迭代，实现资源平台全学科全学段覆盖，新增公共资源库，持续输出更多的资源标准规范，</w:t>
      </w:r>
    </w:p>
    <w:p>
      <w:pPr>
        <w:spacing w:after="0" w:line="40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BodyText"/>
        <w:spacing w:line="400" w:lineRule="auto" w:before="176"/>
        <w:ind w:right="1126"/>
        <w:jc w:val="both"/>
      </w:pPr>
      <w:r>
        <w:rPr>
          <w:spacing w:val="-2"/>
        </w:rPr>
        <w:t>完善平台功能性建设，尝试对市场化导向的新产品预演，并优先支撑收入型的产品协同开发。在持续建设</w:t>
      </w:r>
      <w:r>
        <w:rPr>
          <w:spacing w:val="-45"/>
        </w:rPr>
        <w:t> </w:t>
      </w:r>
      <w:r>
        <w:rPr>
          <w:spacing w:val="-45"/>
        </w:rPr>
      </w:r>
      <w:r>
        <w:rPr>
          <w:spacing w:val="-3"/>
        </w:rPr>
        <w:t>平台能力同时，有序支撑同步学，数字教材小程序，电影课，金太阳客户端、教师资源网、</w:t>
      </w:r>
      <w:r>
        <w:rPr>
          <w:rFonts w:ascii="Times New Roman" w:hAnsi="Times New Roman" w:cs="Times New Roman" w:eastAsia="Times New Roman" w:hint="default"/>
          <w:spacing w:val="-3"/>
        </w:rPr>
        <w:t>AI</w:t>
      </w:r>
      <w:r>
        <w:rPr>
          <w:spacing w:val="-3"/>
        </w:rPr>
        <w:t>课堂、区域</w:t>
      </w:r>
      <w:r>
        <w:rPr>
          <w:spacing w:val="-6"/>
        </w:rPr>
        <w:t> </w:t>
      </w:r>
      <w:r>
        <w:rPr>
          <w:spacing w:val="-6"/>
        </w:rPr>
      </w:r>
      <w:r>
        <w:rPr>
          <w:spacing w:val="-2"/>
        </w:rPr>
        <w:t>智慧教育解决方案、智慧学校、课堂解决方案以及个性辅导等产品的支撑，进一步丰富、夯实了公司的产</w:t>
      </w:r>
      <w:r>
        <w:rPr>
          <w:spacing w:val="-49"/>
        </w:rPr>
        <w:t> </w:t>
      </w:r>
      <w:r>
        <w:rPr>
          <w:spacing w:val="-49"/>
        </w:rPr>
      </w:r>
      <w:r>
        <w:rPr/>
        <w:t>品和服务体系的竞争力。</w:t>
      </w:r>
    </w:p>
    <w:p>
      <w:pPr>
        <w:spacing w:before="34"/>
        <w:ind w:left="153" w:right="0" w:firstLine="0"/>
        <w:jc w:val="both"/>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2199"/>
        <w:gridCol w:w="2197"/>
        <w:gridCol w:w="2199"/>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40.32%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39.65%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43.88%</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23,864,739.91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28,612,558.04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26,134,126.45</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9"/>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3"/>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2386"/>
        <w:gridCol w:w="2389"/>
        <w:gridCol w:w="2386"/>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158,042,694.41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132,842,776.66</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18.97%</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133,758,308.93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120,237,276.88</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11.25%</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24,284,385.48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12,605,499.78</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92.65%</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554,672,393.86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629,524,458.61</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-11.89%</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511,386,539.10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567,455,941.90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43,285,854.76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62,068,516.71</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-30.26%</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389"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2389"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4,905,000.00</w:t>
            </w:r>
          </w:p>
        </w:tc>
        <w:tc>
          <w:tcPr>
            <w:tcW w:w="2389"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72,475,240.24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74,674,016.49</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770" w:right="995"/>
        <w:jc w:val="left"/>
      </w:pPr>
      <w:r>
        <w:rPr/>
        <w:t>经营活动产生的现金流量净额同比增长</w:t>
      </w:r>
      <w:r>
        <w:rPr>
          <w:rFonts w:ascii="Times New Roman" w:hAnsi="Times New Roman" w:cs="Times New Roman" w:eastAsia="Times New Roman" w:hint="default"/>
        </w:rPr>
        <w:t>92.65%</w:t>
      </w:r>
      <w:r>
        <w:rPr/>
        <w:t>，主要是报告期内，收到销售商品、提供劳务收到的</w:t>
      </w:r>
    </w:p>
    <w:p>
      <w:pPr>
        <w:spacing w:after="0" w:line="240" w:lineRule="auto"/>
        <w:jc w:val="left"/>
        <w:sectPr>
          <w:pgSz w:w="11910" w:h="16840"/>
          <w:pgMar w:header="748"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left="350" w:right="995"/>
        <w:jc w:val="left"/>
      </w:pPr>
      <w:r>
        <w:rPr>
          <w:spacing w:val="-2"/>
        </w:rPr>
        <w:t>现金增加。同时在保障公司各项业务正常运作的前提下，对公司的人力结构进行了优化减少了支付给职</w:t>
      </w:r>
      <w:r>
        <w:rPr>
          <w:spacing w:val="-37"/>
        </w:rPr>
        <w:t> </w:t>
      </w:r>
      <w:r>
        <w:rPr>
          <w:spacing w:val="-37"/>
        </w:rPr>
      </w:r>
      <w:r>
        <w:rPr/>
        <w:t>工以及为职工支付的现金。</w:t>
      </w:r>
    </w:p>
    <w:p>
      <w:pPr>
        <w:pStyle w:val="BodyText"/>
        <w:spacing w:line="386" w:lineRule="auto"/>
        <w:ind w:left="350" w:right="995" w:firstLine="420"/>
        <w:jc w:val="left"/>
      </w:pPr>
      <w:r>
        <w:rPr>
          <w:spacing w:val="-2"/>
        </w:rPr>
        <w:t>投资活动产生的现金流量净额同比下降</w:t>
      </w:r>
      <w:r>
        <w:rPr>
          <w:rFonts w:ascii="Times New Roman" w:hAnsi="Times New Roman" w:cs="Times New Roman" w:eastAsia="Times New Roman" w:hint="default"/>
          <w:spacing w:val="-2"/>
        </w:rPr>
        <w:t>30.26%</w:t>
      </w:r>
      <w:r>
        <w:rPr>
          <w:spacing w:val="-2"/>
        </w:rPr>
        <w:t>，主要是报告期内，用于理财的资金减少及滚动投入</w:t>
      </w:r>
      <w:r>
        <w:rPr>
          <w:w w:val="100"/>
        </w:rPr>
        <w:t> </w:t>
      </w:r>
      <w:r>
        <w:rPr/>
        <w:t>形成的时间差异所致。</w:t>
      </w:r>
    </w:p>
    <w:p>
      <w:pPr>
        <w:pStyle w:val="BodyText"/>
        <w:spacing w:line="240" w:lineRule="auto" w:before="65"/>
        <w:ind w:left="770" w:right="995"/>
        <w:jc w:val="left"/>
      </w:pPr>
      <w:r>
        <w:rPr/>
        <w:t>筹资活动产生的现金流量净额同比增长</w:t>
      </w:r>
      <w:r>
        <w:rPr>
          <w:rFonts w:ascii="Times New Roman" w:hAnsi="Times New Roman" w:cs="Times New Roman" w:eastAsia="Times New Roman" w:hint="default"/>
        </w:rPr>
        <w:t>100%</w:t>
      </w:r>
      <w:r>
        <w:rPr/>
        <w:t>，主要是报告期内，向银行短期贷款所致。</w:t>
      </w:r>
    </w:p>
    <w:p>
      <w:pPr>
        <w:spacing w:line="240" w:lineRule="auto" w:before="2"/>
        <w:rPr>
          <w:rFonts w:ascii="宋体" w:hAnsi="宋体" w:cs="宋体" w:eastAsia="宋体" w:hint="default"/>
          <w:sz w:val="21"/>
          <w:szCs w:val="21"/>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995"/>
        <w:jc w:val="left"/>
        <w:rPr>
          <w:b w:val="0"/>
          <w:bCs w:val="0"/>
        </w:rPr>
      </w:pPr>
      <w:r>
        <w:rPr/>
        <w:t>三、非主营业务情况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1417"/>
        <w:gridCol w:w="1418"/>
        <w:gridCol w:w="3829"/>
        <w:gridCol w:w="1913"/>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4,477,107.57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12.36%</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理财收益及对外投资损益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1,779,410.94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应收账款、其他应收款、存货等计提坏账及减值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830,223.56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1"/>
                <w:sz w:val="18"/>
                <w:szCs w:val="18"/>
              </w:rPr>
              <w:t>根据会计准则要求，取得的与资产相关的政府补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助，按项目费用的期间确认收入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423,288.17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3"/>
        <w:spacing w:line="367" w:lineRule="exact"/>
        <w:ind w:right="995"/>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8" w:footer="979" w:top="1060" w:bottom="1160" w:left="980" w:right="0"/>
        </w:sectPr>
      </w:pPr>
    </w:p>
    <w:p>
      <w:pPr>
        <w:spacing w:before="44"/>
        <w:ind w:left="153"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53"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5" w:space="395"/>
            <w:col w:w="201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1256"/>
        <w:gridCol w:w="1154"/>
        <w:gridCol w:w="1277"/>
        <w:gridCol w:w="1133"/>
        <w:gridCol w:w="709"/>
        <w:gridCol w:w="2765"/>
      </w:tblGrid>
      <w:tr>
        <w:trPr>
          <w:trHeight w:val="394"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62" w:lineRule="auto"/>
              <w:ind w:left="170" w:right="166"/>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27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2" w:hRule="exact"/>
        </w:trPr>
        <w:tc>
          <w:tcPr>
            <w:tcW w:w="1277" w:type="dxa"/>
            <w:vMerge/>
            <w:tcBorders>
              <w:left w:val="single" w:sz="4" w:space="0" w:color="000000"/>
              <w:right w:val="single" w:sz="4" w:space="0" w:color="000000"/>
            </w:tcBorders>
            <w:shd w:val="clear" w:color="auto" w:fill="D2D2D2"/>
          </w:tcPr>
          <w:p>
            <w:pPr/>
          </w:p>
        </w:tc>
        <w:tc>
          <w:tcPr>
            <w:tcW w:w="12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8"/>
              <w:ind w:left="381" w:right="19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09" w:type="dxa"/>
            <w:vMerge/>
            <w:tcBorders>
              <w:left w:val="single" w:sz="4" w:space="0" w:color="000000"/>
              <w:right w:val="single" w:sz="4" w:space="0" w:color="000000"/>
            </w:tcBorders>
            <w:shd w:val="clear" w:color="auto" w:fill="D2D2D2"/>
          </w:tcPr>
          <w:p>
            <w:pPr/>
          </w:p>
        </w:tc>
        <w:tc>
          <w:tcPr>
            <w:tcW w:w="27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83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82"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27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313,625,415.81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241,150,175.57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38.63%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收回千锋互联三位原股东投资款及 利息，理财资金及应收账款回笼</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21,942,273.76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36,573,625.49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-2.52%</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6,052,467.27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8,003,640.61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105,600,569.41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80,439,031.58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3.21%</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89,554,843.04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94,836,680.01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0.76%</w:t>
            </w:r>
          </w:p>
        </w:tc>
        <w:tc>
          <w:tcPr>
            <w:tcW w:w="27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3" w:right="71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Microsoft JhengHei" w:hAnsi="Microsoft JhengHei" w:cs="Microsoft JhengHei" w:eastAsia="Microsoft JhengHei" w:hint="default"/>
          <w:b/>
          <w:bCs/>
          <w:spacing w:val="-1"/>
          <w:sz w:val="21"/>
          <w:szCs w:val="21"/>
        </w:rPr>
        <w:t>、截至报告期末的资产权利受限情况</w:t>
      </w:r>
      <w:r>
        <w:rPr>
          <w:rFonts w:ascii="Microsoft JhengHei" w:hAnsi="Microsoft JhengHei" w:cs="Microsoft JhengHei" w:eastAsia="Microsoft JhengHei" w:hint="default"/>
          <w:b/>
          <w:bCs/>
          <w:spacing w:val="-22"/>
          <w:sz w:val="21"/>
          <w:szCs w:val="21"/>
        </w:rPr>
        <w:t> </w:t>
      </w:r>
      <w:r>
        <w:rPr>
          <w:rFonts w:ascii="Microsoft JhengHei" w:hAnsi="Microsoft JhengHei" w:cs="Microsoft JhengHei" w:eastAsia="Microsoft JhengHei" w:hint="default"/>
          <w:b/>
          <w:bCs/>
          <w:spacing w:val="-22"/>
          <w:sz w:val="21"/>
          <w:szCs w:val="21"/>
        </w:rPr>
      </w:r>
      <w:r>
        <w:rPr>
          <w:rFonts w:ascii="宋体" w:hAnsi="宋体" w:cs="宋体" w:eastAsia="宋体" w:hint="default"/>
          <w:sz w:val="18"/>
          <w:szCs w:val="18"/>
        </w:rPr>
        <w:t>无</w:t>
      </w:r>
    </w:p>
    <w:p>
      <w:pPr>
        <w:pStyle w:val="Heading3"/>
        <w:spacing w:line="240" w:lineRule="auto" w:before="72"/>
        <w:ind w:right="995"/>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1"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26,000,001.00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0" w:right="0"/>
              <w:jc w:val="left"/>
              <w:rPr>
                <w:rFonts w:ascii="Times New Roman" w:hAnsi="Times New Roman" w:cs="Times New Roman" w:eastAsia="Times New Roman" w:hint="default"/>
                <w:sz w:val="18"/>
                <w:szCs w:val="18"/>
              </w:rPr>
            </w:pPr>
            <w:r>
              <w:rPr>
                <w:rFonts w:ascii="Times New Roman"/>
                <w:sz w:val="18"/>
              </w:rPr>
              <w:t>2,500.00%</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9" w:top="1060" w:bottom="1160" w:left="980" w:right="0"/>
        </w:sectPr>
      </w:pPr>
    </w:p>
    <w:p>
      <w:pPr>
        <w:pStyle w:val="Heading7"/>
        <w:spacing w:line="352" w:lineRule="exact"/>
        <w:ind w:left="140" w:right="10678"/>
        <w:jc w:val="left"/>
        <w:rPr>
          <w:b w:val="0"/>
          <w:bCs w:val="0"/>
        </w:rPr>
      </w:pPr>
      <w:r>
        <w:rPr/>
        <w:pict>
          <v:group style="position:absolute;margin-left:70.559998pt;margin-top:2.102063pt;width:700.9pt;height:.1pt;mso-position-horizontal-relative:page;mso-position-vertical-relative:paragraph;z-index:-864040" coordorigin="1411,42" coordsize="14018,2">
            <v:shape style="position:absolute;left:1411;top:42;width:14018;height:2" coordorigin="1411,42" coordsize="14018,0" path="m1411,42l15429,42e" filled="false" stroked="true" strokeweight=".72pt" strokecolor="#000000">
              <v:path arrowok="t"/>
            </v:shape>
            <w10:wrap type="none"/>
          </v:group>
        </w:pict>
      </w: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10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left="140" w:right="10678"/>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10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2"/>
        <w:ind w:left="0" w:right="25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023"/>
        <w:gridCol w:w="1418"/>
        <w:gridCol w:w="1274"/>
        <w:gridCol w:w="1388"/>
        <w:gridCol w:w="1274"/>
        <w:gridCol w:w="1272"/>
        <w:gridCol w:w="1452"/>
        <w:gridCol w:w="1099"/>
        <w:gridCol w:w="1169"/>
        <w:gridCol w:w="1382"/>
        <w:gridCol w:w="1265"/>
      </w:tblGrid>
      <w:tr>
        <w:trPr>
          <w:trHeight w:val="1025"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6"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6" w:right="58" w:hanging="270"/>
              <w:jc w:val="left"/>
              <w:rPr>
                <w:rFonts w:ascii="宋体" w:hAnsi="宋体" w:cs="宋体" w:eastAsia="宋体" w:hint="default"/>
                <w:sz w:val="18"/>
                <w:szCs w:val="18"/>
              </w:rPr>
            </w:pPr>
            <w:r>
              <w:rPr>
                <w:rFonts w:ascii="宋体" w:hAnsi="宋体" w:cs="宋体" w:eastAsia="宋体" w:hint="default"/>
                <w:sz w:val="18"/>
                <w:szCs w:val="18"/>
              </w:rPr>
              <w:t>本期已使用募集 资金总额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9" w:right="91" w:hanging="89"/>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center"/>
              <w:rPr>
                <w:rFonts w:ascii="宋体" w:hAnsi="宋体" w:cs="宋体" w:eastAsia="宋体" w:hint="default"/>
                <w:sz w:val="18"/>
                <w:szCs w:val="18"/>
              </w:rPr>
            </w:pPr>
            <w:r>
              <w:rPr>
                <w:rFonts w:ascii="宋体" w:hAnsi="宋体" w:cs="宋体" w:eastAsia="宋体" w:hint="default"/>
                <w:sz w:val="18"/>
                <w:szCs w:val="18"/>
              </w:rPr>
              <w:t>报告期内变更 用途的募集资 金总额</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89" w:hanging="92"/>
              <w:jc w:val="left"/>
              <w:rPr>
                <w:rFonts w:ascii="宋体" w:hAnsi="宋体" w:cs="宋体" w:eastAsia="宋体" w:hint="default"/>
                <w:sz w:val="18"/>
                <w:szCs w:val="18"/>
              </w:rPr>
            </w:pPr>
            <w:r>
              <w:rPr>
                <w:rFonts w:ascii="宋体" w:hAnsi="宋体" w:cs="宋体" w:eastAsia="宋体" w:hint="default"/>
                <w:sz w:val="18"/>
                <w:szCs w:val="18"/>
              </w:rPr>
              <w:t>累计变更用途的 募集资金总额</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1"/>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6" w:right="53" w:hanging="89"/>
              <w:jc w:val="left"/>
              <w:rPr>
                <w:rFonts w:ascii="宋体" w:hAnsi="宋体" w:cs="宋体" w:eastAsia="宋体" w:hint="default"/>
                <w:sz w:val="18"/>
                <w:szCs w:val="18"/>
              </w:rPr>
            </w:pPr>
            <w:r>
              <w:rPr>
                <w:rFonts w:ascii="宋体" w:hAnsi="宋体" w:cs="宋体" w:eastAsia="宋体" w:hint="default"/>
                <w:sz w:val="18"/>
                <w:szCs w:val="18"/>
              </w:rPr>
              <w:t>尚未使用募集资 金用途及去向</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6"/>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sz w:val="18"/>
                <w:szCs w:val="18"/>
              </w:rPr>
              <w:t>非公开发行股票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22,799.72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3,266.52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19,533.2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6"/>
              <w:jc w:val="left"/>
              <w:rPr>
                <w:rFonts w:ascii="宋体" w:hAnsi="宋体" w:cs="宋体" w:eastAsia="宋体" w:hint="default"/>
                <w:sz w:val="18"/>
                <w:szCs w:val="18"/>
              </w:rPr>
            </w:pPr>
            <w:r>
              <w:rPr>
                <w:rFonts w:ascii="宋体" w:hAnsi="宋体" w:cs="宋体" w:eastAsia="宋体" w:hint="default"/>
                <w:sz w:val="18"/>
                <w:szCs w:val="18"/>
              </w:rPr>
              <w:t>存放在募集资金 专户</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22,799.72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3,266.52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19,533.2</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5" w:hRule="exact"/>
        </w:trPr>
        <w:tc>
          <w:tcPr>
            <w:tcW w:w="140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pacing w:val="-8"/>
                <w:sz w:val="18"/>
                <w:szCs w:val="18"/>
              </w:rPr>
              <w:t>公司严格按照《公司法》、《证券法》、《深圳证券交易所创业板股票上市规则》、《深圳证券交易所创业板上市公司规范运作指引》以及中国证监会相关法律法规的规定和要求、《募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集资金管理制度》等规定使用募集资金，并及时、真实、准确、完整履行相关信息披露工作，不存在违规使用募集资金的情形。</w:t>
            </w:r>
          </w:p>
        </w:tc>
      </w:tr>
    </w:tbl>
    <w:p>
      <w:pPr>
        <w:spacing w:line="240" w:lineRule="auto" w:before="5"/>
        <w:rPr>
          <w:rFonts w:ascii="宋体" w:hAnsi="宋体" w:cs="宋体" w:eastAsia="宋体" w:hint="default"/>
          <w:sz w:val="19"/>
          <w:szCs w:val="19"/>
        </w:rPr>
      </w:pPr>
    </w:p>
    <w:p>
      <w:pPr>
        <w:pStyle w:val="Heading7"/>
        <w:spacing w:line="335" w:lineRule="exact"/>
        <w:ind w:left="140" w:right="10678"/>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140" w:right="10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25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92"/>
        <w:gridCol w:w="1272"/>
        <w:gridCol w:w="994"/>
        <w:gridCol w:w="998"/>
        <w:gridCol w:w="852"/>
        <w:gridCol w:w="1277"/>
        <w:gridCol w:w="1277"/>
        <w:gridCol w:w="1418"/>
        <w:gridCol w:w="994"/>
        <w:gridCol w:w="1419"/>
        <w:gridCol w:w="869"/>
        <w:gridCol w:w="1055"/>
      </w:tblGrid>
      <w:tr>
        <w:trPr>
          <w:trHeight w:val="1026"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41" w:right="70"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1" w:right="29"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是否已变更项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含部分变更</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0" w:right="4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1" w:right="41"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62"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67" w:right="91"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 投入金额</w:t>
            </w:r>
            <w:r>
              <w:rPr>
                <w:rFonts w:ascii="Times New Roman" w:hAnsi="Times New Roman" w:cs="Times New Roman" w:eastAsia="Times New Roman"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 w:right="22" w:firstLine="69"/>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截至期末投资 进度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65" w:right="72" w:hanging="92"/>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29" w:right="41"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66" w:right="74" w:hanging="92"/>
              <w:jc w:val="left"/>
              <w:rPr>
                <w:rFonts w:ascii="宋体" w:hAnsi="宋体" w:cs="宋体" w:eastAsia="宋体" w:hint="default"/>
                <w:sz w:val="18"/>
                <w:szCs w:val="18"/>
              </w:rPr>
            </w:pPr>
            <w:r>
              <w:rPr>
                <w:rFonts w:ascii="宋体" w:hAnsi="宋体" w:cs="宋体" w:eastAsia="宋体" w:hint="default"/>
                <w:sz w:val="18"/>
                <w:szCs w:val="18"/>
              </w:rPr>
              <w:t>截止报告期末累 计实现的效益</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2" w:right="71"/>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2" w:hRule="exact"/>
        </w:trPr>
        <w:tc>
          <w:tcPr>
            <w:tcW w:w="1401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headerReference w:type="default" r:id="rId25"/>
          <w:footerReference w:type="default" r:id="rId26"/>
          <w:pgSz w:w="16840" w:h="11910" w:orient="landscape"/>
          <w:pgMar w:header="870" w:footer="979" w:top="1060" w:bottom="1160" w:left="1300" w:right="1280"/>
          <w:pgNumType w:start="26"/>
        </w:sectPr>
      </w:pPr>
    </w:p>
    <w:p>
      <w:pPr>
        <w:spacing w:line="240" w:lineRule="auto" w:before="0"/>
        <w:rPr>
          <w:rFonts w:ascii="Times New Roman" w:hAnsi="Times New Roman" w:cs="Times New Roman" w:eastAsia="Times New Roman" w:hint="default"/>
          <w:sz w:val="3"/>
          <w:szCs w:val="3"/>
        </w:rPr>
      </w:pPr>
      <w:r>
        <w:rPr/>
        <w:pict>
          <v:group style="position:absolute;margin-left:151.580002pt;margin-top:255.890015pt;width:618.450pt;height:31.25pt;mso-position-horizontal-relative:page;mso-position-vertical-relative:page;z-index:-864016" coordorigin="3032,5118" coordsize="12369,625">
            <v:group style="position:absolute;left:3032;top:5118;width:12369;height:312" coordorigin="3032,5118" coordsize="12369,312">
              <v:shape style="position:absolute;left:3032;top:5118;width:12369;height:312" coordorigin="3032,5118" coordsize="12369,312" path="m3032,5430l15400,5430,15400,5118,3032,5118,3032,5430xe" filled="true" fillcolor="#ffffff" stroked="false">
                <v:path arrowok="t"/>
                <v:fill type="solid"/>
              </v:shape>
            </v:group>
            <v:group style="position:absolute;left:3032;top:5430;width:12369;height:313" coordorigin="3032,5430" coordsize="12369,313">
              <v:shape style="position:absolute;left:3032;top:5430;width:12369;height:313" coordorigin="3032,5430" coordsize="12369,313" path="m3032,5742l15400,5742,15400,5430,3032,5430,3032,5742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592"/>
        <w:gridCol w:w="1272"/>
        <w:gridCol w:w="994"/>
        <w:gridCol w:w="998"/>
        <w:gridCol w:w="852"/>
        <w:gridCol w:w="1277"/>
        <w:gridCol w:w="1277"/>
        <w:gridCol w:w="1418"/>
        <w:gridCol w:w="994"/>
        <w:gridCol w:w="1419"/>
        <w:gridCol w:w="869"/>
        <w:gridCol w:w="1056"/>
      </w:tblGrid>
      <w:tr>
        <w:trPr>
          <w:trHeight w:val="730" w:hRule="exact"/>
        </w:trPr>
        <w:tc>
          <w:tcPr>
            <w:tcW w:w="15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教学研云平台</w:t>
            </w:r>
          </w:p>
        </w:tc>
        <w:tc>
          <w:tcPr>
            <w:tcW w:w="12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14,174.54</w:t>
            </w:r>
          </w:p>
        </w:tc>
        <w:tc>
          <w:tcPr>
            <w:tcW w:w="9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14,174.54</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343.27</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1,372.73</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28.71</w:t>
            </w: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-1,168.26</w:t>
            </w:r>
          </w:p>
        </w:tc>
        <w:tc>
          <w:tcPr>
            <w:tcW w:w="8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同步资源学习系统</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8,625.18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8,625.18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1,893.79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569"/>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22,799.72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22,799.72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603.92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3,266.52</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801.81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-1,964.77</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61"/>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无超募资金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69"/>
              <w:jc w:val="right"/>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22,799.72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22,799.72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3,266.52</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-1,964.77</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1"/>
              <w:jc w:val="right"/>
              <w:rPr>
                <w:rFonts w:ascii="Times New Roman" w:hAnsi="Times New Roman" w:cs="Times New Roman" w:eastAsia="Times New Roman" w:hint="default"/>
                <w:sz w:val="18"/>
                <w:szCs w:val="18"/>
              </w:rPr>
            </w:pPr>
            <w:r>
              <w:rPr>
                <w:rFonts w:ascii="Times New Roman"/>
                <w:sz w:val="18"/>
              </w:rPr>
              <w:t>--</w:t>
            </w:r>
          </w:p>
        </w:tc>
      </w:tr>
      <w:tr>
        <w:trPr>
          <w:trHeight w:val="1884" w:hRule="exact"/>
        </w:trPr>
        <w:tc>
          <w:tcPr>
            <w:tcW w:w="159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12426" w:type="dxa"/>
            <w:gridSpan w:val="11"/>
            <w:tcBorders>
              <w:top w:val="single" w:sz="4" w:space="0" w:color="000000"/>
              <w:left w:val="single" w:sz="10" w:space="0" w:color="FFFFFF"/>
              <w:bottom w:val="single" w:sz="4" w:space="0" w:color="000000"/>
              <w:right w:val="single" w:sz="9" w:space="0" w:color="FFFFFF"/>
            </w:tcBorders>
          </w:tcPr>
          <w:p>
            <w:pPr>
              <w:pStyle w:val="TableParagraph"/>
              <w:spacing w:line="309" w:lineRule="auto" w:before="13"/>
              <w:ind w:left="16"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、公司基于对未来经营战略的布局，经审慎考虑，于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日召开第四届董事会第三次会议、第四届监事会第三次会议，审议通过了《关于募集 </w:t>
            </w:r>
            <w:r>
              <w:rPr>
                <w:rFonts w:ascii="宋体" w:hAnsi="宋体" w:cs="宋体" w:eastAsia="宋体" w:hint="default"/>
                <w:spacing w:val="-2"/>
                <w:sz w:val="18"/>
                <w:szCs w:val="18"/>
              </w:rPr>
              <w:t>资金投资项目延期的议案》，将公司投资项目“教学研云平台”进行延期，同意公司对募集资金投资项目的实施进度进行调整，将公司募集资金投资项目预计</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可使用状态时间调整为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日前，“教学研云平台”项目房屋购置暂缓。</w:t>
            </w:r>
          </w:p>
          <w:p>
            <w:pPr>
              <w:pStyle w:val="TableParagraph"/>
              <w:spacing w:line="203" w:lineRule="exact" w:before="5"/>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、公司基于对未来市场整体布局考虑，为控制风险，经审慎考虑，于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日召开第四届董事会第三次会议、第四届监事会第三次会议，审议通</w:t>
            </w:r>
          </w:p>
          <w:p>
            <w:pPr>
              <w:pStyle w:val="TableParagraph"/>
              <w:spacing w:line="149"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both"/>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10"/>
                <w:sz w:val="18"/>
                <w:szCs w:val="18"/>
              </w:rPr>
              <w:t>了</w:t>
            </w:r>
            <w:r>
              <w:rPr>
                <w:rFonts w:ascii="宋体" w:hAnsi="宋体" w:cs="宋体" w:eastAsia="宋体" w:hint="default"/>
                <w:sz w:val="18"/>
                <w:szCs w:val="18"/>
              </w:rPr>
              <w:t>《关于募集资金投资项目延期的议案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将公司投资项</w:t>
            </w:r>
            <w:r>
              <w:rPr>
                <w:rFonts w:ascii="宋体" w:hAnsi="宋体" w:cs="宋体" w:eastAsia="宋体" w:hint="default"/>
                <w:spacing w:val="-7"/>
                <w:sz w:val="18"/>
                <w:szCs w:val="18"/>
              </w:rPr>
              <w:t>目</w:t>
            </w:r>
            <w:r>
              <w:rPr>
                <w:rFonts w:ascii="宋体" w:hAnsi="宋体" w:cs="宋体" w:eastAsia="宋体" w:hint="default"/>
                <w:sz w:val="18"/>
                <w:szCs w:val="18"/>
              </w:rPr>
              <w:t>“同步资源学习系统”</w:t>
            </w:r>
            <w:r>
              <w:rPr>
                <w:rFonts w:ascii="宋体" w:hAnsi="宋体" w:cs="宋体" w:eastAsia="宋体" w:hint="default"/>
                <w:spacing w:val="-9"/>
                <w:sz w:val="18"/>
                <w:szCs w:val="18"/>
              </w:rPr>
              <w:t> </w:t>
            </w:r>
            <w:r>
              <w:rPr>
                <w:rFonts w:ascii="宋体" w:hAnsi="宋体" w:cs="宋体" w:eastAsia="宋体" w:hint="default"/>
                <w:sz w:val="18"/>
                <w:szCs w:val="18"/>
              </w:rPr>
              <w:t>进行延期</w:t>
            </w:r>
            <w:r>
              <w:rPr>
                <w:rFonts w:ascii="宋体" w:hAnsi="宋体" w:cs="宋体" w:eastAsia="宋体" w:hint="default"/>
                <w:spacing w:val="-10"/>
                <w:sz w:val="18"/>
                <w:szCs w:val="18"/>
              </w:rPr>
              <w:t>，</w:t>
            </w:r>
            <w:r>
              <w:rPr>
                <w:rFonts w:ascii="宋体" w:hAnsi="宋体" w:cs="宋体" w:eastAsia="宋体" w:hint="default"/>
                <w:sz w:val="18"/>
                <w:szCs w:val="18"/>
              </w:rPr>
              <w:t>同意公司对募集资金投资项目的实施进度进行调整</w:t>
            </w:r>
            <w:r>
              <w:rPr>
                <w:rFonts w:ascii="宋体" w:hAnsi="宋体" w:cs="宋体" w:eastAsia="宋体" w:hint="default"/>
                <w:spacing w:val="-10"/>
                <w:sz w:val="18"/>
                <w:szCs w:val="18"/>
              </w:rPr>
              <w:t>，</w:t>
            </w:r>
            <w:r>
              <w:rPr>
                <w:rFonts w:ascii="宋体" w:hAnsi="宋体" w:cs="宋体" w:eastAsia="宋体" w:hint="default"/>
                <w:sz w:val="18"/>
                <w:szCs w:val="18"/>
              </w:rPr>
              <w:t>将公司募</w:t>
            </w:r>
          </w:p>
          <w:p>
            <w:pPr>
              <w:pStyle w:val="TableParagraph"/>
              <w:spacing w:line="240" w:lineRule="auto" w:before="76"/>
              <w:ind w:left="16" w:right="0"/>
              <w:jc w:val="both"/>
              <w:rPr>
                <w:rFonts w:ascii="宋体" w:hAnsi="宋体" w:cs="宋体" w:eastAsia="宋体" w:hint="default"/>
                <w:sz w:val="18"/>
                <w:szCs w:val="18"/>
              </w:rPr>
            </w:pPr>
            <w:r>
              <w:rPr>
                <w:rFonts w:ascii="宋体" w:hAnsi="宋体" w:cs="宋体" w:eastAsia="宋体" w:hint="default"/>
                <w:sz w:val="18"/>
                <w:szCs w:val="18"/>
              </w:rPr>
              <w:t>集资金投资项目预计可使用状态时间调整为</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w:t>
            </w:r>
            <w:r>
              <w:rPr>
                <w:rFonts w:ascii="宋体" w:hAnsi="宋体" w:cs="宋体" w:eastAsia="宋体" w:hint="default"/>
                <w:spacing w:val="-92"/>
                <w:sz w:val="18"/>
                <w:szCs w:val="18"/>
              </w:rPr>
              <w:t>，</w:t>
            </w:r>
            <w:r>
              <w:rPr>
                <w:rFonts w:ascii="宋体" w:hAnsi="宋体" w:cs="宋体" w:eastAsia="宋体" w:hint="default"/>
                <w:sz w:val="18"/>
                <w:szCs w:val="18"/>
              </w:rPr>
              <w:t>“同步资源学习系</w:t>
            </w:r>
            <w:r>
              <w:rPr>
                <w:rFonts w:ascii="宋体" w:hAnsi="宋体" w:cs="宋体" w:eastAsia="宋体" w:hint="default"/>
                <w:spacing w:val="-2"/>
                <w:sz w:val="18"/>
                <w:szCs w:val="18"/>
              </w:rPr>
              <w:t>统</w:t>
            </w:r>
            <w:r>
              <w:rPr>
                <w:rFonts w:ascii="宋体" w:hAnsi="宋体" w:cs="宋体" w:eastAsia="宋体" w:hint="default"/>
                <w:sz w:val="18"/>
                <w:szCs w:val="18"/>
              </w:rPr>
              <w:t>”项目适当减少了前期房屋租赁、软硬件建设等投入。</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1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1242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 w:right="22"/>
              <w:jc w:val="left"/>
              <w:rPr>
                <w:rFonts w:ascii="宋体" w:hAnsi="宋体" w:cs="宋体" w:eastAsia="宋体" w:hint="default"/>
                <w:sz w:val="18"/>
                <w:szCs w:val="18"/>
              </w:rPr>
            </w:pPr>
            <w:r>
              <w:rPr>
                <w:rFonts w:ascii="宋体" w:hAnsi="宋体" w:cs="宋体" w:eastAsia="宋体" w:hint="default"/>
                <w:spacing w:val="-10"/>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1242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426" w:type="dxa"/>
            <w:gridSpan w:val="11"/>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314" w:lineRule="auto"/>
              <w:ind w:left="23" w:right="11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1242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592" w:type="dxa"/>
            <w:vMerge/>
            <w:tcBorders>
              <w:left w:val="single" w:sz="4" w:space="0" w:color="000000"/>
              <w:right w:val="single" w:sz="4" w:space="0" w:color="000000"/>
            </w:tcBorders>
            <w:shd w:val="clear" w:color="auto" w:fill="D2D2D2"/>
          </w:tcPr>
          <w:p>
            <w:pPr/>
          </w:p>
        </w:tc>
        <w:tc>
          <w:tcPr>
            <w:tcW w:w="12426" w:type="dxa"/>
            <w:gridSpan w:val="11"/>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426" w:type="dxa"/>
            <w:gridSpan w:val="11"/>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3" w:right="11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1242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592" w:type="dxa"/>
            <w:vMerge/>
            <w:tcBorders>
              <w:left w:val="single" w:sz="4" w:space="0" w:color="000000"/>
              <w:right w:val="single" w:sz="4" w:space="0" w:color="000000"/>
            </w:tcBorders>
            <w:shd w:val="clear" w:color="auto" w:fill="D2D2D2"/>
          </w:tcPr>
          <w:p>
            <w:pPr/>
          </w:p>
        </w:tc>
        <w:tc>
          <w:tcPr>
            <w:tcW w:w="12426" w:type="dxa"/>
            <w:gridSpan w:val="11"/>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426" w:type="dxa"/>
            <w:gridSpan w:val="11"/>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1242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0"/>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92"/>
        <w:gridCol w:w="12426"/>
      </w:tblGrid>
      <w:tr>
        <w:trPr>
          <w:trHeight w:val="689" w:hRule="exact"/>
        </w:trPr>
        <w:tc>
          <w:tcPr>
            <w:tcW w:w="15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3"/>
              <w:ind w:left="23" w:right="117"/>
              <w:jc w:val="left"/>
              <w:rPr>
                <w:rFonts w:ascii="宋体" w:hAnsi="宋体" w:cs="宋体" w:eastAsia="宋体" w:hint="default"/>
                <w:sz w:val="18"/>
                <w:szCs w:val="18"/>
              </w:rPr>
            </w:pPr>
            <w:r>
              <w:rPr>
                <w:rFonts w:ascii="宋体" w:hAnsi="宋体" w:cs="宋体" w:eastAsia="宋体" w:hint="default"/>
                <w:sz w:val="18"/>
                <w:szCs w:val="18"/>
              </w:rPr>
              <w:t>先期投入及置换情 况</w:t>
            </w:r>
          </w:p>
        </w:tc>
        <w:tc>
          <w:tcPr>
            <w:tcW w:w="124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月置换大华会计师事务所（特殊普通合伙）验资等费用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 </w:t>
            </w:r>
            <w:r>
              <w:rPr>
                <w:rFonts w:ascii="宋体" w:hAnsi="宋体" w:cs="宋体" w:eastAsia="宋体" w:hint="default"/>
                <w:sz w:val="18"/>
                <w:szCs w:val="18"/>
              </w:rPr>
              <w:t>万元及中国证券登记结算有限责任公司深圳分公司登记托管费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0.94 </w:t>
            </w:r>
            <w:r>
              <w:rPr>
                <w:rFonts w:ascii="宋体" w:hAnsi="宋体" w:cs="宋体" w:eastAsia="宋体" w:hint="default"/>
                <w:sz w:val="18"/>
                <w:szCs w:val="18"/>
              </w:rPr>
              <w:t>万元。</w:t>
            </w:r>
          </w:p>
        </w:tc>
      </w:tr>
      <w:tr>
        <w:trPr>
          <w:trHeight w:val="403" w:hRule="exact"/>
        </w:trPr>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3" w:right="11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1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3" w:right="11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1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5"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24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12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9"/>
              <w:jc w:val="both"/>
              <w:rPr>
                <w:rFonts w:ascii="宋体" w:hAnsi="宋体" w:cs="宋体" w:eastAsia="宋体" w:hint="default"/>
                <w:sz w:val="18"/>
                <w:szCs w:val="18"/>
              </w:rPr>
            </w:pPr>
            <w:r>
              <w:rPr>
                <w:rFonts w:ascii="宋体" w:hAnsi="宋体" w:cs="宋体" w:eastAsia="宋体" w:hint="default"/>
                <w:spacing w:val="-3"/>
                <w:sz w:val="18"/>
                <w:szCs w:val="18"/>
              </w:rPr>
              <w:t>公司召开第四届董事会第四次会议及第四届监事会第四次会议审议通过了《关于使用闲置募集资金购买短期银行保本理财产品的议案》，并经过公司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w:t>
            </w:r>
            <w:r>
              <w:rPr>
                <w:rFonts w:ascii="宋体" w:hAnsi="宋体" w:cs="宋体" w:eastAsia="宋体" w:hint="default"/>
                <w:spacing w:val="-82"/>
                <w:sz w:val="18"/>
                <w:szCs w:val="18"/>
              </w:rPr>
              <w:t> </w:t>
            </w:r>
            <w:r>
              <w:rPr>
                <w:rFonts w:ascii="宋体" w:hAnsi="宋体" w:cs="宋体" w:eastAsia="宋体" w:hint="default"/>
                <w:spacing w:val="-1"/>
                <w:sz w:val="18"/>
                <w:szCs w:val="18"/>
              </w:rPr>
              <w:t>度股东大会审议通过，同意公司利用闲置募集资金购买安全性高、流动性好、由商业银行发行并提供保本承诺的短期银行保本理财产品。在额度内，资金可以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滚动使用。尚未使用的募集资金均存放在公司的募集资金专户。</w:t>
            </w:r>
          </w:p>
        </w:tc>
      </w:tr>
      <w:tr>
        <w:trPr>
          <w:trHeight w:val="1025"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11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1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Times New Roman" w:hAnsi="Times New Roman" w:cs="Times New Roman" w:eastAsia="Times New Roman" w:hint="default"/>
          <w:sz w:val="22"/>
          <w:szCs w:val="22"/>
        </w:rPr>
      </w:pPr>
    </w:p>
    <w:p>
      <w:pPr>
        <w:pStyle w:val="Heading7"/>
        <w:spacing w:line="335" w:lineRule="exact"/>
        <w:ind w:left="140" w:right="10678"/>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40" w:right="10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6"/>
        <w:rPr>
          <w:rFonts w:ascii="宋体" w:hAnsi="宋体" w:cs="宋体" w:eastAsia="宋体" w:hint="default"/>
          <w:sz w:val="13"/>
          <w:szCs w:val="13"/>
        </w:rPr>
      </w:pPr>
    </w:p>
    <w:p>
      <w:pPr>
        <w:pStyle w:val="Heading3"/>
        <w:spacing w:line="240" w:lineRule="auto"/>
        <w:ind w:left="140" w:right="10678"/>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left="140" w:right="10678"/>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40" w:right="117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after="0" w:line="338" w:lineRule="auto"/>
        <w:jc w:val="left"/>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0"/>
        <w:rPr>
          <w:rFonts w:ascii="宋体" w:hAnsi="宋体" w:cs="宋体" w:eastAsia="宋体" w:hint="default"/>
          <w:sz w:val="21"/>
          <w:szCs w:val="21"/>
        </w:rPr>
      </w:pPr>
    </w:p>
    <w:p>
      <w:pPr>
        <w:pStyle w:val="Heading7"/>
        <w:spacing w:line="335" w:lineRule="exact"/>
        <w:ind w:right="0"/>
        <w:jc w:val="both"/>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0"/>
        <w:jc w:val="both"/>
        <w:rPr>
          <w:b w:val="0"/>
          <w:bCs w:val="0"/>
        </w:rPr>
      </w:pPr>
      <w:r>
        <w:rPr/>
        <w:t>七、主要控股参股公司分析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公司报告期内无应当披露的重要控股参股公司信息。</w:t>
      </w:r>
    </w:p>
    <w:p>
      <w:pPr>
        <w:spacing w:line="240" w:lineRule="auto" w:before="6"/>
        <w:rPr>
          <w:rFonts w:ascii="宋体" w:hAnsi="宋体" w:cs="宋体" w:eastAsia="宋体" w:hint="default"/>
          <w:sz w:val="13"/>
          <w:szCs w:val="13"/>
        </w:rPr>
      </w:pPr>
    </w:p>
    <w:p>
      <w:pPr>
        <w:pStyle w:val="Heading3"/>
        <w:spacing w:line="240" w:lineRule="auto"/>
        <w:ind w:right="0"/>
        <w:jc w:val="both"/>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r>
        <w:rPr/>
        <w:t>九、公司未来发展的展望</w:t>
      </w:r>
      <w:r>
        <w:rPr>
          <w:b w:val="0"/>
          <w:bCs w:val="0"/>
        </w:rPr>
      </w:r>
    </w:p>
    <w:p>
      <w:pPr>
        <w:spacing w:line="240" w:lineRule="auto" w:before="13"/>
        <w:rPr>
          <w:rFonts w:ascii="Microsoft JhengHei" w:hAnsi="Microsoft JhengHei" w:cs="Microsoft JhengHei" w:eastAsia="Microsoft JhengHei" w:hint="default"/>
          <w:b/>
          <w:bCs/>
          <w:sz w:val="17"/>
          <w:szCs w:val="17"/>
        </w:rPr>
      </w:pPr>
    </w:p>
    <w:p>
      <w:pPr>
        <w:pStyle w:val="Heading7"/>
        <w:spacing w:line="240" w:lineRule="auto"/>
        <w:ind w:left="575" w:right="995"/>
        <w:jc w:val="left"/>
        <w:rPr>
          <w:b w:val="0"/>
          <w:bCs w:val="0"/>
        </w:rPr>
      </w:pPr>
      <w:r>
        <w:rPr/>
        <w:t>（一）公司所处行业的发展趋势及政策导向</w:t>
      </w:r>
      <w:r>
        <w:rPr>
          <w:b w:val="0"/>
          <w:bCs w:val="0"/>
        </w:rPr>
      </w:r>
    </w:p>
    <w:p>
      <w:pPr>
        <w:pStyle w:val="Heading7"/>
        <w:spacing w:line="240" w:lineRule="auto" w:before="102"/>
        <w:ind w:left="575" w:right="995"/>
        <w:jc w:val="left"/>
        <w:rPr>
          <w:b w:val="0"/>
          <w:bCs w:val="0"/>
        </w:rPr>
      </w:pPr>
      <w:r>
        <w:rPr>
          <w:rFonts w:ascii="Times New Roman" w:hAnsi="Times New Roman" w:cs="Times New Roman" w:eastAsia="Times New Roman" w:hint="default"/>
        </w:rPr>
        <w:t>1</w:t>
      </w:r>
      <w:r>
        <w:rPr/>
        <w:t>、行业发展趋势</w:t>
      </w:r>
      <w:r>
        <w:rPr>
          <w:b w:val="0"/>
          <w:bCs w:val="0"/>
        </w:rPr>
      </w:r>
    </w:p>
    <w:p>
      <w:pPr>
        <w:pStyle w:val="BodyText"/>
        <w:spacing w:line="386" w:lineRule="auto" w:before="169"/>
        <w:ind w:left="573" w:right="995"/>
        <w:jc w:val="left"/>
      </w:pPr>
      <w:r>
        <w:rPr/>
        <w:t>（</w:t>
      </w:r>
      <w:r>
        <w:rPr>
          <w:rFonts w:ascii="Times New Roman" w:hAnsi="Times New Roman" w:cs="Times New Roman" w:eastAsia="Times New Roman" w:hint="default"/>
        </w:rPr>
        <w:t>1</w:t>
      </w:r>
      <w:r>
        <w:rPr/>
        <w:t>）市场下沉，需求差异化</w:t>
      </w:r>
      <w:r>
        <w:rPr>
          <w:w w:val="100"/>
        </w:rPr>
        <w:t> </w:t>
      </w:r>
      <w:r>
        <w:rPr>
          <w:spacing w:val="-2"/>
        </w:rPr>
        <w:t>在线教育市场的不断普及，面对三、四线城市广阔的发展市场，未来行业将呈现下沉式的发展趋势。</w:t>
      </w:r>
    </w:p>
    <w:p>
      <w:pPr>
        <w:pStyle w:val="BodyText"/>
        <w:spacing w:line="408" w:lineRule="auto" w:before="65"/>
        <w:ind w:right="995"/>
        <w:jc w:val="left"/>
      </w:pPr>
      <w:r>
        <w:rPr>
          <w:spacing w:val="-2"/>
        </w:rPr>
        <w:t>如何通过线上线下教育的融合，更好地解决在线教育教学进度难以跟进和课堂氛围缺乏等痛点，这将是公</w:t>
      </w:r>
      <w:r>
        <w:rPr>
          <w:spacing w:val="-42"/>
        </w:rPr>
        <w:t> </w:t>
      </w:r>
      <w:r>
        <w:rPr>
          <w:spacing w:val="-42"/>
        </w:rPr>
      </w:r>
      <w:r>
        <w:rPr/>
        <w:t>司发展所需要面对的机遇与挑战。</w:t>
      </w:r>
    </w:p>
    <w:p>
      <w:pPr>
        <w:pStyle w:val="BodyText"/>
        <w:spacing w:line="386" w:lineRule="auto"/>
        <w:ind w:left="573" w:right="995"/>
        <w:jc w:val="left"/>
      </w:pPr>
      <w:r>
        <w:rPr/>
        <w:t>（</w:t>
      </w:r>
      <w:r>
        <w:rPr>
          <w:rFonts w:ascii="Times New Roman" w:hAnsi="Times New Roman" w:cs="Times New Roman" w:eastAsia="Times New Roman" w:hint="default"/>
        </w:rPr>
        <w:t>2</w:t>
      </w:r>
      <w:r>
        <w:rPr/>
        <w:t>）个性教学，学习数据化</w:t>
      </w:r>
      <w:r>
        <w:rPr>
          <w:w w:val="100"/>
        </w:rPr>
        <w:t> </w:t>
      </w:r>
      <w:r>
        <w:rPr>
          <w:spacing w:val="-2"/>
        </w:rPr>
        <w:t>随着互联网和信息化程度的加深，教育市场越来越多品类的产品走向数字化，未来科技化的进程也将</w:t>
      </w:r>
    </w:p>
    <w:p>
      <w:pPr>
        <w:pStyle w:val="BodyText"/>
        <w:spacing w:line="408" w:lineRule="auto" w:before="65"/>
        <w:ind w:right="1104"/>
        <w:jc w:val="both"/>
      </w:pPr>
      <w:r>
        <w:rPr>
          <w:spacing w:val="-2"/>
        </w:rPr>
        <w:t>带动学生学习行为和过程的数据化，因此在线教育市场新兴技术如大数据、人工智能的进一步融合，更容</w:t>
      </w:r>
      <w:r>
        <w:rPr>
          <w:spacing w:val="-43"/>
        </w:rPr>
        <w:t> </w:t>
      </w:r>
      <w:r>
        <w:rPr>
          <w:spacing w:val="-43"/>
        </w:rPr>
      </w:r>
      <w:r>
        <w:rPr>
          <w:spacing w:val="-2"/>
        </w:rPr>
        <w:t>易将学生学习过程中的海量数据模型化，不仅方便教育机构对学生数据的统计及整理，而且可以利用大数</w:t>
      </w:r>
      <w:r>
        <w:rPr>
          <w:spacing w:val="-42"/>
        </w:rPr>
        <w:t> </w:t>
      </w:r>
      <w:r>
        <w:rPr>
          <w:spacing w:val="-42"/>
        </w:rPr>
      </w:r>
      <w:r>
        <w:rPr>
          <w:spacing w:val="-2"/>
        </w:rPr>
        <w:t>据分析等手段找到学生在学习过程中的相关规律，根据学生表现出来的规律为学生制定相应的学习方案，</w:t>
      </w:r>
      <w:r>
        <w:rPr>
          <w:spacing w:val="-22"/>
        </w:rPr>
        <w:t> </w:t>
      </w:r>
      <w:r>
        <w:rPr>
          <w:spacing w:val="-22"/>
        </w:rPr>
      </w:r>
      <w:r>
        <w:rPr/>
        <w:t>做到个性化教学，精准服务到每个学生，使其在有限的时间内以最有效的手段学习到最有效的知识。</w:t>
      </w:r>
    </w:p>
    <w:p>
      <w:pPr>
        <w:pStyle w:val="BodyText"/>
        <w:spacing w:line="408" w:lineRule="auto"/>
        <w:ind w:right="1126" w:firstLine="420"/>
        <w:jc w:val="both"/>
      </w:pPr>
      <w:r>
        <w:rPr>
          <w:spacing w:val="-2"/>
        </w:rPr>
        <w:t>方直科技将跟随政策及对公司未来发展的规划，持续在数字教育出版和原创教学数字内容资源研发等</w:t>
      </w:r>
      <w:r>
        <w:rPr>
          <w:w w:val="100"/>
        </w:rPr>
        <w:t> </w:t>
      </w:r>
      <w:r>
        <w:rPr>
          <w:spacing w:val="-2"/>
        </w:rPr>
        <w:t>领域的投入，进一步巩固我司在在线教育市场基础，全面提升公司的综合竞争优势，促进公司的可持续发</w:t>
      </w:r>
      <w:r>
        <w:rPr>
          <w:spacing w:val="-43"/>
        </w:rPr>
        <w:t> </w:t>
      </w:r>
      <w:r>
        <w:rPr>
          <w:spacing w:val="-43"/>
        </w:rPr>
      </w:r>
      <w:r>
        <w:rPr/>
        <w:t>展。</w:t>
      </w:r>
    </w:p>
    <w:p>
      <w:pPr>
        <w:pStyle w:val="BodyText"/>
        <w:spacing w:line="240" w:lineRule="auto"/>
        <w:ind w:left="573" w:right="995"/>
        <w:jc w:val="left"/>
      </w:pPr>
      <w:r>
        <w:rPr/>
        <w:t>（</w:t>
      </w:r>
      <w:r>
        <w:rPr>
          <w:rFonts w:ascii="Times New Roman" w:hAnsi="Times New Roman" w:cs="Times New Roman" w:eastAsia="Times New Roman" w:hint="default"/>
        </w:rPr>
        <w:t>3</w:t>
      </w:r>
      <w:r>
        <w:rPr/>
        <w:t>）在线教育，网络普及化</w:t>
      </w:r>
    </w:p>
    <w:p>
      <w:pPr>
        <w:pStyle w:val="BodyText"/>
        <w:spacing w:line="400" w:lineRule="auto" w:before="177"/>
        <w:ind w:right="995" w:firstLine="420"/>
        <w:jc w:val="left"/>
      </w:pPr>
      <w:r>
        <w:rPr>
          <w:rFonts w:ascii="Times New Roman" w:hAnsi="Times New Roman" w:cs="Times New Roman" w:eastAsia="Times New Roman" w:hint="default"/>
        </w:rPr>
        <w:t>2018</w:t>
      </w:r>
      <w:r>
        <w:rPr/>
        <w:t>年以来国家教育大政方针相继确立，密切落实减负行动及相关配套政策，进一步规范校外培训市</w:t>
      </w:r>
      <w:r>
        <w:rPr>
          <w:w w:val="100"/>
        </w:rPr>
        <w:t> </w:t>
      </w:r>
      <w:r>
        <w:rPr>
          <w:spacing w:val="-5"/>
        </w:rPr>
        <w:t>场，利好在线教育发展。随着技术快速发展，带宽速率的提高，极大的提升了在线教育的体验感受和效果。</w:t>
      </w:r>
      <w:r>
        <w:rPr>
          <w:spacing w:val="-9"/>
        </w:rPr>
        <w:t> </w:t>
      </w:r>
      <w:r>
        <w:rPr>
          <w:spacing w:val="-9"/>
        </w:rPr>
      </w:r>
      <w:r>
        <w:rPr>
          <w:spacing w:val="-2"/>
        </w:rPr>
        <w:t>另外，越来越多父母教育意识的升级以及消费能力的提高，在线付费意识已经逐渐养成。随着互联网的普</w:t>
      </w:r>
      <w:r>
        <w:rPr>
          <w:spacing w:val="-43"/>
        </w:rPr>
        <w:t> </w:t>
      </w:r>
      <w:r>
        <w:rPr>
          <w:spacing w:val="-43"/>
        </w:rPr>
      </w:r>
      <w:r>
        <w:rPr/>
        <w:t>及与熟悉，家长及孩子对在线教育的接受度不断提升，也为在线教育迎来较大量级用户增长提供了可能，</w:t>
      </w:r>
    </w:p>
    <w:p>
      <w:pPr>
        <w:spacing w:after="0" w:line="400" w:lineRule="auto"/>
        <w:jc w:val="left"/>
        <w:sectPr>
          <w:headerReference w:type="default" r:id="rId27"/>
          <w:footerReference w:type="default" r:id="rId28"/>
          <w:pgSz w:w="11910" w:h="16840"/>
          <w:pgMar w:header="880" w:footer="979" w:top="1100" w:bottom="1160" w:left="980" w:right="0"/>
          <w:pgNumType w:start="29"/>
        </w:sectPr>
      </w:pPr>
    </w:p>
    <w:p>
      <w:pPr>
        <w:spacing w:line="240" w:lineRule="auto" w:before="12"/>
        <w:rPr>
          <w:rFonts w:ascii="宋体" w:hAnsi="宋体" w:cs="宋体" w:eastAsia="宋体" w:hint="default"/>
          <w:sz w:val="26"/>
          <w:szCs w:val="26"/>
        </w:rPr>
      </w:pPr>
    </w:p>
    <w:p>
      <w:pPr>
        <w:pStyle w:val="BodyText"/>
        <w:spacing w:line="408" w:lineRule="auto" w:before="36"/>
        <w:ind w:right="1126"/>
        <w:jc w:val="both"/>
      </w:pPr>
      <w:r>
        <w:rPr>
          <w:spacing w:val="-2"/>
        </w:rPr>
        <w:t>以及人口流动带来的城市新机会。一线城市及其周边地区的出生率保持正增长，城市化的推进从一线城市</w:t>
      </w:r>
      <w:r>
        <w:rPr>
          <w:spacing w:val="-44"/>
        </w:rPr>
        <w:t> </w:t>
      </w:r>
      <w:r>
        <w:rPr>
          <w:spacing w:val="-44"/>
        </w:rPr>
      </w:r>
      <w:r>
        <w:rPr>
          <w:spacing w:val="-2"/>
        </w:rPr>
        <w:t>向城市群的周边地区转移，外来人口的涌入使得这些一线城市的生育率依然在增长，同时收入的提升带来</w:t>
      </w:r>
      <w:r>
        <w:rPr>
          <w:spacing w:val="-44"/>
        </w:rPr>
        <w:t> </w:t>
      </w:r>
      <w:r>
        <w:rPr>
          <w:spacing w:val="-44"/>
        </w:rPr>
      </w:r>
      <w:r>
        <w:rPr>
          <w:spacing w:val="-2"/>
        </w:rPr>
        <w:t>了一批新的潜在客户。公司将积极开拓市场，不断完善提升公司产品品质，从而快速抢占市场，提升公司</w:t>
      </w:r>
      <w:r>
        <w:rPr>
          <w:spacing w:val="-50"/>
        </w:rPr>
        <w:t> </w:t>
      </w:r>
      <w:r>
        <w:rPr>
          <w:spacing w:val="-50"/>
        </w:rPr>
      </w:r>
      <w:r>
        <w:rPr/>
        <w:t>产品市场占有率。</w:t>
      </w:r>
    </w:p>
    <w:p>
      <w:pPr>
        <w:pStyle w:val="Heading7"/>
        <w:spacing w:line="345" w:lineRule="exact"/>
        <w:ind w:left="575" w:right="995"/>
        <w:jc w:val="left"/>
        <w:rPr>
          <w:b w:val="0"/>
          <w:bCs w:val="0"/>
        </w:rPr>
      </w:pPr>
      <w:r>
        <w:rPr>
          <w:rFonts w:ascii="Times New Roman" w:hAnsi="Times New Roman" w:cs="Times New Roman" w:eastAsia="Times New Roman" w:hint="default"/>
        </w:rPr>
        <w:t>2</w:t>
      </w:r>
      <w:r>
        <w:rPr/>
        <w:t>、政策导向</w:t>
      </w:r>
      <w:r>
        <w:rPr>
          <w:b w:val="0"/>
          <w:bCs w:val="0"/>
        </w:rPr>
      </w:r>
    </w:p>
    <w:p>
      <w:pPr>
        <w:pStyle w:val="BodyText"/>
        <w:spacing w:line="408" w:lineRule="auto" w:before="169"/>
        <w:ind w:right="995" w:firstLine="420"/>
        <w:jc w:val="left"/>
      </w:pPr>
      <w:r>
        <w:rPr>
          <w:spacing w:val="-5"/>
        </w:rPr>
        <w:t>公司致力于为广大中小学教师与学生提供优质、同步、配套的教育软件及互联网在线全面系统的服务，</w:t>
      </w:r>
      <w:r>
        <w:rPr>
          <w:w w:val="100"/>
        </w:rPr>
        <w:t> </w:t>
      </w:r>
      <w:r>
        <w:rPr/>
        <w:t>相关行业政策改革也影响着公司未来发展。</w:t>
      </w:r>
    </w:p>
    <w:p>
      <w:pPr>
        <w:pStyle w:val="BodyText"/>
        <w:spacing w:line="240" w:lineRule="auto"/>
        <w:ind w:left="573" w:right="995"/>
        <w:jc w:val="left"/>
      </w:pPr>
      <w:r>
        <w:rPr/>
        <w:t>（</w:t>
      </w:r>
      <w:r>
        <w:rPr>
          <w:rFonts w:ascii="Times New Roman" w:hAnsi="Times New Roman" w:cs="Times New Roman" w:eastAsia="Times New Roman" w:hint="default"/>
        </w:rPr>
        <w:t>1</w:t>
      </w:r>
      <w:r>
        <w:rPr/>
        <w:t>）在线教育行业相关政策</w:t>
      </w:r>
    </w:p>
    <w:p>
      <w:pPr>
        <w:pStyle w:val="BodyText"/>
        <w:spacing w:line="386" w:lineRule="auto" w:before="178"/>
        <w:ind w:right="995" w:firstLine="42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月，教育部发布《关于严禁有害</w:t>
      </w:r>
      <w:r>
        <w:rPr>
          <w:rFonts w:ascii="Times New Roman" w:hAnsi="Times New Roman" w:cs="Times New Roman" w:eastAsia="Times New Roman" w:hint="default"/>
          <w:spacing w:val="-4"/>
        </w:rPr>
        <w:t>APP</w:t>
      </w:r>
      <w:r>
        <w:rPr>
          <w:spacing w:val="-4"/>
        </w:rPr>
        <w:t>进入中小学校园的通知》，逐步持续排斥有问题的学习类</w:t>
      </w:r>
      <w:r>
        <w:rPr>
          <w:w w:val="100"/>
        </w:rPr>
        <w:t> </w:t>
      </w:r>
      <w:r>
        <w:rPr>
          <w:rFonts w:ascii="Times New Roman" w:hAnsi="Times New Roman" w:cs="Times New Roman" w:eastAsia="Times New Roman" w:hint="default"/>
        </w:rPr>
        <w:t>APP</w:t>
      </w:r>
      <w:r>
        <w:rPr/>
        <w:t>。</w:t>
      </w:r>
    </w:p>
    <w:p>
      <w:pPr>
        <w:pStyle w:val="BodyText"/>
        <w:spacing w:line="386" w:lineRule="auto" w:before="35"/>
        <w:ind w:right="995"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月，教育部等六部门联合发布《关于规范校外线上培训的实施意见》，对线上培训活动实行</w:t>
      </w:r>
      <w:r>
        <w:rPr>
          <w:w w:val="100"/>
        </w:rPr>
        <w:t> </w:t>
      </w:r>
      <w:r>
        <w:rPr/>
        <w:t>更加严格的管理。</w:t>
      </w:r>
    </w:p>
    <w:p>
      <w:pPr>
        <w:pStyle w:val="BodyText"/>
        <w:spacing w:line="391" w:lineRule="auto" w:before="65"/>
        <w:ind w:right="1126"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月：教育部等十一部门联合发布《关于促进在线教育健康发展的指导意见》，重点指出发展</w:t>
      </w:r>
      <w:r>
        <w:rPr>
          <w:w w:val="100"/>
        </w:rPr>
        <w:t> </w:t>
      </w:r>
      <w:r>
        <w:rPr>
          <w:spacing w:val="-2"/>
        </w:rPr>
        <w:t>目标：到</w:t>
      </w:r>
      <w:r>
        <w:rPr>
          <w:rFonts w:ascii="Times New Roman" w:hAnsi="Times New Roman" w:cs="Times New Roman" w:eastAsia="Times New Roman" w:hint="default"/>
          <w:spacing w:val="-2"/>
        </w:rPr>
        <w:t>2020</w:t>
      </w:r>
      <w:r>
        <w:rPr>
          <w:spacing w:val="-2"/>
        </w:rPr>
        <w:t>年，在线教育的基础设施建设水平大幅提升，互联网、大数据、人工智能等现代信息技术在</w:t>
      </w:r>
      <w:r>
        <w:rPr>
          <w:spacing w:val="-40"/>
        </w:rPr>
        <w:t> </w:t>
      </w:r>
      <w:r>
        <w:rPr>
          <w:spacing w:val="-40"/>
        </w:rPr>
      </w:r>
      <w:r>
        <w:rPr>
          <w:spacing w:val="-2"/>
        </w:rPr>
        <w:t>教育领域的应用更加广泛，资源和服务更加丰富，在线教育模式更加完善。到</w:t>
      </w:r>
      <w:r>
        <w:rPr>
          <w:rFonts w:ascii="Times New Roman" w:hAnsi="Times New Roman" w:cs="Times New Roman" w:eastAsia="Times New Roman" w:hint="default"/>
          <w:spacing w:val="-2"/>
        </w:rPr>
        <w:t>2022</w:t>
      </w:r>
      <w:r>
        <w:rPr>
          <w:spacing w:val="-2"/>
        </w:rPr>
        <w:t>年，现代信息技术与教</w:t>
      </w:r>
      <w:r>
        <w:rPr>
          <w:spacing w:val="-43"/>
        </w:rPr>
        <w:t> </w:t>
      </w:r>
      <w:r>
        <w:rPr>
          <w:spacing w:val="-43"/>
        </w:rPr>
      </w:r>
      <w:r>
        <w:rPr>
          <w:spacing w:val="-2"/>
        </w:rPr>
        <w:t>育实现深度融合，在线教育质量不断提升，资源和服务标准体系全面建立，发展环境明显改善，治理体系</w:t>
      </w:r>
      <w:r>
        <w:rPr>
          <w:spacing w:val="-50"/>
        </w:rPr>
        <w:t> </w:t>
      </w:r>
      <w:r>
        <w:rPr>
          <w:spacing w:val="-50"/>
        </w:rPr>
      </w:r>
      <w:r>
        <w:rPr/>
        <w:t>更加健全，网络化、数字化、个性化、终身化的教育体系初步构建，学习型社会建设取得重要进展。</w:t>
      </w:r>
    </w:p>
    <w:p>
      <w:pPr>
        <w:pStyle w:val="BodyText"/>
        <w:spacing w:line="391" w:lineRule="auto" w:before="61"/>
        <w:ind w:right="995" w:firstLine="420"/>
        <w:jc w:val="left"/>
      </w:pPr>
      <w:r>
        <w:rPr/>
        <w:t>方直科技始终以用户需求为导向，坚持为用户提供优质产品和服务，同步学</w:t>
      </w:r>
      <w:r>
        <w:rPr>
          <w:rFonts w:ascii="Times New Roman" w:hAnsi="Times New Roman" w:cs="Times New Roman" w:eastAsia="Times New Roman" w:hint="default"/>
        </w:rPr>
        <w:t>APP</w:t>
      </w:r>
      <w:r>
        <w:rPr/>
        <w:t>作为广东省教育厅首</w:t>
      </w:r>
      <w:r>
        <w:rPr>
          <w:w w:val="100"/>
        </w:rPr>
        <w:t> </w:t>
      </w:r>
      <w:r>
        <w:rPr>
          <w:spacing w:val="-4"/>
        </w:rPr>
        <w:t>批过审白名单</w:t>
      </w:r>
      <w:r>
        <w:rPr>
          <w:rFonts w:ascii="Times New Roman" w:hAnsi="Times New Roman" w:cs="Times New Roman" w:eastAsia="Times New Roman" w:hint="default"/>
          <w:spacing w:val="-4"/>
        </w:rPr>
        <w:t>APP</w:t>
      </w:r>
      <w:r>
        <w:rPr>
          <w:spacing w:val="-4"/>
        </w:rPr>
        <w:t>，以高于行业标准研发，在使用优质内容服务用户的同时，同样注重用户信息安全保护，</w:t>
      </w:r>
      <w:r>
        <w:rPr>
          <w:spacing w:val="-13"/>
        </w:rPr>
        <w:t> </w:t>
      </w:r>
      <w:r>
        <w:rPr>
          <w:spacing w:val="-13"/>
        </w:rPr>
      </w:r>
      <w:r>
        <w:rPr/>
        <w:t>同步学</w:t>
      </w:r>
      <w:r>
        <w:rPr>
          <w:rFonts w:ascii="Times New Roman" w:hAnsi="Times New Roman" w:cs="Times New Roman" w:eastAsia="Times New Roman" w:hint="default"/>
        </w:rPr>
        <w:t>APP</w:t>
      </w:r>
      <w:r>
        <w:rPr/>
        <w:t>在接受了涵盖等级保护安全技术要求的五个层面和安全管理要求的五个层面的严格测评打分，</w:t>
      </w:r>
      <w:r>
        <w:rPr>
          <w:spacing w:val="-100"/>
        </w:rPr>
        <w:t> </w:t>
      </w:r>
      <w:r>
        <w:rPr>
          <w:spacing w:val="-100"/>
        </w:rPr>
      </w:r>
      <w:r>
        <w:rPr>
          <w:spacing w:val="-2"/>
        </w:rPr>
        <w:t>成功通过了国家信息系统等级保护二级测试，并依法正式获取了《信息系统安全等级保护备案证明》二级</w:t>
      </w:r>
      <w:r>
        <w:rPr>
          <w:spacing w:val="-42"/>
        </w:rPr>
        <w:t> </w:t>
      </w:r>
      <w:r>
        <w:rPr>
          <w:spacing w:val="-42"/>
        </w:rPr>
      </w:r>
      <w:r>
        <w:rPr/>
        <w:t>证书，这标志着同步学</w:t>
      </w:r>
      <w:r>
        <w:rPr>
          <w:rFonts w:ascii="Times New Roman" w:hAnsi="Times New Roman" w:cs="Times New Roman" w:eastAsia="Times New Roman" w:hint="default"/>
        </w:rPr>
        <w:t>APP</w:t>
      </w:r>
      <w:r>
        <w:rPr/>
        <w:t>在网络信息规范化管理方面更加严密，数据管理更加安全，必将极大助推公司</w:t>
      </w:r>
      <w:r>
        <w:rPr>
          <w:spacing w:val="-100"/>
        </w:rPr>
        <w:t> </w:t>
      </w:r>
      <w:r>
        <w:rPr>
          <w:spacing w:val="-100"/>
        </w:rPr>
      </w:r>
      <w:r>
        <w:rPr/>
        <w:t>的全面发展。</w:t>
      </w:r>
    </w:p>
    <w:p>
      <w:pPr>
        <w:pStyle w:val="BodyText"/>
        <w:spacing w:line="240" w:lineRule="auto" w:before="61"/>
        <w:ind w:left="573" w:right="995"/>
        <w:jc w:val="left"/>
      </w:pPr>
      <w:r>
        <w:rPr/>
        <w:t>未来公司会充分发挥企业的社会价值，引领构建绿色、健康、高效的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教育</w:t>
      </w:r>
      <w:r>
        <w:rPr>
          <w:rFonts w:ascii="Times New Roman" w:hAnsi="Times New Roman" w:cs="Times New Roman" w:eastAsia="Times New Roman" w:hint="default"/>
        </w:rPr>
        <w:t>”</w:t>
      </w:r>
      <w:r>
        <w:rPr/>
        <w:t>育人环境。</w:t>
      </w:r>
    </w:p>
    <w:p>
      <w:pPr>
        <w:pStyle w:val="BodyText"/>
        <w:spacing w:line="386" w:lineRule="auto" w:before="177"/>
        <w:ind w:left="573" w:right="995"/>
        <w:jc w:val="left"/>
      </w:pPr>
      <w:r>
        <w:rPr/>
        <w:t>（</w:t>
      </w:r>
      <w:r>
        <w:rPr>
          <w:rFonts w:ascii="Times New Roman" w:hAnsi="Times New Roman" w:cs="Times New Roman" w:eastAsia="Times New Roman" w:hint="default"/>
        </w:rPr>
        <w:t>2</w:t>
      </w:r>
      <w:r>
        <w:rPr/>
        <w:t>）软件行业相关政策</w:t>
      </w:r>
      <w:r>
        <w:rPr>
          <w:w w:val="100"/>
        </w:rPr>
        <w:t> </w:t>
      </w:r>
      <w:r>
        <w:rPr>
          <w:spacing w:val="-2"/>
        </w:rPr>
        <w:t>软件行业相关法规包括《计算机软件保护条例》、《计算机软件著作权登记办法》、《软件企业认定</w:t>
      </w:r>
    </w:p>
    <w:p>
      <w:pPr>
        <w:pStyle w:val="BodyText"/>
        <w:spacing w:line="408" w:lineRule="auto" w:before="65"/>
        <w:ind w:right="1126"/>
        <w:jc w:val="both"/>
      </w:pPr>
      <w:r>
        <w:rPr>
          <w:spacing w:val="-2"/>
        </w:rPr>
        <w:t>标准及管理办法》、《软件产品登记管理办法》、《国家软件产业基地管理办法》、《国家规划布局内的</w:t>
      </w:r>
      <w:r>
        <w:rPr>
          <w:spacing w:val="-44"/>
        </w:rPr>
        <w:t> </w:t>
      </w:r>
      <w:r>
        <w:rPr>
          <w:spacing w:val="-44"/>
        </w:rPr>
      </w:r>
      <w:r>
        <w:rPr>
          <w:spacing w:val="-2"/>
        </w:rPr>
        <w:t>重点软件企业认定管理办法》、《软件出口管理和统计办法》等。《中国软件行业基本公约》为国内软件</w:t>
      </w:r>
      <w:r>
        <w:rPr>
          <w:spacing w:val="-44"/>
        </w:rPr>
        <w:t> </w:t>
      </w:r>
      <w:r>
        <w:rPr>
          <w:spacing w:val="-44"/>
        </w:rPr>
      </w:r>
      <w:r>
        <w:rPr/>
        <w:t>行业规范。</w:t>
      </w:r>
    </w:p>
    <w:p>
      <w:pPr>
        <w:pStyle w:val="BodyText"/>
        <w:spacing w:line="240" w:lineRule="auto"/>
        <w:ind w:left="573" w:right="995"/>
        <w:jc w:val="left"/>
      </w:pPr>
      <w:r>
        <w:rPr/>
        <w:t>国家及相关部门对软件相关行业制定了税收优惠政策，根据国务院《国务院关于印发进一步鼓励软件</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86" w:lineRule="auto" w:before="36"/>
        <w:ind w:right="1126"/>
        <w:jc w:val="both"/>
      </w:pPr>
      <w:r>
        <w:rPr>
          <w:spacing w:val="-3"/>
        </w:rPr>
        <w:t>产业和集成电路产业发展若干政策的通知》（国发</w:t>
      </w:r>
      <w:r>
        <w:rPr>
          <w:rFonts w:ascii="Times New Roman" w:hAnsi="Times New Roman" w:cs="Times New Roman" w:eastAsia="Times New Roman" w:hint="default"/>
          <w:spacing w:val="-3"/>
        </w:rPr>
        <w:t>[2011]4</w:t>
      </w:r>
      <w:r>
        <w:rPr>
          <w:spacing w:val="-3"/>
        </w:rPr>
        <w:t>号）和财政部、国家税务总局《关于软件产品增</w:t>
      </w:r>
      <w:r>
        <w:rPr>
          <w:spacing w:val="-25"/>
        </w:rPr>
        <w:t> </w:t>
      </w:r>
      <w:r>
        <w:rPr>
          <w:spacing w:val="-25"/>
        </w:rPr>
      </w:r>
      <w:r>
        <w:rPr>
          <w:spacing w:val="-3"/>
        </w:rPr>
        <w:t>值税政策的通知》（财税</w:t>
      </w:r>
      <w:r>
        <w:rPr>
          <w:rFonts w:ascii="Times New Roman" w:hAnsi="Times New Roman" w:cs="Times New Roman" w:eastAsia="Times New Roman" w:hint="default"/>
          <w:spacing w:val="-3"/>
        </w:rPr>
        <w:t>[2011]100</w:t>
      </w:r>
      <w:r>
        <w:rPr>
          <w:spacing w:val="-3"/>
        </w:rPr>
        <w:t>号）文有关规定，本公司自行开发研制软件产品销售收入按法定税率计</w:t>
      </w:r>
      <w:r>
        <w:rPr>
          <w:spacing w:val="-18"/>
        </w:rPr>
        <w:t> </w:t>
      </w:r>
      <w:r>
        <w:rPr>
          <w:spacing w:val="-18"/>
        </w:rPr>
      </w:r>
      <w:r>
        <w:rPr>
          <w:spacing w:val="-1"/>
        </w:rPr>
        <w:t>缴增值税后，对实际税负超过</w:t>
      </w:r>
      <w:r>
        <w:rPr>
          <w:rFonts w:ascii="Times New Roman" w:hAnsi="Times New Roman" w:cs="Times New Roman" w:eastAsia="Times New Roman" w:hint="default"/>
          <w:spacing w:val="-1"/>
        </w:rPr>
        <w:t>3%</w:t>
      </w:r>
      <w:r>
        <w:rPr>
          <w:spacing w:val="-1"/>
        </w:rPr>
        <w:t>的部分实行即征即退政策。继</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纳入政府工作报告，政策对于软</w:t>
      </w:r>
      <w:r>
        <w:rPr>
          <w:spacing w:val="-39"/>
        </w:rPr>
        <w:t> </w:t>
      </w:r>
      <w:r>
        <w:rPr>
          <w:spacing w:val="-39"/>
        </w:rPr>
      </w:r>
      <w:r>
        <w:rPr/>
        <w:t>件产业的扶持力度颇大。</w:t>
      </w:r>
    </w:p>
    <w:p>
      <w:pPr>
        <w:pStyle w:val="BodyText"/>
        <w:spacing w:line="408" w:lineRule="auto" w:before="65"/>
        <w:ind w:right="1126" w:firstLine="420"/>
        <w:jc w:val="both"/>
      </w:pPr>
      <w:r>
        <w:rPr>
          <w:spacing w:val="-2"/>
        </w:rPr>
        <w:t>我国政府高度重视人工智能的技术进步与产业发展，人工智能已上升国家战略。《新一代人工智能发</w:t>
      </w:r>
      <w:r>
        <w:rPr>
          <w:w w:val="100"/>
        </w:rPr>
        <w:t> </w:t>
      </w:r>
      <w:r>
        <w:rPr/>
        <w:t>展规划》明确提出到</w:t>
      </w:r>
      <w:r>
        <w:rPr>
          <w:rFonts w:ascii="Times New Roman" w:hAnsi="Times New Roman" w:cs="Times New Roman" w:eastAsia="Times New Roman" w:hint="default"/>
        </w:rPr>
        <w:t>2030</w:t>
      </w:r>
      <w:r>
        <w:rPr/>
        <w:t>年，使中国成为世界主要人工智能创新中心，人工智能市场前景巨大。</w:t>
      </w:r>
    </w:p>
    <w:p>
      <w:pPr>
        <w:pStyle w:val="BodyText"/>
        <w:spacing w:line="386" w:lineRule="auto" w:before="14"/>
        <w:ind w:right="1126" w:firstLine="420"/>
        <w:jc w:val="both"/>
      </w:pPr>
      <w:r>
        <w:rPr>
          <w:spacing w:val="-2"/>
        </w:rPr>
        <w:t>政府先后出台人工智能以及教育智能化发展的相关政策。从</w:t>
      </w:r>
      <w:r>
        <w:rPr>
          <w:rFonts w:ascii="Times New Roman" w:hAnsi="Times New Roman" w:cs="Times New Roman" w:eastAsia="Times New Roman" w:hint="default"/>
          <w:spacing w:val="-2"/>
        </w:rPr>
        <w:t>2017</w:t>
      </w:r>
      <w:r>
        <w:rPr>
          <w:spacing w:val="-2"/>
        </w:rPr>
        <w:t>年国务院正式印发《新一代人工智能</w:t>
      </w:r>
      <w:r>
        <w:rPr>
          <w:w w:val="100"/>
        </w:rPr>
        <w:t> </w:t>
      </w:r>
      <w:r>
        <w:rPr>
          <w:spacing w:val="-2"/>
        </w:rPr>
        <w:t>发展规划》，到</w:t>
      </w:r>
      <w:r>
        <w:rPr>
          <w:rFonts w:ascii="Times New Roman" w:hAnsi="Times New Roman" w:cs="Times New Roman" w:eastAsia="Times New Roman" w:hint="default"/>
          <w:spacing w:val="-2"/>
        </w:rPr>
        <w:t>2018</w:t>
      </w:r>
      <w:r>
        <w:rPr>
          <w:spacing w:val="-2"/>
        </w:rPr>
        <w:t>年《政府工作报告》加强新一代人工智能研发应用，政府在包括教育行业在内的多领</w:t>
      </w:r>
      <w:r>
        <w:rPr>
          <w:spacing w:val="-40"/>
        </w:rPr>
        <w:t> </w:t>
      </w:r>
      <w:r>
        <w:rPr>
          <w:spacing w:val="-40"/>
        </w:rPr>
      </w:r>
      <w:r>
        <w:rPr/>
        <w:t>域推进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，发展公平而有质量的教育。</w:t>
      </w:r>
    </w:p>
    <w:p>
      <w:pPr>
        <w:pStyle w:val="BodyText"/>
        <w:spacing w:line="398" w:lineRule="auto" w:before="35"/>
        <w:ind w:right="1104" w:firstLine="504"/>
        <w:jc w:val="both"/>
      </w:pPr>
      <w:r>
        <w:rPr>
          <w:rFonts w:ascii="Times New Roman" w:hAnsi="Times New Roman" w:cs="Times New Roman" w:eastAsia="Times New Roman" w:hint="default"/>
        </w:rPr>
        <w:t>2018</w:t>
      </w:r>
      <w:r>
        <w:rPr/>
        <w:t>年《教育信息化</w:t>
      </w:r>
      <w:r>
        <w:rPr>
          <w:rFonts w:ascii="Times New Roman" w:hAnsi="Times New Roman" w:cs="Times New Roman" w:eastAsia="Times New Roman" w:hint="default"/>
        </w:rPr>
        <w:t>2.0</w:t>
      </w:r>
      <w:r>
        <w:rPr/>
        <w:t>行动计划》大力推进智能教育，开展以学习者为中心的智能化教学，推动人</w:t>
      </w:r>
      <w:r>
        <w:rPr>
          <w:w w:val="100"/>
        </w:rPr>
        <w:t> </w:t>
      </w:r>
      <w:r>
        <w:rPr>
          <w:spacing w:val="-2"/>
        </w:rPr>
        <w:t>工智能在教学、管理等方面的全流程应用，利用智能技术加快推动人才培养模式、教学方法改革。随后，</w:t>
      </w:r>
      <w:r>
        <w:rPr>
          <w:spacing w:val="-21"/>
        </w:rPr>
        <w:t> </w:t>
      </w:r>
      <w:r>
        <w:rPr>
          <w:spacing w:val="-21"/>
        </w:rPr>
      </w:r>
      <w:r>
        <w:rPr>
          <w:spacing w:val="-2"/>
        </w:rPr>
        <w:t>中共中央、国务院于</w:t>
      </w:r>
      <w:r>
        <w:rPr>
          <w:rFonts w:ascii="Times New Roman" w:hAnsi="Times New Roman" w:cs="Times New Roman" w:eastAsia="Times New Roman" w:hint="default"/>
          <w:spacing w:val="-2"/>
        </w:rPr>
        <w:t>2019</w:t>
      </w:r>
      <w:r>
        <w:rPr>
          <w:spacing w:val="-2"/>
        </w:rPr>
        <w:t>年印发《中国教育现代化</w:t>
      </w:r>
      <w:r>
        <w:rPr>
          <w:rFonts w:ascii="Times New Roman" w:hAnsi="Times New Roman" w:cs="Times New Roman" w:eastAsia="Times New Roman" w:hint="default"/>
          <w:spacing w:val="-2"/>
        </w:rPr>
        <w:t>2035</w:t>
      </w:r>
      <w:r>
        <w:rPr>
          <w:spacing w:val="-2"/>
        </w:rPr>
        <w:t>》，更加注重面向人人、因材施教、融和发展，明</w:t>
      </w:r>
      <w:r>
        <w:rPr>
          <w:spacing w:val="-40"/>
        </w:rPr>
        <w:t> </w:t>
      </w:r>
      <w:r>
        <w:rPr>
          <w:spacing w:val="-40"/>
        </w:rPr>
      </w:r>
      <w:r>
        <w:rPr/>
        <w:t>确了教育现代化的实施路径，</w:t>
      </w:r>
      <w:r>
        <w:rPr>
          <w:rFonts w:ascii="Times New Roman" w:hAnsi="Times New Roman" w:cs="Times New Roman" w:eastAsia="Times New Roman" w:hint="default"/>
        </w:rPr>
        <w:t>AI+</w:t>
      </w:r>
      <w:r>
        <w:rPr/>
        <w:t>教育的自适应系统则满足了因材施教的战略目标。</w:t>
      </w:r>
      <w:r>
        <w:rPr>
          <w:rFonts w:ascii="Times New Roman" w:hAnsi="Times New Roman" w:cs="Times New Roman" w:eastAsia="Times New Roman" w:hint="default"/>
        </w:rPr>
        <w:t>2019</w:t>
      </w:r>
      <w:r>
        <w:rPr/>
        <w:t>年，我国软件和</w:t>
      </w:r>
      <w:r>
        <w:rPr>
          <w:spacing w:val="-49"/>
        </w:rPr>
        <w:t> </w:t>
      </w:r>
      <w:r>
        <w:rPr>
          <w:spacing w:val="-2"/>
        </w:rPr>
        <w:t>信息技术服务业呈现平稳向好发展态势，收入和利润均保持较快增长，从业人数稳步增加；信息技术服务</w:t>
      </w:r>
      <w:r>
        <w:rPr>
          <w:spacing w:val="-44"/>
        </w:rPr>
        <w:t> </w:t>
      </w:r>
      <w:r>
        <w:rPr>
          <w:spacing w:val="-44"/>
        </w:rPr>
      </w:r>
      <w:r>
        <w:rPr>
          <w:spacing w:val="-3"/>
        </w:rPr>
        <w:t>加快云化发展，软件应用服务化、平台化趋势明显；中部地区软件业增速较快，东部地区保持集聚和领先</w:t>
      </w:r>
      <w:r>
        <w:rPr>
          <w:spacing w:val="-5"/>
        </w:rPr>
        <w:t> </w:t>
      </w:r>
      <w:r>
        <w:rPr>
          <w:spacing w:val="-5"/>
        </w:rPr>
      </w:r>
      <w:r>
        <w:rPr/>
        <w:t>发展态势。</w:t>
      </w:r>
    </w:p>
    <w:p>
      <w:pPr>
        <w:pStyle w:val="BodyText"/>
        <w:spacing w:line="393" w:lineRule="auto" w:before="54"/>
        <w:ind w:right="1126" w:firstLine="420"/>
        <w:jc w:val="both"/>
      </w:pPr>
      <w:r>
        <w:rPr>
          <w:spacing w:val="-2"/>
        </w:rPr>
        <w:t>方直科技在人工智能领域方面一直都有相应的研究并实际应用在公司产品中，成立木愚科技是以基于</w:t>
      </w:r>
      <w:r>
        <w:rPr>
          <w:w w:val="100"/>
        </w:rPr>
        <w:t> </w:t>
      </w:r>
      <w:r>
        <w:rPr/>
        <w:t>人工智能发展教育为主要目标，通过人工智能</w:t>
      </w:r>
      <w:r>
        <w:rPr>
          <w:rFonts w:ascii="Times New Roman" w:hAnsi="Times New Roman" w:cs="Times New Roman" w:eastAsia="Times New Roman" w:hint="default"/>
        </w:rPr>
        <w:t>+</w:t>
      </w:r>
      <w:r>
        <w:rPr/>
        <w:t>教育实现个性教学、分层教学、因材施教，并开展人工智</w:t>
      </w:r>
      <w:r>
        <w:rPr>
          <w:spacing w:val="-36"/>
        </w:rPr>
        <w:t> </w:t>
      </w:r>
      <w:r>
        <w:rPr>
          <w:spacing w:val="-36"/>
        </w:rPr>
      </w:r>
      <w:r>
        <w:rPr/>
        <w:t>能</w:t>
      </w:r>
      <w:r>
        <w:rPr>
          <w:rFonts w:ascii="Times New Roman" w:hAnsi="Times New Roman" w:cs="Times New Roman" w:eastAsia="Times New Roman" w:hint="default"/>
        </w:rPr>
        <w:t>+</w:t>
      </w:r>
      <w:r>
        <w:rPr/>
        <w:t>教育的相关研发、服务和营销工作。木愚科技不仅是现有研究的延续，更是基于已有成果的更深层次</w:t>
      </w:r>
      <w:r>
        <w:rPr>
          <w:spacing w:val="-38"/>
        </w:rPr>
        <w:t> </w:t>
      </w:r>
      <w:r>
        <w:rPr>
          <w:spacing w:val="-38"/>
        </w:rPr>
      </w:r>
      <w:r>
        <w:rPr/>
        <w:t>的研究探索，以助力教育教学模式变革，落实公司的长远战略规划。</w:t>
      </w:r>
    </w:p>
    <w:p>
      <w:pPr>
        <w:pStyle w:val="BodyText"/>
        <w:spacing w:line="240" w:lineRule="auto" w:before="58"/>
        <w:ind w:left="573" w:right="995"/>
        <w:jc w:val="left"/>
      </w:pPr>
      <w:r>
        <w:rPr/>
        <w:t>（</w:t>
      </w:r>
      <w:r>
        <w:rPr>
          <w:rFonts w:ascii="Times New Roman" w:hAnsi="Times New Roman" w:cs="Times New Roman" w:eastAsia="Times New Roman" w:hint="default"/>
        </w:rPr>
        <w:t>3</w:t>
      </w:r>
      <w:r>
        <w:rPr/>
        <w:t>）出版行业相关政策</w:t>
      </w:r>
    </w:p>
    <w:p>
      <w:pPr>
        <w:pStyle w:val="BodyText"/>
        <w:spacing w:line="398" w:lineRule="auto" w:before="177"/>
        <w:ind w:right="1126" w:firstLine="420"/>
        <w:jc w:val="both"/>
      </w:pPr>
      <w:r>
        <w:rPr/>
        <w:t>根据《国家中长期教育改革和发展规划纲要（</w:t>
      </w:r>
      <w:r>
        <w:rPr>
          <w:rFonts w:ascii="Times New Roman" w:hAnsi="Times New Roman" w:cs="Times New Roman" w:eastAsia="Times New Roman" w:hint="default"/>
        </w:rPr>
        <w:t>2010-2020 </w:t>
      </w:r>
      <w:r>
        <w:rPr/>
        <w:t>年）》的目标，</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年要达到</w:t>
      </w:r>
      <w:r>
        <w:rPr>
          <w:rFonts w:ascii="Times New Roman" w:hAnsi="Times New Roman" w:cs="Times New Roman" w:eastAsia="Times New Roman" w:hint="default"/>
        </w:rPr>
        <w:t>1.65</w:t>
      </w:r>
      <w:r>
        <w:rPr/>
        <w:t>亿人，相</w:t>
      </w:r>
      <w:r>
        <w:rPr>
          <w:w w:val="100"/>
        </w:rPr>
        <w:t> </w:t>
      </w:r>
      <w:r>
        <w:rPr/>
        <w:t>比</w:t>
      </w:r>
      <w:r>
        <w:rPr>
          <w:rFonts w:ascii="Times New Roman" w:hAnsi="Times New Roman" w:cs="Times New Roman" w:eastAsia="Times New Roman" w:hint="default"/>
        </w:rPr>
        <w:t>2009</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4.62%</w:t>
      </w:r>
      <w:r>
        <w:rPr/>
        <w:t>。同时，随着国家</w:t>
      </w:r>
      <w:r>
        <w:rPr>
          <w:rFonts w:ascii="Times New Roman" w:hAnsi="Times New Roman" w:cs="Times New Roman" w:eastAsia="Times New Roman" w:hint="default"/>
        </w:rPr>
        <w:t>“</w:t>
      </w:r>
      <w:r>
        <w:rPr/>
        <w:t>两孩</w:t>
      </w:r>
      <w:r>
        <w:rPr>
          <w:rFonts w:ascii="Times New Roman" w:hAnsi="Times New Roman" w:cs="Times New Roman" w:eastAsia="Times New Roman" w:hint="default"/>
        </w:rPr>
        <w:t>”</w:t>
      </w:r>
      <w:r>
        <w:rPr/>
        <w:t>政策的逐步落地，我国在校学生人数预计将出现进一步增长。随</w:t>
      </w:r>
      <w:r>
        <w:rPr>
          <w:w w:val="100"/>
        </w:rPr>
        <w:t> </w:t>
      </w:r>
      <w:r>
        <w:rPr>
          <w:spacing w:val="-2"/>
        </w:rPr>
        <w:t>着人口年龄结构的调整，学前教育、高中专教育、高等教育及职业教育的在校生人数也将处于同等上升趋</w:t>
      </w:r>
      <w:r>
        <w:rPr>
          <w:spacing w:val="-43"/>
        </w:rPr>
        <w:t> </w:t>
      </w:r>
      <w:r>
        <w:rPr>
          <w:spacing w:val="-43"/>
        </w:rPr>
      </w:r>
      <w:r>
        <w:rPr>
          <w:spacing w:val="-2"/>
        </w:rPr>
        <w:t>势，各类教育的教材、教辅及专业图书需求相应也会上升。近年来，数字出版迅猛发展，为文化产业带来</w:t>
      </w:r>
      <w:r>
        <w:rPr>
          <w:spacing w:val="-43"/>
        </w:rPr>
        <w:t> </w:t>
      </w:r>
      <w:r>
        <w:rPr>
          <w:spacing w:val="-43"/>
        </w:rPr>
      </w:r>
      <w:r>
        <w:rPr>
          <w:spacing w:val="-2"/>
        </w:rPr>
        <w:t>了前所未有的机遇，也为出版业的转型和发展带来了更多机会和更大空间。虽然我国出版商的数字化转型</w:t>
      </w:r>
      <w:r>
        <w:rPr>
          <w:spacing w:val="-42"/>
        </w:rPr>
        <w:t> </w:t>
      </w:r>
      <w:r>
        <w:rPr>
          <w:spacing w:val="-42"/>
        </w:rPr>
      </w:r>
      <w:r>
        <w:rPr>
          <w:spacing w:val="-3"/>
        </w:rPr>
        <w:t>刚刚起步，但随着互联网和</w:t>
      </w:r>
      <w:r>
        <w:rPr>
          <w:rFonts w:ascii="Times New Roman" w:hAnsi="Times New Roman" w:cs="Times New Roman" w:eastAsia="Times New Roman" w:hint="default"/>
          <w:spacing w:val="-3"/>
        </w:rPr>
        <w:t>5G</w:t>
      </w:r>
      <w:r>
        <w:rPr>
          <w:spacing w:val="-3"/>
        </w:rPr>
        <w:t>时代的到来，技术条件和版权环境的进一步完善，我国出版业也将在技术推</w:t>
      </w:r>
      <w:r>
        <w:rPr>
          <w:spacing w:val="-45"/>
        </w:rPr>
        <w:t> </w:t>
      </w:r>
      <w:r>
        <w:rPr>
          <w:spacing w:val="-45"/>
        </w:rPr>
      </w:r>
      <w:r>
        <w:rPr/>
        <w:t>动下实现跨越式发展。</w:t>
      </w:r>
    </w:p>
    <w:p>
      <w:pPr>
        <w:pStyle w:val="BodyText"/>
        <w:spacing w:line="408" w:lineRule="auto" w:before="54"/>
        <w:ind w:right="1126" w:firstLine="420"/>
        <w:jc w:val="both"/>
      </w:pPr>
      <w:r>
        <w:rPr>
          <w:spacing w:val="-2"/>
        </w:rPr>
        <w:t>基于上述规划和措施，在未来一段时间内，国家对出版发行业的发展仍将保持大力支持和鼓励发展的</w:t>
      </w:r>
      <w:r>
        <w:rPr>
          <w:w w:val="100"/>
        </w:rPr>
        <w:t> </w:t>
      </w:r>
      <w:r>
        <w:rPr/>
        <w:t>态度，从政策角度提供强有力的保障。</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Heading7"/>
        <w:spacing w:line="335" w:lineRule="exact"/>
        <w:ind w:left="575" w:right="995"/>
        <w:jc w:val="left"/>
        <w:rPr>
          <w:b w:val="0"/>
          <w:bCs w:val="0"/>
        </w:rPr>
      </w:pPr>
      <w:r>
        <w:rPr/>
        <w:t>（二）公司未来整体发展战略目标</w:t>
      </w:r>
      <w:r>
        <w:rPr>
          <w:b w:val="0"/>
          <w:bCs w:val="0"/>
        </w:rPr>
      </w:r>
    </w:p>
    <w:p>
      <w:pPr>
        <w:pStyle w:val="BodyText"/>
        <w:spacing w:line="408" w:lineRule="auto" w:before="169"/>
        <w:ind w:right="1126" w:firstLine="420"/>
        <w:jc w:val="both"/>
      </w:pPr>
      <w:r>
        <w:rPr/>
        <w:t>随着中国经济持续发展，国家政策的规范，在“财政</w:t>
      </w:r>
      <w:r>
        <w:rPr>
          <w:rFonts w:ascii="宋体" w:hAnsi="宋体" w:cs="宋体" w:eastAsia="宋体" w:hint="default"/>
        </w:rPr>
        <w:t>+</w:t>
      </w:r>
      <w:r>
        <w:rPr/>
        <w:t>社会”双资本助推、前沿技术革新及社会教育</w:t>
      </w:r>
      <w:r>
        <w:rPr>
          <w:w w:val="100"/>
        </w:rPr>
        <w:t> </w:t>
      </w:r>
      <w:r>
        <w:rPr>
          <w:spacing w:val="-2"/>
        </w:rPr>
        <w:t>观念的转变将长期驱动教育市场稳步增长，中国教育行业已从前几年资本和创业者的积极涌入回归至理性</w:t>
      </w:r>
      <w:r>
        <w:rPr>
          <w:spacing w:val="-43"/>
        </w:rPr>
        <w:t> </w:t>
      </w:r>
      <w:r>
        <w:rPr>
          <w:spacing w:val="-43"/>
        </w:rPr>
      </w:r>
      <w:r>
        <w:rPr/>
        <w:t>阶段并将逐渐迈向成熟。</w:t>
      </w:r>
    </w:p>
    <w:p>
      <w:pPr>
        <w:pStyle w:val="BodyText"/>
        <w:spacing w:line="408" w:lineRule="auto"/>
        <w:ind w:right="1126" w:firstLine="420"/>
        <w:jc w:val="both"/>
      </w:pPr>
      <w:r>
        <w:rPr>
          <w:spacing w:val="-2"/>
        </w:rPr>
        <w:t>方直科技将持续致力于为广大中小学教师与学生提供优质、同步、配套的教育软件及互联网在线全面</w:t>
      </w:r>
      <w:r>
        <w:rPr>
          <w:w w:val="100"/>
        </w:rPr>
        <w:t> </w:t>
      </w:r>
      <w:r>
        <w:rPr>
          <w:spacing w:val="-2"/>
        </w:rPr>
        <w:t>系统的服务。公司未来将充分发挥在同步教育行业的领先地位，借助品牌势能拓展全国市场，扩大优质资</w:t>
      </w:r>
      <w:r>
        <w:rPr>
          <w:spacing w:val="-43"/>
        </w:rPr>
        <w:t> </w:t>
      </w:r>
      <w:r>
        <w:rPr>
          <w:spacing w:val="-43"/>
        </w:rPr>
      </w:r>
      <w:r>
        <w:rPr>
          <w:spacing w:val="-2"/>
        </w:rPr>
        <w:t>源覆盖面，促进教育公平。积极利用公司深厚的精品资源优势及先进的技术优势，全面加速推进公司优质</w:t>
      </w:r>
      <w:r>
        <w:rPr>
          <w:spacing w:val="-45"/>
        </w:rPr>
        <w:t> </w:t>
      </w:r>
      <w:r>
        <w:rPr>
          <w:spacing w:val="-45"/>
        </w:rPr>
      </w:r>
      <w:r>
        <w:rPr>
          <w:spacing w:val="-2"/>
        </w:rPr>
        <w:t>资源建设、自主知识产权建设及平台建设，完成覆盖小学、初中、高中学段的多学科、多版本、全学段的</w:t>
      </w:r>
      <w:r>
        <w:rPr>
          <w:spacing w:val="-42"/>
        </w:rPr>
        <w:t> </w:t>
      </w:r>
      <w:r>
        <w:rPr>
          <w:spacing w:val="-42"/>
        </w:rPr>
      </w:r>
      <w:r>
        <w:rPr>
          <w:spacing w:val="-2"/>
        </w:rPr>
        <w:t>优质、同步、配套的教与学资源体系，致力于覆盖课前、课中、课后等教与学多场景需求，为全方面的教</w:t>
      </w:r>
      <w:r>
        <w:rPr>
          <w:spacing w:val="-42"/>
        </w:rPr>
        <w:t> </w:t>
      </w:r>
      <w:r>
        <w:rPr>
          <w:spacing w:val="-42"/>
        </w:rPr>
      </w:r>
      <w:r>
        <w:rPr/>
        <w:t>与学提供整体配套解决方案，推动教育服务模式变革，将公司打造成优质教育服务的龙头企业。</w:t>
      </w:r>
    </w:p>
    <w:p>
      <w:pPr>
        <w:pStyle w:val="BodyText"/>
        <w:spacing w:line="386" w:lineRule="auto"/>
        <w:ind w:left="573" w:right="995"/>
        <w:jc w:val="left"/>
      </w:pPr>
      <w:r>
        <w:rPr>
          <w:rFonts w:ascii="Times New Roman" w:hAnsi="Times New Roman" w:cs="Times New Roman" w:eastAsia="Times New Roman" w:hint="default"/>
        </w:rPr>
        <w:t>1</w:t>
      </w:r>
      <w:r>
        <w:rPr/>
        <w:t>、营销服务体系：模式复制与多渠道拓展</w:t>
      </w:r>
      <w:r>
        <w:rPr>
          <w:w w:val="100"/>
        </w:rPr>
        <w:t> </w:t>
      </w:r>
      <w:r>
        <w:rPr>
          <w:spacing w:val="-2"/>
        </w:rPr>
        <w:t>公司将持续以征订和教材同步产品为依托，通过可复制的营销推广模式，大规模发展用户。同时拓展</w:t>
      </w:r>
    </w:p>
    <w:p>
      <w:pPr>
        <w:pStyle w:val="BodyText"/>
        <w:spacing w:line="408" w:lineRule="auto" w:before="65"/>
        <w:ind w:right="1126"/>
        <w:jc w:val="both"/>
      </w:pPr>
      <w:r>
        <w:rPr>
          <w:spacing w:val="-2"/>
        </w:rPr>
        <w:t>更多区域使用基础教育云平台解决方案，在重点城市公司仍将集中资源，快速规划样板工程和样板基地的</w:t>
      </w:r>
      <w:r>
        <w:rPr>
          <w:spacing w:val="-43"/>
        </w:rPr>
        <w:t> </w:t>
      </w:r>
      <w:r>
        <w:rPr>
          <w:spacing w:val="-43"/>
        </w:rPr>
      </w:r>
      <w:r>
        <w:rPr>
          <w:spacing w:val="-2"/>
        </w:rPr>
        <w:t>建设，并以成熟样板为核心向全国战略重要位置的省会城市复制，进一步拓宽多渠道建设，全面实现新业</w:t>
      </w:r>
      <w:r>
        <w:rPr>
          <w:spacing w:val="-45"/>
        </w:rPr>
        <w:t> </w:t>
      </w:r>
      <w:r>
        <w:rPr>
          <w:spacing w:val="-45"/>
        </w:rPr>
      </w:r>
      <w:r>
        <w:rPr/>
        <w:t>务模式下的多学科多版本全学段的服务。</w:t>
      </w:r>
    </w:p>
    <w:p>
      <w:pPr>
        <w:pStyle w:val="BodyText"/>
        <w:spacing w:line="386" w:lineRule="auto"/>
        <w:ind w:left="573" w:right="99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MOD</w:t>
      </w:r>
      <w:r>
        <w:rPr/>
        <w:t>平台建设：综合资源运营云服务平台</w:t>
      </w:r>
      <w:r>
        <w:rPr>
          <w:w w:val="100"/>
        </w:rPr>
        <w:t> </w:t>
      </w:r>
      <w:r>
        <w:rPr>
          <w:spacing w:val="-2"/>
        </w:rPr>
        <w:t>公司将持续加强建设自有</w:t>
      </w:r>
      <w:r>
        <w:rPr>
          <w:rFonts w:ascii="Times New Roman" w:hAnsi="Times New Roman" w:cs="Times New Roman" w:eastAsia="Times New Roman" w:hint="default"/>
          <w:spacing w:val="-2"/>
        </w:rPr>
        <w:t>MOD</w:t>
      </w:r>
      <w:r>
        <w:rPr>
          <w:spacing w:val="-2"/>
        </w:rPr>
        <w:t>资源开发运营管理平台，通过互联网思维与技术相结合将优质、配套、</w:t>
      </w:r>
    </w:p>
    <w:p>
      <w:pPr>
        <w:pStyle w:val="BodyText"/>
        <w:spacing w:line="398" w:lineRule="auto" w:before="35"/>
        <w:ind w:right="995"/>
        <w:jc w:val="left"/>
      </w:pPr>
      <w:r>
        <w:rPr>
          <w:spacing w:val="-4"/>
        </w:rPr>
        <w:t>同步的精品资源得以高效利用，实现五通一平台，持续对接与征订、运营商、</w:t>
      </w:r>
      <w:r>
        <w:rPr>
          <w:rFonts w:ascii="Times New Roman" w:hAnsi="Times New Roman" w:cs="Times New Roman" w:eastAsia="Times New Roman" w:hint="default"/>
          <w:spacing w:val="-4"/>
        </w:rPr>
        <w:t>C</w:t>
      </w:r>
      <w:r>
        <w:rPr>
          <w:spacing w:val="-4"/>
        </w:rPr>
        <w:t>端、</w:t>
      </w:r>
      <w:r>
        <w:rPr>
          <w:rFonts w:ascii="Times New Roman" w:hAnsi="Times New Roman" w:cs="Times New Roman" w:eastAsia="Times New Roman" w:hint="default"/>
          <w:spacing w:val="-4"/>
        </w:rPr>
        <w:t>B</w:t>
      </w:r>
      <w:r>
        <w:rPr>
          <w:spacing w:val="-4"/>
        </w:rPr>
        <w:t>端、</w:t>
      </w:r>
      <w:r>
        <w:rPr>
          <w:rFonts w:ascii="Times New Roman" w:hAnsi="Times New Roman" w:cs="Times New Roman" w:eastAsia="Times New Roman" w:hint="default"/>
          <w:spacing w:val="-4"/>
        </w:rPr>
        <w:t>VIP</w:t>
      </w:r>
      <w:r>
        <w:rPr>
          <w:spacing w:val="-4"/>
        </w:rPr>
        <w:t>用户、资源、</w:t>
      </w:r>
      <w:r>
        <w:rPr>
          <w:spacing w:val="-36"/>
        </w:rPr>
        <w:t> </w:t>
      </w:r>
      <w:r>
        <w:rPr>
          <w:spacing w:val="-36"/>
        </w:rPr>
      </w:r>
      <w:r>
        <w:rPr>
          <w:spacing w:val="-8"/>
        </w:rPr>
        <w:t>服务的平台支撑，发挥资源最大效能。以自有</w:t>
      </w:r>
      <w:r>
        <w:rPr>
          <w:rFonts w:ascii="Times New Roman" w:hAnsi="Times New Roman" w:cs="Times New Roman" w:eastAsia="Times New Roman" w:hint="default"/>
          <w:spacing w:val="-8"/>
        </w:rPr>
        <w:t>MOD</w:t>
      </w:r>
      <w:r>
        <w:rPr>
          <w:spacing w:val="-8"/>
        </w:rPr>
        <w:t>资源开发运营管理平台为基础，针对不同的教学时段（课</w:t>
      </w:r>
      <w:r>
        <w:rPr>
          <w:spacing w:val="-34"/>
        </w:rPr>
        <w:t> </w:t>
      </w:r>
      <w:r>
        <w:rPr>
          <w:spacing w:val="-34"/>
        </w:rPr>
      </w:r>
      <w:r>
        <w:rPr>
          <w:spacing w:val="-2"/>
        </w:rPr>
        <w:t>前、课中、课后、假期等）、针对不同的用户对象（老师、学生、家长、学校管理者、区域管理者等）提</w:t>
      </w:r>
      <w:r>
        <w:rPr>
          <w:spacing w:val="-46"/>
        </w:rPr>
        <w:t> </w:t>
      </w:r>
      <w:r>
        <w:rPr>
          <w:spacing w:val="-46"/>
        </w:rPr>
      </w:r>
      <w:r>
        <w:rPr>
          <w:spacing w:val="-2"/>
        </w:rPr>
        <w:t>供精准资源服务，通过对优质的教学资源的整合与沟通形成良好的教学研氛围，提高学校、教师及学生的</w:t>
      </w:r>
      <w:r>
        <w:rPr>
          <w:spacing w:val="-44"/>
        </w:rPr>
        <w:t> </w:t>
      </w:r>
      <w:r>
        <w:rPr>
          <w:spacing w:val="-44"/>
        </w:rPr>
      </w:r>
      <w:r>
        <w:rPr>
          <w:spacing w:val="-2"/>
        </w:rPr>
        <w:t>教学研及学习效率，激发市场活力，进而提高对公司产品的粘性，形成</w:t>
      </w:r>
      <w:r>
        <w:rPr>
          <w:rFonts w:ascii="Times New Roman" w:hAnsi="Times New Roman" w:cs="Times New Roman" w:eastAsia="Times New Roman" w:hint="default"/>
          <w:spacing w:val="-2"/>
        </w:rPr>
        <w:t>“</w:t>
      </w:r>
      <w:r>
        <w:rPr>
          <w:spacing w:val="-2"/>
        </w:rPr>
        <w:t>内容资源</w:t>
      </w:r>
      <w:r>
        <w:rPr>
          <w:rFonts w:ascii="Times New Roman" w:hAnsi="Times New Roman" w:cs="Times New Roman" w:eastAsia="Times New Roman" w:hint="default"/>
          <w:spacing w:val="-2"/>
        </w:rPr>
        <w:t>+</w:t>
      </w:r>
      <w:r>
        <w:rPr>
          <w:spacing w:val="-2"/>
        </w:rPr>
        <w:t>自营平台</w:t>
      </w:r>
      <w:r>
        <w:rPr>
          <w:rFonts w:ascii="Times New Roman" w:hAnsi="Times New Roman" w:cs="Times New Roman" w:eastAsia="Times New Roman" w:hint="default"/>
          <w:spacing w:val="-2"/>
        </w:rPr>
        <w:t>+</w:t>
      </w:r>
      <w:r>
        <w:rPr>
          <w:spacing w:val="-2"/>
        </w:rPr>
        <w:t>平台对接</w:t>
      </w:r>
      <w:r>
        <w:rPr>
          <w:rFonts w:ascii="Times New Roman" w:hAnsi="Times New Roman" w:cs="Times New Roman" w:eastAsia="Times New Roman" w:hint="default"/>
          <w:spacing w:val="-2"/>
        </w:rPr>
        <w:t>”</w:t>
      </w:r>
      <w:r>
        <w:rPr>
          <w:spacing w:val="-2"/>
        </w:rPr>
        <w:t>的</w:t>
      </w:r>
      <w:r>
        <w:rPr>
          <w:spacing w:val="-47"/>
        </w:rPr>
        <w:t> </w:t>
      </w:r>
      <w:r>
        <w:rPr>
          <w:spacing w:val="-2"/>
        </w:rPr>
        <w:t>运营模式，实现优质资源自建、精品资源共享、内外资源同生的资源运营生态，构建基于优质资源的多渠</w:t>
      </w:r>
      <w:r>
        <w:rPr>
          <w:spacing w:val="-47"/>
        </w:rPr>
        <w:t> </w:t>
      </w:r>
      <w:r>
        <w:rPr>
          <w:spacing w:val="-47"/>
        </w:rPr>
      </w:r>
      <w:r>
        <w:rPr/>
        <w:t>道合作运营和服务于多重用户云服务平台。</w:t>
      </w:r>
    </w:p>
    <w:p>
      <w:pPr>
        <w:pStyle w:val="BodyText"/>
        <w:spacing w:line="386" w:lineRule="auto" w:before="54"/>
        <w:ind w:left="573" w:right="995"/>
        <w:jc w:val="left"/>
      </w:pPr>
      <w:r>
        <w:rPr>
          <w:rFonts w:ascii="Times New Roman" w:hAnsi="Times New Roman" w:cs="Times New Roman" w:eastAsia="Times New Roman" w:hint="default"/>
        </w:rPr>
        <w:t>3</w:t>
      </w:r>
      <w:r>
        <w:rPr/>
        <w:t>、自主研发产品：构建教与学立体的产品体系</w:t>
      </w:r>
      <w:r>
        <w:rPr>
          <w:w w:val="100"/>
        </w:rPr>
        <w:t> </w:t>
      </w:r>
      <w:r>
        <w:rPr>
          <w:spacing w:val="-3"/>
        </w:rPr>
        <w:t>通过三年的自主研发建设，完成覆盖小学、初中及高中学段（</w:t>
      </w:r>
      <w:r>
        <w:rPr>
          <w:rFonts w:ascii="Times New Roman" w:hAnsi="Times New Roman" w:cs="Times New Roman" w:eastAsia="Times New Roman" w:hint="default"/>
          <w:spacing w:val="-3"/>
        </w:rPr>
        <w:t>K12</w:t>
      </w:r>
      <w:r>
        <w:rPr>
          <w:spacing w:val="-3"/>
        </w:rPr>
        <w:t>）的多学科、多版本的优质、同步、</w:t>
      </w:r>
    </w:p>
    <w:p>
      <w:pPr>
        <w:pStyle w:val="BodyText"/>
        <w:spacing w:line="408" w:lineRule="auto" w:before="35"/>
        <w:ind w:right="1104"/>
        <w:jc w:val="both"/>
      </w:pPr>
      <w:r>
        <w:rPr>
          <w:spacing w:val="-2"/>
        </w:rPr>
        <w:t>配套的教与学产品体系，覆盖课前、课中及课后主要教与学场景，为全方面的教与学提供资源服务。整个</w:t>
      </w:r>
      <w:r>
        <w:rPr>
          <w:spacing w:val="-50"/>
        </w:rPr>
        <w:t> </w:t>
      </w:r>
      <w:r>
        <w:rPr>
          <w:spacing w:val="-50"/>
        </w:rPr>
      </w:r>
      <w:r>
        <w:rPr>
          <w:spacing w:val="-2"/>
        </w:rPr>
        <w:t>产品体系借助于数字教材及配套资源等学习资源进行同步学习，然后基于数字教辅、同步题库和专项训练</w:t>
      </w:r>
      <w:r>
        <w:rPr>
          <w:spacing w:val="-44"/>
        </w:rPr>
        <w:t> </w:t>
      </w:r>
      <w:r>
        <w:rPr>
          <w:spacing w:val="-44"/>
        </w:rPr>
      </w:r>
      <w:r>
        <w:rPr>
          <w:spacing w:val="-2"/>
        </w:rPr>
        <w:t>等练习资源进行训练，运用测评技术进行过程性评价，根据评价结果，进行个性化推荐，再次进行学习、</w:t>
      </w:r>
      <w:r>
        <w:rPr>
          <w:spacing w:val="-21"/>
        </w:rPr>
        <w:t> </w:t>
      </w:r>
      <w:r>
        <w:rPr>
          <w:spacing w:val="-21"/>
        </w:rPr>
      </w:r>
      <w:r>
        <w:rPr>
          <w:spacing w:val="-2"/>
        </w:rPr>
        <w:t>巩固及提高，形成闭环。不断建设自有知识产权的同时，建立以互联网云平台为技术基础的优质数字化教</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0"/>
        <w:jc w:val="both"/>
      </w:pPr>
      <w:r>
        <w:rPr/>
        <w:t>育产品整体解决方案</w:t>
      </w:r>
      <w:r>
        <w:rPr>
          <w:rFonts w:ascii="Times New Roman" w:hAnsi="Times New Roman" w:cs="Times New Roman" w:eastAsia="Times New Roman" w:hint="default"/>
        </w:rPr>
        <w:t>,</w:t>
      </w:r>
      <w:r>
        <w:rPr/>
        <w:t>为开放式在线教育运营奠定坚实的基础。</w:t>
      </w:r>
    </w:p>
    <w:p>
      <w:pPr>
        <w:pStyle w:val="BodyText"/>
        <w:spacing w:line="386" w:lineRule="auto" w:before="177"/>
        <w:ind w:left="573" w:right="995"/>
        <w:jc w:val="left"/>
      </w:pPr>
      <w:r>
        <w:rPr>
          <w:rFonts w:ascii="Times New Roman" w:hAnsi="Times New Roman" w:cs="Times New Roman" w:eastAsia="Times New Roman" w:hint="default"/>
        </w:rPr>
        <w:t>4</w:t>
      </w:r>
      <w:r>
        <w:rPr/>
        <w:t>、资源建设：打造教学练测评的资源体系</w:t>
      </w:r>
      <w:r>
        <w:rPr>
          <w:w w:val="100"/>
        </w:rPr>
        <w:t> </w:t>
      </w:r>
      <w:r>
        <w:rPr>
          <w:spacing w:val="-2"/>
        </w:rPr>
        <w:t>在完成各学段的主流版本、主学科资源建设，完成数字教材、数字教辅等基础资源的建设上，形成各</w:t>
      </w:r>
    </w:p>
    <w:p>
      <w:pPr>
        <w:pStyle w:val="BodyText"/>
        <w:spacing w:line="408" w:lineRule="auto" w:before="65"/>
        <w:ind w:right="1126"/>
        <w:jc w:val="both"/>
      </w:pPr>
      <w:r>
        <w:rPr>
          <w:spacing w:val="-2"/>
        </w:rPr>
        <w:t>科各版本的配套资源、同步题库，形成满足传统模式的配套基础资源，继续保持公司在征订业务的领先局</w:t>
      </w:r>
      <w:r>
        <w:rPr>
          <w:spacing w:val="-43"/>
        </w:rPr>
        <w:t> </w:t>
      </w:r>
      <w:r>
        <w:rPr>
          <w:spacing w:val="-43"/>
        </w:rPr>
      </w:r>
      <w:r>
        <w:rPr>
          <w:spacing w:val="-2"/>
        </w:rPr>
        <w:t>面；同时在教材教辅的基础上形成教、学、练、测、评一体的自主资源体系，进一步满足个性化发展的需</w:t>
      </w:r>
      <w:r>
        <w:rPr>
          <w:spacing w:val="-45"/>
        </w:rPr>
        <w:t> </w:t>
      </w:r>
      <w:r>
        <w:rPr>
          <w:spacing w:val="-45"/>
        </w:rPr>
      </w:r>
      <w:r>
        <w:rPr/>
        <w:t>要。</w:t>
      </w:r>
    </w:p>
    <w:p>
      <w:pPr>
        <w:pStyle w:val="BodyText"/>
        <w:spacing w:line="386" w:lineRule="auto"/>
        <w:ind w:left="573" w:right="995"/>
        <w:jc w:val="left"/>
      </w:pPr>
      <w:r>
        <w:rPr>
          <w:rFonts w:ascii="Times New Roman" w:hAnsi="Times New Roman" w:cs="Times New Roman" w:eastAsia="Times New Roman" w:hint="default"/>
        </w:rPr>
        <w:t>5</w:t>
      </w:r>
      <w:r>
        <w:rPr/>
        <w:t>、人才建设：长效激励机制促进企业持续发展</w:t>
      </w:r>
      <w:r>
        <w:rPr>
          <w:w w:val="100"/>
        </w:rPr>
        <w:t> </w:t>
      </w:r>
      <w:r>
        <w:rPr>
          <w:spacing w:val="-2"/>
        </w:rPr>
        <w:t>公司将继续以人力资源作为公司的核心战略资源为导向，不断完善人才的衡量与评价标准，提供配套</w:t>
      </w:r>
    </w:p>
    <w:p>
      <w:pPr>
        <w:pStyle w:val="BodyText"/>
        <w:spacing w:line="408" w:lineRule="auto" w:before="65"/>
        <w:ind w:right="1104"/>
        <w:jc w:val="both"/>
      </w:pPr>
      <w:r>
        <w:rPr>
          <w:spacing w:val="-2"/>
        </w:rPr>
        <w:t>的人才发展学习解决方案，丰富员工激励手段，稳定核心人才，搭建完善的长效激励机制。按照人才资源</w:t>
      </w:r>
      <w:r>
        <w:rPr>
          <w:spacing w:val="-48"/>
        </w:rPr>
        <w:t> </w:t>
      </w:r>
      <w:r>
        <w:rPr>
          <w:spacing w:val="-48"/>
        </w:rPr>
      </w:r>
      <w:r>
        <w:rPr>
          <w:spacing w:val="-2"/>
        </w:rPr>
        <w:t>建设优于财务指标的发展方针，将公司现有的职业化树状管理模式全面向产品制项目管理模式进行转变，</w:t>
      </w:r>
      <w:r>
        <w:rPr>
          <w:spacing w:val="-21"/>
        </w:rPr>
        <w:t> </w:t>
      </w:r>
      <w:r>
        <w:rPr>
          <w:spacing w:val="-21"/>
        </w:rPr>
      </w:r>
      <w:r>
        <w:rPr/>
        <w:t>让更多的优秀人才成长起来，促进企业更好发展。</w:t>
      </w:r>
    </w:p>
    <w:p>
      <w:pPr>
        <w:pStyle w:val="Heading7"/>
        <w:spacing w:line="345" w:lineRule="exact"/>
        <w:ind w:left="575" w:right="995"/>
        <w:jc w:val="left"/>
        <w:rPr>
          <w:b w:val="0"/>
          <w:bCs w:val="0"/>
        </w:rPr>
      </w:pPr>
      <w:r>
        <w:rPr/>
        <w:t>（三）</w:t>
      </w:r>
      <w:r>
        <w:rPr>
          <w:rFonts w:ascii="Times New Roman" w:hAnsi="Times New Roman" w:cs="Times New Roman" w:eastAsia="Times New Roman" w:hint="default"/>
        </w:rPr>
        <w:t>2020</w:t>
      </w:r>
      <w:r>
        <w:rPr/>
        <w:t>年经营工作计划</w:t>
      </w:r>
      <w:r>
        <w:rPr>
          <w:b w:val="0"/>
          <w:bCs w:val="0"/>
        </w:rPr>
      </w:r>
    </w:p>
    <w:p>
      <w:pPr>
        <w:pStyle w:val="BodyText"/>
        <w:spacing w:line="398" w:lineRule="auto" w:before="169"/>
        <w:ind w:right="1126" w:firstLine="420"/>
        <w:jc w:val="both"/>
      </w:pPr>
      <w:r>
        <w:rPr>
          <w:rFonts w:ascii="Times New Roman" w:hAnsi="Times New Roman" w:cs="Times New Roman" w:eastAsia="Times New Roman" w:hint="default"/>
          <w:spacing w:val="-2"/>
        </w:rPr>
        <w:t>2020</w:t>
      </w:r>
      <w:r>
        <w:rPr>
          <w:spacing w:val="-2"/>
        </w:rPr>
        <w:t>年公司将继续坚持“科技服务于教育”的经营理念，大力发展在线教育资源运营和服务，紧密围</w:t>
      </w:r>
      <w:r>
        <w:rPr>
          <w:w w:val="100"/>
        </w:rPr>
        <w:t> </w:t>
      </w:r>
      <w:r>
        <w:rPr>
          <w:spacing w:val="-2"/>
        </w:rPr>
        <w:t>绕发展战略快速推动业务发展，推进资源整合和投资并购，进一步推动经营业绩的快速提升和业务结构的</w:t>
      </w:r>
      <w:r>
        <w:rPr>
          <w:spacing w:val="-43"/>
        </w:rPr>
        <w:t> </w:t>
      </w:r>
      <w:r>
        <w:rPr>
          <w:spacing w:val="-43"/>
        </w:rPr>
      </w:r>
      <w:r>
        <w:rPr/>
        <w:t>转型跨越。为实现公司</w:t>
      </w:r>
      <w:r>
        <w:rPr>
          <w:rFonts w:ascii="Times New Roman" w:hAnsi="Times New Roman" w:cs="Times New Roman" w:eastAsia="Times New Roman" w:hint="default"/>
        </w:rPr>
        <w:t>2020</w:t>
      </w:r>
      <w:r>
        <w:rPr/>
        <w:t>年经营计划，公司将着重做好以下工作：</w:t>
      </w:r>
    </w:p>
    <w:p>
      <w:pPr>
        <w:pStyle w:val="BodyText"/>
        <w:spacing w:line="386" w:lineRule="auto" w:before="24"/>
        <w:ind w:right="995" w:firstLine="420"/>
        <w:jc w:val="left"/>
      </w:pPr>
      <w:r>
        <w:rPr>
          <w:rFonts w:ascii="Times New Roman" w:hAnsi="Times New Roman" w:cs="Times New Roman" w:eastAsia="Times New Roman" w:hint="default"/>
        </w:rPr>
        <w:t>1</w:t>
      </w:r>
      <w:r>
        <w:rPr/>
        <w:t>、组织结构持续优化：持续完善适应持续发展组织结构。建立以客户交付为目标的上下游的评价机</w:t>
      </w:r>
      <w:r>
        <w:rPr>
          <w:w w:val="100"/>
        </w:rPr>
        <w:t> </w:t>
      </w:r>
      <w:r>
        <w:rPr/>
        <w:t>制，明确目标交付标准，适应业务运作的清晰的组织结构。</w:t>
      </w:r>
    </w:p>
    <w:p>
      <w:pPr>
        <w:pStyle w:val="BodyText"/>
        <w:spacing w:line="398" w:lineRule="auto" w:before="65"/>
        <w:ind w:right="995" w:firstLine="420"/>
        <w:jc w:val="left"/>
      </w:pPr>
      <w:r>
        <w:rPr>
          <w:rFonts w:ascii="Times New Roman" w:hAnsi="Times New Roman" w:cs="Times New Roman" w:eastAsia="Times New Roman" w:hint="default"/>
          <w:spacing w:val="-3"/>
        </w:rPr>
        <w:t>2</w:t>
      </w:r>
      <w:r>
        <w:rPr>
          <w:spacing w:val="-3"/>
        </w:rPr>
        <w:t>、营销建设：（</w:t>
      </w:r>
      <w:r>
        <w:rPr>
          <w:rFonts w:ascii="Times New Roman" w:hAnsi="Times New Roman" w:cs="Times New Roman" w:eastAsia="Times New Roman" w:hint="default"/>
          <w:spacing w:val="-3"/>
        </w:rPr>
        <w:t>1</w:t>
      </w:r>
      <w:r>
        <w:rPr>
          <w:spacing w:val="-3"/>
        </w:rPr>
        <w:t>）加强客户的服务管理，尤其是征订业务链的客户服务管理，通过</w:t>
      </w:r>
      <w:r>
        <w:rPr>
          <w:rFonts w:ascii="Times New Roman" w:hAnsi="Times New Roman" w:cs="Times New Roman" w:eastAsia="Times New Roman" w:hint="default"/>
          <w:spacing w:val="-3"/>
        </w:rPr>
        <w:t>CRM</w:t>
      </w:r>
      <w:r>
        <w:rPr>
          <w:spacing w:val="-3"/>
        </w:rPr>
        <w:t>管理系统建</w:t>
      </w:r>
      <w:r>
        <w:rPr>
          <w:w w:val="100"/>
        </w:rPr>
        <w:t> </w:t>
      </w:r>
      <w:r>
        <w:rPr>
          <w:spacing w:val="-7"/>
        </w:rPr>
        <w:t>立客户档案管理，建全立体服务体系，挖掘客户潜在价值，形成长期合作，使企业得到更长久的发展。（</w:t>
      </w:r>
      <w:r>
        <w:rPr>
          <w:rFonts w:ascii="Times New Roman" w:hAnsi="Times New Roman" w:cs="Times New Roman" w:eastAsia="Times New Roman" w:hint="default"/>
          <w:spacing w:val="-7"/>
        </w:rPr>
        <w:t>2</w:t>
      </w:r>
      <w:r>
        <w:rPr>
          <w:spacing w:val="-7"/>
        </w:rPr>
        <w:t>）</w:t>
      </w:r>
      <w:r>
        <w:rPr>
          <w:spacing w:val="-13"/>
        </w:rPr>
        <w:t> </w:t>
      </w:r>
      <w:r>
        <w:rPr>
          <w:spacing w:val="-2"/>
        </w:rPr>
        <w:t>加强营销渠道建设，在直营区域持续加快北、广、深等一线城市的市场渗透，建设具有竞争力的营销渠道</w:t>
      </w:r>
      <w:r>
        <w:rPr>
          <w:spacing w:val="-47"/>
        </w:rPr>
        <w:t> </w:t>
      </w:r>
      <w:r>
        <w:rPr>
          <w:spacing w:val="-47"/>
        </w:rPr>
      </w:r>
      <w:r>
        <w:rPr/>
        <w:t>通路，在非直营区域以互联网运营模式进行快速的市场覆盖。（</w:t>
      </w:r>
      <w:r>
        <w:rPr>
          <w:rFonts w:ascii="Times New Roman" w:hAnsi="Times New Roman" w:cs="Times New Roman" w:eastAsia="Times New Roman" w:hint="default"/>
        </w:rPr>
        <w:t>3</w:t>
      </w:r>
      <w:r>
        <w:rPr/>
        <w:t>）教育信息化整体解决方案的完善与市</w:t>
      </w:r>
      <w:r>
        <w:rPr>
          <w:spacing w:val="-22"/>
        </w:rPr>
        <w:t> </w:t>
      </w:r>
      <w:r>
        <w:rPr>
          <w:spacing w:val="-22"/>
        </w:rPr>
      </w:r>
      <w:r>
        <w:rPr>
          <w:spacing w:val="-7"/>
          <w:w w:val="100"/>
        </w:rPr>
        <w:t>场复制，基于公司优质资源应用为标准服务方案，加强教育信息化各类方案的集成，进行多渠道复制。（</w:t>
      </w:r>
      <w:r>
        <w:rPr>
          <w:rFonts w:ascii="Times New Roman" w:hAnsi="Times New Roman" w:cs="Times New Roman" w:eastAsia="Times New Roman" w:hint="default"/>
          <w:spacing w:val="-7"/>
          <w:w w:val="100"/>
        </w:rPr>
        <w:t>4</w:t>
      </w:r>
      <w:r>
        <w:rPr>
          <w:spacing w:val="-7"/>
          <w:w w:val="100"/>
        </w:rPr>
        <w:t>）</w:t>
      </w:r>
      <w:r>
        <w:rPr>
          <w:spacing w:val="-68"/>
          <w:w w:val="100"/>
        </w:rPr>
        <w:t> </w:t>
      </w:r>
      <w:r>
        <w:rPr/>
        <w:t>以成为核心优质内容服务供应商为目标继续推进中国移动、中国电信、中国联通三大运营商的运营合作，</w:t>
      </w:r>
      <w:r>
        <w:rPr>
          <w:w w:val="100"/>
        </w:rPr>
        <w:t> </w:t>
      </w:r>
      <w:r>
        <w:rPr/>
        <w:t>在持续提供优质数字教育内容服务的同时，随着</w:t>
      </w:r>
      <w:r>
        <w:rPr>
          <w:rFonts w:ascii="Times New Roman" w:hAnsi="Times New Roman" w:cs="Times New Roman" w:eastAsia="Times New Roman" w:hint="default"/>
        </w:rPr>
        <w:t>5G</w:t>
      </w:r>
      <w:r>
        <w:rPr/>
        <w:t>商用逐步铺开，寻求新生态圈整合。（</w:t>
      </w:r>
      <w:r>
        <w:rPr>
          <w:rFonts w:ascii="Times New Roman" w:hAnsi="Times New Roman" w:cs="Times New Roman" w:eastAsia="Times New Roman" w:hint="default"/>
        </w:rPr>
        <w:t>5</w:t>
      </w:r>
      <w:r>
        <w:rPr/>
        <w:t>）通过加入合</w:t>
      </w:r>
      <w:r>
        <w:rPr>
          <w:spacing w:val="-74"/>
        </w:rPr>
        <w:t> </w:t>
      </w:r>
      <w:r>
        <w:rPr>
          <w:spacing w:val="-74"/>
        </w:rPr>
      </w:r>
      <w:r>
        <w:rPr>
          <w:spacing w:val="-5"/>
        </w:rPr>
        <w:t>作伙伴生态，提升合作层级和发展战略级关系；从深圳智慧教育项目入手，向合作伙伴推出方直教学资源、 </w:t>
      </w:r>
      <w:r>
        <w:rPr>
          <w:spacing w:val="-5"/>
        </w:rPr>
      </w:r>
      <w:r>
        <w:rPr>
          <w:spacing w:val="-2"/>
        </w:rPr>
        <w:t>工具应用等服务能力，建立双方对口业务链接；在疫情期公益合作的基础上，跟阿里钉钉从产品应用和运</w:t>
      </w:r>
      <w:r>
        <w:rPr>
          <w:spacing w:val="-45"/>
        </w:rPr>
        <w:t> </w:t>
      </w:r>
      <w:r>
        <w:rPr>
          <w:spacing w:val="-45"/>
        </w:rPr>
      </w:r>
      <w:r>
        <w:rPr>
          <w:spacing w:val="-2"/>
        </w:rPr>
        <w:t>营合作入手并寻求后续拓展；加入平安智慧城市教育项目打造方直家校共育平台能力及为后续复制运营奠</w:t>
      </w:r>
      <w:r>
        <w:rPr>
          <w:spacing w:val="-43"/>
        </w:rPr>
        <w:t> </w:t>
      </w:r>
      <w:r>
        <w:rPr>
          <w:spacing w:val="-43"/>
        </w:rPr>
      </w:r>
      <w:r>
        <w:rPr/>
        <w:t>定基础。</w:t>
      </w:r>
    </w:p>
    <w:p>
      <w:pPr>
        <w:pStyle w:val="BodyText"/>
        <w:spacing w:line="386" w:lineRule="auto" w:before="54"/>
        <w:ind w:right="995" w:firstLine="420"/>
        <w:jc w:val="left"/>
      </w:pPr>
      <w:r>
        <w:rPr>
          <w:rFonts w:ascii="Times New Roman" w:hAnsi="Times New Roman" w:cs="Times New Roman" w:eastAsia="Times New Roman" w:hint="default"/>
        </w:rPr>
        <w:t>3</w:t>
      </w:r>
      <w:r>
        <w:rPr/>
        <w:t>、资源与产品建设：构建教与学立体的产品体系，建立多学科、多版本、全学段建立以互联网云平</w:t>
      </w:r>
      <w:r>
        <w:rPr>
          <w:w w:val="100"/>
        </w:rPr>
        <w:t> </w:t>
      </w:r>
      <w:r>
        <w:rPr>
          <w:spacing w:val="-2"/>
        </w:rPr>
        <w:t>台为技术基础的优质数字化教育产品整体解决方案，为开放式在线教育运营奠定坚实的基础。</w:t>
      </w:r>
      <w:r>
        <w:rPr>
          <w:rFonts w:ascii="Times New Roman" w:hAnsi="Times New Roman" w:cs="Times New Roman" w:eastAsia="Times New Roman" w:hint="default"/>
          <w:spacing w:val="-2"/>
        </w:rPr>
        <w:t>2020</w:t>
      </w:r>
      <w:r>
        <w:rPr>
          <w:spacing w:val="-2"/>
        </w:rPr>
        <w:t>年语数</w:t>
      </w:r>
    </w:p>
    <w:p>
      <w:pPr>
        <w:spacing w:after="0" w:line="386"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86" w:lineRule="auto" w:before="36"/>
        <w:ind w:right="995"/>
        <w:jc w:val="left"/>
      </w:pPr>
      <w:r>
        <w:rPr>
          <w:spacing w:val="-2"/>
        </w:rPr>
        <w:t>英学科核心产品加大自主研发，然后进一步丰富和优化小学各科资源。将结合</w:t>
      </w:r>
      <w:r>
        <w:rPr>
          <w:rFonts w:ascii="Times New Roman" w:hAnsi="Times New Roman" w:cs="Times New Roman" w:eastAsia="Times New Roman" w:hint="default"/>
          <w:spacing w:val="-2"/>
        </w:rPr>
        <w:t>AI</w:t>
      </w:r>
      <w:r>
        <w:rPr>
          <w:spacing w:val="-2"/>
        </w:rPr>
        <w:t>人工智能技术，为</w:t>
      </w:r>
      <w:r>
        <w:rPr>
          <w:rFonts w:ascii="Times New Roman" w:hAnsi="Times New Roman" w:cs="Times New Roman" w:eastAsia="Times New Roman" w:hint="default"/>
          <w:spacing w:val="-2"/>
        </w:rPr>
        <w:t>5-12</w:t>
      </w:r>
      <w:r>
        <w:rPr>
          <w:spacing w:val="-2"/>
        </w:rPr>
        <w:t>岁</w:t>
      </w:r>
      <w:r>
        <w:rPr>
          <w:spacing w:val="-13"/>
        </w:rPr>
        <w:t> </w:t>
      </w:r>
      <w:r>
        <w:rPr/>
        <w:t>孩子打造的</w:t>
      </w:r>
      <w:r>
        <w:rPr>
          <w:rFonts w:ascii="Times New Roman" w:hAnsi="Times New Roman" w:cs="Times New Roman" w:eastAsia="Times New Roman" w:hint="default"/>
        </w:rPr>
        <w:t>AI</w:t>
      </w:r>
      <w:r>
        <w:rPr/>
        <w:t>智能英语学习平台</w:t>
      </w:r>
      <w:r>
        <w:rPr>
          <w:rFonts w:ascii="Times New Roman" w:hAnsi="Times New Roman" w:cs="Times New Roman" w:eastAsia="Times New Roman" w:hint="default"/>
        </w:rPr>
        <w:t>linkid</w:t>
      </w:r>
      <w:r>
        <w:rPr/>
        <w:t>，为用户提供更高价值的服务。</w:t>
      </w:r>
    </w:p>
    <w:p>
      <w:pPr>
        <w:pStyle w:val="BodyText"/>
        <w:spacing w:line="400" w:lineRule="auto" w:before="35"/>
        <w:ind w:right="995" w:firstLine="420"/>
        <w:jc w:val="left"/>
      </w:pPr>
      <w:r>
        <w:rPr>
          <w:rFonts w:ascii="Times New Roman" w:hAnsi="Times New Roman" w:cs="Times New Roman" w:eastAsia="Times New Roman" w:hint="default"/>
          <w:spacing w:val="-4"/>
        </w:rPr>
        <w:t>4</w:t>
      </w:r>
      <w:r>
        <w:rPr>
          <w:spacing w:val="-4"/>
        </w:rPr>
        <w:t>、平台建设方面：持续完善</w:t>
      </w:r>
      <w:r>
        <w:rPr>
          <w:rFonts w:ascii="Times New Roman" w:hAnsi="Times New Roman" w:cs="Times New Roman" w:eastAsia="Times New Roman" w:hint="default"/>
          <w:spacing w:val="-4"/>
        </w:rPr>
        <w:t>MOD</w:t>
      </w:r>
      <w:r>
        <w:rPr>
          <w:spacing w:val="-4"/>
        </w:rPr>
        <w:t>资源平台，同时加强平台的产品运营能力和核心应用开发能力建设。</w:t>
      </w:r>
      <w:r>
        <w:rPr>
          <w:w w:val="100"/>
        </w:rPr>
        <w:t> </w:t>
      </w:r>
      <w:r>
        <w:rPr>
          <w:spacing w:val="-2"/>
        </w:rPr>
        <w:t>基于对产业生态中的出版发行、教育行政、教研师资、学生、家庭这些不同特性客户群的需求分析，计划</w:t>
      </w:r>
      <w:r>
        <w:rPr>
          <w:spacing w:val="-43"/>
        </w:rPr>
        <w:t> </w:t>
      </w:r>
      <w:r>
        <w:rPr>
          <w:spacing w:val="-43"/>
        </w:rPr>
      </w:r>
      <w:r>
        <w:rPr>
          <w:spacing w:val="-2"/>
        </w:rPr>
        <w:t>通过自主研发和行业合作整合，用两年左右的时间，形成集教学资源、教学工具、教学应用、家校共育服</w:t>
      </w:r>
      <w:r>
        <w:rPr>
          <w:spacing w:val="-43"/>
        </w:rPr>
        <w:t> </w:t>
      </w:r>
      <w:r>
        <w:rPr>
          <w:spacing w:val="-43"/>
        </w:rPr>
      </w:r>
      <w:r>
        <w:rPr/>
        <w:t>务能力的方直信息化教育基础平台</w:t>
      </w:r>
      <w:r>
        <w:rPr>
          <w:rFonts w:ascii="Times New Roman" w:hAnsi="Times New Roman" w:cs="Times New Roman" w:eastAsia="Times New Roman" w:hint="default"/>
        </w:rPr>
        <w:t>/</w:t>
      </w:r>
      <w:r>
        <w:rPr/>
        <w:t>解决方案。</w:t>
      </w:r>
    </w:p>
    <w:p>
      <w:pPr>
        <w:pStyle w:val="BodyText"/>
        <w:spacing w:line="386" w:lineRule="auto" w:before="21"/>
        <w:ind w:right="995" w:firstLine="420"/>
        <w:jc w:val="left"/>
      </w:pPr>
      <w:r>
        <w:rPr>
          <w:rFonts w:ascii="Times New Roman" w:hAnsi="Times New Roman" w:cs="Times New Roman" w:eastAsia="Times New Roman" w:hint="default"/>
        </w:rPr>
        <w:t>5</w:t>
      </w:r>
      <w:r>
        <w:rPr/>
        <w:t>、人才建设方面：持续完善人才机制，建立初、中、高级任职资格标准，完成各级人才培养计划，</w:t>
      </w:r>
      <w:r>
        <w:rPr>
          <w:w w:val="100"/>
        </w:rPr>
        <w:t> </w:t>
      </w:r>
      <w:r>
        <w:rPr/>
        <w:t>依据任职资格标准建立快进快出的考核机制，同时制作短中长期激励方案。</w:t>
      </w:r>
    </w:p>
    <w:p>
      <w:pPr>
        <w:pStyle w:val="Heading7"/>
        <w:spacing w:line="364" w:lineRule="exact"/>
        <w:ind w:left="575" w:right="995"/>
        <w:jc w:val="left"/>
        <w:rPr>
          <w:b w:val="0"/>
          <w:bCs w:val="0"/>
        </w:rPr>
      </w:pPr>
      <w:r>
        <w:rPr/>
        <w:t>（四）公司未来发展可能面临的风险</w:t>
      </w:r>
      <w:r>
        <w:rPr>
          <w:b w:val="0"/>
          <w:bCs w:val="0"/>
        </w:rPr>
      </w:r>
    </w:p>
    <w:p>
      <w:pPr>
        <w:pStyle w:val="BodyText"/>
        <w:spacing w:line="386" w:lineRule="auto" w:before="169"/>
        <w:ind w:left="573" w:right="995"/>
        <w:jc w:val="left"/>
      </w:pPr>
      <w:r>
        <w:rPr>
          <w:rFonts w:ascii="Times New Roman" w:hAnsi="Times New Roman" w:cs="Times New Roman" w:eastAsia="Times New Roman" w:hint="default"/>
        </w:rPr>
        <w:t>1</w:t>
      </w:r>
      <w:r>
        <w:rPr/>
        <w:t>、市场不规范竞争风险</w:t>
      </w:r>
      <w:r>
        <w:rPr>
          <w:w w:val="100"/>
        </w:rPr>
        <w:t> </w:t>
      </w:r>
      <w:r>
        <w:rPr>
          <w:spacing w:val="-2"/>
        </w:rPr>
        <w:t>随着近年来教育信息化建设快速推进，一方面进入教育领域的企业及资本快速增加，另一方面教育信</w:t>
      </w:r>
    </w:p>
    <w:p>
      <w:pPr>
        <w:pStyle w:val="BodyText"/>
        <w:spacing w:line="400" w:lineRule="auto" w:before="65"/>
        <w:ind w:right="995"/>
        <w:jc w:val="left"/>
      </w:pPr>
      <w:r>
        <w:rPr/>
        <w:t>息化建设的技术及应用趋势在动态变化，部分在线教育企业存在含有网络游戏、商业广告、诱导性消费、</w:t>
      </w:r>
      <w:r>
        <w:rPr>
          <w:w w:val="100"/>
        </w:rPr>
        <w:t> </w:t>
      </w:r>
      <w:r>
        <w:rPr>
          <w:spacing w:val="-2"/>
        </w:rPr>
        <w:t>内容盗版、质量粗糙、侵犯知识产权等情况，行业竞争环境受到一定影响。随着政府不断完善法律法规政</w:t>
      </w:r>
      <w:r>
        <w:rPr>
          <w:spacing w:val="-47"/>
        </w:rPr>
        <w:t> </w:t>
      </w:r>
      <w:r>
        <w:rPr>
          <w:spacing w:val="-47"/>
        </w:rPr>
      </w:r>
      <w:r>
        <w:rPr>
          <w:spacing w:val="-2"/>
        </w:rPr>
        <w:t>策，竞争环境将有所缓解。公司也将把握政策导向和市场需求，加强知识产权保护，增大研发投入从而提</w:t>
      </w:r>
      <w:r>
        <w:rPr>
          <w:spacing w:val="-50"/>
        </w:rPr>
        <w:t> </w:t>
      </w:r>
      <w:r>
        <w:rPr>
          <w:spacing w:val="-50"/>
        </w:rPr>
      </w:r>
      <w:r>
        <w:rPr>
          <w:spacing w:val="-2"/>
        </w:rPr>
        <w:t>升产品研发迭代能力以及增强持续创新的能力，同时建设完善的渠道服务体系以满足市场需求。公司始终</w:t>
      </w:r>
      <w:r>
        <w:rPr>
          <w:spacing w:val="-43"/>
        </w:rPr>
        <w:t> </w:t>
      </w:r>
      <w:r>
        <w:rPr>
          <w:spacing w:val="-43"/>
        </w:rPr>
      </w:r>
      <w:r>
        <w:rPr>
          <w:spacing w:val="-3"/>
        </w:rPr>
        <w:t>以用户需求为导向，坚持为用户提供优质产品和服务，同步学</w:t>
      </w:r>
      <w:r>
        <w:rPr>
          <w:rFonts w:ascii="Times New Roman" w:hAnsi="Times New Roman" w:cs="Times New Roman" w:eastAsia="Times New Roman" w:hint="default"/>
          <w:spacing w:val="-3"/>
        </w:rPr>
        <w:t>APP</w:t>
      </w:r>
      <w:r>
        <w:rPr>
          <w:spacing w:val="-3"/>
        </w:rPr>
        <w:t>作为广东省教育厅首批过审白名单</w:t>
      </w:r>
      <w:r>
        <w:rPr>
          <w:rFonts w:ascii="Times New Roman" w:hAnsi="Times New Roman" w:cs="Times New Roman" w:eastAsia="Times New Roman" w:hint="default"/>
          <w:spacing w:val="-3"/>
        </w:rPr>
        <w:t>APP</w:t>
      </w:r>
      <w:r>
        <w:rPr>
          <w:spacing w:val="-3"/>
        </w:rPr>
        <w:t>，</w:t>
      </w:r>
      <w:r>
        <w:rPr>
          <w:spacing w:val="-23"/>
        </w:rPr>
        <w:t> </w:t>
      </w:r>
      <w:r>
        <w:rPr/>
        <w:t>以高于行业标准研发，在使用优质内容服务用户的同时，同样注重用户信息安全保护，同步学</w:t>
      </w:r>
      <w:r>
        <w:rPr>
          <w:rFonts w:ascii="Times New Roman" w:hAnsi="Times New Roman" w:cs="Times New Roman" w:eastAsia="Times New Roman" w:hint="default"/>
        </w:rPr>
        <w:t>APP</w:t>
      </w:r>
      <w:r>
        <w:rPr/>
        <w:t>在接受</w:t>
      </w:r>
      <w:r>
        <w:rPr>
          <w:spacing w:val="-99"/>
        </w:rPr>
        <w:t> </w:t>
      </w:r>
      <w:r>
        <w:rPr>
          <w:spacing w:val="-99"/>
        </w:rPr>
      </w:r>
      <w:r>
        <w:rPr>
          <w:spacing w:val="-2"/>
        </w:rPr>
        <w:t>了涵盖等级保护安全技术要求的五个层面和安全管理要求的五个层面的严格测评打分，成功通过了国家信</w:t>
      </w:r>
      <w:r>
        <w:rPr>
          <w:spacing w:val="-43"/>
        </w:rPr>
        <w:t> </w:t>
      </w:r>
      <w:r>
        <w:rPr>
          <w:spacing w:val="-43"/>
        </w:rPr>
      </w:r>
      <w:r>
        <w:rPr>
          <w:spacing w:val="-2"/>
        </w:rPr>
        <w:t>息系统等级保护二级测试，并依法正式获取了《信息系统安全等级保护备案证明》二级证书，这标志着同</w:t>
      </w:r>
      <w:r>
        <w:rPr>
          <w:spacing w:val="-44"/>
        </w:rPr>
        <w:t> </w:t>
      </w:r>
      <w:r>
        <w:rPr>
          <w:spacing w:val="-44"/>
        </w:rPr>
      </w:r>
      <w:r>
        <w:rPr/>
        <w:t>步学</w:t>
      </w:r>
      <w:r>
        <w:rPr>
          <w:rFonts w:ascii="Times New Roman" w:hAnsi="Times New Roman" w:cs="Times New Roman" w:eastAsia="Times New Roman" w:hint="default"/>
        </w:rPr>
        <w:t>APP</w:t>
      </w:r>
      <w:r>
        <w:rPr/>
        <w:t>在网络信息规范化管理方面更加严密，数据管理更加安全，必将极大助推公司的全面发展。未来</w:t>
      </w:r>
      <w:r>
        <w:rPr>
          <w:spacing w:val="-101"/>
        </w:rPr>
        <w:t> </w:t>
      </w:r>
      <w:r>
        <w:rPr>
          <w:spacing w:val="-101"/>
        </w:rPr>
      </w:r>
      <w:r>
        <w:rPr/>
        <w:t>公司会充分发挥企业的社会价值，引领构建绿色、健康、高效的“互联网</w:t>
      </w:r>
      <w:r>
        <w:rPr>
          <w:rFonts w:ascii="宋体" w:hAnsi="宋体" w:cs="宋体" w:eastAsia="宋体" w:hint="default"/>
        </w:rPr>
        <w:t>+</w:t>
      </w:r>
      <w:r>
        <w:rPr/>
        <w:t>教育”育人环境。</w:t>
      </w:r>
    </w:p>
    <w:p>
      <w:pPr>
        <w:pStyle w:val="BodyText"/>
        <w:spacing w:line="386" w:lineRule="auto" w:before="52"/>
        <w:ind w:left="573" w:right="995"/>
        <w:jc w:val="left"/>
      </w:pPr>
      <w:r>
        <w:rPr>
          <w:rFonts w:ascii="Times New Roman" w:hAnsi="Times New Roman" w:cs="Times New Roman" w:eastAsia="Times New Roman" w:hint="default"/>
        </w:rPr>
        <w:t>2</w:t>
      </w:r>
      <w:r>
        <w:rPr/>
        <w:t>、客户相对集中的风险</w:t>
      </w:r>
      <w:r>
        <w:rPr>
          <w:w w:val="100"/>
        </w:rPr>
        <w:t> </w:t>
      </w:r>
      <w:r>
        <w:rPr>
          <w:spacing w:val="-2"/>
        </w:rPr>
        <w:t>目前公司的销售区域仍主要以珠三角，长三角及京津地区等大中城市为主，市场区域相对集中并存在</w:t>
      </w:r>
    </w:p>
    <w:p>
      <w:pPr>
        <w:pStyle w:val="BodyText"/>
        <w:spacing w:line="408" w:lineRule="auto" w:before="65"/>
        <w:ind w:right="1126"/>
        <w:jc w:val="both"/>
      </w:pPr>
      <w:r>
        <w:rPr>
          <w:spacing w:val="-2"/>
        </w:rPr>
        <w:t>一定风险，可能对本公司未来盈利能力造成影响。公司将通过技术研发和产品拓展计划，营销渠道拓展计</w:t>
      </w:r>
      <w:r>
        <w:rPr>
          <w:spacing w:val="-43"/>
        </w:rPr>
        <w:t> </w:t>
      </w:r>
      <w:r>
        <w:rPr>
          <w:spacing w:val="-43"/>
        </w:rPr>
      </w:r>
      <w:r>
        <w:rPr>
          <w:spacing w:val="-2"/>
        </w:rPr>
        <w:t>划解决上述产品及销售区域较为集中的风险。一方面通过开发语文、数学等其他学科的研发，将各学科发</w:t>
      </w:r>
      <w:r>
        <w:rPr>
          <w:spacing w:val="-44"/>
        </w:rPr>
        <w:t> </w:t>
      </w:r>
      <w:r>
        <w:rPr>
          <w:spacing w:val="-44"/>
        </w:rPr>
      </w:r>
      <w:r>
        <w:rPr>
          <w:spacing w:val="-2"/>
        </w:rPr>
        <w:t>展均衡。另一方面，公司将把开拓创新的销售区域作为战略重点，通过与现有的主流出版社、教研系统所</w:t>
      </w:r>
      <w:r>
        <w:rPr>
          <w:spacing w:val="-47"/>
        </w:rPr>
        <w:t> </w:t>
      </w:r>
      <w:r>
        <w:rPr>
          <w:spacing w:val="-47"/>
        </w:rPr>
      </w:r>
      <w:r>
        <w:rPr>
          <w:spacing w:val="-2"/>
        </w:rPr>
        <w:t>建立的良好的合作关系，充分把握各地中小学教材的新特点、新趋势，对潜在用户的市场需求进行调研分</w:t>
      </w:r>
      <w:r>
        <w:rPr>
          <w:spacing w:val="-44"/>
        </w:rPr>
        <w:t> </w:t>
      </w:r>
      <w:r>
        <w:rPr>
          <w:spacing w:val="-44"/>
        </w:rPr>
      </w:r>
      <w:r>
        <w:rPr>
          <w:spacing w:val="-2"/>
        </w:rPr>
        <w:t>析，积极开发地方版本系列以满足二、三线城市的拓展需求。同时全面加速推进公司优质资源建设、自主</w:t>
      </w:r>
      <w:r>
        <w:rPr>
          <w:spacing w:val="-50"/>
        </w:rPr>
        <w:t> </w:t>
      </w:r>
      <w:r>
        <w:rPr>
          <w:spacing w:val="-50"/>
        </w:rPr>
      </w:r>
      <w:r>
        <w:rPr>
          <w:spacing w:val="-2"/>
        </w:rPr>
        <w:t>知识产权建设及平台建设，完成覆盖小学、初中、高中学段的多学科、多版本、全学段的优质、同步、配</w:t>
      </w:r>
      <w:r>
        <w:rPr>
          <w:spacing w:val="-45"/>
        </w:rPr>
        <w:t> </w:t>
      </w:r>
      <w:r>
        <w:rPr>
          <w:spacing w:val="-45"/>
        </w:rPr>
      </w:r>
      <w:r>
        <w:rPr/>
        <w:t>套的教与学资源体系，从而有效解决客户相对集中的风险。</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86" w:lineRule="auto" w:before="36"/>
        <w:ind w:left="573" w:right="995"/>
        <w:jc w:val="left"/>
      </w:pPr>
      <w:r>
        <w:rPr>
          <w:rFonts w:ascii="Times New Roman" w:hAnsi="Times New Roman" w:cs="Times New Roman" w:eastAsia="Times New Roman" w:hint="default"/>
        </w:rPr>
        <w:t>3</w:t>
      </w:r>
      <w:r>
        <w:rPr/>
        <w:t>、新产品开发和技术更新换代的风险</w:t>
      </w:r>
      <w:r>
        <w:rPr>
          <w:w w:val="100"/>
        </w:rPr>
        <w:t> </w:t>
      </w:r>
      <w:r>
        <w:rPr>
          <w:spacing w:val="-2"/>
        </w:rPr>
        <w:t>市场需求不断变化，教育技术应用趋势在动态变化，如人工智能、大数据等前沿技术不断发展迭代。</w:t>
      </w:r>
    </w:p>
    <w:p>
      <w:pPr>
        <w:pStyle w:val="BodyText"/>
        <w:spacing w:line="408" w:lineRule="auto" w:before="65"/>
        <w:ind w:right="995"/>
        <w:jc w:val="left"/>
      </w:pPr>
      <w:r>
        <w:rPr>
          <w:spacing w:val="-2"/>
        </w:rPr>
        <w:t>如果公司对行业关键技术的发展动态不能及时掌控，对教育教学当中的新理念以及广大教师和学生的教学</w:t>
      </w:r>
      <w:r>
        <w:rPr>
          <w:spacing w:val="-43"/>
        </w:rPr>
        <w:t> </w:t>
      </w:r>
      <w:r>
        <w:rPr>
          <w:spacing w:val="-43"/>
        </w:rPr>
      </w:r>
      <w:r>
        <w:rPr>
          <w:spacing w:val="-2"/>
        </w:rPr>
        <w:t>需求不能正确把握，研发的产品将不具备竞争力。公司会积极投入同步教学软件及在线教育网络服务开发</w:t>
      </w:r>
      <w:r>
        <w:rPr>
          <w:spacing w:val="-42"/>
        </w:rPr>
        <w:t> </w:t>
      </w:r>
      <w:r>
        <w:rPr>
          <w:spacing w:val="-42"/>
        </w:rPr>
      </w:r>
      <w:r>
        <w:rPr>
          <w:spacing w:val="-5"/>
        </w:rPr>
        <w:t>平台的开发，使公司开发的同步教育服务类产品具有更强的针对性和实用性；同时加强基础教育项目研究， </w:t>
      </w:r>
      <w:r>
        <w:rPr>
          <w:spacing w:val="-5"/>
        </w:rPr>
      </w:r>
      <w:r>
        <w:rPr/>
        <w:t>在开发实施过程中进行有效管理、把握开发周期、降低开发成本。</w:t>
      </w:r>
    </w:p>
    <w:p>
      <w:pPr>
        <w:pStyle w:val="BodyText"/>
        <w:spacing w:line="386" w:lineRule="auto"/>
        <w:ind w:left="573" w:right="995"/>
        <w:jc w:val="left"/>
      </w:pPr>
      <w:r>
        <w:rPr>
          <w:rFonts w:ascii="Times New Roman" w:hAnsi="Times New Roman" w:cs="Times New Roman" w:eastAsia="Times New Roman" w:hint="default"/>
        </w:rPr>
        <w:t>4</w:t>
      </w:r>
      <w:r>
        <w:rPr/>
        <w:t>、募集资金投资项目风险</w:t>
      </w:r>
      <w:r>
        <w:rPr>
          <w:w w:val="100"/>
        </w:rPr>
        <w:t> </w:t>
      </w:r>
      <w:r>
        <w:rPr>
          <w:spacing w:val="-2"/>
        </w:rPr>
        <w:t>公司非公开发行的募集资金将投入“教学研云平台”、“同步资源学习系统”项目。募集资金投资项</w:t>
      </w:r>
    </w:p>
    <w:p>
      <w:pPr>
        <w:pStyle w:val="BodyText"/>
        <w:spacing w:line="408" w:lineRule="auto" w:before="65"/>
        <w:ind w:right="1126"/>
        <w:jc w:val="both"/>
      </w:pPr>
      <w:r>
        <w:rPr>
          <w:spacing w:val="-2"/>
        </w:rPr>
        <w:t>目的顺利实施，将进一步增强公司的研发实力，扩大公司在既有市场的占有率并开拓新市场，提升公司的</w:t>
      </w:r>
      <w:r>
        <w:rPr>
          <w:spacing w:val="-45"/>
        </w:rPr>
        <w:t> </w:t>
      </w:r>
      <w:r>
        <w:rPr>
          <w:spacing w:val="-45"/>
        </w:rPr>
      </w:r>
      <w:r>
        <w:rPr>
          <w:spacing w:val="-2"/>
        </w:rPr>
        <w:t>综合竞争力。尽管公司对前述建设项目已有一定的技术、人才及客户资源储备，并在项目实施前进行了充</w:t>
      </w:r>
      <w:r>
        <w:rPr>
          <w:spacing w:val="-43"/>
        </w:rPr>
        <w:t> </w:t>
      </w:r>
      <w:r>
        <w:rPr>
          <w:spacing w:val="-43"/>
        </w:rPr>
      </w:r>
      <w:r>
        <w:rPr>
          <w:spacing w:val="-2"/>
        </w:rPr>
        <w:t>分的可行性论证，但该论证系基于目前的技术发展水平、国家产业政策、国内外市场环境、客户需求情况</w:t>
      </w:r>
      <w:r>
        <w:rPr>
          <w:spacing w:val="-47"/>
        </w:rPr>
        <w:t> </w:t>
      </w:r>
      <w:r>
        <w:rPr>
          <w:spacing w:val="-47"/>
        </w:rPr>
      </w:r>
      <w:r>
        <w:rPr>
          <w:spacing w:val="-2"/>
        </w:rPr>
        <w:t>等条件所作出的投资决策，在实际运营过程中，随着时间的推移，上述因素存在发生变化的可能。由于市</w:t>
      </w:r>
      <w:r>
        <w:rPr>
          <w:spacing w:val="-47"/>
        </w:rPr>
        <w:t> </w:t>
      </w:r>
      <w:r>
        <w:rPr>
          <w:spacing w:val="-47"/>
        </w:rPr>
      </w:r>
      <w:r>
        <w:rPr/>
        <w:t>场本身具有的不确定性因素，仍有可能使该项目实施后面临一定的市场风险。</w:t>
      </w:r>
    </w:p>
    <w:p>
      <w:pPr>
        <w:pStyle w:val="BodyText"/>
        <w:spacing w:line="386" w:lineRule="auto"/>
        <w:ind w:left="573" w:right="995"/>
        <w:jc w:val="left"/>
      </w:pPr>
      <w:r>
        <w:rPr>
          <w:rFonts w:ascii="Times New Roman" w:hAnsi="Times New Roman" w:cs="Times New Roman" w:eastAsia="Times New Roman" w:hint="default"/>
        </w:rPr>
        <w:t>5</w:t>
      </w:r>
      <w:r>
        <w:rPr/>
        <w:t>、人才流失风险</w:t>
      </w:r>
      <w:r>
        <w:rPr>
          <w:w w:val="100"/>
        </w:rPr>
        <w:t> </w:t>
      </w:r>
      <w:r>
        <w:rPr>
          <w:spacing w:val="-2"/>
        </w:rPr>
        <w:t>随着行业发展以及公司已全面向互联网模式进行转变，对与大平台合作的渠道人才和互联网营销人才</w:t>
      </w:r>
    </w:p>
    <w:p>
      <w:pPr>
        <w:pStyle w:val="BodyText"/>
        <w:spacing w:line="408" w:lineRule="auto" w:before="65"/>
        <w:ind w:right="1104"/>
        <w:jc w:val="both"/>
      </w:pPr>
      <w:r>
        <w:rPr>
          <w:spacing w:val="-2"/>
        </w:rPr>
        <w:t>需求量较大，公司经营和管理需要面临更高的要求和挑战。如果公司不能有效保持和完善核心人员的激励</w:t>
      </w:r>
      <w:r>
        <w:rPr>
          <w:spacing w:val="-44"/>
        </w:rPr>
        <w:t> </w:t>
      </w:r>
      <w:r>
        <w:rPr>
          <w:spacing w:val="-44"/>
        </w:rPr>
      </w:r>
      <w:r>
        <w:rPr>
          <w:spacing w:val="-2"/>
        </w:rPr>
        <w:t>机制，将会影响到核心人员积极性、创造性。而互联网人才流动大，优秀的互联网人才日益紧缺，人力成</w:t>
      </w:r>
      <w:r>
        <w:rPr>
          <w:spacing w:val="-43"/>
        </w:rPr>
        <w:t> </w:t>
      </w:r>
      <w:r>
        <w:rPr>
          <w:spacing w:val="-43"/>
        </w:rPr>
      </w:r>
      <w:r>
        <w:rPr>
          <w:spacing w:val="-2"/>
        </w:rPr>
        <w:t>本不断攀升。公司需要引入优秀人才、增强企业技术竞争实力是改革基础之一，同时重视企业文化建设，</w:t>
      </w:r>
      <w:r>
        <w:rPr>
          <w:spacing w:val="-21"/>
        </w:rPr>
        <w:t> </w:t>
      </w:r>
      <w:r>
        <w:rPr>
          <w:spacing w:val="-21"/>
        </w:rPr>
      </w:r>
      <w:r>
        <w:rPr/>
        <w:t>建立人才激励分享企业经营成果。</w:t>
      </w:r>
    </w:p>
    <w:p>
      <w:pPr>
        <w:pStyle w:val="Heading3"/>
        <w:spacing w:line="240" w:lineRule="auto" w:before="167"/>
        <w:ind w:right="0"/>
        <w:jc w:val="both"/>
        <w:rPr>
          <w:b w:val="0"/>
          <w:bCs w:val="0"/>
        </w:rPr>
      </w:pPr>
      <w:r>
        <w:rPr/>
        <w:t>十、接待调研、沟通、采访等活动登记表</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7"/>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0" w:right="1104" w:firstLine="0"/>
        <w:jc w:val="right"/>
        <w:rPr>
          <w:rFonts w:ascii="宋体" w:hAnsi="宋体" w:cs="宋体" w:eastAsia="宋体" w:hint="default"/>
          <w:sz w:val="18"/>
          <w:szCs w:val="18"/>
        </w:rPr>
      </w:pPr>
      <w:r>
        <w:rPr/>
        <w:pict>
          <v:shape style="position:absolute;margin-left:58.104pt;margin-top:-20.795263pt;width:479.3pt;height:80.9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994"/>
                    <w:gridCol w:w="1274"/>
                    <w:gridCol w:w="5742"/>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详见巨潮资讯网</w:t>
                        </w:r>
                        <w:r>
                          <w:rPr>
                            <w:rFonts w:ascii="宋体" w:hAnsi="宋体" w:cs="宋体" w:eastAsia="宋体" w:hint="default"/>
                            <w:spacing w:val="-106"/>
                            <w:sz w:val="18"/>
                            <w:szCs w:val="18"/>
                          </w:rPr>
                          <w:t>：</w:t>
                        </w:r>
                        <w:r>
                          <w:rPr>
                            <w:rFonts w:ascii="宋体" w:hAnsi="宋体" w:cs="宋体" w:eastAsia="宋体" w:hint="default"/>
                            <w:sz w:val="18"/>
                            <w:szCs w:val="18"/>
                          </w:rPr>
                          <w:t>《方直科技</w:t>
                        </w:r>
                        <w:r>
                          <w:rPr>
                            <w:rFonts w:ascii="宋体" w:hAnsi="宋体" w:cs="宋体" w:eastAsia="宋体" w:hint="default"/>
                            <w:spacing w:val="-14"/>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w:t>
                        </w:r>
                        <w:r>
                          <w:rPr>
                            <w:rFonts w:ascii="宋体" w:hAnsi="宋体" w:cs="宋体" w:eastAsia="宋体" w:hint="default"/>
                            <w:spacing w:val="-3"/>
                            <w:sz w:val="18"/>
                            <w:szCs w:val="18"/>
                          </w:rPr>
                          <w:t>系</w:t>
                        </w:r>
                        <w:r>
                          <w:rPr>
                            <w:rFonts w:ascii="宋体" w:hAnsi="宋体" w:cs="宋体" w:eastAsia="宋体" w:hint="default"/>
                            <w:sz w:val="18"/>
                            <w:szCs w:val="18"/>
                          </w:rPr>
                          <w:t>活动记录表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详见巨潮资讯网</w:t>
                        </w:r>
                        <w:r>
                          <w:rPr>
                            <w:rFonts w:ascii="宋体" w:hAnsi="宋体" w:cs="宋体" w:eastAsia="宋体" w:hint="default"/>
                            <w:spacing w:val="-106"/>
                            <w:sz w:val="18"/>
                            <w:szCs w:val="18"/>
                          </w:rPr>
                          <w:t>：</w:t>
                        </w:r>
                        <w:r>
                          <w:rPr>
                            <w:rFonts w:ascii="宋体" w:hAnsi="宋体" w:cs="宋体" w:eastAsia="宋体" w:hint="default"/>
                            <w:sz w:val="18"/>
                            <w:szCs w:val="18"/>
                          </w:rPr>
                          <w:t>《方直科技</w:t>
                        </w:r>
                        <w:r>
                          <w:rPr>
                            <w:rFonts w:ascii="宋体" w:hAnsi="宋体" w:cs="宋体" w:eastAsia="宋体" w:hint="default"/>
                            <w:spacing w:val="-14"/>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w:t>
                        </w:r>
                        <w:r>
                          <w:rPr>
                            <w:rFonts w:ascii="宋体" w:hAnsi="宋体" w:cs="宋体" w:eastAsia="宋体" w:hint="default"/>
                            <w:spacing w:val="-3"/>
                            <w:sz w:val="18"/>
                            <w:szCs w:val="18"/>
                          </w:rPr>
                          <w:t>活</w:t>
                        </w:r>
                        <w:r>
                          <w:rPr>
                            <w:rFonts w:ascii="宋体" w:hAnsi="宋体" w:cs="宋体" w:eastAsia="宋体" w:hint="default"/>
                            <w:sz w:val="18"/>
                            <w:szCs w:val="18"/>
                          </w:rPr>
                          <w:t>动记录表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详见巨潮资讯网</w:t>
                        </w:r>
                        <w:r>
                          <w:rPr>
                            <w:rFonts w:ascii="宋体" w:hAnsi="宋体" w:cs="宋体" w:eastAsia="宋体" w:hint="default"/>
                            <w:spacing w:val="-152"/>
                            <w:sz w:val="18"/>
                            <w:szCs w:val="18"/>
                          </w:rPr>
                          <w:t>：</w:t>
                        </w:r>
                        <w:r>
                          <w:rPr>
                            <w:rFonts w:ascii="宋体" w:hAnsi="宋体" w:cs="宋体" w:eastAsia="宋体" w:hint="default"/>
                            <w:sz w:val="18"/>
                            <w:szCs w:val="18"/>
                          </w:rPr>
                          <w:t>《方直科技</w:t>
                        </w:r>
                        <w:r>
                          <w:rPr>
                            <w:rFonts w:ascii="宋体" w:hAnsi="宋体" w:cs="宋体" w:eastAsia="宋体" w:hint="default"/>
                            <w:spacing w:val="-60"/>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w:t>
                        </w:r>
                        <w:r>
                          <w:rPr>
                            <w:rFonts w:ascii="宋体" w:hAnsi="宋体" w:cs="宋体" w:eastAsia="宋体" w:hint="default"/>
                            <w:spacing w:val="-3"/>
                            <w:sz w:val="18"/>
                            <w:szCs w:val="18"/>
                          </w:rPr>
                          <w:t>活</w:t>
                        </w:r>
                        <w:r>
                          <w:rPr>
                            <w:rFonts w:ascii="宋体" w:hAnsi="宋体" w:cs="宋体" w:eastAsia="宋体" w:hint="default"/>
                            <w:sz w:val="18"/>
                            <w:szCs w:val="18"/>
                          </w:rPr>
                          <w:t>动记录表</w:t>
                        </w:r>
                      </w:p>
                    </w:tc>
                  </w:tr>
                </w:tbl>
                <w:p>
                  <w:pPr/>
                </w:p>
              </w:txbxContent>
            </v:textbox>
            <w10:wrap type="none"/>
          </v:shape>
        </w:pict>
      </w:r>
      <w:r>
        <w:rPr>
          <w:rFonts w:ascii="宋体" w:hAnsi="宋体" w:cs="宋体" w:eastAsia="宋体" w:hint="default"/>
          <w:sz w:val="18"/>
          <w:szCs w:val="18"/>
        </w:rPr>
        <w:t>》</w:t>
      </w:r>
    </w:p>
    <w:p>
      <w:pPr>
        <w:spacing w:line="240" w:lineRule="auto" w:before="5"/>
        <w:rPr>
          <w:rFonts w:ascii="宋体" w:hAnsi="宋体" w:cs="宋体" w:eastAsia="宋体" w:hint="default"/>
          <w:sz w:val="9"/>
          <w:szCs w:val="9"/>
        </w:rPr>
      </w:pPr>
    </w:p>
    <w:p>
      <w:pPr>
        <w:spacing w:before="44"/>
        <w:ind w:left="0" w:right="110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3"/>
        <w:rPr>
          <w:rFonts w:ascii="宋体" w:hAnsi="宋体" w:cs="宋体" w:eastAsia="宋体" w:hint="default"/>
          <w:sz w:val="9"/>
          <w:szCs w:val="9"/>
        </w:rPr>
      </w:pPr>
    </w:p>
    <w:p>
      <w:pPr>
        <w:spacing w:before="44"/>
        <w:ind w:left="0" w:right="110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tabs>
          <w:tab w:pos="1286" w:val="left" w:leader="none"/>
        </w:tabs>
        <w:spacing w:line="456" w:lineRule="exact"/>
        <w:ind w:right="983"/>
        <w:jc w:val="center"/>
        <w:rPr>
          <w:b w:val="0"/>
          <w:bCs w:val="0"/>
        </w:rPr>
      </w:pPr>
      <w:bookmarkStart w:name="_bookmark4" w:id="5"/>
      <w:bookmarkEnd w:id="5"/>
      <w:r>
        <w:rPr>
          <w:b w:val="0"/>
          <w:bCs w:val="0"/>
        </w:rPr>
      </w:r>
      <w:r>
        <w:rPr/>
        <w:t>第五节</w:t>
        <w:tab/>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3"/>
        <w:spacing w:line="240" w:lineRule="auto"/>
        <w:ind w:right="995"/>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408" w:lineRule="auto" w:before="157"/>
        <w:ind w:right="1126" w:firstLine="420"/>
        <w:jc w:val="both"/>
      </w:pPr>
      <w:r>
        <w:rPr>
          <w:spacing w:val="-2"/>
        </w:rPr>
        <w:t>报告期内，公司严格按照《公司章程》相关利润分配政策和审议程序实施利润分配方案，分红标准和</w:t>
      </w:r>
      <w:r>
        <w:rPr>
          <w:w w:val="100"/>
        </w:rPr>
        <w:t> </w:t>
      </w:r>
      <w:r>
        <w:rPr>
          <w:spacing w:val="-2"/>
        </w:rPr>
        <w:t>分红比例明确清晰，相关的决策程序和机制完备，相关的议案经由董事会、监事会审议过后提交股东大会</w:t>
      </w:r>
      <w:r>
        <w:rPr>
          <w:spacing w:val="-42"/>
        </w:rPr>
        <w:t> </w:t>
      </w:r>
      <w:r>
        <w:rPr>
          <w:spacing w:val="-42"/>
        </w:rPr>
      </w:r>
      <w:r>
        <w:rPr/>
        <w:t>审议，并由独立董事发表独立意见，审议通过后在规定时间内进行实施，切实保证了全体股东的利益。</w:t>
      </w:r>
    </w:p>
    <w:p>
      <w:pPr>
        <w:pStyle w:val="BodyText"/>
        <w:spacing w:line="393" w:lineRule="auto"/>
        <w:ind w:right="995" w:firstLine="420"/>
        <w:jc w:val="left"/>
      </w:pPr>
      <w:r>
        <w:rPr/>
        <w:pict>
          <v:shape style="position:absolute;margin-left:56.424pt;margin-top:256.443695pt;width:479.3pt;height:172.4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spacing w:val="-2"/>
        </w:rPr>
        <w:t>公司分别于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日召开了第四届董事会第四次会议和</w:t>
      </w:r>
      <w:r>
        <w:rPr>
          <w:rFonts w:ascii="Times New Roman" w:hAnsi="Times New Roman" w:cs="Times New Roman" w:eastAsia="Times New Roman" w:hint="default"/>
          <w:spacing w:val="-2"/>
        </w:rPr>
        <w:t>2018</w:t>
      </w:r>
      <w:r>
        <w:rPr>
          <w:spacing w:val="-2"/>
        </w:rPr>
        <w:t>年年度股东大会，</w:t>
      </w:r>
      <w:r>
        <w:rPr>
          <w:w w:val="100"/>
        </w:rPr>
        <w:t> </w:t>
      </w:r>
      <w:r>
        <w:rPr>
          <w:spacing w:val="-2"/>
        </w:rPr>
        <w:t>审议通过了《关于公司</w:t>
      </w:r>
      <w:r>
        <w:rPr>
          <w:rFonts w:ascii="Times New Roman" w:hAnsi="Times New Roman" w:cs="Times New Roman" w:eastAsia="Times New Roman" w:hint="default"/>
          <w:spacing w:val="-2"/>
        </w:rPr>
        <w:t>2018</w:t>
      </w:r>
      <w:r>
        <w:rPr>
          <w:spacing w:val="-2"/>
        </w:rPr>
        <w:t>年度利润分配预案的议案》，根据《公司章程》第一百五十五条规定的利润分</w:t>
      </w:r>
      <w:r>
        <w:rPr>
          <w:spacing w:val="-46"/>
        </w:rPr>
        <w:t> </w:t>
      </w:r>
      <w:r>
        <w:rPr>
          <w:spacing w:val="-46"/>
        </w:rPr>
      </w:r>
      <w:r>
        <w:rPr>
          <w:spacing w:val="-2"/>
        </w:rPr>
        <w:t>配政策及分配方式：“公司每年以现金方式分配的利润不少于当年实现可供分配利润的百分之十，并且连</w:t>
      </w:r>
      <w:r>
        <w:rPr>
          <w:spacing w:val="-44"/>
        </w:rPr>
        <w:t> </w:t>
      </w:r>
      <w:r>
        <w:rPr>
          <w:spacing w:val="-44"/>
        </w:rPr>
      </w:r>
      <w:r>
        <w:rPr/>
        <w:t>续任何三个会计年度内以现金方式累计分配的利润应不少于该三年实现的年均可分配利润的百分之三</w:t>
      </w:r>
      <w:r>
        <w:rPr>
          <w:w w:val="100"/>
        </w:rPr>
        <w:t> </w:t>
      </w:r>
      <w:r>
        <w:rPr>
          <w:spacing w:val="-2"/>
        </w:rPr>
        <w:t>十。”同时，公司章程规定：“公司拟实施现金分红时应同时满足以下条件：</w:t>
      </w:r>
      <w:r>
        <w:rPr>
          <w:rFonts w:ascii="Times New Roman" w:hAnsi="Times New Roman" w:cs="Times New Roman" w:eastAsia="Times New Roman" w:hint="default"/>
          <w:spacing w:val="-2"/>
        </w:rPr>
        <w:t>a</w:t>
      </w:r>
      <w:r>
        <w:rPr>
          <w:spacing w:val="-2"/>
        </w:rPr>
        <w:t>、当年每股收益不低于</w:t>
      </w:r>
      <w:r>
        <w:rPr>
          <w:rFonts w:ascii="Times New Roman" w:hAnsi="Times New Roman" w:cs="Times New Roman" w:eastAsia="Times New Roman" w:hint="default"/>
          <w:spacing w:val="-2"/>
        </w:rPr>
        <w:t>0.1</w:t>
      </w:r>
      <w:r>
        <w:rPr>
          <w:rFonts w:ascii="Times New Roman" w:hAnsi="Times New Roman" w:cs="Times New Roman" w:eastAsia="Times New Roman" w:hint="default"/>
          <w:spacing w:val="34"/>
        </w:rPr>
        <w:t> </w:t>
      </w:r>
      <w:r>
        <w:rPr>
          <w:spacing w:val="-2"/>
        </w:rPr>
        <w:t>元；</w:t>
      </w:r>
      <w:r>
        <w:rPr>
          <w:rFonts w:ascii="Times New Roman" w:hAnsi="Times New Roman" w:cs="Times New Roman" w:eastAsia="Times New Roman" w:hint="default"/>
          <w:spacing w:val="-2"/>
        </w:rPr>
        <w:t>b</w:t>
      </w:r>
      <w:r>
        <w:rPr>
          <w:spacing w:val="-2"/>
        </w:rPr>
        <w:t>、审计机构对公司的该年度财务报告出具标准无保留意见的审计报告；</w:t>
      </w:r>
      <w:r>
        <w:rPr>
          <w:rFonts w:ascii="Times New Roman" w:hAnsi="Times New Roman" w:cs="Times New Roman" w:eastAsia="Times New Roman" w:hint="default"/>
          <w:spacing w:val="-2"/>
        </w:rPr>
        <w:t>c</w:t>
      </w:r>
      <w:r>
        <w:rPr>
          <w:spacing w:val="-2"/>
        </w:rPr>
        <w:t>、公司未来十二个月内拟对</w:t>
      </w:r>
      <w:r>
        <w:rPr>
          <w:spacing w:val="-32"/>
        </w:rPr>
        <w:t> </w:t>
      </w:r>
      <w:r>
        <w:rPr>
          <w:spacing w:val="-32"/>
        </w:rPr>
      </w:r>
      <w:r>
        <w:rPr>
          <w:spacing w:val="-4"/>
        </w:rPr>
        <w:t>外投资、购买或出售资产累计支出不超过公司最近一期经审计总资产的</w:t>
      </w:r>
      <w:r>
        <w:rPr>
          <w:rFonts w:ascii="Times New Roman" w:hAnsi="Times New Roman" w:cs="Times New Roman" w:eastAsia="Times New Roman" w:hint="default"/>
          <w:spacing w:val="-4"/>
        </w:rPr>
        <w:t>30%</w:t>
      </w:r>
      <w:r>
        <w:rPr>
          <w:spacing w:val="-4"/>
        </w:rPr>
        <w:t>。</w:t>
      </w:r>
      <w:r>
        <w:rPr>
          <w:rFonts w:ascii="Times New Roman" w:hAnsi="Times New Roman" w:cs="Times New Roman" w:eastAsia="Times New Roman" w:hint="default"/>
          <w:spacing w:val="-4"/>
        </w:rPr>
        <w:t>d</w:t>
      </w:r>
      <w:r>
        <w:rPr>
          <w:spacing w:val="-4"/>
        </w:rPr>
        <w:t>、公司未来十二个月内拟对</w:t>
      </w:r>
      <w:r>
        <w:rPr>
          <w:spacing w:val="-16"/>
        </w:rPr>
        <w:t> </w:t>
      </w:r>
      <w:r>
        <w:rPr>
          <w:spacing w:val="-16"/>
        </w:rPr>
      </w:r>
      <w:r>
        <w:rPr>
          <w:spacing w:val="-3"/>
        </w:rPr>
        <w:t>外投资、购买或出售资产累计支出不超过公司最近一期经审计净资产的</w:t>
      </w:r>
      <w:r>
        <w:rPr>
          <w:rFonts w:ascii="Times New Roman" w:hAnsi="Times New Roman" w:cs="Times New Roman" w:eastAsia="Times New Roman" w:hint="default"/>
          <w:spacing w:val="-3"/>
        </w:rPr>
        <w:t>50%</w:t>
      </w:r>
      <w:r>
        <w:rPr>
          <w:spacing w:val="-3"/>
        </w:rPr>
        <w:t>。” </w:t>
      </w:r>
      <w:r>
        <w:rPr>
          <w:rFonts w:ascii="Times New Roman" w:hAnsi="Times New Roman" w:cs="Times New Roman" w:eastAsia="Times New Roman" w:hint="default"/>
        </w:rPr>
        <w:t>2018</w:t>
      </w:r>
      <w:r>
        <w:rPr/>
        <w:t>年度公司每股收益为</w:t>
      </w:r>
      <w:r>
        <w:rPr>
          <w:spacing w:val="-94"/>
        </w:rPr>
        <w:t> </w:t>
      </w:r>
      <w:r>
        <w:rPr>
          <w:spacing w:val="-94"/>
        </w:rPr>
      </w:r>
      <w:r>
        <w:rPr>
          <w:rFonts w:ascii="Times New Roman" w:hAnsi="Times New Roman" w:cs="Times New Roman" w:eastAsia="Times New Roman" w:hint="default"/>
          <w:spacing w:val="-2"/>
        </w:rPr>
        <w:t>0.07</w:t>
      </w:r>
      <w:r>
        <w:rPr>
          <w:spacing w:val="-2"/>
        </w:rPr>
        <w:t>元，不满足章程规定的现金分红条件。综合考虑公司</w:t>
      </w:r>
      <w:r>
        <w:rPr>
          <w:rFonts w:ascii="Times New Roman" w:hAnsi="Times New Roman" w:cs="Times New Roman" w:eastAsia="Times New Roman" w:hint="default"/>
          <w:spacing w:val="-2"/>
        </w:rPr>
        <w:t>2019</w:t>
      </w:r>
      <w:r>
        <w:rPr>
          <w:spacing w:val="-2"/>
        </w:rPr>
        <w:t>年经营发展的实际状况，为保障公司稳健可</w:t>
      </w:r>
      <w:r>
        <w:rPr>
          <w:spacing w:val="-10"/>
        </w:rPr>
        <w:t> </w:t>
      </w:r>
      <w:r>
        <w:rPr>
          <w:spacing w:val="-10"/>
        </w:rPr>
      </w:r>
      <w:r>
        <w:rPr>
          <w:spacing w:val="-2"/>
        </w:rPr>
        <w:t>持续发展，确保战略发展目标的实现，兼顾公司长远发展和全体股东利益，公司应做好相应的资金储备。</w:t>
      </w:r>
      <w:r>
        <w:rPr>
          <w:spacing w:val="-21"/>
        </w:rPr>
        <w:t> </w:t>
      </w:r>
      <w:r>
        <w:rPr>
          <w:spacing w:val="-21"/>
        </w:rPr>
      </w:r>
      <w:r>
        <w:rPr/>
        <w:t>公司决定</w:t>
      </w:r>
      <w:r>
        <w:rPr>
          <w:rFonts w:ascii="Times New Roman" w:hAnsi="Times New Roman" w:cs="Times New Roman" w:eastAsia="Times New Roman" w:hint="default"/>
        </w:rPr>
        <w:t>2018</w:t>
      </w:r>
      <w:r>
        <w:rPr/>
        <w:t>年度利润分配方案：</w:t>
      </w:r>
      <w:r>
        <w:rPr>
          <w:rFonts w:ascii="Times New Roman" w:hAnsi="Times New Roman" w:cs="Times New Roman" w:eastAsia="Times New Roman" w:hint="default"/>
        </w:rPr>
        <w:t>2018</w:t>
      </w:r>
      <w:r>
        <w:rPr/>
        <w:t>年度不派发现金红利、不送红股、不以公积金转增股本。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0" w:lineRule="auto" w:before="117"/>
        <w:ind w:left="15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w:t>
      </w:r>
    </w:p>
    <w:p>
      <w:pPr>
        <w:spacing w:after="0" w:line="340"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3"/>
        <w:rPr>
          <w:rFonts w:ascii="宋体" w:hAnsi="宋体" w:cs="宋体" w:eastAsia="宋体" w:hint="default"/>
          <w:sz w:val="21"/>
          <w:szCs w:val="21"/>
        </w:rPr>
      </w:pPr>
      <w:r>
        <w:rPr/>
        <w:pict>
          <v:shape style="position:absolute;margin-left:218.673004pt;margin-top:190.579987pt;width:316.3pt;height:19.7pt;mso-position-horizontal-relative:page;mso-position-vertical-relative:page;z-index:-86394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18"/>
        <w:gridCol w:w="5853"/>
      </w:tblGrid>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167,831,090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8,391,554.50</w:t>
            </w:r>
          </w:p>
        </w:tc>
      </w:tr>
      <w:tr>
        <w:trPr>
          <w:trHeight w:val="403" w:hRule="exact"/>
        </w:trPr>
        <w:tc>
          <w:tcPr>
            <w:tcW w:w="371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3"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8,391,554.50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153,518,350.82</w:t>
            </w:r>
          </w:p>
        </w:tc>
      </w:tr>
      <w:tr>
        <w:trPr>
          <w:trHeight w:val="71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8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448" w:lineRule="auto" w:before="130"/>
              <w:ind w:left="24" w:right="37" w:firstLine="36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年度利润分配预案拟以每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股派发现金股利</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0.50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元人民币（含税），本次不送红股、不进行资本公积金转</w:t>
            </w:r>
            <w:r>
              <w:rPr>
                <w:rFonts w:ascii="宋体" w:hAnsi="宋体" w:cs="宋体" w:eastAsia="宋体" w:hint="default"/>
                <w:sz w:val="18"/>
                <w:szCs w:val="18"/>
              </w:rPr>
              <w:t> 增股本。</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年年度利润分配预案尚需提交公司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年年度股东大会审议通过。</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56" w:lineRule="auto" w:before="85"/>
        <w:ind w:right="995" w:firstLine="42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年度利润分配方案：</w:t>
      </w:r>
      <w:r>
        <w:rPr>
          <w:rFonts w:ascii="Times New Roman" w:hAnsi="Times New Roman" w:cs="Times New Roman" w:eastAsia="Times New Roman" w:hint="default"/>
          <w:spacing w:val="-2"/>
        </w:rPr>
        <w:t>2017</w:t>
      </w:r>
      <w:r>
        <w:rPr>
          <w:spacing w:val="-2"/>
        </w:rPr>
        <w:t>年度不进行利润分配，也不进行资本公积金转增股本，年末结存的</w:t>
      </w:r>
      <w:r>
        <w:rPr>
          <w:w w:val="100"/>
        </w:rPr>
        <w:t> </w:t>
      </w:r>
      <w:r>
        <w:rPr/>
        <w:t>未分配利润结转下一年度。</w:t>
      </w:r>
      <w:r>
        <w:rPr>
          <w:rFonts w:ascii="Times New Roman" w:hAnsi="Times New Roman" w:cs="Times New Roman" w:eastAsia="Times New Roman" w:hint="default"/>
        </w:rPr>
        <w:t>2017</w:t>
      </w:r>
      <w:r>
        <w:rPr/>
        <w:t>年年度利润分配预案经公司</w:t>
      </w:r>
      <w:r>
        <w:rPr>
          <w:rFonts w:ascii="Times New Roman" w:hAnsi="Times New Roman" w:cs="Times New Roman" w:eastAsia="Times New Roman" w:hint="default"/>
        </w:rPr>
        <w:t>2017</w:t>
      </w:r>
      <w:r>
        <w:rPr/>
        <w:t>年度股东大会审议通过。</w:t>
      </w:r>
    </w:p>
    <w:p>
      <w:pPr>
        <w:pStyle w:val="BodyText"/>
        <w:spacing w:line="256" w:lineRule="auto" w:before="5"/>
        <w:ind w:right="995" w:firstLine="42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年度利润分配方案：</w:t>
      </w:r>
      <w:r>
        <w:rPr>
          <w:rFonts w:ascii="Times New Roman" w:hAnsi="Times New Roman" w:cs="Times New Roman" w:eastAsia="Times New Roman" w:hint="default"/>
          <w:spacing w:val="-2"/>
        </w:rPr>
        <w:t>2018</w:t>
      </w:r>
      <w:r>
        <w:rPr>
          <w:spacing w:val="-2"/>
        </w:rPr>
        <w:t>年度不进行利润分配，也不进行资本公积金转增股本，年末结存的</w:t>
      </w:r>
      <w:r>
        <w:rPr>
          <w:w w:val="100"/>
        </w:rPr>
        <w:t> </w:t>
      </w:r>
      <w:r>
        <w:rPr/>
        <w:t>未分配利润结转下一年度。</w:t>
      </w:r>
      <w:r>
        <w:rPr>
          <w:rFonts w:ascii="Times New Roman" w:hAnsi="Times New Roman" w:cs="Times New Roman" w:eastAsia="Times New Roman" w:hint="default"/>
        </w:rPr>
        <w:t>2018</w:t>
      </w:r>
      <w:r>
        <w:rPr/>
        <w:t>年年度利润分配预案经公司</w:t>
      </w:r>
      <w:r>
        <w:rPr>
          <w:rFonts w:ascii="Times New Roman" w:hAnsi="Times New Roman" w:cs="Times New Roman" w:eastAsia="Times New Roman" w:hint="default"/>
        </w:rPr>
        <w:t>2018</w:t>
      </w:r>
      <w:r>
        <w:rPr/>
        <w:t>年年度股东大会审议通过。</w:t>
      </w:r>
    </w:p>
    <w:p>
      <w:pPr>
        <w:pStyle w:val="BodyText"/>
        <w:spacing w:line="256" w:lineRule="auto" w:before="5"/>
        <w:ind w:right="995" w:firstLine="42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年度利润分配预案：以</w:t>
      </w:r>
      <w:r>
        <w:rPr>
          <w:rFonts w:ascii="Times New Roman" w:hAnsi="Times New Roman" w:cs="Times New Roman" w:eastAsia="Times New Roman" w:hint="default"/>
        </w:rPr>
        <w:t>2019</w:t>
      </w:r>
      <w:r>
        <w:rPr/>
        <w:t>年末总股本</w:t>
      </w:r>
      <w:r>
        <w:rPr>
          <w:rFonts w:ascii="Times New Roman" w:hAnsi="Times New Roman" w:cs="Times New Roman" w:eastAsia="Times New Roman" w:hint="default"/>
        </w:rPr>
        <w:t>167,831,090</w:t>
      </w:r>
      <w:r>
        <w:rPr/>
        <w:t>股为基数，向全体股东以每</w:t>
      </w:r>
      <w:r>
        <w:rPr>
          <w:rFonts w:ascii="Times New Roman" w:hAnsi="Times New Roman" w:cs="Times New Roman" w:eastAsia="Times New Roman" w:hint="default"/>
        </w:rPr>
        <w:t>10</w:t>
      </w:r>
      <w:r>
        <w:rPr/>
        <w:t>股派发人民</w:t>
      </w:r>
      <w:r>
        <w:rPr>
          <w:w w:val="100"/>
        </w:rPr>
        <w:t> </w:t>
      </w:r>
      <w:r>
        <w:rPr>
          <w:spacing w:val="-2"/>
        </w:rPr>
        <w:t>币</w:t>
      </w:r>
      <w:r>
        <w:rPr>
          <w:rFonts w:ascii="Times New Roman" w:hAnsi="Times New Roman" w:cs="Times New Roman" w:eastAsia="Times New Roman" w:hint="default"/>
          <w:spacing w:val="-2"/>
        </w:rPr>
        <w:t>0.5</w:t>
      </w:r>
      <w:r>
        <w:rPr>
          <w:spacing w:val="-2"/>
        </w:rPr>
        <w:t>元现金（含税）的股利分红，合计派发现金红利人民币</w:t>
      </w:r>
      <w:r>
        <w:rPr>
          <w:rFonts w:ascii="Times New Roman" w:hAnsi="Times New Roman" w:cs="Times New Roman" w:eastAsia="Times New Roman" w:hint="default"/>
          <w:spacing w:val="-2"/>
        </w:rPr>
        <w:t>8,391,554.50</w:t>
      </w:r>
      <w:r>
        <w:rPr>
          <w:spacing w:val="-2"/>
        </w:rPr>
        <w:t>元；不进行资本公积金转增股本。</w:t>
      </w:r>
    </w:p>
    <w:p>
      <w:pPr>
        <w:spacing w:before="64"/>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133"/>
        <w:gridCol w:w="1419"/>
        <w:gridCol w:w="1380"/>
        <w:gridCol w:w="1030"/>
        <w:gridCol w:w="1275"/>
        <w:gridCol w:w="1135"/>
        <w:gridCol w:w="1347"/>
      </w:tblGrid>
      <w:tr>
        <w:trPr>
          <w:trHeight w:val="1961"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8"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112" w:right="108"/>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74" w:right="74"/>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7" w:right="51"/>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9"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4"/>
              <w:ind w:left="59" w:right="59"/>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8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21" w:hanging="1"/>
              <w:jc w:val="center"/>
              <w:rPr>
                <w:rFonts w:ascii="宋体" w:hAnsi="宋体" w:cs="宋体" w:eastAsia="宋体" w:hint="default"/>
                <w:sz w:val="18"/>
                <w:szCs w:val="18"/>
              </w:rPr>
            </w:pPr>
            <w:r>
              <w:rPr>
                <w:rFonts w:ascii="宋体" w:hAnsi="宋体" w:cs="宋体" w:eastAsia="宋体" w:hint="default"/>
                <w:sz w:val="18"/>
                <w:szCs w:val="18"/>
              </w:rPr>
              <w:t>现金分红总 额（含其他方 式）</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38" w:right="36"/>
              <w:jc w:val="center"/>
              <w:rPr>
                <w:rFonts w:ascii="宋体" w:hAnsi="宋体" w:cs="宋体" w:eastAsia="宋体" w:hint="default"/>
                <w:sz w:val="18"/>
                <w:szCs w:val="18"/>
              </w:rPr>
            </w:pPr>
            <w:r>
              <w:rPr>
                <w:rFonts w:ascii="宋体" w:hAnsi="宋体" w:cs="宋体" w:eastAsia="宋体" w:hint="default"/>
                <w:sz w:val="18"/>
                <w:szCs w:val="18"/>
              </w:rPr>
              <w:t>（含其他方式） 占合并报表中归 属于上市公司普 通股股东的净利 润的比率</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8,391,554.50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32,187,455.63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26.07%</w:t>
            </w:r>
          </w:p>
        </w:tc>
        <w:tc>
          <w:tcPr>
            <w:tcW w:w="103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8,391,554.50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26.07%</w:t>
            </w: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12,316,056.55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8,822,524.60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9"/>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19"/>
        <w:ind w:left="140" w:right="10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left="140" w:right="10678"/>
        <w:jc w:val="left"/>
        <w:rPr>
          <w:b w:val="0"/>
          <w:bCs w:val="0"/>
        </w:rPr>
      </w:pPr>
      <w:r>
        <w:rPr/>
        <w:t>二、承诺事项履行情况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left="14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10678" w:firstLine="0"/>
        <w:jc w:val="left"/>
        <w:rPr>
          <w:rFonts w:ascii="宋体" w:hAnsi="宋体" w:cs="宋体" w:eastAsia="宋体" w:hint="default"/>
          <w:sz w:val="18"/>
          <w:szCs w:val="18"/>
        </w:rPr>
      </w:pPr>
      <w:r>
        <w:rPr/>
        <w:pict>
          <v:shape style="position:absolute;margin-left:236.303009pt;margin-top:37.661705pt;width:48.15pt;height:283.25pt;mso-position-horizontal-relative:page;mso-position-vertical-relative:paragraph;z-index:-8638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26.734985pt;margin-top:37.661705pt;width:110.2pt;height:283.25pt;mso-position-horizontal-relative:page;mso-position-vertical-relative:paragraph;z-index:-8638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sz w:val="18"/>
                      <w:szCs w:val="18"/>
                    </w:rPr>
                    <w:t>费活动；</w:t>
                  </w:r>
                </w:p>
              </w:txbxContent>
            </v:textbox>
            <w10:wrap type="none"/>
          </v:shape>
        </w:pict>
      </w:r>
      <w:r>
        <w:rPr/>
        <w:pict>
          <v:group style="position:absolute;margin-left:242.419998pt;margin-top:37.661705pt;width:42.05pt;height:283.25pt;mso-position-horizontal-relative:page;mso-position-vertical-relative:paragraph;z-index:-863848" coordorigin="4848,753" coordsize="841,5665">
            <v:group style="position:absolute;left:4848;top:753;width:841;height:5665" coordorigin="4848,753" coordsize="841,5665">
              <v:shape style="position:absolute;left:4848;top:753;width:841;height:5665" coordorigin="4848,753" coordsize="841,5665" path="m4848,6418l5689,6418,5689,753,4848,753,4848,6418xe" filled="true" fillcolor="#ffffff" stroked="false">
                <v:path arrowok="t"/>
                <v:fill type="solid"/>
              </v:shape>
            </v:group>
            <v:group style="position:absolute;left:4872;top:3389;width:793;height:394" coordorigin="4872,3389" coordsize="793,394">
              <v:shape style="position:absolute;left:4872;top:3389;width:793;height:394" coordorigin="4872,3389" coordsize="793,394" path="m4872,3782l5665,3782,5665,3389,4872,3389,4872,3782xe" filled="true" fillcolor="#ffffff" stroked="false">
                <v:path arrowok="t"/>
                <v:fill type="solid"/>
              </v:shape>
            </v:group>
            <w10:wrap type="none"/>
          </v:group>
        </w:pict>
      </w:r>
      <w:r>
        <w:rPr/>
        <w:pict>
          <v:group style="position:absolute;margin-left:559.869995pt;margin-top:37.661705pt;width:77.1pt;height:283.25pt;mso-position-horizontal-relative:page;mso-position-vertical-relative:paragraph;z-index:-863824" coordorigin="11197,753" coordsize="1542,5665">
            <v:group style="position:absolute;left:11197;top:753;width:1542;height:5665" coordorigin="11197,753" coordsize="1542,5665">
              <v:shape style="position:absolute;left:11197;top:753;width:1542;height:5665" coordorigin="11197,753" coordsize="1542,5665" path="m11197,6418l12739,6418,12739,753,11197,753,11197,6418xe" filled="true" fillcolor="#ffffff" stroked="false">
                <v:path arrowok="t"/>
                <v:fill type="solid"/>
              </v:shape>
            </v:group>
            <v:group style="position:absolute;left:11221;top:3389;width:1494;height:394" coordorigin="11221,3389" coordsize="1494,394">
              <v:shape style="position:absolute;left:11221;top:3389;width:1494;height:394" coordorigin="11221,3389" coordsize="1494,394" path="m11221,3782l12715,3782,12715,3389,11221,3389,11221,3782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223"/>
        <w:gridCol w:w="2209"/>
        <w:gridCol w:w="850"/>
        <w:gridCol w:w="5499"/>
        <w:gridCol w:w="1551"/>
        <w:gridCol w:w="898"/>
        <w:gridCol w:w="1788"/>
      </w:tblGrid>
      <w:tr>
        <w:trPr>
          <w:trHeight w:val="398" w:hRule="exact"/>
        </w:trPr>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679" w:hRule="exact"/>
        </w:trPr>
        <w:tc>
          <w:tcPr>
            <w:tcW w:w="12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黄元忠、黄晓峰（已离职） 陈克让、陈伟强、李枫、刘 </w:t>
            </w:r>
            <w:r>
              <w:rPr>
                <w:rFonts w:ascii="宋体" w:hAnsi="宋体" w:cs="宋体" w:eastAsia="宋体" w:hint="default"/>
                <w:spacing w:val="-8"/>
                <w:sz w:val="18"/>
                <w:szCs w:val="18"/>
              </w:rPr>
              <w:t>勇（已离任）、卢庆华、乔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东斌、许鲁光（已离任）、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杨颖、杨正华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1" w:right="22"/>
              <w:jc w:val="both"/>
              <w:rPr>
                <w:rFonts w:ascii="宋体" w:hAnsi="宋体" w:cs="宋体" w:eastAsia="宋体" w:hint="default"/>
                <w:sz w:val="18"/>
                <w:szCs w:val="18"/>
              </w:rPr>
            </w:pPr>
            <w:r>
              <w:rPr>
                <w:rFonts w:ascii="宋体" w:hAnsi="宋体" w:cs="宋体" w:eastAsia="宋体" w:hint="default"/>
                <w:sz w:val="18"/>
                <w:szCs w:val="18"/>
              </w:rPr>
              <w:t>公司董事、高级管理人员承诺忠实、勤勉地履行职责，维护公司和全 体股东的合法权益，并根据中国证监会相关规定对公司填补即期回报 措施能够得到切实履行作出如下承诺：</w:t>
            </w:r>
          </w:p>
          <w:p>
            <w:pPr>
              <w:pStyle w:val="TableParagraph"/>
              <w:spacing w:line="300" w:lineRule="auto" w:before="57"/>
              <w:ind w:left="21"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、本人承诺不无偿或以不公平条件向其他单位或者个人输送利益，也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不采用其他方式损害公司利益；</w:t>
            </w:r>
          </w:p>
          <w:p>
            <w:pPr>
              <w:pStyle w:val="TableParagraph"/>
              <w:spacing w:line="240" w:lineRule="auto" w:before="72"/>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、本人承诺对职务消费行为进行约束；</w:t>
            </w:r>
          </w:p>
          <w:p>
            <w:pPr>
              <w:pStyle w:val="TableParagraph"/>
              <w:spacing w:line="240" w:lineRule="auto" w:before="103"/>
              <w:ind w:left="21"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、本人承诺不动用公司资产从事与其履行职责无关的投资、消</w:t>
            </w:r>
          </w:p>
          <w:p>
            <w:pPr>
              <w:pStyle w:val="TableParagraph"/>
              <w:spacing w:line="300" w:lineRule="auto" w:before="101"/>
              <w:ind w:left="21"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、本人承诺由董事会或薪酬与考核委员会制定的薪酬制度与公司填补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回报措施的执行情况相挂钩；</w:t>
            </w:r>
          </w:p>
          <w:p>
            <w:pPr>
              <w:pStyle w:val="TableParagraph"/>
              <w:spacing w:line="300" w:lineRule="auto" w:before="72"/>
              <w:ind w:left="21"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、未来公司如实施股权激励，本人承诺股权激励的行权条件与公司填</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补回报措施的执行情况相挂钩；</w:t>
            </w:r>
          </w:p>
          <w:p>
            <w:pPr>
              <w:pStyle w:val="TableParagraph"/>
              <w:spacing w:line="312" w:lineRule="auto" w:before="72"/>
              <w:ind w:left="21"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、自本承诺出具日至公司本次非公开发行股票实施完毕前，若中国证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监会作出关于填补回报措施及其承诺的其他新的监管规定的，且上述 承诺不能满足中国证监会该等规定时，本人承诺届时将按照中国证监 会的最新规定出具补充承诺；</w:t>
            </w:r>
          </w:p>
          <w:p>
            <w:pPr>
              <w:pStyle w:val="TableParagraph"/>
              <w:spacing w:line="300" w:lineRule="auto" w:before="61"/>
              <w:ind w:left="21"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、本人承诺切实履行公司制定的有关填补回报措施以及对此作出的任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何有关填补回报措施的承诺，若违反该等承诺。</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1" w:right="21"/>
              <w:jc w:val="both"/>
              <w:rPr>
                <w:rFonts w:ascii="宋体" w:hAnsi="宋体" w:cs="宋体" w:eastAsia="宋体" w:hint="default"/>
                <w:sz w:val="18"/>
                <w:szCs w:val="18"/>
              </w:rPr>
            </w:pPr>
            <w:r>
              <w:rPr>
                <w:rFonts w:ascii="宋体" w:hAnsi="宋体" w:cs="宋体" w:eastAsia="宋体" w:hint="default"/>
                <w:spacing w:val="-7"/>
                <w:sz w:val="18"/>
                <w:szCs w:val="18"/>
              </w:rPr>
              <w:t>截止目前，黄晓峰、刘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勇、许鲁光所作承诺已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履行完毕；其余承诺方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正在履行，未有违反上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述承诺的情况。</w:t>
            </w:r>
          </w:p>
        </w:tc>
      </w:tr>
      <w:tr>
        <w:trPr>
          <w:trHeight w:val="1028" w:hRule="exact"/>
        </w:trPr>
        <w:tc>
          <w:tcPr>
            <w:tcW w:w="1223" w:type="dxa"/>
            <w:vMerge/>
            <w:tcBorders>
              <w:left w:val="single" w:sz="4" w:space="0" w:color="000000"/>
              <w:bottom w:val="single" w:sz="4" w:space="0" w:color="000000"/>
              <w:right w:val="single" w:sz="4" w:space="0" w:color="000000"/>
            </w:tcBorders>
            <w:shd w:val="clear" w:color="auto" w:fill="D2D2D2"/>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黄元忠、陈克让、黄晓峰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65"/>
              <w:jc w:val="both"/>
              <w:rPr>
                <w:rFonts w:ascii="宋体" w:hAnsi="宋体" w:cs="宋体" w:eastAsia="宋体" w:hint="default"/>
                <w:sz w:val="18"/>
                <w:szCs w:val="18"/>
              </w:rPr>
            </w:pPr>
            <w:r>
              <w:rPr>
                <w:rFonts w:ascii="宋体" w:hAnsi="宋体" w:cs="宋体" w:eastAsia="宋体" w:hint="default"/>
                <w:sz w:val="18"/>
                <w:szCs w:val="18"/>
              </w:rPr>
              <w:t>公司控股股东、实际控制人黄元忠及其一致行动人陈克让、黄晓峰根 据中国证监会相关规定，对公司填补回报措施能够得到切实履行作出 如下承诺：不越权干预公司经营管理活动，不侵占公司利益。</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21"/>
              <w:jc w:val="both"/>
              <w:rPr>
                <w:rFonts w:ascii="宋体" w:hAnsi="宋体" w:cs="宋体" w:eastAsia="宋体" w:hint="default"/>
                <w:sz w:val="18"/>
                <w:szCs w:val="18"/>
              </w:rPr>
            </w:pPr>
            <w:r>
              <w:rPr>
                <w:rFonts w:ascii="宋体" w:hAnsi="宋体" w:cs="宋体" w:eastAsia="宋体" w:hint="default"/>
                <w:spacing w:val="-7"/>
                <w:sz w:val="18"/>
                <w:szCs w:val="18"/>
              </w:rPr>
              <w:t>截止目前，承诺方均遵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守以上承诺，未有违反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上述承诺的情况。</w:t>
            </w:r>
          </w:p>
        </w:tc>
      </w:tr>
    </w:tbl>
    <w:p>
      <w:pPr>
        <w:spacing w:after="0" w:line="319" w:lineRule="auto"/>
        <w:jc w:val="both"/>
        <w:rPr>
          <w:rFonts w:ascii="宋体" w:hAnsi="宋体" w:cs="宋体" w:eastAsia="宋体" w:hint="default"/>
          <w:sz w:val="18"/>
          <w:szCs w:val="18"/>
        </w:rPr>
        <w:sectPr>
          <w:headerReference w:type="default" r:id="rId29"/>
          <w:footerReference w:type="default" r:id="rId30"/>
          <w:pgSz w:w="16840" w:h="11910" w:orient="landscape"/>
          <w:pgMar w:header="870" w:footer="979" w:top="1060" w:bottom="1160" w:left="1300" w:right="1280"/>
          <w:pgNumType w:start="38"/>
        </w:sectPr>
      </w:pPr>
    </w:p>
    <w:p>
      <w:pPr>
        <w:spacing w:line="240" w:lineRule="auto" w:before="9"/>
        <w:rPr>
          <w:rFonts w:ascii="宋体" w:hAnsi="宋体" w:cs="宋体" w:eastAsia="宋体" w:hint="default"/>
          <w:sz w:val="2"/>
          <w:szCs w:val="2"/>
        </w:rPr>
      </w:pPr>
      <w:r>
        <w:rPr/>
        <w:pict>
          <v:shape style="position:absolute;margin-left:382.606995pt;margin-top:57.260006pt;width:254.35pt;height:97.6pt;mso-position-horizontal-relative:page;mso-position-vertical-relative:page;z-index:-8638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line="636" w:lineRule="auto" w:before="0"/>
                    <w:ind w:left="0" w:right="1484" w:firstLine="540"/>
                    <w:jc w:val="left"/>
                    <w:rPr>
                      <w:rFonts w:ascii="宋体" w:hAnsi="宋体" w:cs="宋体" w:eastAsia="宋体" w:hint="default"/>
                      <w:sz w:val="18"/>
                      <w:szCs w:val="18"/>
                    </w:rPr>
                  </w:pPr>
                  <w:r>
                    <w:rPr>
                      <w:rFonts w:ascii="宋体" w:hAnsi="宋体" w:cs="宋体" w:eastAsia="宋体" w:hint="default"/>
                      <w:sz w:val="18"/>
                      <w:szCs w:val="18"/>
                    </w:rPr>
                    <w:t>增资等途径取得方直科技的控股地位， 不得做出有损发行人实际控制权及经营稳定、</w:t>
                  </w:r>
                </w:p>
              </w:txbxContent>
            </v:textbox>
            <w10:wrap type="none"/>
          </v:shape>
        </w:pict>
      </w:r>
      <w:r>
        <w:rPr/>
        <w:pict>
          <v:group style="position:absolute;margin-left:559.869995pt;margin-top:57.260006pt;width:77.1pt;height:97.6pt;mso-position-horizontal-relative:page;mso-position-vertical-relative:page;z-index:-863776" coordorigin="11197,1145" coordsize="1542,1952">
            <v:group style="position:absolute;left:11197;top:1145;width:1542;height:1952" coordorigin="11197,1145" coordsize="1542,1952">
              <v:shape style="position:absolute;left:11197;top:1145;width:1542;height:1952" coordorigin="11197,1145" coordsize="1542,1952" path="m11197,3096l12739,3096,12739,1145,11197,1145,11197,3096xe" filled="true" fillcolor="#ffffff" stroked="false">
                <v:path arrowok="t"/>
                <v:fill type="solid"/>
              </v:shape>
            </v:group>
            <v:group style="position:absolute;left:11221;top:1925;width:1494;height:392" coordorigin="11221,1925" coordsize="1494,392">
              <v:shape style="position:absolute;left:11221;top:1925;width:1494;height:392" coordorigin="11221,1925" coordsize="1494,392" path="m11221,2316l12715,2316,12715,1925,11221,1925,11221,2316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223"/>
        <w:gridCol w:w="2209"/>
        <w:gridCol w:w="850"/>
        <w:gridCol w:w="5499"/>
        <w:gridCol w:w="1551"/>
        <w:gridCol w:w="898"/>
        <w:gridCol w:w="1788"/>
      </w:tblGrid>
      <w:tr>
        <w:trPr>
          <w:trHeight w:val="1978" w:hRule="exact"/>
        </w:trPr>
        <w:tc>
          <w:tcPr>
            <w:tcW w:w="1223" w:type="dxa"/>
            <w:vMerge w:val="restart"/>
            <w:tcBorders>
              <w:top w:val="single" w:sz="15" w:space="0" w:color="000000"/>
              <w:left w:val="single" w:sz="4" w:space="0" w:color="000000"/>
              <w:right w:val="single" w:sz="4" w:space="0" w:color="000000"/>
            </w:tcBorders>
            <w:shd w:val="clear" w:color="auto" w:fill="D2D2D2"/>
          </w:tcPr>
          <w:p>
            <w:pPr/>
          </w:p>
        </w:tc>
        <w:tc>
          <w:tcPr>
            <w:tcW w:w="22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陈克让、黄晓峰</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94"/>
              <w:jc w:val="left"/>
              <w:rPr>
                <w:rFonts w:ascii="宋体" w:hAnsi="宋体" w:cs="宋体" w:eastAsia="宋体" w:hint="default"/>
                <w:sz w:val="18"/>
                <w:szCs w:val="18"/>
              </w:rPr>
            </w:pPr>
            <w:r>
              <w:rPr>
                <w:rFonts w:ascii="宋体" w:hAnsi="宋体" w:cs="宋体" w:eastAsia="宋体" w:hint="default"/>
                <w:sz w:val="18"/>
                <w:szCs w:val="18"/>
              </w:rPr>
              <w:t>股东一致 行动承诺</w:t>
            </w:r>
          </w:p>
        </w:tc>
        <w:tc>
          <w:tcPr>
            <w:tcW w:w="5499"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3"/>
              <w:ind w:left="21" w:right="65"/>
              <w:jc w:val="left"/>
              <w:rPr>
                <w:rFonts w:ascii="宋体" w:hAnsi="宋体" w:cs="宋体" w:eastAsia="宋体" w:hint="default"/>
                <w:sz w:val="18"/>
                <w:szCs w:val="18"/>
              </w:rPr>
            </w:pPr>
            <w:r>
              <w:rPr>
                <w:rFonts w:ascii="宋体" w:hAnsi="宋体" w:cs="宋体" w:eastAsia="宋体" w:hint="default"/>
                <w:sz w:val="18"/>
                <w:szCs w:val="18"/>
              </w:rPr>
              <w:t>黄晓峰、陈克让承诺：二人为各自独立的自然人股东，相互之间不存 在关联关系，在作为发行人股东期间，不相互转让股份，不通过受让 其他股东持有的方直科技股份、 不通过与其他任何第三方签订一致行动协议或类似安排的方式取得方 直科技的实际控股地位，</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整体利益的行为。</w:t>
            </w:r>
          </w:p>
        </w:tc>
        <w:tc>
          <w:tcPr>
            <w:tcW w:w="15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78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1" w:right="21"/>
              <w:jc w:val="both"/>
              <w:rPr>
                <w:rFonts w:ascii="宋体" w:hAnsi="宋体" w:cs="宋体" w:eastAsia="宋体" w:hint="default"/>
                <w:sz w:val="18"/>
                <w:szCs w:val="18"/>
              </w:rPr>
            </w:pPr>
            <w:r>
              <w:rPr>
                <w:rFonts w:ascii="宋体" w:hAnsi="宋体" w:cs="宋体" w:eastAsia="宋体" w:hint="default"/>
                <w:spacing w:val="-7"/>
                <w:sz w:val="18"/>
                <w:szCs w:val="18"/>
              </w:rPr>
              <w:t>截止目前，承诺方均遵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守以上承诺，未有违反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上述承诺的情况。</w:t>
            </w:r>
          </w:p>
        </w:tc>
      </w:tr>
      <w:tr>
        <w:trPr>
          <w:trHeight w:val="2314" w:hRule="exact"/>
        </w:trPr>
        <w:tc>
          <w:tcPr>
            <w:tcW w:w="1223" w:type="dxa"/>
            <w:vMerge/>
            <w:tcBorders>
              <w:left w:val="single" w:sz="4" w:space="0" w:color="000000"/>
              <w:bottom w:val="single" w:sz="4" w:space="0" w:color="000000"/>
              <w:right w:val="single" w:sz="4" w:space="0" w:color="000000"/>
            </w:tcBorders>
            <w:shd w:val="clear" w:color="auto" w:fill="D2D2D2"/>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22" w:right="14"/>
              <w:jc w:val="left"/>
              <w:rPr>
                <w:rFonts w:ascii="宋体" w:hAnsi="宋体" w:cs="宋体" w:eastAsia="宋体" w:hint="default"/>
                <w:sz w:val="18"/>
                <w:szCs w:val="18"/>
              </w:rPr>
            </w:pPr>
            <w:r>
              <w:rPr>
                <w:rFonts w:ascii="宋体" w:hAnsi="宋体" w:cs="宋体" w:eastAsia="宋体" w:hint="default"/>
                <w:sz w:val="18"/>
                <w:szCs w:val="18"/>
              </w:rPr>
              <w:t>黄元忠、陈克让、黄晓峰、 杨颖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65"/>
              <w:jc w:val="both"/>
              <w:rPr>
                <w:rFonts w:ascii="宋体" w:hAnsi="宋体" w:cs="宋体" w:eastAsia="宋体" w:hint="default"/>
                <w:sz w:val="18"/>
                <w:szCs w:val="18"/>
              </w:rPr>
            </w:pPr>
            <w:r>
              <w:rPr>
                <w:rFonts w:ascii="宋体" w:hAnsi="宋体" w:cs="宋体" w:eastAsia="宋体" w:hint="default"/>
                <w:sz w:val="18"/>
                <w:szCs w:val="18"/>
              </w:rPr>
              <w:t>（一）避免同业竞争的承诺：为避免同业竞争损害公司及其他股东的 利益，公司控股股东、实际控制人黄元忠先生及其一致行动人、主要 股东黄晓峰先生、陈克让先生分别做出避免同业竞争的承诺。</w:t>
            </w:r>
          </w:p>
          <w:p>
            <w:pPr>
              <w:pStyle w:val="TableParagraph"/>
              <w:spacing w:line="316" w:lineRule="auto" w:before="57"/>
              <w:ind w:left="21" w:right="65"/>
              <w:jc w:val="both"/>
              <w:rPr>
                <w:rFonts w:ascii="宋体" w:hAnsi="宋体" w:cs="宋体" w:eastAsia="宋体" w:hint="default"/>
                <w:sz w:val="18"/>
                <w:szCs w:val="18"/>
              </w:rPr>
            </w:pPr>
            <w:r>
              <w:rPr>
                <w:rFonts w:ascii="宋体" w:hAnsi="宋体" w:cs="宋体" w:eastAsia="宋体" w:hint="default"/>
                <w:sz w:val="18"/>
                <w:szCs w:val="18"/>
              </w:rPr>
              <w:t>（二）不占用公司资金承诺：公司控股股东、实际控制人黄元忠及其 他主要股东陈克让、黄晓峰、杨颖分别承诺：截止本承诺函出具日， 本人不存在占用方直科技资金的情形；自本承诺函出具日起，本人将 严格遵守相关法律、法规及公司相关规定，不占用公司资金。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21" w:right="21"/>
              <w:jc w:val="left"/>
              <w:rPr>
                <w:rFonts w:ascii="宋体" w:hAnsi="宋体" w:cs="宋体" w:eastAsia="宋体" w:hint="default"/>
                <w:sz w:val="18"/>
                <w:szCs w:val="18"/>
              </w:rPr>
            </w:pPr>
            <w:r>
              <w:rPr>
                <w:rFonts w:ascii="宋体" w:hAnsi="宋体" w:cs="宋体" w:eastAsia="宋体" w:hint="default"/>
                <w:sz w:val="18"/>
                <w:szCs w:val="18"/>
              </w:rPr>
              <w:t>上述股东均遵守以上 </w:t>
            </w:r>
            <w:r>
              <w:rPr>
                <w:rFonts w:ascii="宋体" w:hAnsi="宋体" w:cs="宋体" w:eastAsia="宋体" w:hint="default"/>
                <w:spacing w:val="-7"/>
                <w:sz w:val="18"/>
                <w:szCs w:val="18"/>
              </w:rPr>
              <w:t>承诺，未有违反上述承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诺的情况。</w:t>
            </w:r>
          </w:p>
        </w:tc>
      </w:tr>
      <w:tr>
        <w:trPr>
          <w:trHeight w:val="404" w:hRule="exact"/>
        </w:trPr>
        <w:tc>
          <w:tcPr>
            <w:tcW w:w="34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05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34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3"/>
                <w:sz w:val="18"/>
                <w:szCs w:val="18"/>
              </w:rPr>
              <w:t>如承诺超期未履行完毕的，应当详细说明未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完成履行的具体原因及下一步的工作计划</w:t>
            </w:r>
          </w:p>
        </w:tc>
        <w:tc>
          <w:tcPr>
            <w:tcW w:w="1058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19"/>
          <w:szCs w:val="19"/>
        </w:rPr>
      </w:pPr>
    </w:p>
    <w:p>
      <w:pPr>
        <w:pStyle w:val="Heading7"/>
        <w:spacing w:line="335" w:lineRule="exact"/>
        <w:ind w:left="140"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40" w:right="10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left="140" w:right="0"/>
        <w:jc w:val="left"/>
        <w:rPr>
          <w:b w:val="0"/>
          <w:bCs w:val="0"/>
        </w:rPr>
      </w:pPr>
      <w:r>
        <w:rPr/>
        <w:t>三、控股股东及其关联方对上市公司的非经营性占用资金情况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line="340" w:lineRule="auto" w:before="0"/>
        <w:ind w:left="140" w:right="83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3"/>
          <w:szCs w:val="13"/>
        </w:rPr>
      </w:pPr>
    </w:p>
    <w:p>
      <w:pPr>
        <w:pStyle w:val="Heading3"/>
        <w:spacing w:line="240" w:lineRule="auto"/>
        <w:ind w:left="140"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40" w:right="10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12"/>
        <w:rPr>
          <w:rFonts w:ascii="宋体" w:hAnsi="宋体" w:cs="宋体" w:eastAsia="宋体" w:hint="default"/>
          <w:sz w:val="19"/>
          <w:szCs w:val="19"/>
        </w:rPr>
      </w:pPr>
    </w:p>
    <w:p>
      <w:pPr>
        <w:pStyle w:val="Heading3"/>
        <w:spacing w:line="367" w:lineRule="exact"/>
        <w:ind w:right="995"/>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995"/>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9"/>
        <w:ind w:left="657" w:right="995"/>
        <w:jc w:val="left"/>
      </w:pPr>
      <w:r>
        <w:rPr/>
        <w:t>董事会关于报告期会计政策的说明：</w:t>
      </w:r>
    </w:p>
    <w:p>
      <w:pPr>
        <w:spacing w:line="240" w:lineRule="auto" w:before="8"/>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193"/>
        <w:gridCol w:w="3188"/>
        <w:gridCol w:w="3191"/>
      </w:tblGrid>
      <w:tr>
        <w:trPr>
          <w:trHeight w:val="354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日修订发布了</w:t>
            </w:r>
          </w:p>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w:t>
            </w:r>
          </w:p>
          <w:p>
            <w:pPr>
              <w:pStyle w:val="TableParagraph"/>
              <w:spacing w:line="240" w:lineRule="auto" w:before="63"/>
              <w:ind w:left="4" w:right="-1"/>
              <w:jc w:val="left"/>
              <w:rPr>
                <w:rFonts w:ascii="宋体" w:hAnsi="宋体" w:cs="宋体" w:eastAsia="宋体" w:hint="default"/>
                <w:sz w:val="18"/>
                <w:szCs w:val="18"/>
              </w:rPr>
            </w:pPr>
            <w:r>
              <w:rPr>
                <w:rFonts w:ascii="宋体" w:hAnsi="宋体" w:cs="宋体" w:eastAsia="宋体" w:hint="default"/>
                <w:spacing w:val="-3"/>
                <w:sz w:val="18"/>
                <w:szCs w:val="18"/>
              </w:rPr>
              <w:t>确认和计量》、《企业会计准则第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w:t>
            </w:r>
          </w:p>
          <w:p>
            <w:pPr>
              <w:pStyle w:val="TableParagraph"/>
              <w:spacing w:line="300" w:lineRule="auto" w:before="63"/>
              <w:ind w:left="4" w:right="-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金融资产转移》、《企业会计准则第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套期会计》，财政部于</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w:t>
            </w:r>
          </w:p>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日修订发布了《企业会计准则第</w:t>
            </w:r>
          </w:p>
          <w:p>
            <w:pPr>
              <w:pStyle w:val="TableParagraph"/>
              <w:spacing w:line="304"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金融工具列报》（以上四项准 </w:t>
            </w:r>
            <w:r>
              <w:rPr>
                <w:rFonts w:ascii="宋体" w:hAnsi="宋体" w:cs="宋体" w:eastAsia="宋体" w:hint="default"/>
                <w:spacing w:val="-3"/>
                <w:sz w:val="18"/>
                <w:szCs w:val="18"/>
              </w:rPr>
              <w:t>则统称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新金融工具准则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），本公司在编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制</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年度财务报表时，执行了相关会计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准则，并按照有关的衔接规定进行了处 理。</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公司第四届董事会第四次会议批准。</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3"/>
              <w:ind w:left="4" w:right="1"/>
              <w:jc w:val="both"/>
              <w:rPr>
                <w:rFonts w:ascii="宋体" w:hAnsi="宋体" w:cs="宋体" w:eastAsia="宋体" w:hint="default"/>
                <w:sz w:val="18"/>
                <w:szCs w:val="18"/>
              </w:rPr>
            </w:pPr>
            <w:r>
              <w:rPr>
                <w:rFonts w:ascii="宋体" w:hAnsi="宋体" w:cs="宋体" w:eastAsia="宋体" w:hint="default"/>
                <w:sz w:val="18"/>
                <w:szCs w:val="18"/>
              </w:rPr>
              <w:t>具体详见本公司于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日在巨潮 </w:t>
            </w:r>
            <w:r>
              <w:rPr>
                <w:rFonts w:ascii="宋体" w:hAnsi="宋体" w:cs="宋体" w:eastAsia="宋体" w:hint="default"/>
                <w:spacing w:val="-4"/>
                <w:sz w:val="18"/>
                <w:szCs w:val="18"/>
              </w:rPr>
              <w:t>资讯网中披露的《关于会计政策变更的公</w:t>
            </w:r>
            <w:r>
              <w:rPr>
                <w:rFonts w:ascii="宋体" w:hAnsi="宋体" w:cs="宋体" w:eastAsia="宋体" w:hint="default"/>
                <w:sz w:val="18"/>
                <w:szCs w:val="18"/>
              </w:rPr>
              <w:t> 告》（公告编号：</w:t>
            </w:r>
            <w:r>
              <w:rPr>
                <w:rFonts w:ascii="Times New Roman" w:hAnsi="Times New Roman" w:cs="Times New Roman" w:eastAsia="Times New Roman" w:hint="default"/>
                <w:sz w:val="18"/>
                <w:szCs w:val="18"/>
              </w:rPr>
              <w:t>2019-016</w:t>
            </w:r>
            <w:r>
              <w:rPr>
                <w:rFonts w:ascii="宋体" w:hAnsi="宋体" w:cs="宋体" w:eastAsia="宋体" w:hint="default"/>
                <w:sz w:val="18"/>
                <w:szCs w:val="18"/>
              </w:rPr>
              <w:t>）</w:t>
            </w:r>
          </w:p>
        </w:tc>
      </w:tr>
      <w:tr>
        <w:trPr>
          <w:trHeight w:val="2612"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财政部分别于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6"/>
                <w:sz w:val="18"/>
                <w:szCs w:val="18"/>
              </w:rPr>
              <w:t> </w:t>
            </w:r>
            <w:r>
              <w:rPr>
                <w:rFonts w:ascii="宋体" w:hAnsi="宋体" w:cs="宋体" w:eastAsia="宋体" w:hint="default"/>
                <w:spacing w:val="-9"/>
                <w:sz w:val="18"/>
                <w:szCs w:val="18"/>
              </w:rPr>
              <w:t>日、</w:t>
            </w:r>
            <w:r>
              <w:rPr>
                <w:rFonts w:ascii="Times New Roman" w:hAnsi="Times New Roman" w:cs="Times New Roman" w:eastAsia="Times New Roman" w:hint="default"/>
                <w:spacing w:val="-9"/>
                <w:sz w:val="18"/>
                <w:szCs w:val="18"/>
              </w:rPr>
              <w:t>2019</w:t>
            </w:r>
          </w:p>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日颁布了《关于修定印发</w:t>
            </w:r>
          </w:p>
          <w:p>
            <w:pPr>
              <w:pStyle w:val="TableParagraph"/>
              <w:spacing w:line="304"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年度一般企业财务报表格式的通 </w:t>
            </w:r>
            <w:r>
              <w:rPr>
                <w:rFonts w:ascii="宋体" w:hAnsi="宋体" w:cs="宋体" w:eastAsia="宋体" w:hint="default"/>
                <w:spacing w:val="-3"/>
                <w:sz w:val="18"/>
                <w:szCs w:val="18"/>
              </w:rPr>
              <w:t>知》（财会〔</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Times New Roman" w:hAnsi="Times New Roman" w:cs="Times New Roman" w:eastAsia="Times New Roman" w:hint="default"/>
                <w:spacing w:val="34"/>
                <w:sz w:val="18"/>
                <w:szCs w:val="18"/>
              </w:rPr>
              <w:t> </w:t>
            </w:r>
            <w:r>
              <w:rPr>
                <w:rFonts w:ascii="宋体" w:hAnsi="宋体" w:cs="宋体" w:eastAsia="宋体" w:hint="default"/>
                <w:spacing w:val="-4"/>
                <w:sz w:val="18"/>
                <w:szCs w:val="18"/>
              </w:rPr>
              <w:t>号）、《关于修定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印发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年度合并财务报表（</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版 的通知》（财会〔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号）。公司 </w:t>
            </w:r>
            <w:r>
              <w:rPr>
                <w:rFonts w:ascii="宋体" w:hAnsi="宋体" w:cs="宋体" w:eastAsia="宋体" w:hint="default"/>
                <w:spacing w:val="-4"/>
                <w:sz w:val="18"/>
                <w:szCs w:val="18"/>
              </w:rPr>
              <w:t>按照《修订通知》的规定和要求，对财务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报表格式进行相应变更。</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公司第四届董事会第七次会议</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3"/>
              <w:ind w:left="4" w:right="1"/>
              <w:jc w:val="left"/>
              <w:rPr>
                <w:rFonts w:ascii="宋体" w:hAnsi="宋体" w:cs="宋体" w:eastAsia="宋体" w:hint="default"/>
                <w:sz w:val="18"/>
                <w:szCs w:val="18"/>
              </w:rPr>
            </w:pPr>
            <w:r>
              <w:rPr>
                <w:rFonts w:ascii="宋体" w:hAnsi="宋体" w:cs="宋体" w:eastAsia="宋体" w:hint="default"/>
                <w:sz w:val="18"/>
                <w:szCs w:val="18"/>
              </w:rPr>
              <w:t>具体详见本公司于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日在巨 </w:t>
            </w:r>
            <w:r>
              <w:rPr>
                <w:rFonts w:ascii="宋体" w:hAnsi="宋体" w:cs="宋体" w:eastAsia="宋体" w:hint="default"/>
                <w:spacing w:val="-4"/>
                <w:sz w:val="18"/>
                <w:szCs w:val="18"/>
              </w:rPr>
              <w:t>潮资讯网中披露的《关于会计政策变更的</w:t>
            </w:r>
            <w:r>
              <w:rPr>
                <w:rFonts w:ascii="宋体" w:hAnsi="宋体" w:cs="宋体" w:eastAsia="宋体" w:hint="default"/>
                <w:sz w:val="18"/>
                <w:szCs w:val="18"/>
              </w:rPr>
              <w:t> 公告》（公告编号：</w:t>
            </w:r>
            <w:r>
              <w:rPr>
                <w:rFonts w:ascii="Times New Roman" w:hAnsi="Times New Roman" w:cs="Times New Roman" w:eastAsia="Times New Roman" w:hint="default"/>
                <w:sz w:val="18"/>
                <w:szCs w:val="18"/>
              </w:rPr>
              <w:t>2019-049</w:t>
            </w:r>
            <w:r>
              <w:rPr>
                <w:rFonts w:ascii="宋体" w:hAnsi="宋体" w:cs="宋体" w:eastAsia="宋体" w:hint="default"/>
                <w:sz w:val="18"/>
                <w:szCs w:val="18"/>
              </w:rPr>
              <w:t>）</w:t>
            </w:r>
          </w:p>
        </w:tc>
      </w:tr>
    </w:tbl>
    <w:p>
      <w:pPr>
        <w:pStyle w:val="BodyText"/>
        <w:spacing w:line="386" w:lineRule="auto" w:before="66"/>
        <w:ind w:left="573" w:right="995"/>
        <w:jc w:val="left"/>
      </w:pPr>
      <w:r>
        <w:rPr>
          <w:rFonts w:ascii="Times New Roman" w:hAnsi="Times New Roman" w:cs="Times New Roman" w:eastAsia="Times New Roman" w:hint="default"/>
        </w:rPr>
        <w:t>1</w:t>
      </w:r>
      <w:r>
        <w:rPr/>
        <w:t>）新金融工具准则变更说明：</w:t>
      </w:r>
      <w:r>
        <w:rPr>
          <w:w w:val="100"/>
        </w:rPr>
        <w:t> </w:t>
      </w:r>
      <w:r>
        <w:rPr>
          <w:spacing w:val="-2"/>
        </w:rPr>
        <w:t>金融资产分类与计量方面，新金融工具准则要求金融资产基于其合同现金流量特征及企业管理该等资</w:t>
      </w:r>
    </w:p>
    <w:p>
      <w:pPr>
        <w:pStyle w:val="BodyText"/>
        <w:spacing w:line="398" w:lineRule="auto" w:before="65"/>
        <w:ind w:right="1020"/>
        <w:jc w:val="both"/>
      </w:pPr>
      <w:r>
        <w:rPr>
          <w:spacing w:val="-4"/>
          <w:w w:val="100"/>
        </w:rPr>
        <w:t>产的业务模式分类为</w:t>
      </w:r>
      <w:r>
        <w:rPr>
          <w:rFonts w:ascii="Times New Roman" w:hAnsi="Times New Roman" w:cs="Times New Roman" w:eastAsia="Times New Roman" w:hint="default"/>
          <w:spacing w:val="-4"/>
          <w:w w:val="100"/>
        </w:rPr>
        <w:t>“</w:t>
      </w:r>
      <w:r>
        <w:rPr>
          <w:spacing w:val="-4"/>
          <w:w w:val="100"/>
        </w:rPr>
        <w:t>以摊余成本计量的金融资产</w:t>
      </w:r>
      <w:r>
        <w:rPr>
          <w:rFonts w:ascii="Times New Roman" w:hAnsi="Times New Roman" w:cs="Times New Roman" w:eastAsia="Times New Roman" w:hint="default"/>
          <w:spacing w:val="-4"/>
          <w:w w:val="100"/>
        </w:rPr>
        <w:t>”</w:t>
      </w:r>
      <w:r>
        <w:rPr>
          <w:spacing w:val="-4"/>
          <w:w w:val="100"/>
        </w:rPr>
        <w:t>、</w:t>
      </w:r>
      <w:r>
        <w:rPr>
          <w:rFonts w:ascii="Times New Roman" w:hAnsi="Times New Roman" w:cs="Times New Roman" w:eastAsia="Times New Roman" w:hint="default"/>
          <w:spacing w:val="-4"/>
          <w:w w:val="100"/>
        </w:rPr>
        <w:t>“</w:t>
      </w:r>
      <w:r>
        <w:rPr>
          <w:spacing w:val="-4"/>
          <w:w w:val="100"/>
        </w:rPr>
        <w:t>以公允价值计量且其变动计入其他综合收益的金融资</w:t>
      </w:r>
      <w:r>
        <w:rPr>
          <w:spacing w:val="-73"/>
          <w:w w:val="100"/>
        </w:rPr>
        <w:t> </w:t>
      </w:r>
      <w:r>
        <w:rPr>
          <w:spacing w:val="-73"/>
          <w:w w:val="100"/>
        </w:rPr>
      </w:r>
      <w:r>
        <w:rPr>
          <w:spacing w:val="-4"/>
        </w:rPr>
        <w:t>产</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以公允价值计量且其变动计入当期损益的金融资产</w:t>
      </w:r>
      <w:r>
        <w:rPr>
          <w:rFonts w:ascii="Times New Roman" w:hAnsi="Times New Roman" w:cs="Times New Roman" w:eastAsia="Times New Roman" w:hint="default"/>
          <w:spacing w:val="-4"/>
        </w:rPr>
        <w:t>”</w:t>
      </w:r>
      <w:r>
        <w:rPr>
          <w:spacing w:val="-4"/>
        </w:rPr>
        <w:t>三大类别。取消了贷款和应收款项、持有至到期</w:t>
      </w:r>
      <w:r>
        <w:rPr>
          <w:spacing w:val="-16"/>
        </w:rPr>
        <w:t> </w:t>
      </w:r>
      <w:r>
        <w:rPr>
          <w:spacing w:val="-16"/>
        </w:rPr>
      </w:r>
      <w:r>
        <w:rPr>
          <w:spacing w:val="-2"/>
        </w:rPr>
        <w:t>投资和可供出售金融资产等原分类。权益工具投资一般分类为以公允价值计量且其变动计入当期损益的金</w:t>
      </w:r>
      <w:r>
        <w:rPr>
          <w:spacing w:val="-43"/>
        </w:rPr>
        <w:t> </w:t>
      </w:r>
      <w:r>
        <w:rPr>
          <w:spacing w:val="-43"/>
        </w:rPr>
      </w:r>
      <w:r>
        <w:rPr>
          <w:spacing w:val="-2"/>
        </w:rPr>
        <w:t>融资产，也允许企业将非交易性权益工具投资指定为以公允价值计量且其变动计入其他综合收益的金融资</w:t>
      </w:r>
      <w:r>
        <w:rPr>
          <w:spacing w:val="-43"/>
        </w:rPr>
        <w:t> </w:t>
      </w:r>
      <w:r>
        <w:rPr>
          <w:spacing w:val="-43"/>
        </w:rPr>
      </w:r>
      <w:r>
        <w:rPr>
          <w:spacing w:val="-5"/>
        </w:rPr>
        <w:t>产，但该指定不可撤销，且在处置时不得将原计入其他综合收益的累计公允价值变动额结转计入当期损益。</w:t>
      </w:r>
    </w:p>
    <w:p>
      <w:pPr>
        <w:pStyle w:val="BodyText"/>
        <w:spacing w:line="408" w:lineRule="auto" w:before="54"/>
        <w:ind w:right="1126" w:firstLine="420"/>
        <w:jc w:val="both"/>
      </w:pPr>
      <w:r>
        <w:rPr>
          <w:spacing w:val="-2"/>
        </w:rPr>
        <w:t>金融资产减值方面，新金融工具准则有关减值的要求适用于以摊余成本计量以及以公允价值计量且其</w:t>
      </w:r>
      <w:r>
        <w:rPr>
          <w:w w:val="100"/>
        </w:rPr>
        <w:t> </w:t>
      </w:r>
      <w:r>
        <w:rPr>
          <w:spacing w:val="-2"/>
        </w:rPr>
        <w:t>变动计入其他综合收益的金融资产、租赁应收款、应收账款、合同资产以及特定未提用的贷款承诺。新金</w:t>
      </w:r>
      <w:r>
        <w:rPr>
          <w:spacing w:val="-47"/>
        </w:rPr>
        <w:t> </w:t>
      </w:r>
      <w:r>
        <w:rPr>
          <w:spacing w:val="-47"/>
        </w:rPr>
      </w:r>
      <w:r>
        <w:rPr>
          <w:spacing w:val="-2"/>
        </w:rPr>
        <w:t>融工具准则要求采用预期信用损失模型以替代原先的已发生信用损失模型。新减值模型要求采用三阶段模</w:t>
      </w:r>
      <w:r>
        <w:rPr>
          <w:spacing w:val="-43"/>
        </w:rPr>
        <w:t> </w:t>
      </w:r>
      <w:r>
        <w:rPr>
          <w:spacing w:val="-43"/>
        </w:rPr>
      </w:r>
      <w:r>
        <w:rPr>
          <w:spacing w:val="-2"/>
        </w:rPr>
        <w:t>型，依据相关项目自初始确认后信用风险是否发生显著增加，信用损失准备按</w:t>
      </w:r>
      <w:r>
        <w:rPr>
          <w:rFonts w:ascii="Times New Roman" w:hAnsi="Times New Roman" w:cs="Times New Roman" w:eastAsia="Times New Roman" w:hint="default"/>
          <w:spacing w:val="-2"/>
        </w:rPr>
        <w:t>12</w:t>
      </w:r>
      <w:r>
        <w:rPr>
          <w:spacing w:val="-2"/>
        </w:rPr>
        <w:t>个月内预期信用损失或者</w:t>
      </w:r>
    </w:p>
    <w:p>
      <w:pPr>
        <w:spacing w:after="0" w:line="408" w:lineRule="auto"/>
        <w:jc w:val="both"/>
        <w:sectPr>
          <w:headerReference w:type="default" r:id="rId31"/>
          <w:footerReference w:type="default" r:id="rId32"/>
          <w:pgSz w:w="11910" w:h="16840"/>
          <w:pgMar w:header="880" w:footer="979" w:top="1100" w:bottom="1160" w:left="980" w:right="0"/>
          <w:pgNumType w:start="40"/>
        </w:sectPr>
      </w:pPr>
    </w:p>
    <w:p>
      <w:pPr>
        <w:spacing w:line="240" w:lineRule="auto" w:before="12"/>
        <w:rPr>
          <w:rFonts w:ascii="宋体" w:hAnsi="宋体" w:cs="宋体" w:eastAsia="宋体" w:hint="default"/>
          <w:sz w:val="26"/>
          <w:szCs w:val="26"/>
        </w:rPr>
      </w:pPr>
    </w:p>
    <w:p>
      <w:pPr>
        <w:pStyle w:val="BodyText"/>
        <w:spacing w:line="408" w:lineRule="auto" w:before="36"/>
        <w:ind w:right="995"/>
        <w:jc w:val="left"/>
      </w:pPr>
      <w:r>
        <w:rPr>
          <w:spacing w:val="-2"/>
        </w:rPr>
        <w:t>整个存续期的预期信用损失进行计提。对于应收账款、合同资产及租赁应收款存在简化方法，允许始终按</w:t>
      </w:r>
      <w:r>
        <w:rPr>
          <w:spacing w:val="-43"/>
        </w:rPr>
        <w:t> </w:t>
      </w:r>
      <w:r>
        <w:rPr>
          <w:spacing w:val="-43"/>
        </w:rPr>
      </w:r>
      <w:r>
        <w:rPr/>
        <w:t>照整个存续期预期信用损失确认减值准备。</w:t>
      </w:r>
    </w:p>
    <w:p>
      <w:pPr>
        <w:pStyle w:val="BodyText"/>
        <w:spacing w:line="393" w:lineRule="auto"/>
        <w:ind w:right="1125" w:firstLine="420"/>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w:t>
      </w:r>
      <w:r>
        <w:rPr>
          <w:w w:val="100"/>
        </w:rPr>
        <w:t> </w:t>
      </w:r>
      <w:r>
        <w:rPr>
          <w:spacing w:val="-2"/>
        </w:rPr>
        <w:t>准则的要求进行衔接调整。涉及前期比较财务报表数据与新金融工具准则要求不一致的，本公司不进行调</w:t>
      </w:r>
      <w:r>
        <w:rPr>
          <w:spacing w:val="-44"/>
        </w:rPr>
        <w:t> </w:t>
      </w:r>
      <w:r>
        <w:rPr>
          <w:spacing w:val="-44"/>
        </w:rPr>
      </w:r>
      <w:r>
        <w:rPr>
          <w:spacing w:val="-2"/>
        </w:rPr>
        <w:t>整。金融工具原账面价值和在新金融工具准则施行日的新账面价值之间的差额，计入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日的留存</w:t>
      </w:r>
      <w:r>
        <w:rPr>
          <w:spacing w:val="-38"/>
        </w:rPr>
        <w:t> </w:t>
      </w:r>
      <w:r>
        <w:rPr>
          <w:spacing w:val="-38"/>
        </w:rPr>
      </w:r>
      <w:r>
        <w:rPr/>
        <w:t>收益或其他综合收益。于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日本公司采用新金融工具准则的影响详见下表。</w:t>
      </w:r>
    </w:p>
    <w:p>
      <w:pPr>
        <w:pStyle w:val="BodyText"/>
        <w:spacing w:line="240" w:lineRule="auto" w:before="28"/>
        <w:ind w:left="573" w:right="995"/>
        <w:jc w:val="left"/>
      </w:pPr>
      <w:r>
        <w:rPr>
          <w:rFonts w:ascii="Times New Roman" w:hAnsi="Times New Roman" w:cs="Times New Roman" w:eastAsia="Times New Roman" w:hint="default"/>
        </w:rPr>
        <w:t>a.</w:t>
      </w:r>
      <w:r>
        <w:rPr/>
        <w:t>合并资产负债表影响</w:t>
      </w:r>
    </w:p>
    <w:p>
      <w:pPr>
        <w:pStyle w:val="BodyText"/>
        <w:spacing w:line="240" w:lineRule="auto" w:before="100"/>
        <w:ind w:left="0" w:right="1128"/>
        <w:jc w:val="right"/>
      </w:pPr>
      <w:r>
        <w:rPr>
          <w:spacing w:val="-1"/>
        </w:rPr>
        <w:t>单位：元</w:t>
      </w:r>
    </w:p>
    <w:p>
      <w:pPr>
        <w:spacing w:line="240" w:lineRule="auto" w:before="8"/>
        <w:rPr>
          <w:rFonts w:ascii="宋体" w:hAnsi="宋体" w:cs="宋体" w:eastAsia="宋体" w:hint="default"/>
          <w:sz w:val="3"/>
          <w:szCs w:val="3"/>
        </w:rPr>
      </w:pPr>
    </w:p>
    <w:tbl>
      <w:tblPr>
        <w:tblW w:w="0" w:type="auto"/>
        <w:jc w:val="left"/>
        <w:tblInd w:w="345" w:type="dxa"/>
        <w:tblLayout w:type="fixed"/>
        <w:tblCellMar>
          <w:top w:w="0" w:type="dxa"/>
          <w:left w:w="0" w:type="dxa"/>
          <w:bottom w:w="0" w:type="dxa"/>
          <w:right w:w="0" w:type="dxa"/>
        </w:tblCellMar>
        <w:tblLook w:val="01E0"/>
      </w:tblPr>
      <w:tblGrid>
        <w:gridCol w:w="1922"/>
        <w:gridCol w:w="2014"/>
        <w:gridCol w:w="1983"/>
        <w:gridCol w:w="1501"/>
        <w:gridCol w:w="1827"/>
      </w:tblGrid>
      <w:tr>
        <w:trPr>
          <w:trHeight w:val="341" w:hRule="exact"/>
        </w:trPr>
        <w:tc>
          <w:tcPr>
            <w:tcW w:w="1922" w:type="dxa"/>
            <w:vMerge w:val="restart"/>
            <w:tcBorders>
              <w:top w:val="single" w:sz="4" w:space="0" w:color="000000"/>
              <w:left w:val="single" w:sz="4" w:space="0" w:color="000000"/>
              <w:right w:val="single" w:sz="4" w:space="0" w:color="000000"/>
            </w:tcBorders>
          </w:tcPr>
          <w:p>
            <w:pPr>
              <w:pStyle w:val="TableParagraph"/>
              <w:spacing w:line="240" w:lineRule="auto" w:before="113"/>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2014" w:type="dxa"/>
            <w:vMerge w:val="restart"/>
            <w:tcBorders>
              <w:top w:val="single" w:sz="4" w:space="0" w:color="000000"/>
              <w:left w:val="single" w:sz="4" w:space="0" w:color="000000"/>
              <w:right w:val="single" w:sz="4" w:space="0" w:color="000000"/>
            </w:tcBorders>
          </w:tcPr>
          <w:p>
            <w:pPr>
              <w:pStyle w:val="TableParagraph"/>
              <w:spacing w:line="240" w:lineRule="auto" w:before="113"/>
              <w:ind w:left="302"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2018</w:t>
            </w:r>
            <w:r>
              <w:rPr>
                <w:rFonts w:ascii="Microsoft JhengHei" w:hAnsi="Microsoft JhengHei" w:cs="Microsoft JhengHei" w:eastAsia="Microsoft JhengHei" w:hint="default"/>
                <w:b/>
                <w:bCs/>
                <w:sz w:val="20"/>
                <w:szCs w:val="20"/>
              </w:rPr>
              <w:t>年</w:t>
            </w:r>
            <w:r>
              <w:rPr>
                <w:rFonts w:ascii="Times New Roman" w:hAnsi="Times New Roman" w:cs="Times New Roman" w:eastAsia="Times New Roman" w:hint="default"/>
                <w:b/>
                <w:bCs/>
                <w:sz w:val="20"/>
                <w:szCs w:val="20"/>
              </w:rPr>
              <w:t>12</w:t>
            </w:r>
            <w:r>
              <w:rPr>
                <w:rFonts w:ascii="Microsoft JhengHei" w:hAnsi="Microsoft JhengHei" w:cs="Microsoft JhengHei" w:eastAsia="Microsoft JhengHei" w:hint="default"/>
                <w:b/>
                <w:bCs/>
                <w:sz w:val="20"/>
                <w:szCs w:val="20"/>
              </w:rPr>
              <w:t>月</w:t>
            </w:r>
            <w:r>
              <w:rPr>
                <w:rFonts w:ascii="Times New Roman" w:hAnsi="Times New Roman" w:cs="Times New Roman" w:eastAsia="Times New Roman" w:hint="default"/>
                <w:b/>
                <w:bCs/>
                <w:sz w:val="20"/>
                <w:szCs w:val="20"/>
              </w:rPr>
              <w:t>31</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3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调整数</w:t>
            </w:r>
            <w:r>
              <w:rPr>
                <w:rFonts w:ascii="Microsoft JhengHei" w:hAnsi="Microsoft JhengHei" w:cs="Microsoft JhengHei" w:eastAsia="Microsoft JhengHei" w:hint="default"/>
                <w:sz w:val="20"/>
                <w:szCs w:val="20"/>
              </w:rPr>
            </w:r>
          </w:p>
        </w:tc>
        <w:tc>
          <w:tcPr>
            <w:tcW w:w="1827" w:type="dxa"/>
            <w:vMerge w:val="restart"/>
            <w:tcBorders>
              <w:top w:val="single" w:sz="4" w:space="0" w:color="000000"/>
              <w:left w:val="single" w:sz="4" w:space="0" w:color="000000"/>
              <w:right w:val="single" w:sz="4" w:space="0" w:color="000000"/>
            </w:tcBorders>
          </w:tcPr>
          <w:p>
            <w:pPr>
              <w:pStyle w:val="TableParagraph"/>
              <w:spacing w:line="240" w:lineRule="auto" w:before="113"/>
              <w:ind w:left="307"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2019</w:t>
            </w:r>
            <w:r>
              <w:rPr>
                <w:rFonts w:ascii="Microsoft JhengHei" w:hAnsi="Microsoft JhengHei" w:cs="Microsoft JhengHei" w:eastAsia="Microsoft JhengHei" w:hint="default"/>
                <w:b/>
                <w:bCs/>
                <w:sz w:val="20"/>
                <w:szCs w:val="20"/>
              </w:rPr>
              <w:t>年</w:t>
            </w:r>
            <w:r>
              <w:rPr>
                <w:rFonts w:ascii="Times New Roman" w:hAnsi="Times New Roman" w:cs="Times New Roman" w:eastAsia="Times New Roman" w:hint="default"/>
                <w:b/>
                <w:bCs/>
                <w:sz w:val="20"/>
                <w:szCs w:val="20"/>
              </w:rPr>
              <w:t>1</w:t>
            </w:r>
            <w:r>
              <w:rPr>
                <w:rFonts w:ascii="Microsoft JhengHei" w:hAnsi="Microsoft JhengHei" w:cs="Microsoft JhengHei" w:eastAsia="Microsoft JhengHei" w:hint="default"/>
                <w:b/>
                <w:bCs/>
                <w:sz w:val="20"/>
                <w:szCs w:val="20"/>
              </w:rPr>
              <w:t>月</w:t>
            </w:r>
            <w:r>
              <w:rPr>
                <w:rFonts w:ascii="Times New Roman" w:hAnsi="Times New Roman" w:cs="Times New Roman" w:eastAsia="Times New Roman" w:hint="default"/>
                <w:b/>
                <w:bCs/>
                <w:sz w:val="20"/>
                <w:szCs w:val="20"/>
              </w:rPr>
              <w:t>1</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43" w:hRule="exact"/>
        </w:trPr>
        <w:tc>
          <w:tcPr>
            <w:tcW w:w="1922" w:type="dxa"/>
            <w:vMerge/>
            <w:tcBorders>
              <w:left w:val="single" w:sz="4" w:space="0" w:color="000000"/>
              <w:bottom w:val="single" w:sz="4" w:space="0" w:color="000000"/>
              <w:right w:val="single" w:sz="4" w:space="0" w:color="000000"/>
            </w:tcBorders>
          </w:tcPr>
          <w:p>
            <w:pPr/>
          </w:p>
        </w:tc>
        <w:tc>
          <w:tcPr>
            <w:tcW w:w="2014" w:type="dxa"/>
            <w:vMerge/>
            <w:tcBorders>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48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重分类调整</w:t>
            </w:r>
            <w:r>
              <w:rPr>
                <w:rFonts w:ascii="Microsoft JhengHei" w:hAnsi="Microsoft JhengHei" w:cs="Microsoft JhengHei" w:eastAsia="Microsoft JhengHei" w:hint="default"/>
                <w:sz w:val="20"/>
                <w:szCs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4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重新计量调整</w:t>
            </w:r>
            <w:r>
              <w:rPr>
                <w:rFonts w:ascii="Microsoft JhengHei" w:hAnsi="Microsoft JhengHei" w:cs="Microsoft JhengHei" w:eastAsia="Microsoft JhengHei" w:hint="default"/>
                <w:sz w:val="20"/>
                <w:szCs w:val="20"/>
              </w:rPr>
            </w:r>
          </w:p>
        </w:tc>
        <w:tc>
          <w:tcPr>
            <w:tcW w:w="1827" w:type="dxa"/>
            <w:vMerge/>
            <w:tcBorders>
              <w:left w:val="single" w:sz="4" w:space="0" w:color="000000"/>
              <w:bottom w:val="single" w:sz="4" w:space="0" w:color="000000"/>
              <w:right w:val="single" w:sz="4" w:space="0" w:color="000000"/>
            </w:tcBorders>
          </w:tcPr>
          <w:p>
            <w:pPr/>
          </w:p>
        </w:tc>
      </w:tr>
      <w:tr>
        <w:trPr>
          <w:trHeight w:val="34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130,000,000.00</w:t>
            </w:r>
            <w:r>
              <w:rPr>
                <w:rFonts w:ascii="Times New Roman"/>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130,000,000.00</w:t>
            </w:r>
            <w:r>
              <w:rPr>
                <w:rFonts w:ascii="Times New Roman"/>
                <w:sz w:val="20"/>
              </w:rPr>
            </w:r>
          </w:p>
        </w:tc>
      </w:tr>
      <w:tr>
        <w:trPr>
          <w:trHeight w:val="34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w w:val="95"/>
                <w:sz w:val="20"/>
              </w:rPr>
              <w:t>131,317,855.84</w:t>
            </w:r>
            <w:r>
              <w:rPr>
                <w:rFonts w:ascii="Times New Roman"/>
                <w:sz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w w:val="95"/>
                <w:sz w:val="20"/>
              </w:rPr>
              <w:t>-130,000,000.00</w:t>
            </w:r>
            <w:r>
              <w:rPr>
                <w:rFonts w:ascii="Times New Roman"/>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w w:val="95"/>
                <w:sz w:val="20"/>
              </w:rPr>
              <w:t>1,317,855.84</w:t>
            </w:r>
            <w:r>
              <w:rPr>
                <w:rFonts w:ascii="Times New Roman"/>
                <w:sz w:val="20"/>
              </w:rPr>
            </w:r>
          </w:p>
        </w:tc>
      </w:tr>
    </w:tbl>
    <w:p>
      <w:pPr>
        <w:pStyle w:val="BodyText"/>
        <w:spacing w:line="240" w:lineRule="auto" w:before="66"/>
        <w:ind w:left="573" w:right="995"/>
        <w:jc w:val="left"/>
      </w:pPr>
      <w:r>
        <w:rPr>
          <w:rFonts w:ascii="Times New Roman" w:hAnsi="Times New Roman" w:cs="Times New Roman" w:eastAsia="Times New Roman" w:hint="default"/>
        </w:rPr>
        <w:t>b.</w:t>
      </w:r>
      <w:r>
        <w:rPr/>
        <w:t>母公司资产负债表</w:t>
      </w:r>
    </w:p>
    <w:p>
      <w:pPr>
        <w:pStyle w:val="BodyText"/>
        <w:spacing w:line="240" w:lineRule="auto" w:before="100"/>
        <w:ind w:left="0" w:right="1128"/>
        <w:jc w:val="right"/>
      </w:pPr>
      <w:r>
        <w:rPr>
          <w:spacing w:val="-1"/>
        </w:rPr>
        <w:t>单位：元</w:t>
      </w:r>
    </w:p>
    <w:p>
      <w:pPr>
        <w:spacing w:line="240" w:lineRule="auto" w:before="8"/>
        <w:rPr>
          <w:rFonts w:ascii="宋体" w:hAnsi="宋体" w:cs="宋体" w:eastAsia="宋体" w:hint="default"/>
          <w:sz w:val="3"/>
          <w:szCs w:val="3"/>
        </w:rPr>
      </w:pPr>
    </w:p>
    <w:tbl>
      <w:tblPr>
        <w:tblW w:w="0" w:type="auto"/>
        <w:jc w:val="left"/>
        <w:tblInd w:w="345" w:type="dxa"/>
        <w:tblLayout w:type="fixed"/>
        <w:tblCellMar>
          <w:top w:w="0" w:type="dxa"/>
          <w:left w:w="0" w:type="dxa"/>
          <w:bottom w:w="0" w:type="dxa"/>
          <w:right w:w="0" w:type="dxa"/>
        </w:tblCellMar>
        <w:tblLook w:val="01E0"/>
      </w:tblPr>
      <w:tblGrid>
        <w:gridCol w:w="1922"/>
        <w:gridCol w:w="2014"/>
        <w:gridCol w:w="1983"/>
        <w:gridCol w:w="1501"/>
        <w:gridCol w:w="1827"/>
      </w:tblGrid>
      <w:tr>
        <w:trPr>
          <w:trHeight w:val="343" w:hRule="exact"/>
        </w:trPr>
        <w:tc>
          <w:tcPr>
            <w:tcW w:w="1922" w:type="dxa"/>
            <w:vMerge w:val="restart"/>
            <w:tcBorders>
              <w:top w:val="single" w:sz="4" w:space="0" w:color="000000"/>
              <w:left w:val="single" w:sz="4" w:space="0" w:color="000000"/>
              <w:right w:val="single" w:sz="4" w:space="0" w:color="000000"/>
            </w:tcBorders>
          </w:tcPr>
          <w:p>
            <w:pPr>
              <w:pStyle w:val="TableParagraph"/>
              <w:spacing w:line="240" w:lineRule="auto" w:before="113"/>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2014" w:type="dxa"/>
            <w:vMerge w:val="restart"/>
            <w:tcBorders>
              <w:top w:val="single" w:sz="4" w:space="0" w:color="000000"/>
              <w:left w:val="single" w:sz="4" w:space="0" w:color="000000"/>
              <w:right w:val="single" w:sz="4" w:space="0" w:color="000000"/>
            </w:tcBorders>
          </w:tcPr>
          <w:p>
            <w:pPr>
              <w:pStyle w:val="TableParagraph"/>
              <w:spacing w:line="240" w:lineRule="auto" w:before="113"/>
              <w:ind w:left="302"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2018</w:t>
            </w:r>
            <w:r>
              <w:rPr>
                <w:rFonts w:ascii="Microsoft JhengHei" w:hAnsi="Microsoft JhengHei" w:cs="Microsoft JhengHei" w:eastAsia="Microsoft JhengHei" w:hint="default"/>
                <w:b/>
                <w:bCs/>
                <w:sz w:val="20"/>
                <w:szCs w:val="20"/>
              </w:rPr>
              <w:t>年</w:t>
            </w:r>
            <w:r>
              <w:rPr>
                <w:rFonts w:ascii="Times New Roman" w:hAnsi="Times New Roman" w:cs="Times New Roman" w:eastAsia="Times New Roman" w:hint="default"/>
                <w:b/>
                <w:bCs/>
                <w:sz w:val="20"/>
                <w:szCs w:val="20"/>
              </w:rPr>
              <w:t>12</w:t>
            </w:r>
            <w:r>
              <w:rPr>
                <w:rFonts w:ascii="Microsoft JhengHei" w:hAnsi="Microsoft JhengHei" w:cs="Microsoft JhengHei" w:eastAsia="Microsoft JhengHei" w:hint="default"/>
                <w:b/>
                <w:bCs/>
                <w:sz w:val="20"/>
                <w:szCs w:val="20"/>
              </w:rPr>
              <w:t>月</w:t>
            </w:r>
            <w:r>
              <w:rPr>
                <w:rFonts w:ascii="Times New Roman" w:hAnsi="Times New Roman" w:cs="Times New Roman" w:eastAsia="Times New Roman" w:hint="default"/>
                <w:b/>
                <w:bCs/>
                <w:sz w:val="20"/>
                <w:szCs w:val="20"/>
              </w:rPr>
              <w:t>31</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3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调整数</w:t>
            </w:r>
            <w:r>
              <w:rPr>
                <w:rFonts w:ascii="Microsoft JhengHei" w:hAnsi="Microsoft JhengHei" w:cs="Microsoft JhengHei" w:eastAsia="Microsoft JhengHei" w:hint="default"/>
                <w:sz w:val="20"/>
                <w:szCs w:val="20"/>
              </w:rPr>
            </w:r>
          </w:p>
        </w:tc>
        <w:tc>
          <w:tcPr>
            <w:tcW w:w="1827" w:type="dxa"/>
            <w:vMerge w:val="restart"/>
            <w:tcBorders>
              <w:top w:val="single" w:sz="4" w:space="0" w:color="000000"/>
              <w:left w:val="single" w:sz="4" w:space="0" w:color="000000"/>
              <w:right w:val="single" w:sz="4" w:space="0" w:color="000000"/>
            </w:tcBorders>
          </w:tcPr>
          <w:p>
            <w:pPr>
              <w:pStyle w:val="TableParagraph"/>
              <w:spacing w:line="240" w:lineRule="auto" w:before="113"/>
              <w:ind w:left="307"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2019</w:t>
            </w:r>
            <w:r>
              <w:rPr>
                <w:rFonts w:ascii="Microsoft JhengHei" w:hAnsi="Microsoft JhengHei" w:cs="Microsoft JhengHei" w:eastAsia="Microsoft JhengHei" w:hint="default"/>
                <w:b/>
                <w:bCs/>
                <w:sz w:val="20"/>
                <w:szCs w:val="20"/>
              </w:rPr>
              <w:t>年</w:t>
            </w:r>
            <w:r>
              <w:rPr>
                <w:rFonts w:ascii="Times New Roman" w:hAnsi="Times New Roman" w:cs="Times New Roman" w:eastAsia="Times New Roman" w:hint="default"/>
                <w:b/>
                <w:bCs/>
                <w:sz w:val="20"/>
                <w:szCs w:val="20"/>
              </w:rPr>
              <w:t>1</w:t>
            </w:r>
            <w:r>
              <w:rPr>
                <w:rFonts w:ascii="Microsoft JhengHei" w:hAnsi="Microsoft JhengHei" w:cs="Microsoft JhengHei" w:eastAsia="Microsoft JhengHei" w:hint="default"/>
                <w:b/>
                <w:bCs/>
                <w:sz w:val="20"/>
                <w:szCs w:val="20"/>
              </w:rPr>
              <w:t>月</w:t>
            </w:r>
            <w:r>
              <w:rPr>
                <w:rFonts w:ascii="Times New Roman" w:hAnsi="Times New Roman" w:cs="Times New Roman" w:eastAsia="Times New Roman" w:hint="default"/>
                <w:b/>
                <w:bCs/>
                <w:sz w:val="20"/>
                <w:szCs w:val="20"/>
              </w:rPr>
              <w:t>1</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41" w:hRule="exact"/>
        </w:trPr>
        <w:tc>
          <w:tcPr>
            <w:tcW w:w="1922" w:type="dxa"/>
            <w:vMerge/>
            <w:tcBorders>
              <w:left w:val="single" w:sz="4" w:space="0" w:color="000000"/>
              <w:bottom w:val="single" w:sz="4" w:space="0" w:color="000000"/>
              <w:right w:val="single" w:sz="4" w:space="0" w:color="000000"/>
            </w:tcBorders>
          </w:tcPr>
          <w:p>
            <w:pPr/>
          </w:p>
        </w:tc>
        <w:tc>
          <w:tcPr>
            <w:tcW w:w="2014" w:type="dxa"/>
            <w:vMerge/>
            <w:tcBorders>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8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重分类调整</w:t>
            </w:r>
            <w:r>
              <w:rPr>
                <w:rFonts w:ascii="Microsoft JhengHei" w:hAnsi="Microsoft JhengHei" w:cs="Microsoft JhengHei" w:eastAsia="Microsoft JhengHei" w:hint="default"/>
                <w:sz w:val="20"/>
                <w:szCs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4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重新计量调整</w:t>
            </w:r>
            <w:r>
              <w:rPr>
                <w:rFonts w:ascii="Microsoft JhengHei" w:hAnsi="Microsoft JhengHei" w:cs="Microsoft JhengHei" w:eastAsia="Microsoft JhengHei" w:hint="default"/>
                <w:sz w:val="20"/>
                <w:szCs w:val="20"/>
              </w:rPr>
            </w:r>
          </w:p>
        </w:tc>
        <w:tc>
          <w:tcPr>
            <w:tcW w:w="1827" w:type="dxa"/>
            <w:vMerge/>
            <w:tcBorders>
              <w:left w:val="single" w:sz="4" w:space="0" w:color="000000"/>
              <w:bottom w:val="single" w:sz="4" w:space="0" w:color="000000"/>
              <w:right w:val="single" w:sz="4" w:space="0" w:color="000000"/>
            </w:tcBorders>
          </w:tcPr>
          <w:p>
            <w:pPr/>
          </w:p>
        </w:tc>
      </w:tr>
      <w:tr>
        <w:trPr>
          <w:trHeight w:val="34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130,000,000.00</w:t>
            </w:r>
            <w:r>
              <w:rPr>
                <w:rFonts w:ascii="Times New Roman"/>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130,000,000.00</w:t>
            </w:r>
            <w:r>
              <w:rPr>
                <w:rFonts w:ascii="Times New Roman"/>
                <w:sz w:val="20"/>
              </w:rPr>
            </w:r>
          </w:p>
        </w:tc>
      </w:tr>
      <w:tr>
        <w:trPr>
          <w:trHeight w:val="34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131,273,247.25</w:t>
            </w:r>
            <w:r>
              <w:rPr>
                <w:rFonts w:ascii="Times New Roman"/>
                <w:sz w:val="20"/>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-130,000,000.00</w:t>
            </w:r>
            <w:r>
              <w:rPr>
                <w:rFonts w:ascii="Times New Roman"/>
                <w:sz w:val="20"/>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1,273,247.25</w:t>
            </w:r>
            <w:r>
              <w:rPr>
                <w:rFonts w:ascii="Times New Roman"/>
                <w:sz w:val="20"/>
              </w:rPr>
            </w:r>
          </w:p>
        </w:tc>
      </w:tr>
    </w:tbl>
    <w:p>
      <w:pPr>
        <w:pStyle w:val="Heading6"/>
        <w:spacing w:line="369" w:lineRule="auto" w:before="58"/>
        <w:ind w:right="1128"/>
        <w:jc w:val="both"/>
      </w:pPr>
      <w:r>
        <w:rPr>
          <w:spacing w:val="2"/>
        </w:rPr>
        <w:t>本公司于</w:t>
      </w:r>
      <w:r>
        <w:rPr>
          <w:rFonts w:ascii="Times New Roman" w:hAnsi="Times New Roman" w:cs="Times New Roman" w:eastAsia="Times New Roman" w:hint="default"/>
          <w:spacing w:val="2"/>
        </w:rPr>
        <w:t>2019</w:t>
      </w:r>
      <w:r>
        <w:rPr>
          <w:spacing w:val="2"/>
        </w:rPr>
        <w:t>年持有的理财产品按照合同现金流量特征及本公司管理该等资产的业务模式重分</w:t>
      </w:r>
      <w:r>
        <w:rPr>
          <w:w w:val="100"/>
        </w:rPr>
        <w:t> </w:t>
      </w:r>
      <w:r>
        <w:rPr>
          <w:spacing w:val="-2"/>
        </w:rPr>
        <w:t>类至交易性金融资产，并按照公允价值持续计量，导致合并资产负债表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日交易性金融资产</w:t>
      </w:r>
      <w:r>
        <w:rPr>
          <w:spacing w:val="-63"/>
        </w:rPr>
        <w:t> </w:t>
      </w:r>
      <w:r>
        <w:rPr>
          <w:spacing w:val="-63"/>
        </w:rPr>
      </w:r>
      <w:r>
        <w:rPr>
          <w:spacing w:val="-2"/>
        </w:rPr>
        <w:t>增加人民币</w:t>
      </w:r>
      <w:r>
        <w:rPr>
          <w:rFonts w:ascii="Times New Roman" w:hAnsi="Times New Roman" w:cs="Times New Roman" w:eastAsia="Times New Roman" w:hint="default"/>
          <w:spacing w:val="-2"/>
        </w:rPr>
        <w:t>130,000,000.00</w:t>
      </w:r>
      <w:r>
        <w:rPr>
          <w:spacing w:val="-2"/>
        </w:rPr>
        <w:t>元，其他流动资产减少人民币</w:t>
      </w:r>
      <w:r>
        <w:rPr>
          <w:rFonts w:ascii="Times New Roman" w:hAnsi="Times New Roman" w:cs="Times New Roman" w:eastAsia="Times New Roman" w:hint="default"/>
          <w:spacing w:val="-2"/>
        </w:rPr>
        <w:t>130,000,000.00</w:t>
      </w:r>
      <w:r>
        <w:rPr>
          <w:spacing w:val="-2"/>
        </w:rPr>
        <w:t>元；母公司资产负债表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7"/>
        </w:rPr>
        <w:t> </w:t>
      </w:r>
      <w:r>
        <w:rPr/>
        <w:t>月</w:t>
      </w:r>
      <w:r>
        <w:rPr>
          <w:rFonts w:ascii="Times New Roman" w:hAnsi="Times New Roman" w:cs="Times New Roman" w:eastAsia="Times New Roman" w:hint="default"/>
        </w:rPr>
        <w:t>1</w:t>
      </w:r>
      <w:r>
        <w:rPr/>
        <w:t>日交易性金融资产增加人民币</w:t>
      </w:r>
      <w:r>
        <w:rPr>
          <w:rFonts w:ascii="Times New Roman" w:hAnsi="Times New Roman" w:cs="Times New Roman" w:eastAsia="Times New Roman" w:hint="default"/>
        </w:rPr>
        <w:t>130,000,000.00</w:t>
      </w:r>
      <w:r>
        <w:rPr/>
        <w:t>元，其他流动资产减少人民币</w:t>
      </w:r>
      <w:r>
        <w:rPr>
          <w:rFonts w:ascii="Times New Roman" w:hAnsi="Times New Roman" w:cs="Times New Roman" w:eastAsia="Times New Roman" w:hint="default"/>
        </w:rPr>
        <w:t>130,000,000.00</w:t>
      </w:r>
      <w:r>
        <w:rPr/>
        <w:t>元。</w:t>
      </w:r>
    </w:p>
    <w:p>
      <w:pPr>
        <w:pStyle w:val="Heading6"/>
        <w:spacing w:line="240" w:lineRule="auto" w:before="32"/>
        <w:ind w:left="592" w:right="995" w:firstLine="0"/>
        <w:jc w:val="left"/>
      </w:pPr>
      <w:r>
        <w:rPr>
          <w:rFonts w:ascii="Times New Roman" w:hAnsi="Times New Roman" w:cs="Times New Roman" w:eastAsia="Times New Roman" w:hint="default"/>
        </w:rPr>
        <w:t>2</w:t>
      </w:r>
      <w:r>
        <w:rPr/>
        <w:t>）财务报表格式变更的影响</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431" w:type="dxa"/>
        <w:tblLayout w:type="fixed"/>
        <w:tblCellMar>
          <w:top w:w="0" w:type="dxa"/>
          <w:left w:w="0" w:type="dxa"/>
          <w:bottom w:w="0" w:type="dxa"/>
          <w:right w:w="0" w:type="dxa"/>
        </w:tblCellMar>
        <w:tblLook w:val="01E0"/>
      </w:tblPr>
      <w:tblGrid>
        <w:gridCol w:w="2693"/>
        <w:gridCol w:w="2127"/>
        <w:gridCol w:w="1985"/>
        <w:gridCol w:w="2268"/>
      </w:tblGrid>
      <w:tr>
        <w:trPr>
          <w:trHeight w:val="343" w:hRule="exact"/>
        </w:trPr>
        <w:tc>
          <w:tcPr>
            <w:tcW w:w="26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会计政策变更的内容和原因</w:t>
            </w:r>
            <w:r>
              <w:rPr>
                <w:rFonts w:ascii="Microsoft JhengHei" w:hAnsi="Microsoft JhengHei" w:cs="Microsoft JhengHei" w:eastAsia="Microsoft JhengHei" w:hint="default"/>
                <w:sz w:val="20"/>
                <w:szCs w:val="20"/>
              </w:rPr>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受影响的报表项目名称</w:t>
            </w:r>
            <w:r>
              <w:rPr>
                <w:rFonts w:ascii="Microsoft JhengHei" w:hAnsi="Microsoft JhengHei" w:cs="Microsoft JhengHei" w:eastAsia="Microsoft JhengHei" w:hint="default"/>
                <w:sz w:val="20"/>
                <w:szCs w:val="20"/>
              </w:rPr>
            </w:r>
          </w:p>
        </w:tc>
        <w:tc>
          <w:tcPr>
            <w:tcW w:w="4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影响金额</w:t>
            </w:r>
            <w:r>
              <w:rPr>
                <w:rFonts w:ascii="Microsoft JhengHei" w:hAnsi="Microsoft JhengHei" w:cs="Microsoft JhengHei" w:eastAsia="Microsoft JhengHei" w:hint="default"/>
                <w:sz w:val="20"/>
                <w:szCs w:val="20"/>
              </w:rPr>
            </w:r>
          </w:p>
        </w:tc>
      </w:tr>
      <w:tr>
        <w:trPr>
          <w:trHeight w:val="341" w:hRule="exact"/>
        </w:trPr>
        <w:tc>
          <w:tcPr>
            <w:tcW w:w="2693"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58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合并报表</w:t>
            </w:r>
            <w:r>
              <w:rPr>
                <w:rFonts w:ascii="Microsoft JhengHei" w:hAnsi="Microsoft JhengHei" w:cs="Microsoft JhengHei" w:eastAsia="Microsoft JhengHei" w:hint="default"/>
                <w:sz w:val="20"/>
                <w:szCs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6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母公司报表</w:t>
            </w:r>
            <w:r>
              <w:rPr>
                <w:rFonts w:ascii="Microsoft JhengHei" w:hAnsi="Microsoft JhengHei" w:cs="Microsoft JhengHei" w:eastAsia="Microsoft JhengHei" w:hint="default"/>
                <w:sz w:val="20"/>
                <w:szCs w:val="20"/>
              </w:rPr>
            </w:r>
          </w:p>
        </w:tc>
      </w:tr>
      <w:tr>
        <w:trPr>
          <w:trHeight w:val="344" w:hRule="exact"/>
        </w:trPr>
        <w:tc>
          <w:tcPr>
            <w:tcW w:w="2693"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386"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2019</w:t>
            </w:r>
            <w:r>
              <w:rPr>
                <w:rFonts w:ascii="Microsoft JhengHei" w:hAnsi="Microsoft JhengHei" w:cs="Microsoft JhengHei" w:eastAsia="Microsoft JhengHei" w:hint="default"/>
                <w:b/>
                <w:bCs/>
                <w:sz w:val="20"/>
                <w:szCs w:val="20"/>
              </w:rPr>
              <w:t>年</w:t>
            </w:r>
            <w:r>
              <w:rPr>
                <w:rFonts w:ascii="Times New Roman" w:hAnsi="Times New Roman" w:cs="Times New Roman" w:eastAsia="Times New Roman" w:hint="default"/>
                <w:b/>
                <w:bCs/>
                <w:sz w:val="20"/>
                <w:szCs w:val="20"/>
              </w:rPr>
              <w:t>1</w:t>
            </w:r>
            <w:r>
              <w:rPr>
                <w:rFonts w:ascii="Microsoft JhengHei" w:hAnsi="Microsoft JhengHei" w:cs="Microsoft JhengHei" w:eastAsia="Microsoft JhengHei" w:hint="default"/>
                <w:b/>
                <w:bCs/>
                <w:sz w:val="20"/>
                <w:szCs w:val="20"/>
              </w:rPr>
              <w:t>月</w:t>
            </w:r>
            <w:r>
              <w:rPr>
                <w:rFonts w:ascii="Times New Roman" w:hAnsi="Times New Roman" w:cs="Times New Roman" w:eastAsia="Times New Roman" w:hint="default"/>
                <w:b/>
                <w:bCs/>
                <w:sz w:val="20"/>
                <w:szCs w:val="20"/>
              </w:rPr>
              <w:t>1</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30"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2019</w:t>
            </w:r>
            <w:r>
              <w:rPr>
                <w:rFonts w:ascii="Microsoft JhengHei" w:hAnsi="Microsoft JhengHei" w:cs="Microsoft JhengHei" w:eastAsia="Microsoft JhengHei" w:hint="default"/>
                <w:b/>
                <w:bCs/>
                <w:sz w:val="20"/>
                <w:szCs w:val="20"/>
              </w:rPr>
              <w:t>年</w:t>
            </w:r>
            <w:r>
              <w:rPr>
                <w:rFonts w:ascii="Times New Roman" w:hAnsi="Times New Roman" w:cs="Times New Roman" w:eastAsia="Times New Roman" w:hint="default"/>
                <w:b/>
                <w:bCs/>
                <w:sz w:val="20"/>
                <w:szCs w:val="20"/>
              </w:rPr>
              <w:t>1</w:t>
            </w:r>
            <w:r>
              <w:rPr>
                <w:rFonts w:ascii="Microsoft JhengHei" w:hAnsi="Microsoft JhengHei" w:cs="Microsoft JhengHei" w:eastAsia="Microsoft JhengHei" w:hint="default"/>
                <w:b/>
                <w:bCs/>
                <w:sz w:val="20"/>
                <w:szCs w:val="20"/>
              </w:rPr>
              <w:t>月</w:t>
            </w:r>
            <w:r>
              <w:rPr>
                <w:rFonts w:ascii="Times New Roman" w:hAnsi="Times New Roman" w:cs="Times New Roman" w:eastAsia="Times New Roman" w:hint="default"/>
                <w:b/>
                <w:bCs/>
                <w:sz w:val="20"/>
                <w:szCs w:val="20"/>
              </w:rPr>
              <w:t>1</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41" w:hRule="exact"/>
        </w:trPr>
        <w:tc>
          <w:tcPr>
            <w:tcW w:w="2693" w:type="dxa"/>
            <w:vMerge w:val="restart"/>
            <w:tcBorders>
              <w:top w:val="single" w:sz="4" w:space="0" w:color="000000"/>
              <w:left w:val="single" w:sz="4" w:space="0" w:color="000000"/>
              <w:right w:val="single" w:sz="4" w:space="0" w:color="000000"/>
            </w:tcBorders>
          </w:tcPr>
          <w:p>
            <w:pPr>
              <w:pStyle w:val="TableParagraph"/>
              <w:spacing w:line="285" w:lineRule="auto" w:before="35"/>
              <w:ind w:left="7" w:right="76"/>
              <w:jc w:val="both"/>
              <w:rPr>
                <w:rFonts w:ascii="宋体" w:hAnsi="宋体" w:cs="宋体" w:eastAsia="宋体" w:hint="default"/>
                <w:sz w:val="20"/>
                <w:szCs w:val="20"/>
              </w:rPr>
            </w:pPr>
            <w:r>
              <w:rPr>
                <w:rFonts w:ascii="宋体" w:hAnsi="宋体" w:cs="宋体" w:eastAsia="宋体" w:hint="default"/>
                <w:sz w:val="20"/>
                <w:szCs w:val="20"/>
              </w:rPr>
              <w:t>本公司将应收票据及应收账款</w:t>
            </w:r>
            <w:r>
              <w:rPr>
                <w:rFonts w:ascii="宋体" w:hAnsi="宋体" w:cs="宋体" w:eastAsia="宋体" w:hint="default"/>
                <w:w w:val="99"/>
                <w:sz w:val="20"/>
                <w:szCs w:val="20"/>
              </w:rPr>
              <w:t> </w:t>
            </w:r>
            <w:r>
              <w:rPr>
                <w:rFonts w:ascii="宋体" w:hAnsi="宋体" w:cs="宋体" w:eastAsia="宋体" w:hint="default"/>
                <w:sz w:val="20"/>
                <w:szCs w:val="20"/>
              </w:rPr>
              <w:t>项目分拆为应收账款和应收票</w:t>
            </w:r>
            <w:r>
              <w:rPr>
                <w:rFonts w:ascii="宋体" w:hAnsi="宋体" w:cs="宋体" w:eastAsia="宋体" w:hint="default"/>
                <w:w w:val="99"/>
                <w:sz w:val="20"/>
                <w:szCs w:val="20"/>
              </w:rPr>
              <w:t> </w:t>
            </w:r>
            <w:r>
              <w:rPr>
                <w:rFonts w:ascii="宋体" w:hAnsi="宋体" w:cs="宋体" w:eastAsia="宋体" w:hint="default"/>
                <w:sz w:val="20"/>
                <w:szCs w:val="20"/>
              </w:rPr>
              <w:t>据项目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36,573,625.49</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36,573,625.49</w:t>
            </w:r>
            <w:r>
              <w:rPr>
                <w:rFonts w:ascii="Times New Roman"/>
                <w:sz w:val="20"/>
              </w:rPr>
            </w:r>
          </w:p>
        </w:tc>
      </w:tr>
      <w:tr>
        <w:trPr>
          <w:trHeight w:val="343" w:hRule="exact"/>
        </w:trPr>
        <w:tc>
          <w:tcPr>
            <w:tcW w:w="2693" w:type="dxa"/>
            <w:vMerge/>
            <w:tcBorders>
              <w:left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985"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93"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应收票据及应收账款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-36,573,625.49</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-36,573,625.49</w:t>
            </w:r>
            <w:r>
              <w:rPr>
                <w:rFonts w:ascii="Times New Roman"/>
                <w:sz w:val="20"/>
              </w:rPr>
            </w:r>
          </w:p>
        </w:tc>
      </w:tr>
      <w:tr>
        <w:trPr>
          <w:trHeight w:val="343" w:hRule="exact"/>
        </w:trPr>
        <w:tc>
          <w:tcPr>
            <w:tcW w:w="2693" w:type="dxa"/>
            <w:vMerge w:val="restart"/>
            <w:tcBorders>
              <w:top w:val="single" w:sz="4" w:space="0" w:color="000000"/>
              <w:left w:val="single" w:sz="4" w:space="0" w:color="000000"/>
              <w:right w:val="single" w:sz="4" w:space="0" w:color="000000"/>
            </w:tcBorders>
          </w:tcPr>
          <w:p>
            <w:pPr>
              <w:pStyle w:val="TableParagraph"/>
              <w:spacing w:line="285" w:lineRule="auto" w:before="35"/>
              <w:ind w:left="7" w:right="76"/>
              <w:jc w:val="both"/>
              <w:rPr>
                <w:rFonts w:ascii="宋体" w:hAnsi="宋体" w:cs="宋体" w:eastAsia="宋体" w:hint="default"/>
                <w:sz w:val="20"/>
                <w:szCs w:val="20"/>
              </w:rPr>
            </w:pPr>
            <w:r>
              <w:rPr>
                <w:rFonts w:ascii="宋体" w:hAnsi="宋体" w:cs="宋体" w:eastAsia="宋体" w:hint="default"/>
                <w:sz w:val="20"/>
                <w:szCs w:val="20"/>
              </w:rPr>
              <w:t>本公司将应付票据及应付账款</w:t>
            </w:r>
            <w:r>
              <w:rPr>
                <w:rFonts w:ascii="宋体" w:hAnsi="宋体" w:cs="宋体" w:eastAsia="宋体" w:hint="default"/>
                <w:w w:val="99"/>
                <w:sz w:val="20"/>
                <w:szCs w:val="20"/>
              </w:rPr>
              <w:t> </w:t>
            </w:r>
            <w:r>
              <w:rPr>
                <w:rFonts w:ascii="宋体" w:hAnsi="宋体" w:cs="宋体" w:eastAsia="宋体" w:hint="default"/>
                <w:sz w:val="20"/>
                <w:szCs w:val="20"/>
              </w:rPr>
              <w:t>项目分拆为应付账款和应付票</w:t>
            </w:r>
            <w:r>
              <w:rPr>
                <w:rFonts w:ascii="宋体" w:hAnsi="宋体" w:cs="宋体" w:eastAsia="宋体" w:hint="default"/>
                <w:w w:val="99"/>
                <w:sz w:val="20"/>
                <w:szCs w:val="20"/>
              </w:rPr>
              <w:t> </w:t>
            </w:r>
            <w:r>
              <w:rPr>
                <w:rFonts w:ascii="宋体" w:hAnsi="宋体" w:cs="宋体" w:eastAsia="宋体" w:hint="default"/>
                <w:sz w:val="20"/>
                <w:szCs w:val="20"/>
              </w:rPr>
              <w:t>据项目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w w:val="95"/>
                <w:sz w:val="20"/>
              </w:rPr>
              <w:t>15,925,517.83</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15,925,135.83</w:t>
            </w:r>
            <w:r>
              <w:rPr>
                <w:rFonts w:ascii="Times New Roman"/>
                <w:sz w:val="20"/>
              </w:rPr>
            </w:r>
          </w:p>
        </w:tc>
      </w:tr>
      <w:tr>
        <w:trPr>
          <w:trHeight w:val="341" w:hRule="exact"/>
        </w:trPr>
        <w:tc>
          <w:tcPr>
            <w:tcW w:w="2693" w:type="dxa"/>
            <w:vMerge/>
            <w:tcBorders>
              <w:left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985"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93"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w w:val="95"/>
                <w:sz w:val="20"/>
              </w:rPr>
              <w:t>-15,925,517.83</w:t>
            </w:r>
            <w:r>
              <w:rPr>
                <w:rFonts w:ascii="Times New Roman"/>
                <w:sz w:val="20"/>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-15,925,135.83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0" w:footer="979" w:top="1100" w:bottom="1160" w:left="980" w:right="0"/>
        </w:sectPr>
      </w:pPr>
    </w:p>
    <w:p>
      <w:pPr>
        <w:spacing w:line="240" w:lineRule="auto" w:before="12"/>
        <w:rPr>
          <w:rFonts w:ascii="宋体" w:hAnsi="宋体" w:cs="宋体" w:eastAsia="宋体" w:hint="default"/>
          <w:sz w:val="19"/>
          <w:szCs w:val="19"/>
        </w:rPr>
      </w:pPr>
    </w:p>
    <w:p>
      <w:pPr>
        <w:pStyle w:val="Heading3"/>
        <w:spacing w:line="367" w:lineRule="exact"/>
        <w:ind w:right="995"/>
        <w:jc w:val="left"/>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10"/>
        <w:rPr>
          <w:rFonts w:ascii="宋体" w:hAnsi="宋体" w:cs="宋体" w:eastAsia="宋体" w:hint="default"/>
          <w:sz w:val="13"/>
          <w:szCs w:val="13"/>
        </w:rPr>
      </w:pPr>
    </w:p>
    <w:p>
      <w:pPr>
        <w:pStyle w:val="Heading3"/>
        <w:spacing w:line="240" w:lineRule="auto"/>
        <w:ind w:right="995"/>
        <w:jc w:val="left"/>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彭建华、张媛</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9"/>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995"/>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995"/>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3"/>
          <w:szCs w:val="13"/>
        </w:rPr>
      </w:pPr>
    </w:p>
    <w:p>
      <w:pPr>
        <w:pStyle w:val="Heading3"/>
        <w:spacing w:line="240" w:lineRule="auto"/>
        <w:ind w:right="995"/>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11"/>
        <w:rPr>
          <w:rFonts w:ascii="宋体" w:hAnsi="宋体" w:cs="宋体" w:eastAsia="宋体" w:hint="default"/>
          <w:sz w:val="13"/>
          <w:szCs w:val="13"/>
        </w:rPr>
      </w:pPr>
    </w:p>
    <w:p>
      <w:pPr>
        <w:pStyle w:val="Heading3"/>
        <w:spacing w:line="240" w:lineRule="auto"/>
        <w:ind w:right="995"/>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10"/>
        <w:rPr>
          <w:rFonts w:ascii="宋体" w:hAnsi="宋体" w:cs="宋体" w:eastAsia="宋体" w:hint="default"/>
          <w:sz w:val="13"/>
          <w:szCs w:val="13"/>
        </w:rPr>
      </w:pPr>
    </w:p>
    <w:p>
      <w:pPr>
        <w:pStyle w:val="Heading3"/>
        <w:spacing w:line="240" w:lineRule="auto"/>
        <w:ind w:right="995"/>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2"/>
        <w:rPr>
          <w:rFonts w:ascii="宋体" w:hAnsi="宋体" w:cs="宋体" w:eastAsia="宋体" w:hint="default"/>
          <w:sz w:val="19"/>
          <w:szCs w:val="19"/>
        </w:rPr>
      </w:pPr>
    </w:p>
    <w:p>
      <w:pPr>
        <w:pStyle w:val="Heading3"/>
        <w:spacing w:line="367" w:lineRule="exact"/>
        <w:ind w:right="995"/>
        <w:jc w:val="left"/>
        <w:rPr>
          <w:b w:val="0"/>
          <w:bCs w:val="0"/>
        </w:rPr>
      </w:pPr>
      <w:r>
        <w:rPr/>
        <w:t>十四、公司股权激励计划、员工持股计划或其他员工激励措施的实施情况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3" w:right="4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10"/>
        <w:rPr>
          <w:rFonts w:ascii="宋体" w:hAnsi="宋体" w:cs="宋体" w:eastAsia="宋体" w:hint="default"/>
          <w:sz w:val="13"/>
          <w:szCs w:val="13"/>
        </w:rPr>
      </w:pPr>
    </w:p>
    <w:p>
      <w:pPr>
        <w:pStyle w:val="Heading3"/>
        <w:spacing w:line="240" w:lineRule="auto"/>
        <w:ind w:right="995"/>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5"/>
        <w:rPr>
          <w:rFonts w:ascii="宋体" w:hAnsi="宋体" w:cs="宋体" w:eastAsia="宋体" w:hint="default"/>
          <w:sz w:val="16"/>
          <w:szCs w:val="16"/>
        </w:rPr>
      </w:pPr>
    </w:p>
    <w:p>
      <w:pPr>
        <w:pStyle w:val="Heading7"/>
        <w:spacing w:line="240" w:lineRule="auto"/>
        <w:ind w:right="995"/>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4"/>
        <w:rPr>
          <w:rFonts w:ascii="宋体" w:hAnsi="宋体" w:cs="宋体" w:eastAsia="宋体" w:hint="default"/>
          <w:sz w:val="16"/>
          <w:szCs w:val="16"/>
        </w:rPr>
      </w:pPr>
    </w:p>
    <w:p>
      <w:pPr>
        <w:pStyle w:val="Heading7"/>
        <w:spacing w:line="240" w:lineRule="auto"/>
        <w:ind w:right="995"/>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6"/>
        <w:rPr>
          <w:rFonts w:ascii="宋体" w:hAnsi="宋体" w:cs="宋体" w:eastAsia="宋体" w:hint="default"/>
          <w:sz w:val="16"/>
          <w:szCs w:val="16"/>
        </w:rPr>
      </w:pPr>
    </w:p>
    <w:p>
      <w:pPr>
        <w:pStyle w:val="Heading7"/>
        <w:spacing w:line="240" w:lineRule="auto"/>
        <w:ind w:right="995"/>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16"/>
          <w:szCs w:val="16"/>
        </w:rPr>
      </w:pPr>
    </w:p>
    <w:p>
      <w:pPr>
        <w:pStyle w:val="Heading7"/>
        <w:spacing w:line="240" w:lineRule="auto"/>
        <w:ind w:right="995"/>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3"/>
          <w:szCs w:val="13"/>
        </w:rPr>
      </w:pPr>
    </w:p>
    <w:p>
      <w:pPr>
        <w:pStyle w:val="Heading3"/>
        <w:spacing w:line="240" w:lineRule="auto"/>
        <w:ind w:right="995"/>
        <w:jc w:val="left"/>
        <w:rPr>
          <w:b w:val="0"/>
          <w:bCs w:val="0"/>
        </w:rPr>
      </w:pPr>
      <w:r>
        <w:rPr/>
        <w:t>十六、重大合同及其履行情况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4"/>
        <w:rPr>
          <w:rFonts w:ascii="宋体" w:hAnsi="宋体" w:cs="宋体" w:eastAsia="宋体" w:hint="default"/>
          <w:sz w:val="16"/>
          <w:szCs w:val="16"/>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3"/>
        <w:rPr>
          <w:rFonts w:ascii="宋体" w:hAnsi="宋体" w:cs="宋体" w:eastAsia="宋体" w:hint="default"/>
          <w:sz w:val="21"/>
          <w:szCs w:val="21"/>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公司报告期不存在承包情况。</w:t>
      </w:r>
    </w:p>
    <w:p>
      <w:pPr>
        <w:spacing w:line="240" w:lineRule="auto" w:before="2"/>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租赁情况说明</w:t>
      </w:r>
    </w:p>
    <w:p>
      <w:pPr>
        <w:pStyle w:val="BodyText"/>
        <w:spacing w:line="408" w:lineRule="auto" w:before="99"/>
        <w:ind w:left="573" w:right="4570" w:hanging="104"/>
        <w:jc w:val="center"/>
      </w:pPr>
      <w:r>
        <w:rPr/>
        <w:t>公司办事处使用的办公场所及总部库房目前是向第三方租用。</w:t>
      </w:r>
      <w:r>
        <w:rPr>
          <w:w w:val="100"/>
        </w:rPr>
        <w:t> </w:t>
      </w:r>
      <w:r>
        <w:rPr>
          <w:spacing w:val="-2"/>
        </w:rPr>
        <w:t>公司将部分办公场所对外出租，报告期收到租赁收入</w:t>
      </w:r>
      <w:r>
        <w:rPr>
          <w:rFonts w:ascii="Times New Roman" w:hAnsi="Times New Roman" w:cs="Times New Roman" w:eastAsia="Times New Roman" w:hint="default"/>
          <w:spacing w:val="-2"/>
        </w:rPr>
        <w:t>217</w:t>
      </w:r>
      <w:r>
        <w:rPr>
          <w:spacing w:val="-2"/>
        </w:rPr>
        <w:t>万元。</w:t>
      </w:r>
    </w:p>
    <w:p>
      <w:pPr>
        <w:spacing w:line="246" w:lineRule="exact"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after="0" w:line="340" w:lineRule="auto"/>
        <w:jc w:val="left"/>
        <w:rPr>
          <w:rFonts w:ascii="宋体" w:hAnsi="宋体" w:cs="宋体" w:eastAsia="宋体" w:hint="default"/>
          <w:sz w:val="18"/>
          <w:szCs w:val="18"/>
        </w:rPr>
        <w:sectPr>
          <w:pgSz w:w="11910" w:h="16840"/>
          <w:pgMar w:header="880" w:footer="979" w:top="1100" w:bottom="1160" w:left="980" w:right="0"/>
        </w:sectPr>
      </w:pPr>
    </w:p>
    <w:p>
      <w:pPr>
        <w:pStyle w:val="Heading7"/>
        <w:spacing w:line="352" w:lineRule="exact"/>
        <w:ind w:left="140" w:right="10678"/>
        <w:jc w:val="left"/>
        <w:rPr>
          <w:b w:val="0"/>
          <w:bCs w:val="0"/>
        </w:rPr>
      </w:pPr>
      <w:r>
        <w:rPr/>
        <w:pict>
          <v:group style="position:absolute;margin-left:70.559998pt;margin-top:2.102063pt;width:700.9pt;height:.1pt;mso-position-horizontal-relative:page;mso-position-vertical-relative:paragraph;z-index:-863752" coordorigin="1411,42" coordsize="14018,2">
            <v:shape style="position:absolute;left:1411;top:42;width:14018;height:2" coordorigin="1411,42" coordsize="14018,0" path="m1411,42l15429,42e" filled="false" stroked="true" strokeweight=".72pt" strokecolor="#000000">
              <v:path arrowok="t"/>
            </v:shape>
            <w10:wrap type="none"/>
          </v:group>
        </w:pict>
      </w: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left="140" w:right="10678"/>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headerReference w:type="default" r:id="rId33"/>
          <w:footerReference w:type="default" r:id="rId34"/>
          <w:pgSz w:w="16840" w:h="11910" w:orient="landscape"/>
          <w:pgMar w:header="870" w:footer="979" w:top="1060" w:bottom="1160" w:left="1300" w:right="1280"/>
          <w:pgNumType w:start="45"/>
        </w:sectPr>
      </w:pPr>
    </w:p>
    <w:p>
      <w:pPr>
        <w:spacing w:line="338" w:lineRule="auto" w:before="44"/>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6840" w:h="11910" w:orient="landscape"/>
          <w:pgMar w:top="1060" w:bottom="1160" w:left="1300" w:right="1280"/>
          <w:cols w:num="2" w:equalWidth="0">
            <w:col w:w="1941" w:space="11021"/>
            <w:col w:w="1298"/>
          </w:cols>
        </w:sectPr>
      </w:pP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736"/>
        <w:gridCol w:w="2876"/>
        <w:gridCol w:w="2902"/>
        <w:gridCol w:w="2797"/>
        <w:gridCol w:w="2707"/>
      </w:tblGrid>
      <w:tr>
        <w:trPr>
          <w:trHeight w:val="401" w:hRule="exact"/>
        </w:trPr>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3"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6"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2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2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自有资金和专项资金</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5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65,500</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280"/>
        </w:sectPr>
      </w:pPr>
    </w:p>
    <w:p>
      <w:pPr>
        <w:spacing w:before="49"/>
        <w:ind w:left="140" w:right="-2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9"/>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6840" w:h="11910" w:orient="landscape"/>
          <w:pgMar w:top="1060" w:bottom="1160" w:left="1300" w:right="1280"/>
          <w:cols w:num="2" w:equalWidth="0">
            <w:col w:w="6261" w:space="6701"/>
            <w:col w:w="1298"/>
          </w:cols>
        </w:sectPr>
      </w:pP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023"/>
        <w:gridCol w:w="994"/>
        <w:gridCol w:w="847"/>
        <w:gridCol w:w="569"/>
        <w:gridCol w:w="821"/>
        <w:gridCol w:w="823"/>
        <w:gridCol w:w="821"/>
        <w:gridCol w:w="821"/>
        <w:gridCol w:w="821"/>
        <w:gridCol w:w="821"/>
        <w:gridCol w:w="821"/>
        <w:gridCol w:w="821"/>
        <w:gridCol w:w="821"/>
        <w:gridCol w:w="805"/>
        <w:gridCol w:w="802"/>
        <w:gridCol w:w="802"/>
        <w:gridCol w:w="787"/>
      </w:tblGrid>
      <w:tr>
        <w:trPr>
          <w:trHeight w:val="1337"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5" w:right="57"/>
              <w:jc w:val="both"/>
              <w:rPr>
                <w:rFonts w:ascii="宋体" w:hAnsi="宋体" w:cs="宋体" w:eastAsia="宋体" w:hint="default"/>
                <w:sz w:val="18"/>
                <w:szCs w:val="18"/>
              </w:rPr>
            </w:pPr>
            <w:r>
              <w:rPr>
                <w:rFonts w:ascii="宋体" w:hAnsi="宋体" w:cs="宋体" w:eastAsia="宋体" w:hint="default"/>
                <w:sz w:val="18"/>
                <w:szCs w:val="18"/>
              </w:rPr>
              <w:t>受托机构名 称（或受托 人姓名）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6" w:lineRule="auto" w:before="76"/>
              <w:ind w:left="129" w:right="132"/>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3" w:right="46"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34" w:right="47" w:hanging="92"/>
              <w:jc w:val="left"/>
              <w:rPr>
                <w:rFonts w:ascii="宋体" w:hAnsi="宋体" w:cs="宋体" w:eastAsia="宋体" w:hint="default"/>
                <w:sz w:val="18"/>
                <w:szCs w:val="18"/>
              </w:rPr>
            </w:pPr>
            <w:r>
              <w:rPr>
                <w:rFonts w:ascii="宋体" w:hAnsi="宋体" w:cs="宋体" w:eastAsia="宋体" w:hint="default"/>
                <w:sz w:val="18"/>
                <w:szCs w:val="18"/>
              </w:rPr>
              <w:t>参考年化 收益率</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 w:right="0"/>
              <w:jc w:val="left"/>
              <w:rPr>
                <w:rFonts w:ascii="宋体" w:hAnsi="宋体" w:cs="宋体" w:eastAsia="宋体" w:hint="default"/>
                <w:sz w:val="18"/>
                <w:szCs w:val="18"/>
              </w:rPr>
            </w:pPr>
            <w:r>
              <w:rPr>
                <w:rFonts w:ascii="宋体" w:hAnsi="宋体" w:cs="宋体" w:eastAsia="宋体" w:hint="default"/>
                <w:sz w:val="18"/>
                <w:szCs w:val="18"/>
              </w:rPr>
              <w:t>预期收益</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3"/>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9"/>
              <w:ind w:left="3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5" w:right="35"/>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5"/>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6"/>
              <w:jc w:val="both"/>
              <w:rPr>
                <w:rFonts w:ascii="宋体" w:hAnsi="宋体" w:cs="宋体" w:eastAsia="宋体" w:hint="default"/>
                <w:sz w:val="18"/>
                <w:szCs w:val="18"/>
              </w:rPr>
            </w:pPr>
            <w:r>
              <w:rPr>
                <w:rFonts w:ascii="宋体" w:hAnsi="宋体" w:cs="宋体" w:eastAsia="宋体" w:hint="default"/>
                <w:sz w:val="18"/>
                <w:szCs w:val="18"/>
              </w:rPr>
              <w:t>事项概述 及相关查 询索引</w:t>
            </w:r>
          </w:p>
          <w:p>
            <w:pPr>
              <w:pStyle w:val="TableParagraph"/>
              <w:spacing w:line="240" w:lineRule="auto" w:before="19"/>
              <w:ind w:left="28" w:right="0"/>
              <w:jc w:val="both"/>
              <w:rPr>
                <w:rFonts w:ascii="宋体" w:hAnsi="宋体" w:cs="宋体" w:eastAsia="宋体" w:hint="default"/>
                <w:sz w:val="18"/>
                <w:szCs w:val="18"/>
              </w:rPr>
            </w:pPr>
            <w:r>
              <w:rPr>
                <w:rFonts w:ascii="宋体" w:hAnsi="宋体" w:cs="宋体" w:eastAsia="宋体" w:hint="default"/>
                <w:sz w:val="18"/>
                <w:szCs w:val="18"/>
              </w:rPr>
              <w:t>（如有）</w:t>
            </w:r>
          </w:p>
        </w:tc>
      </w:tr>
      <w:tr>
        <w:trPr>
          <w:trHeight w:val="71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4.60%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11.47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11.47</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5,500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4.35%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59.65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59.65</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4.25%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10.60</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5,500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4.20%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57.59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57.59</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4.20%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10.22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10.22</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60" w:left="1300" w:right="1280"/>
        </w:sectPr>
      </w:pPr>
    </w:p>
    <w:p>
      <w:pPr>
        <w:spacing w:line="240" w:lineRule="auto" w:before="9"/>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023"/>
        <w:gridCol w:w="994"/>
        <w:gridCol w:w="847"/>
        <w:gridCol w:w="569"/>
        <w:gridCol w:w="821"/>
        <w:gridCol w:w="823"/>
        <w:gridCol w:w="821"/>
        <w:gridCol w:w="821"/>
        <w:gridCol w:w="821"/>
        <w:gridCol w:w="821"/>
        <w:gridCol w:w="821"/>
        <w:gridCol w:w="821"/>
        <w:gridCol w:w="821"/>
        <w:gridCol w:w="805"/>
        <w:gridCol w:w="802"/>
        <w:gridCol w:w="802"/>
        <w:gridCol w:w="787"/>
      </w:tblGrid>
      <w:tr>
        <w:trPr>
          <w:trHeight w:val="730" w:hRule="exact"/>
        </w:trPr>
        <w:tc>
          <w:tcPr>
            <w:tcW w:w="10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3"/>
              <w:ind w:left="21"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3,500</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4.30%</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4.30%</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37.52</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38.12</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38.12</w:t>
            </w:r>
          </w:p>
        </w:tc>
        <w:tc>
          <w:tcPr>
            <w:tcW w:w="805"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95"/>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6,500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3.95%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3.95%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63.31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63.31</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95"/>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6,500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3.80%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3.80%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62.26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62.26</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95"/>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6,500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3.75%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3.75%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61.44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61.44</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1,000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4.10%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4.10%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10.21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10.21</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5,500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4.30%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4.30%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68.82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68.82</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1"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5,500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3.55%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3.55%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18.72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18.72</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95"/>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6,500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专项资金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3.65%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3.65%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59.15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59.15</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1,000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10"/>
              <w:jc w:val="right"/>
              <w:rPr>
                <w:rFonts w:ascii="Times New Roman" w:hAnsi="Times New Roman" w:cs="Times New Roman" w:eastAsia="Times New Roman" w:hint="default"/>
                <w:sz w:val="18"/>
                <w:szCs w:val="18"/>
              </w:rPr>
            </w:pPr>
            <w:r>
              <w:rPr>
                <w:rFonts w:ascii="Times New Roman"/>
                <w:sz w:val="18"/>
              </w:rPr>
              <w:t>4.0%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4.00%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3,500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4.10%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4.10%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95"/>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5,500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1"/>
              <w:jc w:val="right"/>
              <w:rPr>
                <w:rFonts w:ascii="Times New Roman" w:hAnsi="Times New Roman" w:cs="Times New Roman" w:eastAsia="Times New Roman" w:hint="default"/>
                <w:sz w:val="18"/>
                <w:szCs w:val="18"/>
              </w:rPr>
            </w:pPr>
            <w:r>
              <w:rPr>
                <w:rFonts w:ascii="Times New Roman"/>
                <w:sz w:val="18"/>
              </w:rPr>
              <w:t>3.50%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3.50%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65,500</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46"/>
              <w:jc w:val="right"/>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531.56</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7"/>
        <w:ind w:left="140" w:right="10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0"/>
        <w:rPr>
          <w:rFonts w:ascii="宋体" w:hAnsi="宋体" w:cs="宋体" w:eastAsia="宋体" w:hint="default"/>
          <w:sz w:val="21"/>
          <w:szCs w:val="21"/>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6"/>
        <w:rPr>
          <w:rFonts w:ascii="宋体" w:hAnsi="宋体" w:cs="宋体" w:eastAsia="宋体" w:hint="default"/>
          <w:sz w:val="16"/>
          <w:szCs w:val="16"/>
        </w:rPr>
      </w:pPr>
    </w:p>
    <w:p>
      <w:pPr>
        <w:pStyle w:val="Heading7"/>
        <w:spacing w:line="240" w:lineRule="auto"/>
        <w:ind w:right="995"/>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10"/>
        <w:rPr>
          <w:rFonts w:ascii="宋体" w:hAnsi="宋体" w:cs="宋体" w:eastAsia="宋体" w:hint="default"/>
          <w:sz w:val="13"/>
          <w:szCs w:val="13"/>
        </w:rPr>
      </w:pPr>
    </w:p>
    <w:p>
      <w:pPr>
        <w:pStyle w:val="Heading3"/>
        <w:spacing w:line="240" w:lineRule="auto"/>
        <w:ind w:right="995"/>
        <w:jc w:val="left"/>
        <w:rPr>
          <w:b w:val="0"/>
          <w:bCs w:val="0"/>
        </w:rPr>
      </w:pPr>
      <w:r>
        <w:rPr/>
        <w:t>十七、社会责任情况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BodyText"/>
        <w:spacing w:line="496" w:lineRule="auto" w:before="0"/>
        <w:ind w:left="573" w:right="995" w:hanging="42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、履行社会责任情况</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3"/>
        </w:rPr>
        <w:t>报告期内，公司积极履行企业社会责任，组织协调各职能部门工作，促进公司规范运作，公司在不断</w:t>
      </w:r>
    </w:p>
    <w:p>
      <w:pPr>
        <w:pStyle w:val="BodyText"/>
        <w:spacing w:line="243" w:lineRule="exact" w:before="0"/>
        <w:ind w:right="995"/>
        <w:jc w:val="left"/>
      </w:pPr>
      <w:r>
        <w:rPr/>
        <w:t>为股东创造价值的同时，也积极承担对职工、客户、社会等其他利益相关者的责任，公司严格按照《公司</w:t>
      </w:r>
    </w:p>
    <w:p>
      <w:pPr>
        <w:spacing w:line="240" w:lineRule="auto" w:before="10"/>
        <w:rPr>
          <w:rFonts w:ascii="宋体" w:hAnsi="宋体" w:cs="宋体" w:eastAsia="宋体" w:hint="default"/>
          <w:sz w:val="14"/>
          <w:szCs w:val="14"/>
        </w:rPr>
      </w:pPr>
    </w:p>
    <w:p>
      <w:pPr>
        <w:pStyle w:val="BodyText"/>
        <w:spacing w:line="408" w:lineRule="auto" w:before="0"/>
        <w:ind w:right="1104"/>
        <w:jc w:val="both"/>
      </w:pPr>
      <w:r>
        <w:rPr>
          <w:spacing w:val="-2"/>
        </w:rPr>
        <w:t>法》、《深圳证券交易所创业板股票上市规则》、《上市公司信息披露管理办法》、《公司章程》的规定</w:t>
      </w:r>
      <w:r>
        <w:rPr>
          <w:spacing w:val="-44"/>
        </w:rPr>
        <w:t> </w:t>
      </w:r>
      <w:r>
        <w:rPr>
          <w:spacing w:val="-44"/>
        </w:rPr>
      </w:r>
      <w:r>
        <w:rPr>
          <w:spacing w:val="-2"/>
        </w:rPr>
        <w:t>和要求，规范股东大会的召集、召开及表决程序，通过现场、网络等合法有效的方式，让更多的股东特别</w:t>
      </w:r>
      <w:r>
        <w:rPr>
          <w:spacing w:val="-43"/>
        </w:rPr>
        <w:t> </w:t>
      </w:r>
      <w:r>
        <w:rPr>
          <w:spacing w:val="-43"/>
        </w:rPr>
      </w:r>
      <w:r>
        <w:rPr>
          <w:spacing w:val="-2"/>
        </w:rPr>
        <w:t>是中小股东能够参加股东大会，确保股东对公司重大事项的知情权、参与权和表决权，公司认真履行信息</w:t>
      </w:r>
      <w:r>
        <w:rPr>
          <w:spacing w:val="-45"/>
        </w:rPr>
        <w:t> </w:t>
      </w:r>
      <w:r>
        <w:rPr>
          <w:spacing w:val="-45"/>
        </w:rPr>
      </w:r>
      <w:r>
        <w:rPr>
          <w:spacing w:val="-2"/>
        </w:rPr>
        <w:t>披露义务，及时、准确、真实、完整进行信息披露工作，秉持公平、公正、公开的原则对待全体投资者，</w:t>
      </w:r>
      <w:r>
        <w:rPr>
          <w:spacing w:val="-21"/>
        </w:rPr>
        <w:t> </w:t>
      </w:r>
      <w:r>
        <w:rPr>
          <w:spacing w:val="-21"/>
        </w:rPr>
      </w:r>
      <w:r>
        <w:rPr>
          <w:spacing w:val="-2"/>
        </w:rPr>
        <w:t>维护广大投资者的利益。公司亦注重员工的人身安全、劳动保护和身心健康的保护，切实履行企业主体责</w:t>
      </w:r>
      <w:r>
        <w:rPr>
          <w:spacing w:val="-42"/>
        </w:rPr>
        <w:t> </w:t>
      </w:r>
      <w:r>
        <w:rPr>
          <w:spacing w:val="-42"/>
        </w:rPr>
      </w:r>
      <w:r>
        <w:rPr>
          <w:spacing w:val="-2"/>
        </w:rPr>
        <w:t>任。公司长期以来一直重视员工的未来职业发展规划，通过多种方式为员工提供平等的发展机会，尊重和</w:t>
      </w:r>
      <w:r>
        <w:rPr>
          <w:spacing w:val="-43"/>
        </w:rPr>
        <w:t> </w:t>
      </w:r>
      <w:r>
        <w:rPr>
          <w:spacing w:val="-43"/>
        </w:rPr>
      </w:r>
      <w:r>
        <w:rPr>
          <w:spacing w:val="-2"/>
        </w:rPr>
        <w:t>维护员工的个人利益，对人员录用、员工培训、工资薪酬、福利保障等进行了详细规定，建立了较为完善</w:t>
      </w:r>
      <w:r>
        <w:rPr>
          <w:spacing w:val="-43"/>
        </w:rPr>
        <w:t> </w:t>
      </w:r>
      <w:r>
        <w:rPr>
          <w:spacing w:val="-43"/>
        </w:rPr>
      </w:r>
      <w:r>
        <w:rPr/>
        <w:t>的绩效考核体系，重视人才培养，实现员工与企业的共同成长。</w:t>
      </w:r>
    </w:p>
    <w:p>
      <w:pPr>
        <w:pStyle w:val="BodyText"/>
        <w:spacing w:line="400" w:lineRule="auto"/>
        <w:ind w:right="1022" w:firstLine="420"/>
        <w:jc w:val="both"/>
      </w:pPr>
      <w:r>
        <w:rPr/>
        <w:t>公司在保持稳定经营实现可持续发展的同时也高度重视教育资源的可持续发展，公司在报告期内公司</w:t>
      </w:r>
      <w:r>
        <w:rPr>
          <w:w w:val="100"/>
        </w:rPr>
        <w:t> </w:t>
      </w:r>
      <w:r>
        <w:rPr/>
        <w:t>向深圳市南山区的慈善基金捐赠了</w:t>
      </w:r>
      <w:r>
        <w:rPr>
          <w:rFonts w:ascii="Times New Roman" w:hAnsi="Times New Roman" w:cs="Times New Roman" w:eastAsia="Times New Roman" w:hint="default"/>
        </w:rPr>
        <w:t>14.5</w:t>
      </w:r>
      <w:r>
        <w:rPr/>
        <w:t>万套的金太阳教育软件产品，希望通过我们的方式帮助到扶贫地区</w:t>
      </w:r>
      <w:r>
        <w:rPr>
          <w:w w:val="100"/>
        </w:rPr>
        <w:t> </w:t>
      </w:r>
      <w:r>
        <w:rPr>
          <w:spacing w:val="-2"/>
        </w:rPr>
        <w:t>的孩子们，为孩子们提供更多丰富的教育资源，推动更多地区扶贫工作，提升扶贫地区教育教学水平，让</w:t>
      </w:r>
      <w:r>
        <w:rPr>
          <w:spacing w:val="-47"/>
        </w:rPr>
        <w:t> </w:t>
      </w:r>
      <w:r>
        <w:rPr>
          <w:spacing w:val="-47"/>
        </w:rPr>
      </w:r>
      <w:r>
        <w:rPr>
          <w:spacing w:val="-4"/>
        </w:rPr>
        <w:t>每个孩子都能获得优质的教育资源，践行企业社会责任，以实际行动践行</w:t>
      </w:r>
      <w:r>
        <w:rPr>
          <w:rFonts w:ascii="Times New Roman" w:hAnsi="Times New Roman" w:cs="Times New Roman" w:eastAsia="Times New Roman" w:hint="default"/>
          <w:spacing w:val="-4"/>
        </w:rPr>
        <w:t>“</w:t>
      </w:r>
      <w:r>
        <w:rPr>
          <w:spacing w:val="-4"/>
        </w:rPr>
        <w:t>人人分享优质教育资源</w:t>
      </w:r>
      <w:r>
        <w:rPr>
          <w:rFonts w:ascii="Times New Roman" w:hAnsi="Times New Roman" w:cs="Times New Roman" w:eastAsia="Times New Roman" w:hint="default"/>
          <w:spacing w:val="-4"/>
        </w:rPr>
        <w:t>”</w:t>
      </w:r>
      <w:r>
        <w:rPr>
          <w:spacing w:val="-4"/>
        </w:rPr>
        <w:t>的理念。</w:t>
      </w:r>
    </w:p>
    <w:p>
      <w:pPr>
        <w:spacing w:line="496" w:lineRule="auto" w:before="178"/>
        <w:ind w:left="573" w:right="211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、履行精准扶贫社会责任情况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公司报告年度暂未开展精准扶贫工作，也暂无后续精准扶贫计划。</w:t>
      </w:r>
    </w:p>
    <w:p>
      <w:pPr>
        <w:pStyle w:val="Heading7"/>
        <w:spacing w:line="240" w:lineRule="auto" w:before="125"/>
        <w:ind w:right="995"/>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5713"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after="0" w:line="357" w:lineRule="auto"/>
        <w:jc w:val="left"/>
        <w:rPr>
          <w:rFonts w:ascii="宋体" w:hAnsi="宋体" w:cs="宋体" w:eastAsia="宋体" w:hint="default"/>
          <w:sz w:val="18"/>
          <w:szCs w:val="18"/>
        </w:rPr>
        <w:sectPr>
          <w:headerReference w:type="default" r:id="rId35"/>
          <w:footerReference w:type="default" r:id="rId36"/>
          <w:pgSz w:w="11910" w:h="16840"/>
          <w:pgMar w:header="880" w:footer="979" w:top="1100" w:bottom="1160" w:left="980" w:right="0"/>
          <w:pgNumType w:start="47"/>
        </w:sectPr>
      </w:pPr>
    </w:p>
    <w:p>
      <w:pPr>
        <w:spacing w:line="240" w:lineRule="auto" w:before="0"/>
        <w:rPr>
          <w:rFonts w:ascii="宋体" w:hAnsi="宋体" w:cs="宋体" w:eastAsia="宋体" w:hint="default"/>
          <w:sz w:val="21"/>
          <w:szCs w:val="21"/>
        </w:rPr>
      </w:pPr>
    </w:p>
    <w:p>
      <w:pPr>
        <w:pStyle w:val="BodyText"/>
        <w:spacing w:line="240" w:lineRule="auto" w:before="36"/>
        <w:ind w:left="573" w:right="995"/>
        <w:jc w:val="left"/>
      </w:pPr>
      <w:r>
        <w:rPr/>
        <w:t>公司及其子公司不属于环境保护部门公布的重点排污单位。</w:t>
      </w:r>
    </w:p>
    <w:p>
      <w:pPr>
        <w:spacing w:line="240" w:lineRule="auto" w:before="0"/>
        <w:rPr>
          <w:rFonts w:ascii="宋体" w:hAnsi="宋体" w:cs="宋体" w:eastAsia="宋体" w:hint="default"/>
          <w:sz w:val="18"/>
          <w:szCs w:val="18"/>
        </w:rPr>
      </w:pPr>
    </w:p>
    <w:p>
      <w:pPr>
        <w:pStyle w:val="Heading3"/>
        <w:spacing w:line="240" w:lineRule="auto"/>
        <w:ind w:right="0"/>
        <w:jc w:val="both"/>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7"/>
        <w:ind w:left="573" w:right="995"/>
        <w:jc w:val="left"/>
      </w:pPr>
      <w:r>
        <w:rPr>
          <w:rFonts w:ascii="Times New Roman" w:hAnsi="Times New Roman" w:cs="Times New Roman" w:eastAsia="Times New Roman" w:hint="default"/>
        </w:rPr>
        <w:t>1</w:t>
      </w:r>
      <w:r>
        <w:rPr/>
        <w:t>、北京千锋互联科技有限公司返还投资款事项</w:t>
      </w:r>
    </w:p>
    <w:p>
      <w:pPr>
        <w:pStyle w:val="BodyText"/>
        <w:spacing w:line="386" w:lineRule="auto" w:before="177"/>
        <w:ind w:right="995"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日，公司召开第三届董事会第二十九次会议审议通过了《关于签署</w:t>
      </w:r>
      <w:r>
        <w:rPr>
          <w:rFonts w:ascii="Times New Roman" w:hAnsi="Times New Roman" w:cs="Times New Roman" w:eastAsia="Times New Roman" w:hint="default"/>
        </w:rPr>
        <w:t>&lt;</w:t>
      </w:r>
      <w:r>
        <w:rPr/>
        <w:t>关于北京千锋互联</w:t>
      </w:r>
      <w:r>
        <w:rPr>
          <w:w w:val="100"/>
        </w:rPr>
        <w:t> </w:t>
      </w:r>
      <w:r>
        <w:rPr/>
        <w:t>科技有限公司之退股返还投资款协议</w:t>
      </w:r>
      <w:r>
        <w:rPr>
          <w:rFonts w:ascii="Times New Roman" w:hAnsi="Times New Roman" w:cs="Times New Roman" w:eastAsia="Times New Roman" w:hint="default"/>
        </w:rPr>
        <w:t>&gt;</w:t>
      </w:r>
      <w:r>
        <w:rPr/>
        <w:t>的议案》，公司与千锋互联及其原股东签署了《关于北京千锋互联</w:t>
      </w:r>
      <w:r>
        <w:rPr>
          <w:spacing w:val="-37"/>
        </w:rPr>
        <w:t> </w:t>
      </w:r>
      <w:r>
        <w:rPr>
          <w:spacing w:val="-37"/>
        </w:rPr>
      </w:r>
      <w:r>
        <w:rPr/>
        <w:t>科技有限公司之退股返还投资款协议》，千锋互联及其原股东同意方直科技退出所占千锋互联</w:t>
      </w:r>
      <w:r>
        <w:rPr>
          <w:rFonts w:ascii="Times New Roman" w:hAnsi="Times New Roman" w:cs="Times New Roman" w:eastAsia="Times New Roman" w:hint="default"/>
        </w:rPr>
        <w:t>12%</w:t>
      </w:r>
      <w:r>
        <w:rPr/>
        <w:t>股份并</w:t>
      </w:r>
      <w:r>
        <w:rPr>
          <w:spacing w:val="-98"/>
        </w:rPr>
        <w:t> </w:t>
      </w:r>
      <w:r>
        <w:rPr>
          <w:spacing w:val="-98"/>
        </w:rPr>
      </w:r>
      <w:r>
        <w:rPr>
          <w:spacing w:val="-2"/>
        </w:rPr>
        <w:t>返还全部投资款人民币</w:t>
      </w:r>
      <w:r>
        <w:rPr>
          <w:rFonts w:ascii="Times New Roman" w:hAnsi="Times New Roman" w:cs="Times New Roman" w:eastAsia="Times New Roman" w:hint="default"/>
          <w:spacing w:val="-2"/>
        </w:rPr>
        <w:t>81,000,000</w:t>
      </w:r>
      <w:r>
        <w:rPr>
          <w:spacing w:val="-2"/>
        </w:rPr>
        <w:t>元及利息。退出对千锋互联的投资不会影响公司既定的经营及投资战略，</w:t>
      </w:r>
      <w:r>
        <w:rPr>
          <w:spacing w:val="-34"/>
        </w:rPr>
        <w:t> </w:t>
      </w:r>
      <w:r>
        <w:rPr>
          <w:spacing w:val="-34"/>
        </w:rPr>
      </w:r>
      <w:r>
        <w:rPr/>
        <w:t>对公司的经营成果等无重大影响。</w:t>
      </w:r>
    </w:p>
    <w:p>
      <w:pPr>
        <w:pStyle w:val="BodyText"/>
        <w:spacing w:line="393" w:lineRule="auto" w:before="65"/>
        <w:ind w:right="1105" w:firstLine="420"/>
        <w:jc w:val="both"/>
      </w:pPr>
      <w:r>
        <w:rPr>
          <w:spacing w:val="-2"/>
        </w:rPr>
        <w:t>为降低回款风险，公司在报告期内向法院提起诉讼，要求三位原股东履行还款义务，法院受理了该案</w:t>
      </w:r>
      <w:r>
        <w:rPr>
          <w:w w:val="100"/>
        </w:rPr>
        <w:t> </w:t>
      </w:r>
      <w:r>
        <w:rPr/>
        <w:t>件，但诉讼期间各方选择庭外和解。千锋互联公司及千锋互联三位原股东已归还全部本金</w:t>
      </w:r>
      <w:r>
        <w:rPr>
          <w:rFonts w:ascii="Times New Roman" w:hAnsi="Times New Roman" w:cs="Times New Roman" w:eastAsia="Times New Roman" w:hint="default"/>
        </w:rPr>
        <w:t>81,000,000</w:t>
      </w:r>
      <w:r>
        <w:rPr/>
        <w:t>元及</w:t>
      </w:r>
      <w:r>
        <w:rPr>
          <w:spacing w:val="-22"/>
        </w:rPr>
        <w:t> </w:t>
      </w:r>
      <w:r>
        <w:rPr>
          <w:spacing w:val="-1"/>
        </w:rPr>
        <w:t>利息</w:t>
      </w:r>
      <w:r>
        <w:rPr>
          <w:rFonts w:ascii="Times New Roman" w:hAnsi="Times New Roman" w:cs="Times New Roman" w:eastAsia="Times New Roman" w:hint="default"/>
          <w:spacing w:val="-1"/>
        </w:rPr>
        <w:t>12,745,180.82</w:t>
      </w:r>
      <w:r>
        <w:rPr>
          <w:spacing w:val="-1"/>
        </w:rPr>
        <w:t>元，公司积极配合千锋互联按工商登记管理部门的规定和程序已完成了股权变更手续，</w:t>
      </w:r>
      <w:r>
        <w:rPr>
          <w:spacing w:val="-26"/>
        </w:rPr>
        <w:t> </w:t>
      </w:r>
      <w:r>
        <w:rPr>
          <w:spacing w:val="-26"/>
        </w:rPr>
      </w:r>
      <w:r>
        <w:rPr>
          <w:spacing w:val="-2"/>
        </w:rPr>
        <w:t>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日披露了《关于退出北京千锋互联科技有限公司投资暨工商登记变更完成的公告》</w:t>
      </w:r>
    </w:p>
    <w:p>
      <w:pPr>
        <w:pStyle w:val="BodyText"/>
        <w:spacing w:line="386" w:lineRule="auto" w:before="28"/>
        <w:ind w:left="573" w:right="1118" w:hanging="420"/>
        <w:jc w:val="left"/>
      </w:pPr>
      <w:r>
        <w:rPr/>
        <w:t>（公告编号：</w:t>
      </w:r>
      <w:r>
        <w:rPr>
          <w:rFonts w:ascii="Times New Roman" w:hAnsi="Times New Roman" w:cs="Times New Roman" w:eastAsia="Times New Roman" w:hint="default"/>
        </w:rPr>
        <w:t>2019-051</w:t>
      </w:r>
      <w:r>
        <w:rPr/>
        <w:t>），本次退股后，公司不再持有千锋互联任何股权。</w:t>
      </w:r>
      <w:r>
        <w:rPr>
          <w:w w:val="100"/>
        </w:rPr>
        <w:t> </w:t>
      </w:r>
      <w:r>
        <w:rPr>
          <w:rFonts w:ascii="Times New Roman" w:hAnsi="Times New Roman" w:cs="Times New Roman" w:eastAsia="Times New Roman" w:hint="default"/>
        </w:rPr>
        <w:t>2</w:t>
      </w:r>
      <w:r>
        <w:rPr/>
        <w:t>、教育产业投资基金投资项目</w:t>
      </w:r>
      <w:r>
        <w:rPr>
          <w:w w:val="100"/>
        </w:rPr>
        <w:t> </w:t>
      </w:r>
      <w:r>
        <w:rPr>
          <w:spacing w:val="-2"/>
        </w:rPr>
        <w:t>公司以有限合伙人身份用自有资金人民币</w:t>
      </w:r>
      <w:r>
        <w:rPr>
          <w:rFonts w:ascii="Times New Roman" w:hAnsi="Times New Roman" w:cs="Times New Roman" w:eastAsia="Times New Roman" w:hint="default"/>
          <w:spacing w:val="-2"/>
        </w:rPr>
        <w:t>12,000</w:t>
      </w:r>
      <w:r>
        <w:rPr>
          <w:spacing w:val="-2"/>
        </w:rPr>
        <w:t>万元，与深圳嘉道谷投资管理有限公司、深圳嘉道功</w:t>
      </w:r>
    </w:p>
    <w:p>
      <w:pPr>
        <w:pStyle w:val="BodyText"/>
        <w:spacing w:line="398" w:lineRule="auto" w:before="35"/>
        <w:ind w:right="1051"/>
        <w:jc w:val="both"/>
      </w:pPr>
      <w:r>
        <w:rPr>
          <w:spacing w:val="-2"/>
        </w:rPr>
        <w:t>程股权投资基金（有限合伙）共同发起设立深圳嘉道方直教育产业投资企业（有限合伙），该基金认缴出</w:t>
      </w:r>
      <w:r>
        <w:rPr>
          <w:spacing w:val="-43"/>
        </w:rPr>
        <w:t> </w:t>
      </w:r>
      <w:r>
        <w:rPr>
          <w:spacing w:val="-43"/>
        </w:rPr>
      </w:r>
      <w:r>
        <w:rPr/>
        <w:t>资总规模为人民币</w:t>
      </w:r>
      <w:r>
        <w:rPr>
          <w:rFonts w:ascii="Times New Roman" w:hAnsi="Times New Roman" w:cs="Times New Roman" w:eastAsia="Times New Roman" w:hint="default"/>
        </w:rPr>
        <w:t>30,100</w:t>
      </w:r>
      <w:r>
        <w:rPr/>
        <w:t>万元。公司持有合伙企业</w:t>
      </w:r>
      <w:r>
        <w:rPr>
          <w:rFonts w:ascii="Times New Roman" w:hAnsi="Times New Roman" w:cs="Times New Roman" w:eastAsia="Times New Roman" w:hint="default"/>
        </w:rPr>
        <w:t>39.87%</w:t>
      </w:r>
      <w:r>
        <w:rPr/>
        <w:t>的股份。按合伙协议约定，从合伙企业成立之日</w:t>
      </w:r>
      <w:r>
        <w:rPr>
          <w:w w:val="100"/>
        </w:rPr>
        <w:t> </w:t>
      </w:r>
      <w:r>
        <w:rPr>
          <w:spacing w:val="-2"/>
        </w:rPr>
        <w:t>起，分四年缴足，目前已投资</w:t>
      </w:r>
      <w:r>
        <w:rPr>
          <w:rFonts w:ascii="Times New Roman" w:hAnsi="Times New Roman" w:cs="Times New Roman" w:eastAsia="Times New Roman" w:hint="default"/>
          <w:spacing w:val="-2"/>
        </w:rPr>
        <w:t>4,800</w:t>
      </w:r>
      <w:r>
        <w:rPr>
          <w:spacing w:val="-2"/>
        </w:rPr>
        <w:t>万元。按照合伙协议，公司对合伙企业具有重大影响，按权益法核算。</w:t>
      </w:r>
    </w:p>
    <w:p>
      <w:pPr>
        <w:pStyle w:val="BodyText"/>
        <w:spacing w:line="240" w:lineRule="auto" w:before="24"/>
        <w:ind w:left="573" w:right="995"/>
        <w:jc w:val="left"/>
      </w:pPr>
      <w:r>
        <w:rPr>
          <w:spacing w:val="-3"/>
        </w:rPr>
        <w:t>报告期内，嘉道方直通过增资的方式以</w:t>
      </w:r>
      <w:r>
        <w:rPr>
          <w:rFonts w:ascii="Times New Roman" w:hAnsi="Times New Roman" w:cs="Times New Roman" w:eastAsia="Times New Roman" w:hint="default"/>
          <w:spacing w:val="-3"/>
        </w:rPr>
        <w:t>8,000</w:t>
      </w:r>
      <w:r>
        <w:rPr>
          <w:spacing w:val="-3"/>
        </w:rPr>
        <w:t>万元认购并取得本次增资后深圳市英伦教育产业有限公司</w:t>
      </w:r>
    </w:p>
    <w:p>
      <w:pPr>
        <w:pStyle w:val="BodyText"/>
        <w:spacing w:line="408" w:lineRule="auto" w:before="177"/>
        <w:ind w:right="1126"/>
        <w:jc w:val="both"/>
      </w:pPr>
      <w:r>
        <w:rPr>
          <w:spacing w:val="-2"/>
        </w:rPr>
        <w:t>（下称“英伦教育”）基于完全摊薄基础（即任何创始股东或任何其他人已行使其认购权、债转股或其他</w:t>
      </w:r>
      <w:r>
        <w:rPr>
          <w:spacing w:val="-44"/>
        </w:rPr>
        <w:t> </w:t>
      </w:r>
      <w:r>
        <w:rPr>
          <w:spacing w:val="-44"/>
        </w:rPr>
      </w:r>
      <w:r>
        <w:rPr>
          <w:spacing w:val="-1"/>
        </w:rPr>
        <w:t>可转换为公司股权的权利）上共计</w:t>
      </w:r>
      <w:r>
        <w:rPr>
          <w:rFonts w:ascii="Times New Roman" w:hAnsi="Times New Roman" w:cs="Times New Roman" w:eastAsia="Times New Roman" w:hint="default"/>
          <w:spacing w:val="-1"/>
        </w:rPr>
        <w:t>53%</w:t>
      </w:r>
      <w:r>
        <w:rPr>
          <w:spacing w:val="-1"/>
        </w:rPr>
        <w:t>的股权。英伦教育成立于</w:t>
      </w:r>
      <w:r>
        <w:rPr>
          <w:rFonts w:ascii="Times New Roman" w:hAnsi="Times New Roman" w:cs="Times New Roman" w:eastAsia="Times New Roman" w:hint="default"/>
          <w:spacing w:val="-1"/>
        </w:rPr>
        <w:t>2003</w:t>
      </w:r>
      <w:r>
        <w:rPr>
          <w:spacing w:val="-1"/>
        </w:rPr>
        <w:t>年，全资持有深圳老牌知名国际高中</w:t>
      </w:r>
    </w:p>
    <w:p>
      <w:pPr>
        <w:pStyle w:val="BodyText"/>
        <w:spacing w:line="393" w:lineRule="auto" w:before="14"/>
        <w:ind w:right="1126"/>
        <w:jc w:val="both"/>
      </w:pPr>
      <w:r>
        <w:rPr>
          <w:rFonts w:ascii="Times New Roman" w:hAnsi="Times New Roman" w:cs="Times New Roman" w:eastAsia="Times New Roman" w:hint="default"/>
          <w:spacing w:val="-2"/>
        </w:rPr>
        <w:t>—</w:t>
      </w:r>
      <w:r>
        <w:rPr>
          <w:spacing w:val="-2"/>
        </w:rPr>
        <w:t>深圳国际预科学院，该校拥有十五年办学历史。深圳国际预科学院在京领新国际发布的中国国际学校竞</w:t>
      </w:r>
      <w:r>
        <w:rPr>
          <w:spacing w:val="-43"/>
        </w:rPr>
        <w:t> </w:t>
      </w:r>
      <w:r>
        <w:rPr>
          <w:spacing w:val="-43"/>
        </w:rPr>
      </w:r>
      <w:r>
        <w:rPr>
          <w:spacing w:val="-3"/>
        </w:rPr>
        <w:t>争力排行榜</w:t>
      </w:r>
      <w:r>
        <w:rPr>
          <w:rFonts w:ascii="Times New Roman" w:hAnsi="Times New Roman" w:cs="Times New Roman" w:eastAsia="Times New Roman" w:hint="default"/>
          <w:spacing w:val="-3"/>
        </w:rPr>
        <w:t>·2019</w:t>
      </w:r>
      <w:r>
        <w:rPr>
          <w:spacing w:val="-3"/>
        </w:rPr>
        <w:t>美国本科方向</w:t>
      </w:r>
      <w:r>
        <w:rPr>
          <w:rFonts w:ascii="Times New Roman" w:hAnsi="Times New Roman" w:cs="Times New Roman" w:eastAsia="Times New Roman" w:hint="default"/>
          <w:spacing w:val="-3"/>
        </w:rPr>
        <w:t>300</w:t>
      </w:r>
      <w:r>
        <w:rPr>
          <w:spacing w:val="-3"/>
        </w:rPr>
        <w:t>强中排名第</w:t>
      </w:r>
      <w:r>
        <w:rPr>
          <w:rFonts w:ascii="Times New Roman" w:hAnsi="Times New Roman" w:cs="Times New Roman" w:eastAsia="Times New Roman" w:hint="default"/>
          <w:spacing w:val="-3"/>
        </w:rPr>
        <w:t>24</w:t>
      </w:r>
      <w:r>
        <w:rPr>
          <w:spacing w:val="-3"/>
        </w:rPr>
        <w:t>名，</w:t>
      </w:r>
      <w:r>
        <w:rPr>
          <w:rFonts w:ascii="Times New Roman" w:hAnsi="Times New Roman" w:cs="Times New Roman" w:eastAsia="Times New Roman" w:hint="default"/>
          <w:spacing w:val="-3"/>
        </w:rPr>
        <w:t>2019</w:t>
      </w:r>
      <w:r>
        <w:rPr>
          <w:spacing w:val="-3"/>
        </w:rPr>
        <w:t>年美国本科方向深圳地区排名第</w:t>
      </w:r>
      <w:r>
        <w:rPr>
          <w:rFonts w:ascii="Times New Roman" w:hAnsi="Times New Roman" w:cs="Times New Roman" w:eastAsia="Times New Roman" w:hint="default"/>
          <w:spacing w:val="-3"/>
        </w:rPr>
        <w:t>3</w:t>
      </w:r>
      <w:r>
        <w:rPr>
          <w:spacing w:val="-3"/>
        </w:rPr>
        <w:t>名。英伦教育未</w:t>
      </w:r>
      <w:r>
        <w:rPr>
          <w:spacing w:val="-48"/>
        </w:rPr>
        <w:t> </w:t>
      </w:r>
      <w:r>
        <w:rPr>
          <w:spacing w:val="-48"/>
        </w:rPr>
      </w:r>
      <w:r>
        <w:rPr/>
        <w:t>来在现有的基础上，纵向横向进行产业链延伸，构筑起一个包括国际高中、</w:t>
      </w:r>
      <w:r>
        <w:rPr>
          <w:spacing w:val="67"/>
        </w:rPr>
        <w:t> </w:t>
      </w:r>
      <w:r>
        <w:rPr/>
        <w:t>艺术学院、素质培训等在内</w:t>
      </w:r>
      <w:r>
        <w:rPr>
          <w:spacing w:val="-92"/>
        </w:rPr>
        <w:t> </w:t>
      </w:r>
      <w:r>
        <w:rPr>
          <w:spacing w:val="-92"/>
        </w:rPr>
      </w:r>
      <w:r>
        <w:rPr/>
        <w:t>的国际教育生态系统，成为华南地区乃至全国最具品牌影响力的国际教育集团。</w:t>
      </w:r>
    </w:p>
    <w:p>
      <w:pPr>
        <w:pStyle w:val="BodyText"/>
        <w:spacing w:line="398" w:lineRule="auto" w:before="58"/>
        <w:ind w:right="1126" w:firstLine="420"/>
        <w:jc w:val="both"/>
      </w:pPr>
      <w:r>
        <w:rPr/>
        <w:t>报告期内，嘉道方直通过增资的方式以人民币</w:t>
      </w:r>
      <w:r>
        <w:rPr>
          <w:rFonts w:ascii="Times New Roman" w:hAnsi="Times New Roman" w:cs="Times New Roman" w:eastAsia="Times New Roman" w:hint="default"/>
        </w:rPr>
        <w:t>300</w:t>
      </w:r>
      <w:r>
        <w:rPr/>
        <w:t>万元认购并取得本次增资后逻辑起点科技（北京）</w:t>
      </w:r>
      <w:r>
        <w:rPr>
          <w:w w:val="100"/>
        </w:rPr>
        <w:t> </w:t>
      </w:r>
      <w:r>
        <w:rPr>
          <w:spacing w:val="-2"/>
        </w:rPr>
        <w:t>有限公司（下称“逻辑起点”）基于完全摊薄基础（即任何原股东或任何其他人已行使其认购权、债转股</w:t>
      </w:r>
      <w:r>
        <w:rPr>
          <w:spacing w:val="-42"/>
        </w:rPr>
        <w:t> </w:t>
      </w:r>
      <w:r>
        <w:rPr>
          <w:spacing w:val="-42"/>
        </w:rPr>
      </w:r>
      <w:r>
        <w:rPr>
          <w:spacing w:val="-2"/>
        </w:rPr>
        <w:t>或其他可转换为公司股权的权利）上共计</w:t>
      </w:r>
      <w:r>
        <w:rPr>
          <w:rFonts w:ascii="Times New Roman" w:hAnsi="Times New Roman" w:cs="Times New Roman" w:eastAsia="Times New Roman" w:hint="default"/>
          <w:spacing w:val="-2"/>
        </w:rPr>
        <w:t>20%</w:t>
      </w:r>
      <w:r>
        <w:rPr>
          <w:spacing w:val="-2"/>
        </w:rPr>
        <w:t>的股权。逻辑起点科技（北京）有限公司的前身是逻辑适点</w:t>
      </w:r>
    </w:p>
    <w:p>
      <w:pPr>
        <w:spacing w:after="0" w:line="39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86" w:lineRule="auto" w:before="36"/>
        <w:ind w:right="995"/>
        <w:jc w:val="left"/>
      </w:pPr>
      <w:r>
        <w:rPr>
          <w:spacing w:val="-1"/>
        </w:rPr>
        <w:t>平面设计</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有限公司，</w:t>
      </w:r>
      <w:r>
        <w:rPr>
          <w:rFonts w:ascii="Times New Roman" w:hAnsi="Times New Roman" w:cs="Times New Roman" w:eastAsia="Times New Roman" w:hint="default"/>
          <w:spacing w:val="-1"/>
        </w:rPr>
        <w:t>2007</w:t>
      </w:r>
      <w:r>
        <w:rPr>
          <w:spacing w:val="-1"/>
        </w:rPr>
        <w:t>年成立。公司最初以</w:t>
      </w:r>
      <w:r>
        <w:rPr>
          <w:rFonts w:ascii="Times New Roman" w:hAnsi="Times New Roman" w:cs="Times New Roman" w:eastAsia="Times New Roman" w:hint="default"/>
          <w:spacing w:val="-1"/>
        </w:rPr>
        <w:t>2B</w:t>
      </w:r>
      <w:r>
        <w:rPr>
          <w:spacing w:val="-1"/>
        </w:rPr>
        <w:t>的广告、设计业务为主，</w:t>
      </w:r>
      <w:r>
        <w:rPr>
          <w:rFonts w:ascii="Times New Roman" w:hAnsi="Times New Roman" w:cs="Times New Roman" w:eastAsia="Times New Roman" w:hint="default"/>
          <w:spacing w:val="-1"/>
        </w:rPr>
        <w:t>10</w:t>
      </w:r>
      <w:r>
        <w:rPr>
          <w:spacing w:val="-1"/>
        </w:rPr>
        <w:t>年来借由优秀的设计能</w:t>
      </w:r>
      <w:r>
        <w:rPr>
          <w:spacing w:val="-48"/>
        </w:rPr>
        <w:t> </w:t>
      </w:r>
      <w:r>
        <w:rPr>
          <w:spacing w:val="-48"/>
        </w:rPr>
      </w:r>
      <w:r>
        <w:rPr/>
        <w:t>力和产品剖析能力，服务过微软、</w:t>
      </w:r>
      <w:r>
        <w:rPr>
          <w:rFonts w:ascii="Times New Roman" w:hAnsi="Times New Roman" w:cs="Times New Roman" w:eastAsia="Times New Roman" w:hint="default"/>
        </w:rPr>
        <w:t>IBM</w:t>
      </w:r>
      <w:r>
        <w:rPr/>
        <w:t>、苹果等知名企业。</w:t>
      </w:r>
    </w:p>
    <w:p>
      <w:pPr>
        <w:pStyle w:val="BodyText"/>
        <w:spacing w:line="408" w:lineRule="auto" w:before="35"/>
        <w:ind w:right="1126" w:firstLine="420"/>
        <w:jc w:val="both"/>
      </w:pPr>
      <w:r>
        <w:rPr>
          <w:spacing w:val="-2"/>
        </w:rPr>
        <w:t>以上投资行为是公司参与设立的教育产业投资基金对外投资项目，属于教育产业投资基金的正常投资</w:t>
      </w:r>
      <w:r>
        <w:rPr>
          <w:w w:val="100"/>
        </w:rPr>
        <w:t> </w:t>
      </w:r>
      <w:r>
        <w:rPr>
          <w:spacing w:val="-2"/>
        </w:rPr>
        <w:t>经营行为，产业投资基金产生的投资收益可以为上市公司带来新的利润增长点，对公司无不利影响。投资</w:t>
      </w:r>
      <w:r>
        <w:rPr>
          <w:spacing w:val="-43"/>
        </w:rPr>
        <w:t> </w:t>
      </w:r>
      <w:r>
        <w:rPr>
          <w:spacing w:val="-43"/>
        </w:rPr>
      </w:r>
      <w:r>
        <w:rPr>
          <w:spacing w:val="-2"/>
        </w:rPr>
        <w:t>行为符合公司内生式增长与外延式扩张相结合的发展思路，目标公司是具有良好发展前景的优质项目，为</w:t>
      </w:r>
      <w:r>
        <w:rPr>
          <w:spacing w:val="-44"/>
        </w:rPr>
        <w:t> </w:t>
      </w:r>
      <w:r>
        <w:rPr>
          <w:spacing w:val="-44"/>
        </w:rPr>
      </w:r>
      <w:r>
        <w:rPr/>
        <w:t>公司进一步推进在教育行业的资源整合和协同发展，加快实现公司业务结构的多元化起到积极作用。</w:t>
      </w:r>
    </w:p>
    <w:p>
      <w:pPr>
        <w:pStyle w:val="Heading3"/>
        <w:spacing w:line="240" w:lineRule="auto" w:before="167"/>
        <w:ind w:right="995"/>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tabs>
          <w:tab w:pos="4171" w:val="left" w:leader="none"/>
        </w:tabs>
        <w:spacing w:line="456" w:lineRule="exact"/>
        <w:ind w:left="2885" w:right="995"/>
        <w:jc w:val="left"/>
        <w:rPr>
          <w:b w:val="0"/>
          <w:bCs w:val="0"/>
        </w:rPr>
      </w:pPr>
      <w:bookmarkStart w:name="_bookmark5" w:id="6"/>
      <w:bookmarkEnd w:id="6"/>
      <w:r>
        <w:rPr>
          <w:b w:val="0"/>
          <w:bCs w:val="0"/>
        </w:rPr>
      </w:r>
      <w:r>
        <w:rPr/>
        <w:t>第六节</w:t>
        <w:tab/>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995"/>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2"/>
        <w:gridCol w:w="1133"/>
        <w:gridCol w:w="852"/>
        <w:gridCol w:w="850"/>
        <w:gridCol w:w="708"/>
        <w:gridCol w:w="994"/>
        <w:gridCol w:w="850"/>
        <w:gridCol w:w="710"/>
        <w:gridCol w:w="982"/>
        <w:gridCol w:w="792"/>
      </w:tblGrid>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62,594,536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37.30%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-323,988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-323,988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62,270,548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37.10%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62,594,536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37.30%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-323,988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-323,988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62,270,548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37.10%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62,594,536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37.30%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-323,988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-323,988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62,270,548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37.10%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105,236,554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62.70%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323,988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323,988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105,560,542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62.90%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105,236,554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62.70%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323,988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323,988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105,560,542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62.90%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167,831,090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167,831,090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9"/>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157"/>
        <w:ind w:left="573" w:right="995"/>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01</w:t>
      </w:r>
      <w:r>
        <w:rPr/>
        <w:t>日，根据各董事、监事、高管的承诺，其持有的公司股份每年度解除限售</w:t>
      </w:r>
      <w:r>
        <w:rPr>
          <w:rFonts w:ascii="Times New Roman" w:hAnsi="Times New Roman" w:cs="Times New Roman" w:eastAsia="Times New Roman" w:hint="default"/>
        </w:rPr>
        <w:t>25%</w:t>
      </w:r>
      <w:r>
        <w:rPr/>
        <w:t>。</w:t>
      </w:r>
    </w:p>
    <w:p>
      <w:pPr>
        <w:pStyle w:val="BodyText"/>
        <w:spacing w:line="386" w:lineRule="auto" w:before="177"/>
        <w:ind w:right="995" w:firstLine="42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日，公司完成了第四届董事会、第四届监事会、高级管理人员换届，相关离任人员</w:t>
      </w:r>
      <w:r>
        <w:rPr>
          <w:w w:val="100"/>
        </w:rPr>
        <w:t> </w:t>
      </w:r>
      <w:r>
        <w:rPr/>
        <w:t>所持有的公司股份在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日锁定期届满，所持股份全部解锁。</w:t>
      </w:r>
    </w:p>
    <w:p>
      <w:pPr>
        <w:pStyle w:val="BodyText"/>
        <w:spacing w:line="398" w:lineRule="auto" w:before="35"/>
        <w:ind w:right="995" w:firstLine="420"/>
        <w:jc w:val="left"/>
        <w:rPr>
          <w:sz w:val="18"/>
          <w:szCs w:val="18"/>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日，公司董事会收到公司董事、总经理黄晓峰先生递交的辞职函，黄晓峰先生因</w:t>
      </w:r>
      <w:r>
        <w:rPr>
          <w:w w:val="100"/>
        </w:rPr>
        <w:t> </w:t>
      </w:r>
      <w:r>
        <w:rPr>
          <w:spacing w:val="-2"/>
        </w:rPr>
        <w:t>个人原因申请辞去第四届董事会董事、总经理职务，同时申请辞去其担任的董事会专门委员会相关职务。</w:t>
      </w:r>
      <w:r>
        <w:rPr>
          <w:spacing w:val="-21"/>
        </w:rPr>
        <w:t> </w:t>
      </w:r>
      <w:r>
        <w:rPr>
          <w:spacing w:val="-21"/>
        </w:rPr>
      </w:r>
      <w:r>
        <w:rPr>
          <w:spacing w:val="-2"/>
        </w:rPr>
        <w:t>黄晓峰先生所持公司股份根据《深圳证券交易所创业板上市公司规范运作指引》、《上市公司董事、监事</w:t>
      </w:r>
      <w:r>
        <w:rPr>
          <w:spacing w:val="-43"/>
        </w:rPr>
        <w:t> </w:t>
      </w:r>
      <w:r>
        <w:rPr>
          <w:spacing w:val="-43"/>
        </w:rPr>
      </w:r>
      <w:r>
        <w:rPr/>
        <w:t>和高级管理人员所持本公司股份及其变动管理规则》等相应法律、法规及相关承诺进行管理。</w:t>
      </w:r>
      <w:r>
        <w:rPr>
          <w:w w:val="100"/>
        </w:rPr>
        <w:t> </w:t>
      </w:r>
      <w:r>
        <w:rPr>
          <w:sz w:val="18"/>
          <w:szCs w:val="18"/>
        </w:rPr>
        <w:t>股份变动的批准情况</w:t>
      </w:r>
    </w:p>
    <w:p>
      <w:pPr>
        <w:spacing w:line="338" w:lineRule="auto" w:before="1"/>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43"/>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40" w:lineRule="auto" w:before="39"/>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1"/>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3"/>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13"/>
        <w:rPr>
          <w:rFonts w:ascii="宋体" w:hAnsi="宋体" w:cs="宋体" w:eastAsia="宋体" w:hint="default"/>
          <w:sz w:val="21"/>
          <w:szCs w:val="21"/>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44"/>
        <w:ind w:left="0" w:right="1140" w:firstLine="0"/>
        <w:jc w:val="right"/>
        <w:rPr>
          <w:rFonts w:ascii="宋体" w:hAnsi="宋体" w:cs="宋体" w:eastAsia="宋体" w:hint="default"/>
          <w:sz w:val="18"/>
          <w:szCs w:val="18"/>
        </w:rPr>
      </w:pPr>
      <w:r>
        <w:rPr/>
        <w:pict>
          <v:shape style="position:absolute;margin-left:56.424pt;margin-top:-183.878296pt;width:479.15pt;height:408.8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417"/>
                    <w:gridCol w:w="1560"/>
                    <w:gridCol w:w="1560"/>
                    <w:gridCol w:w="1275"/>
                    <w:gridCol w:w="994"/>
                    <w:gridCol w:w="1769"/>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27,227,391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3,323,134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23,904,257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当年解锁持有股份的</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16,378,858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5,459,619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21,838,477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离职锁定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日解锁</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16,003,858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14,773,858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当年解锁持有股份的</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1,061,053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1,061,053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当年解锁持有股份的</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孙晓玲</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1,227,873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1,227,873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锁定至任期结束</w:t>
                        </w:r>
                      </w:p>
                    </w:tc>
                  </w:tr>
                  <w:tr>
                    <w:trPr>
                      <w:trHeight w:val="102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朱文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换届离任锁定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00" w:lineRule="auto" w:before="60"/>
                          <w:ind w:left="23" w:right="17"/>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日解 锁</w:t>
                        </w:r>
                      </w:p>
                    </w:tc>
                  </w:tr>
                  <w:tr>
                    <w:trPr>
                      <w:trHeight w:val="10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林勇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换届离任锁定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日解 锁</w:t>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张文凯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692,903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692,903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当年解锁持有股份的</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刘念</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持有本公司股份不足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股时，解锁额度 为其持有的本公司股 份数</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62,594,536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5,459,619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5,783,607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62,270,548</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3"/>
        <w:spacing w:line="367" w:lineRule="exact"/>
        <w:ind w:right="995"/>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7"/>
        <w:spacing w:line="335" w:lineRule="exact"/>
        <w:ind w:right="995"/>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995"/>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0" w:firstLine="0"/>
        <w:jc w:val="right"/>
        <w:rPr>
          <w:rFonts w:ascii="宋体" w:hAnsi="宋体" w:cs="宋体" w:eastAsia="宋体" w:hint="default"/>
          <w:sz w:val="18"/>
          <w:szCs w:val="18"/>
        </w:rPr>
      </w:pPr>
      <w:r>
        <w:rPr/>
        <w:pict>
          <v:shape style="position:absolute;margin-left:278.927002pt;margin-top:19.677689pt;width:96.55pt;height:82.15pt;mso-position-horizontal-relative:page;mso-position-vertical-relative:paragraph;z-index:-8637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p>
                  <w:pPr>
                    <w:spacing w:before="76"/>
                    <w:ind w:left="542"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76.26001pt;margin-top:19.677689pt;width:58.75pt;height:82.15pt;mso-position-horizontal-relative:page;mso-position-vertical-relative:paragraph;z-index:-8636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12.190002pt;margin-top:19.677689pt;width:63.25pt;height:82.15pt;mso-position-horizontal-relative:page;mso-position-vertical-relative:paragraph;z-index:-863656" coordorigin="6244,394" coordsize="1265,1643">
            <v:group style="position:absolute;left:6244;top:394;width:1265;height:1643" coordorigin="6244,394" coordsize="1265,1643">
              <v:shape style="position:absolute;left:6244;top:394;width:1265;height:1643" coordorigin="6244,394" coordsize="1265,1643" path="m6244,2036l7509,2036,7509,394,6244,394,6244,2036xe" filled="true" fillcolor="#ffffff" stroked="false">
                <v:path arrowok="t"/>
                <v:fill type="solid"/>
              </v:shape>
            </v:group>
            <v:group style="position:absolute;left:6265;top:1018;width:1222;height:395" coordorigin="6265,1018" coordsize="1222,395">
              <v:shape style="position:absolute;left:6265;top:1018;width:1222;height:395" coordorigin="6265,1018" coordsize="1222,395" path="m6265,1412l7487,1412,7487,1018,6265,1018,6265,1412xe" filled="true" fillcolor="#ffffff" stroked="false">
                <v:path arrowok="t"/>
                <v:fill type="solid"/>
              </v:shape>
            </v:group>
            <w10:wrap type="none"/>
          </v:group>
        </w:pict>
      </w:r>
      <w:r>
        <w:rPr/>
        <w:pict>
          <v:group style="position:absolute;margin-left:482.26001pt;margin-top:19.677689pt;width:52.75pt;height:82.15pt;mso-position-horizontal-relative:page;mso-position-vertical-relative:paragraph;z-index:-863632" coordorigin="9645,394" coordsize="1055,1643">
            <v:group style="position:absolute;left:9645;top:394;width:1055;height:1643" coordorigin="9645,394" coordsize="1055,1643">
              <v:shape style="position:absolute;left:9645;top:394;width:1055;height:1643" coordorigin="9645,394" coordsize="1055,1643" path="m9645,2036l10699,2036,10699,394,9645,394,9645,2036xe" filled="true" fillcolor="#ffffff" stroked="false">
                <v:path arrowok="t"/>
                <v:fill type="solid"/>
              </v:shape>
            </v:group>
            <v:group style="position:absolute;left:9669;top:1018;width:1009;height:395" coordorigin="9669,1018" coordsize="1009,395">
              <v:shape style="position:absolute;left:9669;top:1018;width:1009;height:395" coordorigin="9669,1018" coordsize="1009,395" path="m9669,1412l10678,1412,10678,1018,9669,1018,9669,1412xe" filled="true" fillcolor="#ffffff" stroked="false">
                <v:path arrowok="t"/>
                <v:fill type="solid"/>
              </v:shape>
            </v:group>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992"/>
        <w:gridCol w:w="851"/>
        <w:gridCol w:w="992"/>
        <w:gridCol w:w="991"/>
        <w:gridCol w:w="611"/>
        <w:gridCol w:w="666"/>
        <w:gridCol w:w="1277"/>
        <w:gridCol w:w="850"/>
        <w:gridCol w:w="505"/>
        <w:gridCol w:w="558"/>
      </w:tblGrid>
      <w:tr>
        <w:trPr>
          <w:trHeight w:val="165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20,593</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96"/>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25,408</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57"/>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w:t>
            </w:r>
          </w:p>
          <w:p>
            <w:pPr>
              <w:pStyle w:val="TableParagraph"/>
              <w:spacing w:line="240" w:lineRule="auto" w:before="17"/>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（参见注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p>
        </w:tc>
        <w:tc>
          <w:tcPr>
            <w:tcW w:w="611" w:type="dxa"/>
            <w:tcBorders>
              <w:top w:val="single" w:sz="4" w:space="0" w:color="000000"/>
              <w:left w:val="single" w:sz="4" w:space="0" w:color="000000"/>
              <w:bottom w:val="single" w:sz="4" w:space="0" w:color="000000"/>
              <w:right w:val="nil" w:sz="6" w:space="0" w:color="auto"/>
            </w:tcBorders>
          </w:tcPr>
          <w:p>
            <w:pPr/>
          </w:p>
        </w:tc>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09"/>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年度报告披露日前上一月 末表决权恢复的优先股股 </w:t>
            </w:r>
            <w:r>
              <w:rPr>
                <w:rFonts w:ascii="宋体" w:hAnsi="宋体" w:cs="宋体" w:eastAsia="宋体" w:hint="default"/>
                <w:spacing w:val="-13"/>
                <w:sz w:val="18"/>
                <w:szCs w:val="18"/>
              </w:rPr>
              <w:t>东总数（如有）（参见注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w:t>
            </w:r>
          </w:p>
        </w:tc>
        <w:tc>
          <w:tcPr>
            <w:tcW w:w="505" w:type="dxa"/>
            <w:tcBorders>
              <w:top w:val="single" w:sz="4" w:space="0" w:color="000000"/>
              <w:left w:val="single" w:sz="4" w:space="0" w:color="000000"/>
              <w:bottom w:val="single" w:sz="4" w:space="0" w:color="000000"/>
              <w:right w:val="nil" w:sz="6" w:space="0" w:color="auto"/>
            </w:tcBorders>
          </w:tcPr>
          <w:p>
            <w:pPr/>
          </w:p>
        </w:tc>
        <w:tc>
          <w:tcPr>
            <w:tcW w:w="55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0" w:right="3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0"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3" w:right="91"/>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3" w:right="92"/>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9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31,872,343</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23,904,257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7,968,086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16,910,000</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21,838,477</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21,838,477</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2" w:right="0"/>
              <w:jc w:val="left"/>
              <w:rPr>
                <w:rFonts w:ascii="Times New Roman" w:hAnsi="Times New Roman" w:cs="Times New Roman" w:eastAsia="Times New Roman" w:hint="default"/>
                <w:sz w:val="18"/>
                <w:szCs w:val="18"/>
              </w:rPr>
            </w:pPr>
            <w:r>
              <w:rPr>
                <w:rFonts w:ascii="Times New Roman"/>
                <w:sz w:val="18"/>
              </w:rPr>
              <w:t>3,150,000</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17,518,478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-2,180,000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14,773,858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2,744,620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2" w:right="0"/>
              <w:jc w:val="left"/>
              <w:rPr>
                <w:rFonts w:ascii="Times New Roman" w:hAnsi="Times New Roman" w:cs="Times New Roman" w:eastAsia="Times New Roman" w:hint="default"/>
                <w:sz w:val="18"/>
                <w:szCs w:val="18"/>
              </w:rPr>
            </w:pPr>
            <w:r>
              <w:rPr>
                <w:rFonts w:ascii="Times New Roman"/>
                <w:sz w:val="18"/>
              </w:rPr>
              <w:t>8,200,000</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北京嘉豪伟业 </w:t>
            </w:r>
            <w:r>
              <w:rPr>
                <w:rFonts w:ascii="宋体" w:hAnsi="宋体" w:cs="宋体" w:eastAsia="宋体" w:hint="default"/>
                <w:spacing w:val="-6"/>
                <w:sz w:val="18"/>
                <w:szCs w:val="18"/>
              </w:rPr>
              <w:t>投资中心（有限</w:t>
            </w:r>
            <w:r>
              <w:rPr>
                <w:rFonts w:ascii="宋体" w:hAnsi="宋体" w:cs="宋体" w:eastAsia="宋体" w:hint="default"/>
                <w:sz w:val="18"/>
                <w:szCs w:val="18"/>
              </w:rPr>
              <w:t> 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7,906,340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1,202</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7,906,340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陈留杭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2,266,414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2,266,414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衷唯菁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540,000</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09" w:lineRule="auto" w:before="19"/>
              <w:ind w:left="24" w:right="24"/>
              <w:jc w:val="left"/>
              <w:rPr>
                <w:rFonts w:ascii="宋体" w:hAnsi="宋体" w:cs="宋体" w:eastAsia="宋体" w:hint="default"/>
                <w:sz w:val="18"/>
                <w:szCs w:val="18"/>
              </w:rPr>
            </w:pPr>
            <w:r>
              <w:rPr>
                <w:rFonts w:ascii="宋体" w:hAnsi="宋体" w:cs="宋体" w:eastAsia="宋体" w:hint="default"/>
                <w:sz w:val="18"/>
                <w:szCs w:val="18"/>
              </w:rPr>
              <w:t>－南方大数据 </w:t>
            </w:r>
            <w:r>
              <w:rPr>
                <w:rFonts w:ascii="Times New Roman" w:hAnsi="Times New Roman" w:cs="Times New Roman" w:eastAsia="Times New Roman" w:hint="default"/>
                <w:sz w:val="18"/>
                <w:szCs w:val="18"/>
              </w:rPr>
              <w:t>100 </w:t>
            </w:r>
            <w:r>
              <w:rPr>
                <w:rFonts w:ascii="宋体" w:hAnsi="宋体" w:cs="宋体" w:eastAsia="宋体" w:hint="default"/>
                <w:sz w:val="18"/>
                <w:szCs w:val="18"/>
              </w:rPr>
              <w:t>指数证券投 资基金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1,823,083</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1,823,083</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前海开源基金</w:t>
            </w:r>
          </w:p>
          <w:p>
            <w:pPr>
              <w:pStyle w:val="TableParagraph"/>
              <w:spacing w:line="316" w:lineRule="auto" w:before="77"/>
              <w:ind w:left="24" w:right="161"/>
              <w:jc w:val="both"/>
              <w:rPr>
                <w:rFonts w:ascii="宋体" w:hAnsi="宋体" w:cs="宋体" w:eastAsia="宋体" w:hint="default"/>
                <w:sz w:val="18"/>
                <w:szCs w:val="18"/>
              </w:rPr>
            </w:pPr>
            <w:r>
              <w:rPr>
                <w:rFonts w:ascii="宋体" w:hAnsi="宋体" w:cs="宋体" w:eastAsia="宋体" w:hint="default"/>
                <w:sz w:val="18"/>
                <w:szCs w:val="18"/>
              </w:rPr>
              <w:t>－浦发银行－ 中融国际信托</w:t>
            </w:r>
          </w:p>
          <w:p>
            <w:pPr>
              <w:pStyle w:val="TableParagraph"/>
              <w:spacing w:line="309" w:lineRule="auto" w:before="19"/>
              <w:ind w:left="24" w:right="113"/>
              <w:jc w:val="both"/>
              <w:rPr>
                <w:rFonts w:ascii="宋体" w:hAnsi="宋体" w:cs="宋体" w:eastAsia="宋体" w:hint="default"/>
                <w:sz w:val="18"/>
                <w:szCs w:val="18"/>
              </w:rPr>
            </w:pPr>
            <w:r>
              <w:rPr>
                <w:rFonts w:ascii="宋体" w:hAnsi="宋体" w:cs="宋体" w:eastAsia="宋体" w:hint="default"/>
                <w:sz w:val="18"/>
                <w:szCs w:val="18"/>
              </w:rPr>
              <w:t>－中融－融珲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 信托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1,525,952</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1,525,952</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1,396,737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1,061,053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335,684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常鑫民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1,147,678</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1,147,678</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4"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69"/>
        <w:gridCol w:w="852"/>
        <w:gridCol w:w="3543"/>
        <w:gridCol w:w="1560"/>
        <w:gridCol w:w="1347"/>
      </w:tblGrid>
      <w:tr>
        <w:trPr>
          <w:trHeight w:val="1025"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7"/>
              <w:jc w:val="both"/>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名股东的情 </w:t>
            </w:r>
            <w:r>
              <w:rPr>
                <w:rFonts w:ascii="宋体" w:hAnsi="宋体" w:cs="宋体" w:eastAsia="宋体" w:hint="default"/>
                <w:spacing w:val="-11"/>
                <w:sz w:val="18"/>
                <w:szCs w:val="18"/>
              </w:rPr>
              <w:t>况（如有）（参见注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302"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3" w:hRule="exact"/>
        </w:trPr>
        <w:tc>
          <w:tcPr>
            <w:tcW w:w="22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2" w:type="dxa"/>
            <w:gridSpan w:val="4"/>
            <w:vMerge w:val="restart"/>
            <w:tcBorders>
              <w:top w:val="single" w:sz="4" w:space="0" w:color="000000"/>
              <w:left w:val="single" w:sz="4" w:space="0" w:color="000000"/>
              <w:right w:val="single" w:sz="4" w:space="0" w:color="000000"/>
            </w:tcBorders>
          </w:tcPr>
          <w:p>
            <w:pPr>
              <w:pStyle w:val="TableParagraph"/>
              <w:spacing w:line="316" w:lineRule="auto" w:before="53"/>
              <w:ind w:left="24" w:right="66"/>
              <w:jc w:val="both"/>
              <w:rPr>
                <w:rFonts w:ascii="宋体" w:hAnsi="宋体" w:cs="宋体" w:eastAsia="宋体" w:hint="default"/>
                <w:sz w:val="18"/>
                <w:szCs w:val="18"/>
              </w:rPr>
            </w:pPr>
            <w:r>
              <w:rPr>
                <w:rFonts w:ascii="宋体" w:hAnsi="宋体" w:cs="宋体" w:eastAsia="宋体" w:hint="default"/>
                <w:sz w:val="18"/>
                <w:szCs w:val="18"/>
              </w:rPr>
              <w:t>公司实际控制人黄元忠先生同黄晓峰先生、陈克让先生为一致行动人。公司未知上述其他股 东间是否存在关联关系或属于《上市公司股东持股变动信息披露管理办法》中规定的一致行 动人。</w:t>
            </w:r>
          </w:p>
        </w:tc>
      </w:tr>
      <w:tr>
        <w:trPr>
          <w:trHeight w:val="703" w:hRule="exact"/>
        </w:trPr>
        <w:tc>
          <w:tcPr>
            <w:tcW w:w="22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302" w:type="dxa"/>
            <w:gridSpan w:val="4"/>
            <w:vMerge/>
            <w:tcBorders>
              <w:left w:val="single" w:sz="4" w:space="0" w:color="000000"/>
              <w:right w:val="single" w:sz="4" w:space="0" w:color="000000"/>
            </w:tcBorders>
          </w:tcPr>
          <w:p>
            <w:pPr/>
          </w:p>
        </w:tc>
      </w:tr>
      <w:tr>
        <w:trPr>
          <w:trHeight w:val="161" w:hRule="exact"/>
        </w:trPr>
        <w:tc>
          <w:tcPr>
            <w:tcW w:w="22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2" w:type="dxa"/>
            <w:gridSpan w:val="4"/>
            <w:vMerge/>
            <w:tcBorders>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312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543" w:type="dxa"/>
            <w:tcBorders>
              <w:top w:val="single" w:sz="4" w:space="0" w:color="000000"/>
              <w:left w:val="single" w:sz="4" w:space="0" w:color="000000"/>
              <w:bottom w:val="nil" w:sz="6" w:space="0" w:color="auto"/>
              <w:right w:val="single" w:sz="4" w:space="0" w:color="000000"/>
            </w:tcBorders>
            <w:shd w:val="clear" w:color="auto" w:fill="D2D2D2"/>
          </w:tcPr>
          <w:p>
            <w:pPr/>
          </w:p>
        </w:tc>
        <w:tc>
          <w:tcPr>
            <w:tcW w:w="29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1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90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121" w:type="dxa"/>
            <w:gridSpan w:val="2"/>
            <w:vMerge/>
            <w:tcBorders>
              <w:left w:val="single" w:sz="4" w:space="0" w:color="000000"/>
              <w:bottom w:val="nil" w:sz="6" w:space="0" w:color="auto"/>
              <w:right w:val="single" w:sz="4" w:space="0" w:color="000000"/>
            </w:tcBorders>
            <w:shd w:val="clear" w:color="auto" w:fill="D2D2D2"/>
          </w:tcPr>
          <w:p>
            <w:pPr/>
          </w:p>
        </w:tc>
        <w:tc>
          <w:tcPr>
            <w:tcW w:w="3543"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312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5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34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7,968,086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7,968,086</w:t>
            </w: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北京嘉豪伟业投资中心（有限合伙）</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7,906,340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7,906,340</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2,744,620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2,744,620</w:t>
            </w: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陈留杭</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2,266,414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2,266,414</w:t>
            </w:r>
          </w:p>
        </w:tc>
      </w:tr>
      <w:tr>
        <w:trPr>
          <w:trHeight w:val="40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衷唯菁</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2,180,000</w:t>
            </w:r>
          </w:p>
        </w:tc>
      </w:tr>
      <w:tr>
        <w:trPr>
          <w:trHeight w:val="713"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中国工商银行股份有限公司－南方大数 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指数证券投资基金</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1,823,083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1,823,083</w:t>
            </w:r>
          </w:p>
        </w:tc>
      </w:tr>
      <w:tr>
        <w:trPr>
          <w:trHeight w:val="715"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4"/>
              <w:jc w:val="left"/>
              <w:rPr>
                <w:rFonts w:ascii="宋体" w:hAnsi="宋体" w:cs="宋体" w:eastAsia="宋体" w:hint="default"/>
                <w:sz w:val="18"/>
                <w:szCs w:val="18"/>
              </w:rPr>
            </w:pPr>
            <w:r>
              <w:rPr>
                <w:rFonts w:ascii="宋体" w:hAnsi="宋体" w:cs="宋体" w:eastAsia="宋体" w:hint="default"/>
                <w:sz w:val="18"/>
                <w:szCs w:val="18"/>
              </w:rPr>
              <w:t>前海开源基金－浦发银行－中融国际信 托－中融－融珲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号单一资金信托</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1,525,952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1,525,952</w:t>
            </w: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常鑫民</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1,147,678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1,147,678</w:t>
            </w:r>
          </w:p>
        </w:tc>
      </w:tr>
      <w:tr>
        <w:trPr>
          <w:trHeight w:val="404"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刘秀峰</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1,046,600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1,046,600</w:t>
            </w:r>
          </w:p>
        </w:tc>
      </w:tr>
      <w:tr>
        <w:trPr>
          <w:trHeight w:val="401"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彭友豪</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792,800</w:t>
            </w:r>
          </w:p>
        </w:tc>
      </w:tr>
      <w:tr>
        <w:trPr>
          <w:trHeight w:val="1027"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r>
              <w:rPr>
                <w:rFonts w:ascii="宋体" w:hAnsi="宋体" w:cs="宋体" w:eastAsia="宋体" w:hint="default"/>
                <w:spacing w:val="-3"/>
                <w:sz w:val="18"/>
                <w:szCs w:val="18"/>
              </w:rPr>
              <w:t>间</w:t>
            </w:r>
            <w:r>
              <w:rPr>
                <w:rFonts w:ascii="宋体" w:hAnsi="宋体" w:cs="宋体" w:eastAsia="宋体" w:hint="default"/>
                <w:spacing w:val="-87"/>
                <w:sz w:val="18"/>
                <w:szCs w:val="18"/>
              </w:rPr>
              <w:t>，</w:t>
            </w:r>
            <w:r>
              <w:rPr>
                <w:rFonts w:ascii="宋体" w:hAnsi="宋体" w:cs="宋体" w:eastAsia="宋体" w:hint="default"/>
                <w:sz w:val="18"/>
                <w:szCs w:val="18"/>
              </w:rPr>
              <w:t>以及前</w:t>
            </w:r>
          </w:p>
          <w:p>
            <w:pPr>
              <w:pStyle w:val="TableParagraph"/>
              <w:spacing w:line="300" w:lineRule="auto" w:before="60"/>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 之间关联关系或一致行动的说明</w:t>
            </w:r>
          </w:p>
        </w:tc>
        <w:tc>
          <w:tcPr>
            <w:tcW w:w="645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2"/>
              <w:jc w:val="both"/>
              <w:rPr>
                <w:rFonts w:ascii="宋体" w:hAnsi="宋体" w:cs="宋体" w:eastAsia="宋体" w:hint="default"/>
                <w:sz w:val="18"/>
                <w:szCs w:val="18"/>
              </w:rPr>
            </w:pPr>
            <w:r>
              <w:rPr>
                <w:rFonts w:ascii="宋体" w:hAnsi="宋体" w:cs="宋体" w:eastAsia="宋体" w:hint="default"/>
                <w:spacing w:val="-3"/>
                <w:sz w:val="18"/>
                <w:szCs w:val="18"/>
              </w:rPr>
              <w:t>公司实际控制人黄元忠先生同黄晓峰先生、陈克让先生为一致行动人。公司未知上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述其他无限售条件股东间是否存在关联关系或属于《上市公司股东持股变动信息披</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露管理办法》中规定的一致行动人。</w:t>
            </w:r>
          </w:p>
        </w:tc>
      </w:tr>
      <w:tr>
        <w:trPr>
          <w:trHeight w:val="1339" w:hRule="exact"/>
        </w:trPr>
        <w:tc>
          <w:tcPr>
            <w:tcW w:w="3121" w:type="dxa"/>
            <w:gridSpan w:val="2"/>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450" w:type="dxa"/>
            <w:gridSpan w:val="3"/>
            <w:tcBorders>
              <w:top w:val="single" w:sz="4" w:space="0" w:color="000000"/>
              <w:left w:val="single" w:sz="10" w:space="0" w:color="FFFFFF"/>
              <w:bottom w:val="single" w:sz="4" w:space="0" w:color="000000"/>
              <w:right w:val="single" w:sz="12" w:space="0" w:color="FFFFFF"/>
            </w:tcBorders>
          </w:tcPr>
          <w:p>
            <w:pPr>
              <w:pStyle w:val="TableParagraph"/>
              <w:spacing w:line="240" w:lineRule="auto" w:before="51"/>
              <w:ind w:left="16"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公司股东陈留杭通过普通证券账户持有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6" w:right="-2"/>
              <w:jc w:val="left"/>
              <w:rPr>
                <w:rFonts w:ascii="宋体" w:hAnsi="宋体" w:cs="宋体" w:eastAsia="宋体" w:hint="default"/>
                <w:sz w:val="18"/>
                <w:szCs w:val="18"/>
              </w:rPr>
            </w:pPr>
            <w:r>
              <w:rPr>
                <w:rFonts w:ascii="宋体" w:hAnsi="宋体" w:cs="宋体" w:eastAsia="宋体" w:hint="default"/>
                <w:sz w:val="18"/>
                <w:szCs w:val="18"/>
              </w:rPr>
              <w:t>东彭友豪通过普通证券账户持有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r>
              <w:rPr>
                <w:rFonts w:ascii="宋体" w:hAnsi="宋体" w:cs="宋体" w:eastAsia="宋体" w:hint="default"/>
                <w:spacing w:val="-77"/>
                <w:sz w:val="18"/>
                <w:szCs w:val="18"/>
              </w:rPr>
              <w:t>，</w:t>
            </w:r>
            <w:r>
              <w:rPr>
                <w:rFonts w:ascii="宋体" w:hAnsi="宋体" w:cs="宋体" w:eastAsia="宋体" w:hint="default"/>
                <w:sz w:val="18"/>
                <w:szCs w:val="18"/>
              </w:rPr>
              <w:t>通过长</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51"/>
              <w:ind w:left="357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股，通过海通证券股份有限公司</w:t>
            </w:r>
          </w:p>
          <w:p>
            <w:pPr>
              <w:pStyle w:val="TableParagraph"/>
              <w:spacing w:line="309" w:lineRule="auto" w:before="63"/>
              <w:ind w:left="3528" w:right="9" w:hanging="135"/>
              <w:jc w:val="both"/>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2,266,414 </w:t>
            </w:r>
            <w:r>
              <w:rPr>
                <w:rFonts w:ascii="宋体" w:hAnsi="宋体" w:cs="宋体" w:eastAsia="宋体" w:hint="default"/>
                <w:sz w:val="18"/>
                <w:szCs w:val="18"/>
              </w:rPr>
              <w:t>股；公司股 江证券股份有限公司客户信用交易担 </w:t>
            </w:r>
            <w:r>
              <w:rPr>
                <w:rFonts w:ascii="Times New Roman" w:hAnsi="Times New Roman" w:cs="Times New Roman" w:eastAsia="Times New Roman" w:hint="default"/>
                <w:sz w:val="18"/>
                <w:szCs w:val="18"/>
              </w:rPr>
              <w:t>92,800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before="49"/>
        <w:ind w:left="153" w:right="995" w:firstLine="0"/>
        <w:jc w:val="left"/>
        <w:rPr>
          <w:rFonts w:ascii="宋体" w:hAnsi="宋体" w:cs="宋体" w:eastAsia="宋体" w:hint="default"/>
          <w:sz w:val="18"/>
          <w:szCs w:val="18"/>
        </w:rPr>
      </w:pPr>
      <w:r>
        <w:rPr/>
        <w:pict>
          <v:shape style="position:absolute;margin-left:179.784012pt;margin-top:-66.958275pt;width:355.2pt;height:66.4pt;mso-position-horizontal-relative:page;mso-position-vertical-relative:paragraph;z-index:-863608"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4"/>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1"/>
        <w:gridCol w:w="4119"/>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17"/>
        <w:gridCol w:w="6150"/>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深圳市方直科技股份有限公司董事长</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7"/>
        <w:ind w:left="153" w:right="71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4"/>
        <w:rPr>
          <w:rFonts w:ascii="宋体" w:hAnsi="宋体" w:cs="宋体" w:eastAsia="宋体" w:hint="default"/>
          <w:sz w:val="16"/>
          <w:szCs w:val="16"/>
        </w:rPr>
      </w:pPr>
    </w:p>
    <w:p>
      <w:pPr>
        <w:pStyle w:val="Heading7"/>
        <w:spacing w:line="240" w:lineRule="auto"/>
        <w:ind w:right="995"/>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1702"/>
        <w:gridCol w:w="3083"/>
        <w:gridCol w:w="1880"/>
        <w:gridCol w:w="2907"/>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6"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一致行动</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一致行动</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黄元忠为公司董事长；黄晓峰已于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日离职，未在公司担任任何职务；陈克让为公司 董事兼全资子公司连邦信息总经理。</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 境内外上市公司情况</w:t>
            </w:r>
          </w:p>
        </w:tc>
        <w:tc>
          <w:tcPr>
            <w:tcW w:w="7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7"/>
        <w:ind w:left="153" w:right="995"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2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3"/>
        <w:rPr>
          <w:rFonts w:ascii="宋体" w:hAnsi="宋体" w:cs="宋体" w:eastAsia="宋体" w:hint="default"/>
          <w:sz w:val="19"/>
          <w:szCs w:val="19"/>
        </w:rPr>
      </w:pPr>
    </w:p>
    <w:p>
      <w:pPr>
        <w:spacing w:line="1442" w:lineRule="exact"/>
        <w:ind w:left="153"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1930384" cy="916114"/>
            <wp:effectExtent l="0" t="0" r="0" b="0"/>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37" cstate="print"/>
                    <a:stretch>
                      <a:fillRect/>
                    </a:stretch>
                  </pic:blipFill>
                  <pic:spPr>
                    <a:xfrm>
                      <a:off x="0" y="0"/>
                      <a:ext cx="1930384" cy="916114"/>
                    </a:xfrm>
                    <a:prstGeom prst="rect">
                      <a:avLst/>
                    </a:prstGeom>
                  </pic:spPr>
                </pic:pic>
              </a:graphicData>
            </a:graphic>
          </wp:inline>
        </w:drawing>
      </w:r>
      <w:r>
        <w:rPr>
          <w:rFonts w:ascii="宋体" w:hAnsi="宋体" w:cs="宋体" w:eastAsia="宋体" w:hint="default"/>
          <w:position w:val="-28"/>
          <w:sz w:val="20"/>
          <w:szCs w:val="20"/>
        </w:rPr>
      </w:r>
    </w:p>
    <w:p>
      <w:pPr>
        <w:spacing w:line="240" w:lineRule="auto" w:before="1"/>
        <w:rPr>
          <w:rFonts w:ascii="宋体" w:hAnsi="宋体" w:cs="宋体" w:eastAsia="宋体" w:hint="default"/>
          <w:sz w:val="20"/>
          <w:szCs w:val="20"/>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5"/>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tabs>
          <w:tab w:pos="4492" w:val="left" w:leader="none"/>
        </w:tabs>
        <w:spacing w:line="456" w:lineRule="exact"/>
        <w:ind w:left="3206" w:right="995"/>
        <w:jc w:val="left"/>
        <w:rPr>
          <w:b w:val="0"/>
          <w:bCs w:val="0"/>
        </w:rPr>
      </w:pPr>
      <w:bookmarkStart w:name="_bookmark6" w:id="7"/>
      <w:bookmarkEnd w:id="7"/>
      <w:r>
        <w:rPr>
          <w:b w:val="0"/>
          <w:bCs w:val="0"/>
        </w:rPr>
      </w:r>
      <w:r>
        <w:rPr/>
        <w:t>第七节</w:t>
        <w:tab/>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tabs>
          <w:tab w:pos="3849" w:val="left" w:leader="none"/>
        </w:tabs>
        <w:spacing w:line="456" w:lineRule="exact"/>
        <w:ind w:left="2563" w:right="995"/>
        <w:jc w:val="left"/>
        <w:rPr>
          <w:b w:val="0"/>
          <w:bCs w:val="0"/>
        </w:rPr>
      </w:pPr>
      <w:bookmarkStart w:name="_bookmark7" w:id="8"/>
      <w:bookmarkEnd w:id="8"/>
      <w:r>
        <w:rPr>
          <w:b w:val="0"/>
          <w:bCs w:val="0"/>
        </w:rPr>
      </w:r>
      <w:r>
        <w:rPr/>
        <w:t>第八节</w:t>
        <w:tab/>
        <w:t>可转换公司债券相关情况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9"/>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tabs>
          <w:tab w:pos="4984" w:val="left" w:leader="none"/>
        </w:tabs>
        <w:spacing w:line="240" w:lineRule="auto" w:before="61"/>
        <w:ind w:left="3697" w:right="0"/>
        <w:jc w:val="left"/>
        <w:rPr>
          <w:b w:val="0"/>
          <w:bCs w:val="0"/>
        </w:rPr>
      </w:pPr>
      <w:bookmarkStart w:name="_bookmark8" w:id="9"/>
      <w:bookmarkEnd w:id="9"/>
      <w:r>
        <w:rPr>
          <w:b w:val="0"/>
          <w:bCs w:val="0"/>
        </w:rPr>
      </w:r>
      <w:r>
        <w:rPr/>
        <w:t>第九节</w:t>
        <w:tab/>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3"/>
        <w:spacing w:line="240" w:lineRule="auto"/>
        <w:ind w:left="140" w:right="0"/>
        <w:jc w:val="left"/>
        <w:rPr>
          <w:b w:val="0"/>
          <w:bCs w:val="0"/>
        </w:rPr>
      </w:pPr>
      <w:r>
        <w:rPr/>
        <w:t>一、董事、监事和高级管理人员持股变动</w:t>
      </w:r>
      <w:r>
        <w:rPr>
          <w:b w:val="0"/>
          <w:bCs w:val="0"/>
        </w:rPr>
      </w:r>
    </w:p>
    <w:p>
      <w:pPr>
        <w:spacing w:line="240" w:lineRule="auto" w:before="3"/>
        <w:rPr>
          <w:rFonts w:ascii="Microsoft JhengHei" w:hAnsi="Microsoft JhengHei" w:cs="Microsoft JhengHei" w:eastAsia="Microsoft JhengHei" w:hint="default"/>
          <w:b/>
          <w:bCs/>
          <w:sz w:val="17"/>
          <w:szCs w:val="17"/>
        </w:rPr>
      </w:pPr>
    </w:p>
    <w:tbl>
      <w:tblPr>
        <w:tblW w:w="0" w:type="auto"/>
        <w:jc w:val="left"/>
        <w:tblInd w:w="106" w:type="dxa"/>
        <w:tblLayout w:type="fixed"/>
        <w:tblCellMar>
          <w:top w:w="0" w:type="dxa"/>
          <w:left w:w="0" w:type="dxa"/>
          <w:bottom w:w="0" w:type="dxa"/>
          <w:right w:w="0" w:type="dxa"/>
        </w:tblCellMar>
        <w:tblLook w:val="01E0"/>
      </w:tblPr>
      <w:tblGrid>
        <w:gridCol w:w="740"/>
        <w:gridCol w:w="1985"/>
        <w:gridCol w:w="778"/>
        <w:gridCol w:w="500"/>
        <w:gridCol w:w="427"/>
        <w:gridCol w:w="1558"/>
        <w:gridCol w:w="1700"/>
        <w:gridCol w:w="1277"/>
        <w:gridCol w:w="1546"/>
        <w:gridCol w:w="1169"/>
        <w:gridCol w:w="1169"/>
        <w:gridCol w:w="1171"/>
      </w:tblGrid>
      <w:tr>
        <w:trPr>
          <w:trHeight w:val="713" w:hRule="exact"/>
        </w:trPr>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本期增持股份数量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1"/>
              <w:ind w:left="129" w:right="38" w:hanging="89"/>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31,872,343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31,872,343</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19,698,478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2,180,000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17,518,478</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21,838,477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21,838,477</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z w:val="18"/>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吴永平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乔东斌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艾倩兰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1,414,737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1,396,737</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刘念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z w:val="18"/>
              </w:rPr>
              <w:t>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z w:val="18"/>
              </w:rPr>
              <w:t>400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z w:val="18"/>
              </w:rPr>
              <w:t>400</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李枫</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杨正华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卢庆华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张文凯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923,871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923,871</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武文静</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贺林英</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18"/>
                <w:szCs w:val="18"/>
              </w:rPr>
            </w:pPr>
            <w:r>
              <w:rPr>
                <w:rFonts w:ascii="宋体" w:hAnsi="宋体" w:cs="宋体" w:eastAsia="宋体" w:hint="default"/>
                <w:sz w:val="18"/>
                <w:szCs w:val="18"/>
              </w:rPr>
              <w:t>副总经理、财务总监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sz w:val="18"/>
              </w:rPr>
              <w:t>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75,748,306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2,198,000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73,550,306</w:t>
            </w:r>
          </w:p>
        </w:tc>
      </w:tr>
    </w:tbl>
    <w:p>
      <w:pPr>
        <w:spacing w:after="0" w:line="240" w:lineRule="auto"/>
        <w:jc w:val="right"/>
        <w:rPr>
          <w:rFonts w:ascii="Times New Roman" w:hAnsi="Times New Roman" w:cs="Times New Roman" w:eastAsia="Times New Roman" w:hint="default"/>
          <w:sz w:val="18"/>
          <w:szCs w:val="18"/>
        </w:rPr>
        <w:sectPr>
          <w:headerReference w:type="default" r:id="rId38"/>
          <w:footerReference w:type="default" r:id="rId39"/>
          <w:pgSz w:w="16840" w:h="11910" w:orient="landscape"/>
          <w:pgMar w:header="870" w:footer="979" w:top="1060" w:bottom="1220" w:left="1300" w:right="1280"/>
          <w:pgNumType w:start="57"/>
        </w:sectPr>
      </w:pPr>
    </w:p>
    <w:p>
      <w:pPr>
        <w:pStyle w:val="Heading3"/>
        <w:spacing w:line="369" w:lineRule="exact"/>
        <w:ind w:left="140" w:right="0"/>
        <w:jc w:val="left"/>
        <w:rPr>
          <w:b w:val="0"/>
          <w:bCs w:val="0"/>
        </w:rPr>
      </w:pPr>
      <w:r>
        <w:rPr/>
        <w:pict>
          <v:group style="position:absolute;margin-left:70.559998pt;margin-top:2.102063pt;width:700.9pt;height:.1pt;mso-position-horizontal-relative:page;mso-position-vertical-relative:paragraph;z-index:-863560" coordorigin="1411,42" coordsize="14018,2">
            <v:shape style="position:absolute;left:1411;top:42;width:14018;height:2" coordorigin="1411,42" coordsize="14018,0" path="m1411,42l15429,42e" filled="false" stroked="true" strokeweight=".72pt" strokecolor="#000000">
              <v:path arrowok="t"/>
            </v:shape>
            <w10:wrap type="none"/>
          </v:group>
        </w:pict>
      </w: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40" w:right="10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949"/>
        <w:gridCol w:w="1949"/>
        <w:gridCol w:w="1946"/>
        <w:gridCol w:w="1949"/>
        <w:gridCol w:w="6224"/>
      </w:tblGrid>
      <w:tr>
        <w:trPr>
          <w:trHeight w:val="401"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6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6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个人原因申请辞职</w:t>
            </w:r>
          </w:p>
        </w:tc>
      </w:tr>
    </w:tbl>
    <w:p>
      <w:pPr>
        <w:spacing w:line="240" w:lineRule="auto" w:before="4"/>
        <w:rPr>
          <w:rFonts w:ascii="宋体" w:hAnsi="宋体" w:cs="宋体" w:eastAsia="宋体" w:hint="default"/>
          <w:sz w:val="18"/>
          <w:szCs w:val="18"/>
        </w:rPr>
      </w:pPr>
    </w:p>
    <w:p>
      <w:pPr>
        <w:pStyle w:val="Heading3"/>
        <w:spacing w:line="367" w:lineRule="exact"/>
        <w:ind w:left="140" w:right="10678"/>
        <w:jc w:val="left"/>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3"/>
        <w:rPr>
          <w:rFonts w:ascii="宋体" w:hAnsi="宋体" w:cs="宋体" w:eastAsia="宋体" w:hint="default"/>
          <w:sz w:val="13"/>
          <w:szCs w:val="13"/>
        </w:rPr>
      </w:pPr>
    </w:p>
    <w:p>
      <w:pPr>
        <w:pStyle w:val="BodyText"/>
        <w:spacing w:line="386" w:lineRule="auto" w:before="0"/>
        <w:ind w:left="560" w:right="0" w:firstLine="12"/>
        <w:jc w:val="left"/>
      </w:pPr>
      <w:r>
        <w:rPr>
          <w:rFonts w:ascii="Times New Roman" w:hAnsi="Times New Roman" w:cs="Times New Roman" w:eastAsia="Times New Roman" w:hint="default"/>
        </w:rPr>
        <w:t>1</w:t>
      </w:r>
      <w:r>
        <w:rPr/>
        <w:t>、董事会成员介绍</w:t>
      </w:r>
      <w:r>
        <w:rPr>
          <w:w w:val="100"/>
        </w:rPr>
        <w:t> </w:t>
      </w:r>
      <w:r>
        <w:rPr>
          <w:spacing w:val="-2"/>
        </w:rPr>
        <w:t>黄元忠先生，</w:t>
      </w:r>
      <w:r>
        <w:rPr>
          <w:rFonts w:ascii="Times New Roman" w:hAnsi="Times New Roman" w:cs="Times New Roman" w:eastAsia="Times New Roman" w:hint="default"/>
          <w:spacing w:val="-2"/>
        </w:rPr>
        <w:t>1964</w:t>
      </w:r>
      <w:r>
        <w:rPr>
          <w:spacing w:val="-2"/>
        </w:rPr>
        <w:t>年生，中国国籍，毕业于华中科技大学计算机系，硕士研究生。曾任中国长城计算机集团深圳昆仑公司副经理。黄元忠先生是本</w:t>
      </w:r>
    </w:p>
    <w:p>
      <w:pPr>
        <w:pStyle w:val="BodyText"/>
        <w:spacing w:line="386" w:lineRule="auto" w:before="35"/>
        <w:ind w:left="140" w:right="0"/>
        <w:jc w:val="left"/>
      </w:pPr>
      <w:r>
        <w:rPr>
          <w:spacing w:val="-2"/>
        </w:rPr>
        <w:t>公司创始人之一，自</w:t>
      </w:r>
      <w:r>
        <w:rPr>
          <w:rFonts w:ascii="Times New Roman" w:hAnsi="Times New Roman" w:cs="Times New Roman" w:eastAsia="Times New Roman" w:hint="default"/>
          <w:spacing w:val="-2"/>
        </w:rPr>
        <w:t>1993</w:t>
      </w:r>
      <w:r>
        <w:rPr>
          <w:spacing w:val="-2"/>
        </w:rPr>
        <w:t>年深圳市方直科技有限公司成立以来，长期担任执行董事、总经理、董事长等职务，全面负责公司的运营管理和研发工作，系</w:t>
      </w:r>
      <w:r>
        <w:rPr>
          <w:spacing w:val="23"/>
        </w:rPr>
        <w:t> </w:t>
      </w:r>
      <w:r>
        <w:rPr>
          <w:spacing w:val="23"/>
        </w:rPr>
      </w:r>
      <w:r>
        <w:rPr/>
        <w:t>公司技术骨干。深圳市科技专家委员会成员，深圳市南山区科技专家，现任本公司董事长。</w:t>
      </w:r>
    </w:p>
    <w:p>
      <w:pPr>
        <w:pStyle w:val="BodyText"/>
        <w:spacing w:line="386" w:lineRule="auto" w:before="65"/>
        <w:ind w:left="140" w:right="150" w:firstLine="420"/>
        <w:jc w:val="both"/>
      </w:pPr>
      <w:r>
        <w:rPr>
          <w:spacing w:val="-3"/>
        </w:rPr>
        <w:t>陈克让先生，</w:t>
      </w:r>
      <w:r>
        <w:rPr>
          <w:rFonts w:ascii="Times New Roman" w:hAnsi="Times New Roman" w:cs="Times New Roman" w:eastAsia="Times New Roman" w:hint="default"/>
          <w:spacing w:val="-3"/>
        </w:rPr>
        <w:t>1965</w:t>
      </w:r>
      <w:r>
        <w:rPr>
          <w:spacing w:val="-3"/>
        </w:rPr>
        <w:t>年生，中国国籍，香港中文大学</w:t>
      </w:r>
      <w:r>
        <w:rPr>
          <w:rFonts w:ascii="Times New Roman" w:hAnsi="Times New Roman" w:cs="Times New Roman" w:eastAsia="Times New Roman" w:hint="default"/>
          <w:spacing w:val="-3"/>
        </w:rPr>
        <w:t>FMBA</w:t>
      </w:r>
      <w:r>
        <w:rPr>
          <w:spacing w:val="-3"/>
        </w:rPr>
        <w:t>。曾任中国长城计算机集团深圳昆仑公司技术部经理，长期负责连邦信息的总体运营管理工</w:t>
      </w:r>
      <w:r>
        <w:rPr>
          <w:w w:val="100"/>
        </w:rPr>
        <w:t> </w:t>
      </w:r>
      <w:r>
        <w:rPr/>
        <w:t>作，担任连邦信息总经理，历任本公司副总经理、董事会秘书，现任本公司董事。</w:t>
      </w:r>
    </w:p>
    <w:p>
      <w:pPr>
        <w:pStyle w:val="BodyText"/>
        <w:spacing w:line="386" w:lineRule="auto" w:before="65"/>
        <w:ind w:left="140" w:right="244" w:firstLine="420"/>
        <w:jc w:val="both"/>
      </w:pPr>
      <w:r>
        <w:rPr>
          <w:spacing w:val="-2"/>
        </w:rPr>
        <w:t>乔东斌先生，</w:t>
      </w:r>
      <w:r>
        <w:rPr>
          <w:rFonts w:ascii="Times New Roman" w:hAnsi="Times New Roman" w:cs="Times New Roman" w:eastAsia="Times New Roman" w:hint="default"/>
          <w:spacing w:val="-2"/>
        </w:rPr>
        <w:t>1965</w:t>
      </w:r>
      <w:r>
        <w:rPr>
          <w:spacing w:val="-2"/>
        </w:rPr>
        <w:t>年生，中国国籍，毕业于华中科技大学计算机系，硕士学位。</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1993</w:t>
      </w:r>
      <w:r>
        <w:rPr>
          <w:spacing w:val="-2"/>
        </w:rPr>
        <w:t>年在深圳（蛇口）新欣软件产业有限公司任研发部经</w:t>
      </w:r>
      <w:r>
        <w:rPr>
          <w:w w:val="100"/>
        </w:rPr>
        <w:t> </w:t>
      </w:r>
      <w:r>
        <w:rPr>
          <w:spacing w:val="-2"/>
        </w:rPr>
        <w:t>理；</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1996</w:t>
      </w:r>
      <w:r>
        <w:rPr>
          <w:spacing w:val="-2"/>
        </w:rPr>
        <w:t>年在蛇口新亚电脑工程有限公司任总经理；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2001</w:t>
      </w:r>
      <w:r>
        <w:rPr>
          <w:spacing w:val="-2"/>
        </w:rPr>
        <w:t>年在深圳市盛亚电脑技术有限公司任总经理；现任深圳市齐普生信息科技有</w:t>
      </w:r>
      <w:r>
        <w:rPr>
          <w:spacing w:val="33"/>
        </w:rPr>
        <w:t> </w:t>
      </w:r>
      <w:r>
        <w:rPr>
          <w:spacing w:val="33"/>
        </w:rPr>
      </w:r>
      <w:r>
        <w:rPr/>
        <w:t>限公司董事、总经理。现任本公司第四届董事会董事。</w:t>
      </w:r>
    </w:p>
    <w:p>
      <w:pPr>
        <w:pStyle w:val="BodyText"/>
        <w:spacing w:line="240" w:lineRule="auto" w:before="65"/>
        <w:ind w:left="560" w:right="0"/>
        <w:jc w:val="left"/>
      </w:pPr>
      <w:r>
        <w:rPr/>
        <w:t>陈伟强先生，</w:t>
      </w:r>
      <w:r>
        <w:rPr>
          <w:rFonts w:ascii="Times New Roman" w:hAnsi="Times New Roman" w:cs="Times New Roman" w:eastAsia="Times New Roman" w:hint="default"/>
        </w:rPr>
        <w:t>1962</w:t>
      </w:r>
      <w:r>
        <w:rPr/>
        <w:t>年生，中国国籍，法学研究生，民建会员，</w:t>
      </w:r>
      <w:r>
        <w:rPr>
          <w:rFonts w:ascii="Times New Roman" w:hAnsi="Times New Roman" w:cs="Times New Roman" w:eastAsia="Times New Roman" w:hint="default"/>
        </w:rPr>
        <w:t>1987</w:t>
      </w:r>
      <w:r>
        <w:rPr/>
        <w:t>年毕业于中国人民大学，大专学位，</w:t>
      </w:r>
      <w:r>
        <w:rPr>
          <w:rFonts w:ascii="Times New Roman" w:hAnsi="Times New Roman" w:cs="Times New Roman" w:eastAsia="Times New Roman" w:hint="default"/>
        </w:rPr>
        <w:t>2002</w:t>
      </w:r>
      <w:r>
        <w:rPr/>
        <w:t>年取得河南大学诉讼法学研究生学位，</w:t>
      </w:r>
    </w:p>
    <w:p>
      <w:pPr>
        <w:pStyle w:val="BodyText"/>
        <w:spacing w:line="386" w:lineRule="auto" w:before="177"/>
        <w:ind w:left="560" w:right="0" w:hanging="421"/>
        <w:jc w:val="left"/>
      </w:pPr>
      <w:r>
        <w:rPr>
          <w:rFonts w:ascii="Times New Roman" w:hAnsi="Times New Roman" w:cs="Times New Roman" w:eastAsia="Times New Roman" w:hint="default"/>
        </w:rPr>
        <w:t>1987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月河南省开封市第一律师事务所律师；</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月至今广东深天正律师事务所律师、任主任。现任本公司第四届董事会独立董事。</w:t>
      </w:r>
      <w:r>
        <w:rPr>
          <w:w w:val="100"/>
        </w:rPr>
        <w:t> </w:t>
      </w:r>
      <w:r>
        <w:rPr>
          <w:spacing w:val="-2"/>
        </w:rPr>
        <w:t>吴永平先生，</w:t>
      </w:r>
      <w:r>
        <w:rPr>
          <w:rFonts w:ascii="Times New Roman" w:hAnsi="Times New Roman" w:cs="Times New Roman" w:eastAsia="Times New Roman" w:hint="default"/>
          <w:spacing w:val="-2"/>
        </w:rPr>
        <w:t>1976</w:t>
      </w:r>
      <w:r>
        <w:rPr>
          <w:spacing w:val="-2"/>
        </w:rPr>
        <w:t>年生，中国国籍，</w:t>
      </w:r>
      <w:r>
        <w:rPr>
          <w:rFonts w:ascii="Times New Roman" w:hAnsi="Times New Roman" w:cs="Times New Roman" w:eastAsia="Times New Roman" w:hint="default"/>
          <w:spacing w:val="-2"/>
        </w:rPr>
        <w:t>2001</w:t>
      </w:r>
      <w:r>
        <w:rPr>
          <w:spacing w:val="-2"/>
        </w:rPr>
        <w:t>年毕业于南京大学国际经济法专业，硕士学位。自</w:t>
      </w:r>
      <w:r>
        <w:rPr>
          <w:rFonts w:ascii="Times New Roman" w:hAnsi="Times New Roman" w:cs="Times New Roman" w:eastAsia="Times New Roman" w:hint="default"/>
          <w:spacing w:val="-2"/>
        </w:rPr>
        <w:t>2004</w:t>
      </w:r>
      <w:r>
        <w:rPr>
          <w:spacing w:val="-2"/>
        </w:rPr>
        <w:t>年起至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月在平安证券股份有限公司工作，曾</w:t>
      </w:r>
    </w:p>
    <w:p>
      <w:pPr>
        <w:pStyle w:val="BodyText"/>
        <w:spacing w:line="240" w:lineRule="auto" w:before="36"/>
        <w:ind w:left="140" w:right="0"/>
        <w:jc w:val="left"/>
      </w:pPr>
      <w:r>
        <w:rPr/>
        <w:t>任投资银行事业部执行总经理等职务。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月起入职深圳日海智能科技股份有限公司，目前任北京一点网聚科技有限公司财务总监，同时任上海润良</w:t>
      </w:r>
    </w:p>
    <w:p>
      <w:pPr>
        <w:pStyle w:val="BodyText"/>
        <w:spacing w:line="240" w:lineRule="auto" w:before="177"/>
        <w:ind w:left="140" w:right="0"/>
        <w:jc w:val="left"/>
      </w:pPr>
      <w:r>
        <w:rPr/>
        <w:t>泰物联网科技合伙企业（有限合伙）的高级合伙人（非执行职务）、深圳兆日科技股份有限公司独立董事。现任本公司第四届董事会独立董事。</w:t>
      </w:r>
    </w:p>
    <w:p>
      <w:pPr>
        <w:spacing w:after="0" w:line="240" w:lineRule="auto"/>
        <w:jc w:val="left"/>
        <w:sectPr>
          <w:pgSz w:w="16840" w:h="11910" w:orient="landscape"/>
          <w:pgMar w:header="870" w:footer="979" w:top="1060" w:bottom="1160" w:left="1300" w:right="1280"/>
        </w:sectPr>
      </w:pPr>
    </w:p>
    <w:p>
      <w:pPr>
        <w:spacing w:line="240" w:lineRule="auto" w:before="9"/>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391" w:lineRule="auto" w:before="75"/>
        <w:ind w:left="140" w:right="0" w:firstLine="420"/>
        <w:jc w:val="left"/>
      </w:pPr>
      <w:r>
        <w:rPr>
          <w:spacing w:val="-2"/>
        </w:rPr>
        <w:t>周俊祥先生，</w:t>
      </w:r>
      <w:r>
        <w:rPr>
          <w:rFonts w:ascii="Times New Roman" w:hAnsi="Times New Roman" w:cs="Times New Roman" w:eastAsia="Times New Roman" w:hint="default"/>
          <w:spacing w:val="-2"/>
        </w:rPr>
        <w:t>1965</w:t>
      </w:r>
      <w:r>
        <w:rPr>
          <w:spacing w:val="-2"/>
        </w:rPr>
        <w:t>年生，中国国籍，经济学硕士，中国注册会计师，中国注册资产评估师。</w:t>
      </w:r>
      <w:r>
        <w:rPr>
          <w:rFonts w:ascii="Times New Roman" w:hAnsi="Times New Roman" w:cs="Times New Roman" w:eastAsia="Times New Roman" w:hint="default"/>
          <w:spacing w:val="-2"/>
        </w:rPr>
        <w:t>1989</w:t>
      </w:r>
      <w:r>
        <w:rPr>
          <w:spacing w:val="-2"/>
        </w:rPr>
        <w:t>年毕业于财政部中国财政科学研究院会计学专业，</w:t>
      </w:r>
      <w:r>
        <w:rPr>
          <w:w w:val="100"/>
        </w:rPr>
        <w:t> </w:t>
      </w:r>
      <w:r>
        <w:rPr>
          <w:spacing w:val="-2"/>
        </w:rPr>
        <w:t>硕士学位。</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12</w:t>
      </w:r>
      <w:r>
        <w:rPr>
          <w:spacing w:val="-2"/>
        </w:rPr>
        <w:t>月在珠海市会计师事务所任经理；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9</w:t>
      </w:r>
      <w:r>
        <w:rPr>
          <w:spacing w:val="-2"/>
        </w:rPr>
        <w:t>月在珠海中诚信评估咨询有限公司任总经理；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2005</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2"/>
        </w:rPr>
        <w:t>年</w:t>
      </w:r>
      <w:r>
        <w:rPr>
          <w:rFonts w:ascii="Times New Roman" w:hAnsi="Times New Roman" w:cs="Times New Roman" w:eastAsia="Times New Roman" w:hint="default"/>
          <w:spacing w:val="-2"/>
        </w:rPr>
        <w:t>9</w:t>
      </w:r>
      <w:r>
        <w:rPr>
          <w:spacing w:val="-2"/>
        </w:rPr>
        <w:t>月在珠海立信合伙会计师事务所任合伙人；</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月在深圳银华会计师事务所任合伙人；</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月在天健正信会计师事务</w:t>
      </w:r>
      <w:r>
        <w:rPr>
          <w:spacing w:val="27"/>
        </w:rPr>
        <w:t> </w:t>
      </w:r>
      <w:r>
        <w:rPr>
          <w:spacing w:val="27"/>
        </w:rPr>
      </w:r>
      <w:r>
        <w:rPr>
          <w:spacing w:val="-2"/>
        </w:rPr>
        <w:t>所任合伙人；</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月至今任立信会计师事务所（特殊普通合伙）合伙人。现任立信会计师事务所（特殊普通合伙）合伙人，深圳市裕同包装科技股份</w:t>
      </w:r>
      <w:r>
        <w:rPr>
          <w:spacing w:val="11"/>
        </w:rPr>
        <w:t> </w:t>
      </w:r>
      <w:r>
        <w:rPr>
          <w:spacing w:val="11"/>
        </w:rPr>
      </w:r>
      <w:r>
        <w:rPr>
          <w:spacing w:val="-2"/>
        </w:rPr>
        <w:t>有限公司独立董事，辽宁振兴银行股份有限公司独立董事，崇达技术股份有限公司独立董事，希努尔男装股份有限公司独立董事，深圳市政府引导基金</w:t>
      </w:r>
      <w:r>
        <w:rPr>
          <w:spacing w:val="19"/>
        </w:rPr>
        <w:t> </w:t>
      </w:r>
      <w:r>
        <w:rPr>
          <w:spacing w:val="19"/>
        </w:rPr>
      </w:r>
      <w:r>
        <w:rPr/>
        <w:t>专家组成员、评审委员。现任本公司第四届董事会独立董事。</w:t>
      </w:r>
    </w:p>
    <w:p>
      <w:pPr>
        <w:pStyle w:val="BodyText"/>
        <w:spacing w:line="386" w:lineRule="auto" w:before="61"/>
        <w:ind w:left="560" w:right="0"/>
        <w:jc w:val="left"/>
      </w:pPr>
      <w:r>
        <w:rPr>
          <w:rFonts w:ascii="Times New Roman" w:hAnsi="Times New Roman" w:cs="Times New Roman" w:eastAsia="Times New Roman" w:hint="default"/>
        </w:rPr>
        <w:t>2</w:t>
      </w:r>
      <w:r>
        <w:rPr/>
        <w:t>、监事会成员介绍</w:t>
      </w:r>
      <w:r>
        <w:rPr>
          <w:w w:val="100"/>
        </w:rPr>
        <w:t> </w:t>
      </w:r>
      <w:r>
        <w:rPr>
          <w:spacing w:val="-2"/>
        </w:rPr>
        <w:t>艾倩兰女士，</w:t>
      </w:r>
      <w:r>
        <w:rPr>
          <w:rFonts w:ascii="Times New Roman" w:hAnsi="Times New Roman" w:cs="Times New Roman" w:eastAsia="Times New Roman" w:hint="default"/>
          <w:spacing w:val="-2"/>
        </w:rPr>
        <w:t>1984</w:t>
      </w:r>
      <w:r>
        <w:rPr>
          <w:spacing w:val="-2"/>
        </w:rPr>
        <w:t>年生，中国国籍，教研专员，</w:t>
      </w:r>
      <w:r>
        <w:rPr>
          <w:rFonts w:ascii="Times New Roman" w:hAnsi="Times New Roman" w:cs="Times New Roman" w:eastAsia="Times New Roman" w:hint="default"/>
          <w:spacing w:val="-2"/>
        </w:rPr>
        <w:t>2006</w:t>
      </w:r>
      <w:r>
        <w:rPr>
          <w:spacing w:val="-2"/>
        </w:rPr>
        <w:t>年毕业于西北民族大学，全日制大学本科学位，</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月至今在深圳方直科技股份有限公司分</w:t>
      </w:r>
    </w:p>
    <w:p>
      <w:pPr>
        <w:pStyle w:val="BodyText"/>
        <w:spacing w:line="408" w:lineRule="auto" w:before="35"/>
        <w:ind w:left="560" w:right="0" w:hanging="421"/>
        <w:jc w:val="left"/>
      </w:pPr>
      <w:r>
        <w:rPr/>
        <w:t>别担任过软件策划、项目经理、产品经理，现任教研专员。现任本公司第四届监事会监事。</w:t>
      </w:r>
      <w:r>
        <w:rPr>
          <w:w w:val="100"/>
        </w:rPr>
        <w:t> </w:t>
      </w:r>
      <w:r>
        <w:rPr>
          <w:spacing w:val="-2"/>
        </w:rPr>
        <w:t>杨颖女士，</w:t>
      </w:r>
      <w:r>
        <w:rPr>
          <w:rFonts w:ascii="Times New Roman" w:hAnsi="Times New Roman" w:cs="Times New Roman" w:eastAsia="Times New Roman" w:hint="default"/>
          <w:spacing w:val="-2"/>
        </w:rPr>
        <w:t>1964</w:t>
      </w:r>
      <w:r>
        <w:rPr>
          <w:spacing w:val="-2"/>
        </w:rPr>
        <w:t>年生，中国国籍，曾任重庆建安公司经济员，中国长城计算机集团深圳昆仑公司会计，</w:t>
      </w:r>
      <w:r>
        <w:rPr>
          <w:rFonts w:ascii="Times New Roman" w:hAnsi="Times New Roman" w:cs="Times New Roman" w:eastAsia="Times New Roman" w:hint="default"/>
          <w:spacing w:val="-2"/>
        </w:rPr>
        <w:t>1996</w:t>
      </w:r>
      <w:r>
        <w:rPr>
          <w:spacing w:val="-2"/>
        </w:rPr>
        <w:t>年加入深圳方直科技股份有限公司，历</w:t>
      </w:r>
    </w:p>
    <w:p>
      <w:pPr>
        <w:pStyle w:val="BodyText"/>
        <w:spacing w:line="408" w:lineRule="auto" w:before="14"/>
        <w:ind w:left="560" w:right="0" w:hanging="421"/>
        <w:jc w:val="left"/>
      </w:pPr>
      <w:r>
        <w:rPr/>
        <w:t>任本公司会计、行政人事总监。现任本公司第四届监事会监事。</w:t>
      </w:r>
      <w:r>
        <w:rPr>
          <w:w w:val="100"/>
        </w:rPr>
        <w:t> </w:t>
      </w:r>
      <w:r>
        <w:rPr>
          <w:spacing w:val="-2"/>
        </w:rPr>
        <w:t>刘念女士，</w:t>
      </w:r>
      <w:r>
        <w:rPr>
          <w:rFonts w:ascii="Times New Roman" w:hAnsi="Times New Roman" w:cs="Times New Roman" w:eastAsia="Times New Roman" w:hint="default"/>
          <w:spacing w:val="-2"/>
        </w:rPr>
        <w:t>1986</w:t>
      </w:r>
      <w:r>
        <w:rPr>
          <w:spacing w:val="-2"/>
        </w:rPr>
        <w:t>年生，中国国籍，</w:t>
      </w:r>
      <w:r>
        <w:rPr>
          <w:rFonts w:ascii="Times New Roman" w:hAnsi="Times New Roman" w:cs="Times New Roman" w:eastAsia="Times New Roman" w:hint="default"/>
          <w:spacing w:val="-2"/>
        </w:rPr>
        <w:t>2012</w:t>
      </w:r>
      <w:r>
        <w:rPr>
          <w:spacing w:val="-2"/>
        </w:rPr>
        <w:t>年毕业于中国地质大学（武汉），硕士学位，</w:t>
      </w:r>
      <w:r>
        <w:rPr>
          <w:rFonts w:ascii="Times New Roman" w:hAnsi="Times New Roman" w:cs="Times New Roman" w:eastAsia="Times New Roman" w:hint="default"/>
          <w:spacing w:val="-2"/>
        </w:rPr>
        <w:t>2012</w:t>
      </w:r>
      <w:r>
        <w:rPr>
          <w:spacing w:val="-2"/>
        </w:rPr>
        <w:t>年年</w:t>
      </w:r>
      <w:r>
        <w:rPr>
          <w:rFonts w:ascii="Times New Roman" w:hAnsi="Times New Roman" w:cs="Times New Roman" w:eastAsia="Times New Roman" w:hint="default"/>
          <w:spacing w:val="-2"/>
        </w:rPr>
        <w:t>8</w:t>
      </w:r>
      <w:r>
        <w:rPr>
          <w:spacing w:val="-2"/>
        </w:rPr>
        <w:t>月至今在深圳市方直科技股份有限公司先后任职培训</w:t>
      </w:r>
    </w:p>
    <w:p>
      <w:pPr>
        <w:pStyle w:val="BodyText"/>
        <w:spacing w:line="240" w:lineRule="auto" w:before="14"/>
        <w:ind w:left="140" w:right="0"/>
        <w:jc w:val="left"/>
      </w:pPr>
      <w:r>
        <w:rPr/>
        <w:t>中心副经理、人力资源部经理职位，现任本公司第四届监事会职工代表监事。</w:t>
      </w:r>
    </w:p>
    <w:p>
      <w:pPr>
        <w:spacing w:line="240" w:lineRule="auto" w:before="10"/>
        <w:rPr>
          <w:rFonts w:ascii="宋体" w:hAnsi="宋体" w:cs="宋体" w:eastAsia="宋体" w:hint="default"/>
          <w:sz w:val="14"/>
          <w:szCs w:val="14"/>
        </w:rPr>
      </w:pPr>
    </w:p>
    <w:p>
      <w:pPr>
        <w:pStyle w:val="BodyText"/>
        <w:spacing w:line="386" w:lineRule="auto" w:before="0"/>
        <w:ind w:left="560" w:right="0"/>
        <w:jc w:val="left"/>
      </w:pPr>
      <w:r>
        <w:rPr>
          <w:rFonts w:ascii="Times New Roman" w:hAnsi="Times New Roman" w:cs="Times New Roman" w:eastAsia="Times New Roman" w:hint="default"/>
        </w:rPr>
        <w:t>3</w:t>
      </w:r>
      <w:r>
        <w:rPr/>
        <w:t>、高级管理人员介绍</w:t>
      </w:r>
      <w:r>
        <w:rPr>
          <w:w w:val="100"/>
        </w:rPr>
        <w:t> </w:t>
      </w:r>
      <w:r>
        <w:rPr>
          <w:spacing w:val="-2"/>
        </w:rPr>
        <w:t>张文凯先生，</w:t>
      </w:r>
      <w:r>
        <w:rPr>
          <w:rFonts w:ascii="Times New Roman" w:hAnsi="Times New Roman" w:cs="Times New Roman" w:eastAsia="Times New Roman" w:hint="default"/>
          <w:spacing w:val="-2"/>
        </w:rPr>
        <w:t>1968</w:t>
      </w:r>
      <w:r>
        <w:rPr>
          <w:spacing w:val="-2"/>
        </w:rPr>
        <w:t>年生，中国国籍。专科。曾任株洲汽车制造厂技术员。</w:t>
      </w:r>
      <w:r>
        <w:rPr>
          <w:rFonts w:ascii="Times New Roman" w:hAnsi="Times New Roman" w:cs="Times New Roman" w:eastAsia="Times New Roman" w:hint="default"/>
          <w:spacing w:val="-2"/>
        </w:rPr>
        <w:t>1993</w:t>
      </w:r>
      <w:r>
        <w:rPr>
          <w:spacing w:val="-2"/>
        </w:rPr>
        <w:t>年加入本公司，曾任本公司营销总监，总经理助理，副总经理，现任</w:t>
      </w:r>
    </w:p>
    <w:p>
      <w:pPr>
        <w:pStyle w:val="BodyText"/>
        <w:spacing w:line="408" w:lineRule="auto" w:before="35"/>
        <w:ind w:left="560" w:right="0" w:hanging="421"/>
        <w:jc w:val="left"/>
      </w:pPr>
      <w:r>
        <w:rPr/>
        <w:t>本公司常务副总经理，现代为履行总经理工作职责。</w:t>
      </w:r>
      <w:r>
        <w:rPr>
          <w:w w:val="100"/>
        </w:rPr>
        <w:t> </w:t>
      </w:r>
      <w:r>
        <w:rPr/>
        <w:t>李枫女士：</w:t>
      </w:r>
      <w:r>
        <w:rPr>
          <w:rFonts w:ascii="Times New Roman" w:hAnsi="Times New Roman" w:cs="Times New Roman" w:eastAsia="Times New Roman" w:hint="default"/>
        </w:rPr>
        <w:t>1974</w:t>
      </w:r>
      <w:r>
        <w:rPr/>
        <w:t>年出生，中国国籍，北京大学工商管理硕士，无境外永久居留权。</w:t>
      </w:r>
      <w:r>
        <w:rPr>
          <w:rFonts w:ascii="Times New Roman" w:hAnsi="Times New Roman" w:cs="Times New Roman" w:eastAsia="Times New Roman" w:hint="default"/>
        </w:rPr>
        <w:t>1997</w:t>
      </w:r>
      <w:r>
        <w:rPr/>
        <w:t>年至今在深圳市方直科技股份有限公司担任行政部经理、证</w:t>
      </w:r>
    </w:p>
    <w:p>
      <w:pPr>
        <w:pStyle w:val="BodyText"/>
        <w:spacing w:line="408" w:lineRule="auto" w:before="14"/>
        <w:ind w:left="560" w:right="0" w:hanging="421"/>
        <w:jc w:val="left"/>
      </w:pPr>
      <w:r>
        <w:rPr/>
        <w:t>券事务代表、证券部经理，现任本公司副总经理、董事会秘书。广东省新的社会阶层人士联合会会员。</w:t>
      </w:r>
      <w:r>
        <w:rPr>
          <w:w w:val="100"/>
        </w:rPr>
        <w:t> </w:t>
      </w:r>
      <w:r>
        <w:rPr>
          <w:spacing w:val="-2"/>
        </w:rPr>
        <w:t>贺林英女士，</w:t>
      </w:r>
      <w:r>
        <w:rPr>
          <w:rFonts w:ascii="Times New Roman" w:hAnsi="Times New Roman" w:cs="Times New Roman" w:eastAsia="Times New Roman" w:hint="default"/>
          <w:spacing w:val="-2"/>
        </w:rPr>
        <w:t>1975</w:t>
      </w:r>
      <w:r>
        <w:rPr>
          <w:spacing w:val="-2"/>
        </w:rPr>
        <w:t>年生，中国国籍。毕业于湖南财经学院，国际会计师，理财规划师；</w:t>
      </w:r>
      <w:r>
        <w:rPr>
          <w:rFonts w:ascii="Times New Roman" w:hAnsi="Times New Roman" w:cs="Times New Roman" w:eastAsia="Times New Roman" w:hint="default"/>
          <w:spacing w:val="-2"/>
        </w:rPr>
        <w:t>1996</w:t>
      </w:r>
      <w:r>
        <w:rPr>
          <w:spacing w:val="-2"/>
        </w:rPr>
        <w:t>年开始从事财务工作，曾任深圳市佳野实业发展有限公</w:t>
      </w:r>
    </w:p>
    <w:p>
      <w:pPr>
        <w:pStyle w:val="BodyText"/>
        <w:spacing w:line="240" w:lineRule="auto" w:before="15"/>
        <w:ind w:left="140" w:right="0"/>
        <w:jc w:val="left"/>
      </w:pPr>
      <w:r>
        <w:rPr>
          <w:spacing w:val="-1"/>
        </w:rPr>
        <w:t>司财务总监</w:t>
      </w:r>
      <w:r>
        <w:rPr>
          <w:spacing w:val="94"/>
        </w:rPr>
        <w:t> </w:t>
      </w:r>
      <w:r>
        <w:rPr>
          <w:spacing w:val="-2"/>
        </w:rPr>
        <w:t>、深圳市谱尼测试科技股份有限公司高级财务经理；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月至今在本公司先后担任财务经理、代理财务总监一职。现任本公司副总经理、</w:t>
      </w:r>
      <w:r>
        <w:rPr/>
      </w:r>
    </w:p>
    <w:p>
      <w:pPr>
        <w:spacing w:after="0" w:line="240" w:lineRule="auto"/>
        <w:jc w:val="left"/>
        <w:sectPr>
          <w:pgSz w:w="16840" w:h="11910" w:orient="landscape"/>
          <w:pgMar w:header="870" w:footer="979" w:top="1060" w:bottom="1160" w:left="1300" w:right="1240"/>
        </w:sectPr>
      </w:pPr>
    </w:p>
    <w:p>
      <w:pPr>
        <w:pStyle w:val="BodyText"/>
        <w:spacing w:line="240" w:lineRule="auto" w:before="130"/>
        <w:ind w:left="140" w:right="10678"/>
        <w:jc w:val="left"/>
      </w:pPr>
      <w:r>
        <w:rPr/>
        <w:t>财务总监。</w:t>
      </w:r>
    </w:p>
    <w:p>
      <w:pPr>
        <w:spacing w:line="240" w:lineRule="auto" w:before="10"/>
        <w:rPr>
          <w:rFonts w:ascii="宋体" w:hAnsi="宋体" w:cs="宋体" w:eastAsia="宋体" w:hint="default"/>
          <w:sz w:val="14"/>
          <w:szCs w:val="14"/>
        </w:rPr>
      </w:pPr>
    </w:p>
    <w:p>
      <w:pPr>
        <w:pStyle w:val="BodyText"/>
        <w:spacing w:line="386" w:lineRule="auto" w:before="0"/>
        <w:ind w:left="140" w:right="244" w:firstLine="420"/>
        <w:jc w:val="both"/>
      </w:pPr>
      <w:r>
        <w:rPr>
          <w:spacing w:val="-2"/>
        </w:rPr>
        <w:t>卢庆华先生，</w:t>
      </w:r>
      <w:r>
        <w:rPr>
          <w:rFonts w:ascii="Times New Roman" w:hAnsi="Times New Roman" w:cs="Times New Roman" w:eastAsia="Times New Roman" w:hint="default"/>
          <w:spacing w:val="-2"/>
        </w:rPr>
        <w:t>1975</w:t>
      </w:r>
      <w:r>
        <w:rPr>
          <w:spacing w:val="-2"/>
        </w:rPr>
        <w:t>年生，中国国籍。毕业于北京工业大学，工学硕士，无境外永久居留权。曾在华为技术有限公司、广州市优拓计算机科技有限公</w:t>
      </w:r>
      <w:r>
        <w:rPr>
          <w:w w:val="100"/>
        </w:rPr>
        <w:t> </w:t>
      </w:r>
      <w:r>
        <w:rPr/>
        <w:t>司、江苏中科梦兰电子科技有限公司任职。现任本公司副总经理兼技术总监。</w:t>
      </w:r>
    </w:p>
    <w:p>
      <w:pPr>
        <w:pStyle w:val="BodyText"/>
        <w:spacing w:line="386" w:lineRule="auto" w:before="65"/>
        <w:ind w:left="140" w:right="150" w:firstLine="420"/>
        <w:jc w:val="both"/>
      </w:pPr>
      <w:r>
        <w:rPr>
          <w:spacing w:val="-2"/>
        </w:rPr>
        <w:t>杨正华先生，</w:t>
      </w:r>
      <w:r>
        <w:rPr>
          <w:rFonts w:ascii="Times New Roman" w:hAnsi="Times New Roman" w:cs="Times New Roman" w:eastAsia="Times New Roman" w:hint="default"/>
          <w:spacing w:val="-2"/>
        </w:rPr>
        <w:t>1973</w:t>
      </w:r>
      <w:r>
        <w:rPr>
          <w:spacing w:val="-2"/>
        </w:rPr>
        <w:t>年生，中国国籍。毕业于湖北大学，经济学学士、副研究员，无境外永久居留权。</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月在武汉启明星科技有限</w:t>
      </w:r>
      <w:r>
        <w:rPr>
          <w:w w:val="100"/>
        </w:rPr>
        <w:t> </w:t>
      </w:r>
      <w:r>
        <w:rPr>
          <w:spacing w:val="-2"/>
        </w:rPr>
        <w:t>公司任程序员职位；</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5</w:t>
      </w:r>
      <w:r>
        <w:rPr>
          <w:spacing w:val="-2"/>
        </w:rPr>
        <w:t>月在深圳正普信息技术有限公司任部门经理职位，</w:t>
      </w:r>
      <w:r>
        <w:rPr>
          <w:rFonts w:ascii="Times New Roman" w:hAnsi="Times New Roman" w:cs="Times New Roman" w:eastAsia="Times New Roman" w:hint="default"/>
          <w:spacing w:val="-2"/>
        </w:rPr>
        <w:t>2004</w:t>
      </w:r>
      <w:r>
        <w:rPr>
          <w:spacing w:val="-2"/>
        </w:rPr>
        <w:t>年加入本公司，历任研发部经理、总经理助理；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25"/>
        </w:rPr>
        <w:t> </w:t>
      </w:r>
      <w:r>
        <w:rPr/>
        <w:t>月任深圳市方直课程教学研究院副理事长、财务负责人，现任本公司副总经理。</w:t>
      </w:r>
    </w:p>
    <w:p>
      <w:pPr>
        <w:pStyle w:val="BodyText"/>
        <w:spacing w:line="386" w:lineRule="auto" w:before="65"/>
        <w:ind w:left="140" w:right="155" w:firstLine="420"/>
        <w:jc w:val="both"/>
      </w:pPr>
      <w:r>
        <w:rPr/>
        <w:t>武文静女士，</w:t>
      </w:r>
      <w:r>
        <w:rPr>
          <w:rFonts w:ascii="Times New Roman" w:hAnsi="Times New Roman" w:cs="Times New Roman" w:eastAsia="Times New Roman" w:hint="default"/>
        </w:rPr>
        <w:t>1982</w:t>
      </w:r>
      <w:r>
        <w:rPr/>
        <w:t>年生。中国国籍。企业人力资源管理师，毕业于东北师范大学。</w:t>
      </w:r>
      <w:r>
        <w:rPr>
          <w:rFonts w:ascii="Times New Roman" w:hAnsi="Times New Roman" w:cs="Times New Roman" w:eastAsia="Times New Roman" w:hint="default"/>
        </w:rPr>
        <w:t>2003</w:t>
      </w:r>
      <w:r>
        <w:rPr/>
        <w:t>年加入深圳方直科技股份有限公司，历任本公司人事部副经</w:t>
      </w:r>
      <w:r>
        <w:rPr>
          <w:w w:val="100"/>
        </w:rPr>
        <w:t> </w:t>
      </w:r>
      <w:r>
        <w:rPr/>
        <w:t>理、行政人力部经理，人力资源部经理，现任本公司副总经理。</w:t>
      </w:r>
    </w:p>
    <w:p>
      <w:pPr>
        <w:spacing w:before="47"/>
        <w:ind w:left="140" w:right="10678"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9"/>
        <w:ind w:left="140" w:right="124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3"/>
        <w:ind w:left="140" w:right="10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164"/>
        <w:gridCol w:w="3545"/>
        <w:gridCol w:w="2410"/>
        <w:gridCol w:w="2410"/>
        <w:gridCol w:w="2156"/>
        <w:gridCol w:w="2333"/>
      </w:tblGrid>
      <w:tr>
        <w:trPr>
          <w:trHeight w:val="713"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67" w:right="83" w:hanging="989"/>
              <w:jc w:val="left"/>
              <w:rPr>
                <w:rFonts w:ascii="宋体" w:hAnsi="宋体" w:cs="宋体" w:eastAsia="宋体" w:hint="default"/>
                <w:sz w:val="18"/>
                <w:szCs w:val="18"/>
              </w:rPr>
            </w:pPr>
            <w:r>
              <w:rPr>
                <w:rFonts w:ascii="宋体" w:hAnsi="宋体" w:cs="宋体" w:eastAsia="宋体" w:hint="default"/>
                <w:sz w:val="18"/>
                <w:szCs w:val="18"/>
              </w:rPr>
              <w:t>在其他单位是否领取报酬津 贴</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黄元忠</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云天弈（北京）信息技术有限公司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黄元忠</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北京执象科技发展有限公司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黄元忠</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深圳市深出发教育科技有限公司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黄元忠</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通航教育科技有限公司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陈克让</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通航教育科技有限公司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张文凯</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江西新华云教育科技有限公司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拉萨戈尔登投资有限公司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乔东斌</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深圳市齐普生信息科技有限公司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陈伟强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广东深天正律师事务所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律师、主任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9"/>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64"/>
        <w:gridCol w:w="3545"/>
        <w:gridCol w:w="2410"/>
        <w:gridCol w:w="2410"/>
        <w:gridCol w:w="2156"/>
        <w:gridCol w:w="2333"/>
      </w:tblGrid>
      <w:tr>
        <w:trPr>
          <w:trHeight w:val="418" w:hRule="exact"/>
        </w:trPr>
        <w:tc>
          <w:tcPr>
            <w:tcW w:w="11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周俊祥</w:t>
            </w:r>
          </w:p>
        </w:tc>
        <w:tc>
          <w:tcPr>
            <w:tcW w:w="35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c>
          <w:tcPr>
            <w:tcW w:w="2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24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56" w:type="dxa"/>
            <w:tcBorders>
              <w:top w:val="single" w:sz="15" w:space="0" w:color="000000"/>
              <w:left w:val="single" w:sz="4" w:space="0" w:color="000000"/>
              <w:bottom w:val="single" w:sz="4" w:space="0" w:color="000000"/>
              <w:right w:val="single" w:sz="4" w:space="0" w:color="000000"/>
            </w:tcBorders>
          </w:tcPr>
          <w:p>
            <w:pPr/>
          </w:p>
        </w:tc>
        <w:tc>
          <w:tcPr>
            <w:tcW w:w="23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0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周俊祥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辽宁振兴银行股份有限公司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周俊祥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6" w:right="0"/>
              <w:jc w:val="left"/>
              <w:rPr>
                <w:rFonts w:ascii="宋体" w:hAnsi="宋体" w:cs="宋体" w:eastAsia="宋体" w:hint="default"/>
                <w:sz w:val="18"/>
                <w:szCs w:val="18"/>
              </w:rPr>
            </w:pPr>
            <w:r>
              <w:rPr>
                <w:rFonts w:ascii="宋体" w:hAnsi="宋体" w:cs="宋体" w:eastAsia="宋体" w:hint="default"/>
                <w:sz w:val="18"/>
                <w:szCs w:val="18"/>
              </w:rPr>
              <w:t>崇达技术股份有限公司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周俊祥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希努尔男装股份有限公司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周俊祥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深圳市裕同包装科技股份有限公司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吴永平</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深圳兆日科技股份有限公司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吴永平</w:t>
            </w:r>
          </w:p>
        </w:tc>
        <w:tc>
          <w:tcPr>
            <w:tcW w:w="3545" w:type="dxa"/>
            <w:tcBorders>
              <w:top w:val="single" w:sz="4" w:space="0" w:color="000000"/>
              <w:left w:val="single" w:sz="4" w:space="0" w:color="000000"/>
              <w:bottom w:val="single" w:sz="4" w:space="0" w:color="000000"/>
              <w:right w:val="single" w:sz="12" w:space="0" w:color="FFFFF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上海润良泰物联网科技合伙企业</w:t>
            </w:r>
          </w:p>
        </w:tc>
        <w:tc>
          <w:tcPr>
            <w:tcW w:w="2410" w:type="dxa"/>
            <w:tcBorders>
              <w:top w:val="single" w:sz="4" w:space="0" w:color="000000"/>
              <w:left w:val="single" w:sz="12" w:space="0" w:color="FFFFFF"/>
              <w:bottom w:val="single" w:sz="4" w:space="0" w:color="000000"/>
              <w:right w:val="single" w:sz="13" w:space="0" w:color="FFFFFF"/>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高级合伙人（非执行职务）</w:t>
            </w:r>
          </w:p>
        </w:tc>
        <w:tc>
          <w:tcPr>
            <w:tcW w:w="241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4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吴永平</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北京一点网聚科技有限公司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56" w:type="dxa"/>
            <w:tcBorders>
              <w:top w:val="single" w:sz="4" w:space="0" w:color="000000"/>
              <w:left w:val="single" w:sz="4" w:space="0" w:color="000000"/>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3" w:right="4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128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27"/>
          <w:szCs w:val="27"/>
        </w:rPr>
      </w:pPr>
    </w:p>
    <w:p>
      <w:pPr>
        <w:spacing w:before="44"/>
        <w:ind w:left="140" w:right="0" w:firstLine="0"/>
        <w:jc w:val="left"/>
        <w:rPr>
          <w:rFonts w:ascii="宋体" w:hAnsi="宋体" w:cs="宋体" w:eastAsia="宋体" w:hint="default"/>
          <w:sz w:val="18"/>
          <w:szCs w:val="18"/>
        </w:rPr>
      </w:pPr>
      <w:r>
        <w:rPr/>
        <w:pict>
          <v:shape style="position:absolute;margin-left:255.02301pt;margin-top:-93.748283pt;width:171.3pt;height:19.6pt;mso-position-horizontal-relative:page;mso-position-vertical-relative:paragraph;z-index:-86351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r>
        <w:rPr>
          <w:rFonts w:ascii="宋体" w:hAnsi="宋体" w:cs="宋体" w:eastAsia="宋体" w:hint="default"/>
          <w:sz w:val="18"/>
          <w:szCs w:val="18"/>
        </w:rPr>
        <w:t>公司现任及报告期内离任董事、监事和高级管理人员近三年证券监管机构处罚的情况</w:t>
      </w:r>
    </w:p>
    <w:p>
      <w:pPr>
        <w:spacing w:before="117"/>
        <w:ind w:left="140" w:right="10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12"/>
        <w:rPr>
          <w:rFonts w:ascii="宋体" w:hAnsi="宋体" w:cs="宋体" w:eastAsia="宋体" w:hint="default"/>
          <w:sz w:val="19"/>
          <w:szCs w:val="19"/>
        </w:rPr>
      </w:pPr>
    </w:p>
    <w:p>
      <w:pPr>
        <w:pStyle w:val="Heading3"/>
        <w:spacing w:line="367" w:lineRule="exact"/>
        <w:ind w:right="995"/>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7"/>
        <w:rPr>
          <w:rFonts w:ascii="宋体" w:hAnsi="宋体" w:cs="宋体" w:eastAsia="宋体" w:hint="default"/>
          <w:sz w:val="10"/>
          <w:szCs w:val="10"/>
        </w:rPr>
      </w:pPr>
    </w:p>
    <w:p>
      <w:pPr>
        <w:spacing w:before="44"/>
        <w:ind w:left="0" w:right="834" w:firstLine="0"/>
        <w:jc w:val="right"/>
        <w:rPr>
          <w:rFonts w:ascii="宋体" w:hAnsi="宋体" w:cs="宋体" w:eastAsia="宋体" w:hint="default"/>
          <w:sz w:val="18"/>
          <w:szCs w:val="18"/>
        </w:rPr>
      </w:pPr>
      <w:r>
        <w:rPr/>
        <w:pict>
          <v:shape style="position:absolute;margin-left:56.304001pt;margin-top:-1.688272pt;width:493.9pt;height:127.2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6"/>
                    <w:gridCol w:w="7341"/>
                  </w:tblGrid>
                  <w:tr>
                    <w:trPr>
                      <w:trHeight w:val="739"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0"/>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董事、监事、高级管理人员报酬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的决策程序</w:t>
                        </w:r>
                      </w:p>
                    </w:tc>
                    <w:tc>
                      <w:tcPr>
                        <w:tcW w:w="734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90"/>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董事、监事、高级管理人员报酬的决策程序以及确定依据均按照方直科技董事、监事薪酬方案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方直科技高级管理人员薪酬方案执行；董事、监事、高级管理人员报酬由公司支付；</w:t>
                        </w:r>
                      </w:p>
                    </w:tc>
                  </w:tr>
                  <w:tr>
                    <w:trPr>
                      <w:trHeight w:val="1051"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0"/>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董事、监事、高级管理人员报酬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确定依据</w:t>
                        </w:r>
                      </w:p>
                    </w:tc>
                    <w:tc>
                      <w:tcPr>
                        <w:tcW w:w="73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0"/>
                          <w:jc w:val="both"/>
                          <w:rPr>
                            <w:rFonts w:ascii="宋体" w:hAnsi="宋体" w:cs="宋体" w:eastAsia="宋体" w:hint="default"/>
                            <w:sz w:val="18"/>
                            <w:szCs w:val="18"/>
                          </w:rPr>
                        </w:pPr>
                        <w:r>
                          <w:rPr>
                            <w:rFonts w:ascii="宋体" w:hAnsi="宋体" w:cs="宋体" w:eastAsia="宋体" w:hint="default"/>
                            <w:spacing w:val="-8"/>
                            <w:sz w:val="18"/>
                            <w:szCs w:val="18"/>
                          </w:rPr>
                          <w:t>根据《公司法》、《关于在上市公司建立独立董事制度的指导意见》</w:t>
                        </w:r>
                        <w:r>
                          <w:rPr>
                            <w:rFonts w:ascii="宋体" w:hAnsi="宋体" w:cs="宋体" w:eastAsia="宋体" w:hint="default"/>
                            <w:spacing w:val="-67"/>
                            <w:sz w:val="18"/>
                            <w:szCs w:val="18"/>
                          </w:rPr>
                          <w:t> </w:t>
                        </w:r>
                        <w:r>
                          <w:rPr>
                            <w:rFonts w:ascii="宋体" w:hAnsi="宋体" w:cs="宋体" w:eastAsia="宋体" w:hint="default"/>
                            <w:spacing w:val="-6"/>
                            <w:sz w:val="18"/>
                            <w:szCs w:val="18"/>
                          </w:rPr>
                          <w:t>等有关法律、法规以及</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司章程》、《独立董事工作制度》等公司制度的规定，公司董事、监事和高级管理人员的报酬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结合其经营绩效、工作能力、岗位职级等为依据考核确定并发放。</w:t>
                        </w:r>
                      </w:p>
                    </w:tc>
                  </w:tr>
                  <w:tr>
                    <w:trPr>
                      <w:trHeight w:val="739" w:hRule="exact"/>
                    </w:trPr>
                    <w:tc>
                      <w:tcPr>
                        <w:tcW w:w="25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董事、监事、高级管理人员报酬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的实际支付情况</w:t>
                        </w:r>
                      </w:p>
                    </w:tc>
                    <w:tc>
                      <w:tcPr>
                        <w:tcW w:w="7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薪酬均已按公司规定发放</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08"/>
        <w:gridCol w:w="1988"/>
        <w:gridCol w:w="1409"/>
        <w:gridCol w:w="1366"/>
        <w:gridCol w:w="1369"/>
        <w:gridCol w:w="1366"/>
        <w:gridCol w:w="1368"/>
      </w:tblGrid>
      <w:tr>
        <w:trPr>
          <w:trHeight w:val="71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黄元忠</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黄晓峰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陈克让</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乔东斌</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陈伟强</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吴永平</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周俊祥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艾倩兰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杨颖</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刘念</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张文凯</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常务副总经理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李枫</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副总经理兼董事会秘书</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贺林英</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副总经理兼财务总监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卢庆华</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杨正华</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武文静</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506.9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9"/>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40"/>
          <w:footerReference w:type="default" r:id="rId41"/>
          <w:pgSz w:w="11910" w:h="16840"/>
          <w:pgMar w:header="880" w:footer="979" w:top="1100" w:bottom="1160" w:left="980" w:right="0"/>
          <w:pgNumType w:start="62"/>
        </w:sectPr>
      </w:pPr>
    </w:p>
    <w:p>
      <w:pPr>
        <w:spacing w:line="240" w:lineRule="auto" w:before="12"/>
        <w:rPr>
          <w:rFonts w:ascii="宋体" w:hAnsi="宋体" w:cs="宋体" w:eastAsia="宋体" w:hint="default"/>
          <w:sz w:val="19"/>
          <w:szCs w:val="19"/>
        </w:rPr>
      </w:pPr>
    </w:p>
    <w:p>
      <w:pPr>
        <w:pStyle w:val="Heading3"/>
        <w:spacing w:line="367" w:lineRule="exact"/>
        <w:ind w:right="995"/>
        <w:jc w:val="left"/>
        <w:rPr>
          <w:b w:val="0"/>
          <w:bCs w:val="0"/>
        </w:rPr>
      </w:pPr>
      <w:r>
        <w:rPr/>
        <w:t>五、公司员工情况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高中及高中以下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bl>
    <w:p>
      <w:pPr>
        <w:spacing w:line="240" w:lineRule="auto" w:before="10"/>
        <w:rPr>
          <w:rFonts w:ascii="Microsoft JhengHei" w:hAnsi="Microsoft JhengHei" w:cs="Microsoft JhengHei" w:eastAsia="Microsoft JhengHei" w:hint="default"/>
          <w:b/>
          <w:bCs/>
          <w:sz w:val="14"/>
          <w:szCs w:val="14"/>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Microsoft JhengHei" w:hAnsi="Microsoft JhengHei" w:cs="Microsoft JhengHei" w:eastAsia="Microsoft JhengHei" w:hint="default"/>
          <w:b/>
          <w:bCs/>
          <w:sz w:val="22"/>
          <w:szCs w:val="22"/>
        </w:rPr>
      </w:pPr>
    </w:p>
    <w:p>
      <w:pPr>
        <w:pStyle w:val="BodyText"/>
        <w:spacing w:line="408" w:lineRule="auto" w:before="0"/>
        <w:ind w:right="1126" w:firstLine="420"/>
        <w:jc w:val="both"/>
      </w:pPr>
      <w:r>
        <w:rPr>
          <w:spacing w:val="-2"/>
        </w:rPr>
        <w:t>为了吸引、激励和保留优秀人才以帮助公司达成战略目标，公司在兼顾市场竞争力和内部公平性的基</w:t>
      </w:r>
      <w:r>
        <w:rPr>
          <w:w w:val="100"/>
        </w:rPr>
        <w:t> </w:t>
      </w:r>
      <w:r>
        <w:rPr>
          <w:spacing w:val="-2"/>
        </w:rPr>
        <w:t>础上，为员工提供全面的、富有竞争力的报酬，包括经济性报酬：工资、绩效奖金、提成、福利等，非经</w:t>
      </w:r>
      <w:r>
        <w:rPr>
          <w:spacing w:val="-50"/>
        </w:rPr>
        <w:t> </w:t>
      </w:r>
      <w:r>
        <w:rPr>
          <w:spacing w:val="-50"/>
        </w:rPr>
      </w:r>
      <w:r>
        <w:rPr>
          <w:spacing w:val="-2"/>
        </w:rPr>
        <w:t>济性报酬：培训机会、晋升机会、良好的工作环境和氛围等，以提高核心员工的满意度，提升骨干员工的</w:t>
      </w:r>
      <w:r>
        <w:rPr>
          <w:spacing w:val="-43"/>
        </w:rPr>
        <w:t> </w:t>
      </w:r>
      <w:r>
        <w:rPr>
          <w:spacing w:val="-43"/>
        </w:rPr>
      </w:r>
      <w:r>
        <w:rPr/>
        <w:t>积极性和创造性。</w:t>
      </w:r>
    </w:p>
    <w:p>
      <w:pPr>
        <w:spacing w:line="240" w:lineRule="auto" w:before="6"/>
        <w:rPr>
          <w:rFonts w:ascii="宋体" w:hAnsi="宋体" w:cs="宋体" w:eastAsia="宋体" w:hint="default"/>
          <w:sz w:val="15"/>
          <w:szCs w:val="15"/>
        </w:rPr>
      </w:pPr>
    </w:p>
    <w:p>
      <w:pPr>
        <w:pStyle w:val="Heading7"/>
        <w:spacing w:line="240" w:lineRule="auto"/>
        <w:ind w:right="995"/>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73" w:right="995"/>
        <w:jc w:val="left"/>
      </w:pPr>
      <w:r>
        <w:rPr/>
        <w:t>公司年度培训计划由人力资源部组织制定，经审核、批准后，人力资源部正式发布并组织执行。各部</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8"/>
        <w:jc w:val="both"/>
      </w:pPr>
      <w:r>
        <w:rPr>
          <w:spacing w:val="-2"/>
        </w:rPr>
        <w:t>门根据本部门年度工作计划，与部门内员工进行沟通交流后，拟定部门培训需求，并详细、完整地提交部</w:t>
      </w:r>
      <w:r>
        <w:rPr>
          <w:spacing w:val="-47"/>
        </w:rPr>
        <w:t> </w:t>
      </w:r>
      <w:r>
        <w:rPr>
          <w:spacing w:val="-47"/>
        </w:rPr>
      </w:r>
      <w:r>
        <w:rPr/>
        <w:t>门年度培训计划至人力资源部部。部门年度培训计划需详细说明培训方式、培训时间、 培训地点、</w:t>
      </w:r>
      <w:r>
        <w:rPr>
          <w:spacing w:val="-48"/>
        </w:rPr>
        <w:t> </w:t>
      </w:r>
      <w:r>
        <w:rPr/>
        <w:t>培训</w:t>
      </w:r>
      <w:r>
        <w:rPr>
          <w:w w:val="100"/>
        </w:rPr>
        <w:t> </w:t>
      </w:r>
      <w:r>
        <w:rPr/>
        <w:t>内容、培训讲师、培训对象、培训预算、其它需协调事项等。</w:t>
      </w:r>
    </w:p>
    <w:p>
      <w:pPr>
        <w:spacing w:line="240" w:lineRule="auto" w:before="6"/>
        <w:rPr>
          <w:rFonts w:ascii="宋体" w:hAnsi="宋体" w:cs="宋体" w:eastAsia="宋体" w:hint="default"/>
          <w:sz w:val="15"/>
          <w:szCs w:val="15"/>
        </w:rPr>
      </w:pPr>
    </w:p>
    <w:p>
      <w:pPr>
        <w:pStyle w:val="Heading7"/>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tabs>
          <w:tab w:pos="1286" w:val="left" w:leader="none"/>
        </w:tabs>
        <w:spacing w:line="456" w:lineRule="exact"/>
        <w:ind w:right="983"/>
        <w:jc w:val="center"/>
        <w:rPr>
          <w:b w:val="0"/>
          <w:bCs w:val="0"/>
        </w:rPr>
      </w:pPr>
      <w:bookmarkStart w:name="_bookmark9" w:id="10"/>
      <w:bookmarkEnd w:id="10"/>
      <w:r>
        <w:rPr>
          <w:b w:val="0"/>
          <w:bCs w:val="0"/>
        </w:rPr>
      </w:r>
      <w:r>
        <w:rPr/>
        <w:t>第十节</w:t>
        <w:tab/>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995"/>
        <w:jc w:val="left"/>
        <w:rPr>
          <w:b w:val="0"/>
          <w:bCs w:val="0"/>
        </w:rPr>
      </w:pPr>
      <w:r>
        <w:rPr/>
        <w:t>一、公司治理的基本状况</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BodyText"/>
        <w:spacing w:line="240" w:lineRule="auto" w:before="0"/>
        <w:ind w:left="573" w:right="995"/>
        <w:jc w:val="left"/>
      </w:pPr>
      <w:r>
        <w:rPr>
          <w:spacing w:val="-9"/>
        </w:rPr>
        <w:t>报告期内，公司严格按照《公司法》、《证券法》、《上市公司治理准则》、《创业板股票上市规则》、</w:t>
      </w:r>
    </w:p>
    <w:p>
      <w:pPr>
        <w:spacing w:line="240" w:lineRule="auto" w:before="10"/>
        <w:rPr>
          <w:rFonts w:ascii="宋体" w:hAnsi="宋体" w:cs="宋体" w:eastAsia="宋体" w:hint="default"/>
          <w:sz w:val="14"/>
          <w:szCs w:val="14"/>
        </w:rPr>
      </w:pPr>
    </w:p>
    <w:p>
      <w:pPr>
        <w:pStyle w:val="BodyText"/>
        <w:spacing w:line="408" w:lineRule="auto" w:before="0"/>
        <w:ind w:right="995"/>
        <w:jc w:val="left"/>
      </w:pPr>
      <w:r>
        <w:rPr>
          <w:spacing w:val="-2"/>
        </w:rPr>
        <w:t>《创业板上市公司规范运作指引》等相关法律法规、规范性文件的要求，不断提高公司规范运作水平，完</w:t>
      </w:r>
      <w:r>
        <w:rPr>
          <w:spacing w:val="-44"/>
        </w:rPr>
        <w:t> </w:t>
      </w:r>
      <w:r>
        <w:rPr>
          <w:spacing w:val="-44"/>
        </w:rPr>
      </w:r>
      <w:r>
        <w:rPr>
          <w:spacing w:val="-5"/>
        </w:rPr>
        <w:t>善公司法人治理结构，建立健全公司内部管理和控制制度，加强信息披露，积极开展投资者关系管理工作，</w:t>
      </w:r>
      <w:r>
        <w:rPr>
          <w:spacing w:val="-6"/>
        </w:rPr>
        <w:t> </w:t>
      </w:r>
      <w:r>
        <w:rPr>
          <w:spacing w:val="-6"/>
        </w:rPr>
      </w:r>
      <w:r>
        <w:rPr>
          <w:spacing w:val="-2"/>
        </w:rPr>
        <w:t>提升公司治理水平。公司按要求设立了股东大会、董事会、监事会和董事会下设的专门委员会。公司股东</w:t>
      </w:r>
      <w:r>
        <w:rPr>
          <w:spacing w:val="-50"/>
        </w:rPr>
        <w:t> </w:t>
      </w:r>
      <w:r>
        <w:rPr>
          <w:spacing w:val="-50"/>
        </w:rPr>
      </w:r>
      <w:r>
        <w:rPr>
          <w:spacing w:val="-2"/>
        </w:rPr>
        <w:t>大会、董事会、监事会和经营层责权分明，根据董事会、监事会议事规则及董事会专门委员会实施细则明</w:t>
      </w:r>
      <w:r>
        <w:rPr>
          <w:spacing w:val="-47"/>
        </w:rPr>
        <w:t> </w:t>
      </w:r>
      <w:r>
        <w:rPr>
          <w:spacing w:val="-47"/>
        </w:rPr>
      </w:r>
      <w:r>
        <w:rPr>
          <w:spacing w:val="-2"/>
        </w:rPr>
        <w:t>确了各级机构在决策、监督、执行等方面的职责权限、程序以及应履行的义务。同时，以规范岗位说明书</w:t>
      </w:r>
      <w:r>
        <w:rPr>
          <w:spacing w:val="-43"/>
        </w:rPr>
        <w:t> </w:t>
      </w:r>
      <w:r>
        <w:rPr>
          <w:spacing w:val="-43"/>
        </w:rPr>
      </w:r>
      <w:r>
        <w:rPr>
          <w:spacing w:val="-2"/>
        </w:rPr>
        <w:t>形式明确各部门、岗位的职责、权限和目标，建立完善严密的制衡和监督机制，确保公司各层级均在授权</w:t>
      </w:r>
      <w:r>
        <w:rPr>
          <w:spacing w:val="-48"/>
        </w:rPr>
        <w:t> </w:t>
      </w:r>
      <w:r>
        <w:rPr>
          <w:spacing w:val="-48"/>
        </w:rPr>
      </w:r>
      <w:r>
        <w:rPr/>
        <w:t>范围内履行职责，形成了科学有效、权责明确、相互制衡、相互协调的治理结构。</w:t>
      </w:r>
    </w:p>
    <w:p>
      <w:pPr>
        <w:pStyle w:val="Heading7"/>
        <w:spacing w:line="345" w:lineRule="exact"/>
        <w:ind w:left="575" w:right="995"/>
        <w:jc w:val="left"/>
        <w:rPr>
          <w:b w:val="0"/>
          <w:bCs w:val="0"/>
        </w:rPr>
      </w:pPr>
      <w:r>
        <w:rPr>
          <w:rFonts w:ascii="Times New Roman" w:hAnsi="Times New Roman" w:cs="Times New Roman" w:eastAsia="Times New Roman" w:hint="default"/>
        </w:rPr>
        <w:t>1</w:t>
      </w:r>
      <w:r>
        <w:rPr/>
        <w:t>、关于股东与股东大会</w:t>
      </w:r>
      <w:r>
        <w:rPr>
          <w:b w:val="0"/>
          <w:bCs w:val="0"/>
        </w:rPr>
      </w:r>
    </w:p>
    <w:p>
      <w:pPr>
        <w:pStyle w:val="BodyText"/>
        <w:spacing w:line="408" w:lineRule="auto" w:before="169"/>
        <w:ind w:right="1125" w:firstLine="420"/>
        <w:jc w:val="both"/>
      </w:pPr>
      <w:r>
        <w:rPr>
          <w:spacing w:val="-2"/>
        </w:rPr>
        <w:t>公司严格按照《公司法》、《上市公司股东大会规则》以及《公司章程》、《股东大会议事规则》和</w:t>
      </w:r>
      <w:r>
        <w:rPr>
          <w:w w:val="100"/>
        </w:rPr>
        <w:t> </w:t>
      </w:r>
      <w:r>
        <w:rPr>
          <w:spacing w:val="-2"/>
        </w:rPr>
        <w:t>深圳证券交易所创业板的相关规定和要求，规范股东大会的召集、召开和表决程序。报告期内，公司召开</w:t>
      </w:r>
      <w:r>
        <w:rPr>
          <w:spacing w:val="-47"/>
        </w:rPr>
        <w:t> </w:t>
      </w:r>
      <w:r>
        <w:rPr>
          <w:spacing w:val="-47"/>
        </w:rPr>
      </w:r>
      <w:r>
        <w:rPr>
          <w:spacing w:val="-2"/>
        </w:rPr>
        <w:t>的股东大会均由公司董事会召集召开，董事长主持，邀请见证律师进行现场见证并出具了法律意见书。股</w:t>
      </w:r>
      <w:r>
        <w:rPr>
          <w:spacing w:val="-43"/>
        </w:rPr>
        <w:t> </w:t>
      </w:r>
      <w:r>
        <w:rPr>
          <w:spacing w:val="-43"/>
        </w:rPr>
      </w:r>
      <w:r>
        <w:rPr>
          <w:spacing w:val="-2"/>
        </w:rPr>
        <w:t>东大会召开日同时进行股东大会网络投票。在股东大会上能够保证各位股东有充分的发言权，确保全体股</w:t>
      </w:r>
      <w:r>
        <w:rPr>
          <w:spacing w:val="-43"/>
        </w:rPr>
        <w:t> </w:t>
      </w:r>
      <w:r>
        <w:rPr>
          <w:spacing w:val="-43"/>
        </w:rPr>
      </w:r>
      <w:r>
        <w:rPr/>
        <w:t>东特别是中小股东享有平等地位，充分行使自己的权力。</w:t>
      </w:r>
    </w:p>
    <w:p>
      <w:pPr>
        <w:pStyle w:val="BodyText"/>
        <w:spacing w:line="400" w:lineRule="auto"/>
        <w:ind w:right="1130" w:firstLine="420"/>
        <w:jc w:val="both"/>
      </w:pPr>
      <w:r>
        <w:rPr>
          <w:spacing w:val="-3"/>
        </w:rPr>
        <w:t>报告期内，本公司召开的股东大会不存在违反《上市公司股东大会规则》的情形，公司未发生单独或</w:t>
      </w:r>
      <w:r>
        <w:rPr>
          <w:w w:val="100"/>
        </w:rPr>
        <w:t> </w:t>
      </w:r>
      <w:r>
        <w:rPr>
          <w:spacing w:val="-2"/>
        </w:rPr>
        <w:t>合并持有本公司有表决权股份总数</w:t>
      </w:r>
      <w:r>
        <w:rPr>
          <w:rFonts w:ascii="Times New Roman" w:hAnsi="Times New Roman" w:cs="Times New Roman" w:eastAsia="Times New Roman" w:hint="default"/>
          <w:spacing w:val="-2"/>
        </w:rPr>
        <w:t>10%</w:t>
      </w:r>
      <w:r>
        <w:rPr>
          <w:spacing w:val="-2"/>
        </w:rPr>
        <w:t>以上的股东请求召开临时股东大会的情形，也无应监事会提议召开</w:t>
      </w:r>
      <w:r>
        <w:rPr>
          <w:spacing w:val="-17"/>
        </w:rPr>
        <w:t> </w:t>
      </w:r>
      <w:r>
        <w:rPr>
          <w:spacing w:val="-17"/>
        </w:rPr>
      </w:r>
      <w:r>
        <w:rPr>
          <w:spacing w:val="-2"/>
        </w:rPr>
        <w:t>的股东大会。按照《公司法》、《公司章程》的规定应由股东大会审议的重大事项，本公司均通过股东大</w:t>
      </w:r>
      <w:r>
        <w:rPr>
          <w:spacing w:val="-46"/>
        </w:rPr>
        <w:t> </w:t>
      </w:r>
      <w:r>
        <w:rPr>
          <w:spacing w:val="-46"/>
        </w:rPr>
      </w:r>
      <w:r>
        <w:rPr/>
        <w:t>会审议，不存在绕过股东大会的情况，也不存在先实施后审议的情况。</w:t>
      </w:r>
    </w:p>
    <w:p>
      <w:pPr>
        <w:pStyle w:val="Heading7"/>
        <w:spacing w:line="351" w:lineRule="exact"/>
        <w:ind w:left="575" w:right="995"/>
        <w:jc w:val="left"/>
        <w:rPr>
          <w:b w:val="0"/>
          <w:bCs w:val="0"/>
        </w:rPr>
      </w:pPr>
      <w:r>
        <w:rPr>
          <w:rFonts w:ascii="Times New Roman" w:hAnsi="Times New Roman" w:cs="Times New Roman" w:eastAsia="Times New Roman" w:hint="default"/>
        </w:rPr>
        <w:t>2</w:t>
      </w:r>
      <w:r>
        <w:rPr/>
        <w:t>、关于公司与控股股东</w:t>
      </w:r>
      <w:r>
        <w:rPr>
          <w:b w:val="0"/>
          <w:bCs w:val="0"/>
        </w:rPr>
      </w:r>
    </w:p>
    <w:p>
      <w:pPr>
        <w:pStyle w:val="BodyText"/>
        <w:spacing w:line="408" w:lineRule="auto" w:before="170"/>
        <w:ind w:right="1104" w:firstLine="420"/>
        <w:jc w:val="both"/>
      </w:pPr>
      <w:r>
        <w:rPr>
          <w:spacing w:val="-2"/>
        </w:rPr>
        <w:t>公司控股股东黄元忠先生担任公司董事长，其严格按照《上市公司治理准则》、《深圳证券交易所创</w:t>
      </w:r>
      <w:r>
        <w:rPr>
          <w:w w:val="100"/>
        </w:rPr>
        <w:t> </w:t>
      </w:r>
      <w:r>
        <w:rPr>
          <w:spacing w:val="-2"/>
        </w:rPr>
        <w:t>业板股票上市规则》、《深圳证券交易所创业板上市公司规范运作指引》、《公司章程》等规定和要求，</w:t>
      </w:r>
      <w:r>
        <w:rPr>
          <w:spacing w:val="-21"/>
        </w:rPr>
        <w:t> </w:t>
      </w:r>
      <w:r>
        <w:rPr>
          <w:spacing w:val="-21"/>
        </w:rPr>
      </w:r>
      <w:r>
        <w:rPr>
          <w:spacing w:val="-2"/>
        </w:rPr>
        <w:t>在担任公司董事长期间，严格规范自己的行为，不存在超越公司股东大会直接或间接干预公司的决策和经</w:t>
      </w:r>
      <w:r>
        <w:rPr>
          <w:spacing w:val="-43"/>
        </w:rPr>
        <w:t> </w:t>
      </w:r>
      <w:r>
        <w:rPr>
          <w:spacing w:val="-43"/>
        </w:rPr>
      </w:r>
      <w:r>
        <w:rPr>
          <w:spacing w:val="-2"/>
        </w:rPr>
        <w:t>营活动的行为，未损害公司及其他股东的利益，不存在控股股东占用公司资金的现象，公司亦无为控股股</w:t>
      </w:r>
      <w:r>
        <w:rPr>
          <w:spacing w:val="-45"/>
        </w:rPr>
        <w:t> </w:t>
      </w:r>
      <w:r>
        <w:rPr>
          <w:spacing w:val="-45"/>
        </w:rPr>
      </w:r>
      <w:r>
        <w:rPr>
          <w:spacing w:val="-2"/>
        </w:rPr>
        <w:t>东提供担保的情形。公司拥有独立完整的业务和自主经营能力，在业务、资产、人员、机构、财务上独立</w:t>
      </w:r>
      <w:r>
        <w:rPr>
          <w:spacing w:val="-42"/>
        </w:rPr>
        <w:t> </w:t>
      </w:r>
      <w:r>
        <w:rPr>
          <w:spacing w:val="-42"/>
        </w:rPr>
      </w:r>
      <w:r>
        <w:rPr/>
        <w:t>于控股股东，公司董事会、监事会和内部机构独立运作。</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Heading7"/>
        <w:spacing w:line="335" w:lineRule="exact"/>
        <w:ind w:left="575" w:right="995"/>
        <w:jc w:val="left"/>
        <w:rPr>
          <w:b w:val="0"/>
          <w:bCs w:val="0"/>
        </w:rPr>
      </w:pPr>
      <w:r>
        <w:rPr>
          <w:rFonts w:ascii="Times New Roman" w:hAnsi="Times New Roman" w:cs="Times New Roman" w:eastAsia="Times New Roman" w:hint="default"/>
        </w:rPr>
        <w:t>3</w:t>
      </w:r>
      <w:r>
        <w:rPr/>
        <w:t>、关于董事与董事会</w:t>
      </w:r>
      <w:r>
        <w:rPr>
          <w:b w:val="0"/>
          <w:bCs w:val="0"/>
        </w:rPr>
      </w:r>
    </w:p>
    <w:p>
      <w:pPr>
        <w:pStyle w:val="BodyText"/>
        <w:spacing w:line="403" w:lineRule="auto" w:before="169"/>
        <w:ind w:right="1126" w:firstLine="420"/>
        <w:jc w:val="both"/>
      </w:pP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名，独董陈伟强、周俊祥、吴永平均已获取上市公司独立董事</w:t>
      </w:r>
      <w:r>
        <w:rPr>
          <w:w w:val="100"/>
        </w:rPr>
        <w:t> </w:t>
      </w:r>
      <w:r>
        <w:rPr>
          <w:spacing w:val="-2"/>
        </w:rPr>
        <w:t>培训证书。董事会的人数及人员构成符合法律、法规和《公司章程》的要求。各位董事能够依据《公司章</w:t>
      </w:r>
      <w:r>
        <w:rPr>
          <w:spacing w:val="-42"/>
        </w:rPr>
        <w:t> </w:t>
      </w:r>
      <w:r>
        <w:rPr>
          <w:spacing w:val="-42"/>
        </w:rPr>
      </w:r>
      <w:r>
        <w:rPr>
          <w:spacing w:val="-2"/>
        </w:rPr>
        <w:t>程》《董事会议事规则》、《独立董事制度》、《创业板上市公司规范运作指引》等规定开展工作，出席</w:t>
      </w:r>
      <w:r>
        <w:rPr>
          <w:spacing w:val="-41"/>
        </w:rPr>
        <w:t> </w:t>
      </w:r>
      <w:r>
        <w:rPr>
          <w:spacing w:val="-41"/>
        </w:rPr>
      </w:r>
      <w:r>
        <w:rPr>
          <w:spacing w:val="-2"/>
        </w:rPr>
        <w:t>董事会、董事会专门委员会和股东大会，勤勉尽责地履行职责和义务，同时积极参加相关培训，熟悉相关</w:t>
      </w:r>
      <w:r>
        <w:rPr>
          <w:spacing w:val="-50"/>
        </w:rPr>
        <w:t> </w:t>
      </w:r>
      <w:r>
        <w:rPr>
          <w:spacing w:val="-50"/>
        </w:rPr>
      </w:r>
      <w:r>
        <w:rPr/>
        <w:t>法律法规。</w:t>
      </w:r>
    </w:p>
    <w:p>
      <w:pPr>
        <w:pStyle w:val="BodyText"/>
        <w:spacing w:line="408" w:lineRule="auto" w:before="50"/>
        <w:ind w:right="1126" w:firstLine="420"/>
        <w:jc w:val="both"/>
      </w:pPr>
      <w:r>
        <w:rPr>
          <w:spacing w:val="-2"/>
        </w:rPr>
        <w:t>公司按照《深圳证券交易所创业板上市公司规范运作指引》的要求，下设有审计委员会、薪酬与考核</w:t>
      </w:r>
      <w:r>
        <w:rPr>
          <w:w w:val="100"/>
        </w:rPr>
        <w:t> </w:t>
      </w:r>
      <w:r>
        <w:rPr>
          <w:spacing w:val="-2"/>
        </w:rPr>
        <w:t>委员会和提名委员会三个专门委员会。专门委员会成员全部由董事组成，且独立董事人数占其他专门委员</w:t>
      </w:r>
      <w:r>
        <w:rPr>
          <w:spacing w:val="-44"/>
        </w:rPr>
        <w:t> </w:t>
      </w:r>
      <w:r>
        <w:rPr>
          <w:spacing w:val="-44"/>
        </w:rPr>
      </w:r>
      <w:r>
        <w:rPr>
          <w:spacing w:val="-2"/>
        </w:rPr>
        <w:t>会委员的比例均达到三分之二，为董事会的决策提供了科学和专业的意见和参考。各委员会依据《公司章</w:t>
      </w:r>
      <w:r>
        <w:rPr>
          <w:spacing w:val="-44"/>
        </w:rPr>
        <w:t> </w:t>
      </w:r>
      <w:r>
        <w:rPr>
          <w:spacing w:val="-44"/>
        </w:rPr>
      </w:r>
      <w:r>
        <w:rPr/>
        <w:t>程》和各委员会议事规则的规定履行职权，不受公司任何其他部门和个人的干预。</w:t>
      </w:r>
    </w:p>
    <w:p>
      <w:pPr>
        <w:pStyle w:val="Heading7"/>
        <w:spacing w:line="345" w:lineRule="exact"/>
        <w:ind w:left="575" w:right="995"/>
        <w:jc w:val="left"/>
        <w:rPr>
          <w:b w:val="0"/>
          <w:bCs w:val="0"/>
        </w:rPr>
      </w:pPr>
      <w:r>
        <w:rPr>
          <w:rFonts w:ascii="Times New Roman" w:hAnsi="Times New Roman" w:cs="Times New Roman" w:eastAsia="Times New Roman" w:hint="default"/>
        </w:rPr>
        <w:t>4</w:t>
      </w:r>
      <w:r>
        <w:rPr/>
        <w:t>、关于监事与监事会</w:t>
      </w:r>
      <w:r>
        <w:rPr>
          <w:b w:val="0"/>
          <w:bCs w:val="0"/>
        </w:rPr>
      </w:r>
    </w:p>
    <w:p>
      <w:pPr>
        <w:pStyle w:val="BodyText"/>
        <w:spacing w:line="403" w:lineRule="auto" w:before="169"/>
        <w:ind w:right="1126" w:firstLine="420"/>
        <w:jc w:val="both"/>
      </w:pPr>
      <w:r>
        <w:rPr>
          <w:spacing w:val="-2"/>
        </w:rPr>
        <w:t>公司监事会设监事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名。监事会的人数和构成符合法律、法规的要求。公司监</w:t>
      </w:r>
      <w:r>
        <w:rPr>
          <w:w w:val="100"/>
        </w:rPr>
        <w:t> </w:t>
      </w:r>
      <w:r>
        <w:rPr>
          <w:spacing w:val="-2"/>
        </w:rPr>
        <w:t>事会成员都具有相关专业知识和工作经验，各位监事能够按照《公司章程》、《监事会议事规则》等规定</w:t>
      </w:r>
      <w:r>
        <w:rPr>
          <w:spacing w:val="-42"/>
        </w:rPr>
        <w:t> </w:t>
      </w:r>
      <w:r>
        <w:rPr>
          <w:spacing w:val="-42"/>
        </w:rPr>
      </w:r>
      <w:r>
        <w:rPr>
          <w:spacing w:val="-2"/>
        </w:rPr>
        <w:t>的要求，认真履行自己的职责，对公司重大事项、财务状况以及董事、高管人员履行职责的合法合规性进</w:t>
      </w:r>
      <w:r>
        <w:rPr>
          <w:spacing w:val="-47"/>
        </w:rPr>
        <w:t> </w:t>
      </w:r>
      <w:r>
        <w:rPr>
          <w:spacing w:val="-47"/>
        </w:rPr>
      </w:r>
      <w:r>
        <w:rPr>
          <w:spacing w:val="-2"/>
        </w:rPr>
        <w:t>行监督。报告期内，公司监事参加了相关培训，通过进一步学习、熟悉有关法律法规，切实提高了履行监</w:t>
      </w:r>
      <w:r>
        <w:rPr>
          <w:spacing w:val="-43"/>
        </w:rPr>
        <w:t> </w:t>
      </w:r>
      <w:r>
        <w:rPr>
          <w:spacing w:val="-43"/>
        </w:rPr>
      </w:r>
      <w:r>
        <w:rPr/>
        <w:t>事职责的能力。</w:t>
      </w:r>
    </w:p>
    <w:p>
      <w:pPr>
        <w:pStyle w:val="Heading7"/>
        <w:spacing w:line="349" w:lineRule="exact"/>
        <w:ind w:left="575" w:right="995"/>
        <w:jc w:val="left"/>
        <w:rPr>
          <w:b w:val="0"/>
          <w:bCs w:val="0"/>
        </w:rPr>
      </w:pPr>
      <w:r>
        <w:rPr>
          <w:rFonts w:ascii="Times New Roman" w:hAnsi="Times New Roman" w:cs="Times New Roman" w:eastAsia="Times New Roman" w:hint="default"/>
        </w:rPr>
        <w:t>5</w:t>
      </w:r>
      <w:r>
        <w:rPr/>
        <w:t>、关于绩效评价与激励约束机制</w:t>
      </w:r>
      <w:r>
        <w:rPr>
          <w:b w:val="0"/>
          <w:bCs w:val="0"/>
        </w:rPr>
      </w:r>
    </w:p>
    <w:p>
      <w:pPr>
        <w:pStyle w:val="BodyText"/>
        <w:spacing w:line="408" w:lineRule="auto" w:before="169"/>
        <w:ind w:right="1126" w:firstLine="420"/>
        <w:jc w:val="both"/>
      </w:pPr>
      <w:r>
        <w:rPr>
          <w:spacing w:val="-2"/>
        </w:rPr>
        <w:t>公司逐步完善公正、透明的高级管理人员的绩效考核标准和激励约束机制，高级管理人员的薪酬直接</w:t>
      </w:r>
      <w:r>
        <w:rPr>
          <w:w w:val="100"/>
        </w:rPr>
        <w:t> </w:t>
      </w:r>
      <w:r>
        <w:rPr>
          <w:spacing w:val="-2"/>
        </w:rPr>
        <w:t>与其业绩挂钩；高级管理人员的聘任公开、透明，符合法律、法规的规定。同时，为鼓励高级管理人员工</w:t>
      </w:r>
      <w:r>
        <w:rPr>
          <w:spacing w:val="-42"/>
        </w:rPr>
        <w:t> </w:t>
      </w:r>
      <w:r>
        <w:rPr>
          <w:spacing w:val="-42"/>
        </w:rPr>
      </w:r>
      <w:r>
        <w:rPr>
          <w:spacing w:val="-2"/>
        </w:rPr>
        <w:t>作方向与公司战略要求同步，公司还针对不同岗位制定了不同的绩效考核指标。公司严格按规定对高级管</w:t>
      </w:r>
      <w:r>
        <w:rPr>
          <w:spacing w:val="-44"/>
        </w:rPr>
        <w:t> </w:t>
      </w:r>
      <w:r>
        <w:rPr>
          <w:spacing w:val="-44"/>
        </w:rPr>
      </w:r>
      <w:r>
        <w:rPr>
          <w:spacing w:val="-2"/>
        </w:rPr>
        <w:t>理人员进行绩效评价与考核，在强化对高级管理人员的考评激励作用的同时，保证了公司近远期目标的达</w:t>
      </w:r>
      <w:r>
        <w:rPr>
          <w:spacing w:val="-44"/>
        </w:rPr>
        <w:t> </w:t>
      </w:r>
      <w:r>
        <w:rPr>
          <w:spacing w:val="-44"/>
        </w:rPr>
      </w:r>
      <w:r>
        <w:rPr/>
        <w:t>成。</w:t>
      </w:r>
    </w:p>
    <w:p>
      <w:pPr>
        <w:pStyle w:val="Heading7"/>
        <w:spacing w:line="345" w:lineRule="exact"/>
        <w:ind w:left="575" w:right="995"/>
        <w:jc w:val="left"/>
        <w:rPr>
          <w:b w:val="0"/>
          <w:bCs w:val="0"/>
        </w:rPr>
      </w:pPr>
      <w:r>
        <w:rPr>
          <w:rFonts w:ascii="Times New Roman" w:hAnsi="Times New Roman" w:cs="Times New Roman" w:eastAsia="Times New Roman" w:hint="default"/>
        </w:rPr>
        <w:t>6</w:t>
      </w:r>
      <w:r>
        <w:rPr/>
        <w:t>、关于信息披露与透明度</w:t>
      </w:r>
      <w:r>
        <w:rPr>
          <w:b w:val="0"/>
          <w:bCs w:val="0"/>
        </w:rPr>
      </w:r>
    </w:p>
    <w:p>
      <w:pPr>
        <w:pStyle w:val="BodyText"/>
        <w:spacing w:line="408" w:lineRule="auto" w:before="170"/>
        <w:ind w:right="995" w:firstLine="420"/>
        <w:jc w:val="left"/>
      </w:pPr>
      <w:r>
        <w:rPr/>
        <w:t>公司高度重视信息披露与投资者关系管理工作，严格按照《上市公司信息披露管理办法》、深圳证券</w:t>
      </w:r>
      <w:r>
        <w:rPr>
          <w:w w:val="100"/>
        </w:rPr>
        <w:t> </w:t>
      </w:r>
      <w:r>
        <w:rPr>
          <w:spacing w:val="-2"/>
        </w:rPr>
        <w:t>交易所创业板上市公司的信息披露格式指引等规定以及公司制定的《信息披露制度》、《投资者关系管理</w:t>
      </w:r>
      <w:r>
        <w:rPr>
          <w:spacing w:val="-44"/>
        </w:rPr>
        <w:t> </w:t>
      </w:r>
      <w:r>
        <w:rPr>
          <w:spacing w:val="-44"/>
        </w:rPr>
      </w:r>
      <w:r>
        <w:rPr>
          <w:spacing w:val="-5"/>
        </w:rPr>
        <w:t>制度》、《投资者接待和推广制度》、《重大信息内部报告制度》等操作文件的要求，真实、准确、完整、</w:t>
      </w:r>
      <w:r>
        <w:rPr>
          <w:spacing w:val="-11"/>
        </w:rPr>
        <w:t> </w:t>
      </w:r>
      <w:r>
        <w:rPr>
          <w:spacing w:val="-11"/>
        </w:rPr>
      </w:r>
      <w:r>
        <w:rPr/>
        <w:t>及时地披露信息。</w:t>
      </w:r>
    </w:p>
    <w:p>
      <w:pPr>
        <w:pStyle w:val="BodyText"/>
        <w:spacing w:line="398" w:lineRule="auto"/>
        <w:ind w:right="995" w:firstLine="420"/>
        <w:jc w:val="left"/>
      </w:pPr>
      <w:r>
        <w:rPr/>
        <w:t>同时，明确董事长为公司信息披露第一责任人，董事会秘书为信息披露负责人，证券部负责信息披露</w:t>
      </w:r>
      <w:r>
        <w:rPr>
          <w:w w:val="100"/>
        </w:rPr>
        <w:t> </w:t>
      </w:r>
      <w:r>
        <w:rPr>
          <w:spacing w:val="-6"/>
        </w:rPr>
        <w:t>日常事务。公司指定《证券时报》、《证券日报》为信息披露报纸，巨潮资讯网（</w:t>
      </w:r>
      <w:hyperlink r:id="rId13">
        <w:r>
          <w:rPr>
            <w:rFonts w:ascii="Times New Roman" w:hAnsi="Times New Roman" w:cs="Times New Roman" w:eastAsia="Times New Roman" w:hint="default"/>
            <w:spacing w:val="-6"/>
          </w:rPr>
          <w:t>http://www.cninfo.com.cn</w:t>
        </w:r>
      </w:hyperlink>
      <w:r>
        <w:rPr>
          <w:spacing w:val="-6"/>
        </w:rPr>
        <w:t>）</w:t>
      </w:r>
      <w:r>
        <w:rPr>
          <w:spacing w:val="5"/>
        </w:rPr>
        <w:t> </w:t>
      </w:r>
      <w:r>
        <w:rPr/>
        <w:t>为信息披露网站。</w:t>
      </w:r>
    </w:p>
    <w:p>
      <w:pPr>
        <w:spacing w:after="0" w:line="398"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6" w:firstLine="420"/>
        <w:jc w:val="both"/>
      </w:pPr>
      <w:r>
        <w:rPr>
          <w:spacing w:val="-2"/>
        </w:rPr>
        <w:t>公司上市以来，不断尝试更加有效、充分地开展投资者关系管理工作，指定专人负责与投资者进行沟</w:t>
      </w:r>
      <w:r>
        <w:rPr>
          <w:w w:val="100"/>
        </w:rPr>
        <w:t> </w:t>
      </w:r>
      <w:r>
        <w:rPr>
          <w:spacing w:val="-2"/>
        </w:rPr>
        <w:t>通和交流，设立了电话专线、专用邮箱等多种渠道，采取积极回复投资者咨询、接受投资者来访与调研等</w:t>
      </w:r>
      <w:r>
        <w:rPr>
          <w:spacing w:val="-50"/>
        </w:rPr>
        <w:t> </w:t>
      </w:r>
      <w:r>
        <w:rPr>
          <w:spacing w:val="-50"/>
        </w:rPr>
      </w:r>
      <w:r>
        <w:rPr>
          <w:spacing w:val="-2"/>
        </w:rPr>
        <w:t>多种形式。作为公众公司，在资本市场需要与投资者建立良性互动的关系，公司仍需要进一步加强投资者</w:t>
      </w:r>
      <w:r>
        <w:rPr>
          <w:spacing w:val="-44"/>
        </w:rPr>
        <w:t> </w:t>
      </w:r>
      <w:r>
        <w:rPr>
          <w:spacing w:val="-44"/>
        </w:rPr>
      </w:r>
      <w:r>
        <w:rPr/>
        <w:t>关系管理工作，以提高公司信息透明度，保障全体股东的合法权益。</w:t>
      </w:r>
    </w:p>
    <w:p>
      <w:pPr>
        <w:pStyle w:val="Heading7"/>
        <w:spacing w:line="345" w:lineRule="exact"/>
        <w:ind w:left="575" w:right="995"/>
        <w:jc w:val="left"/>
        <w:rPr>
          <w:b w:val="0"/>
          <w:bCs w:val="0"/>
        </w:rPr>
      </w:pPr>
      <w:r>
        <w:rPr>
          <w:rFonts w:ascii="Times New Roman" w:hAnsi="Times New Roman" w:cs="Times New Roman" w:eastAsia="Times New Roman" w:hint="default"/>
        </w:rPr>
        <w:t>7</w:t>
      </w:r>
      <w:r>
        <w:rPr/>
        <w:t>、关于相关利益者</w:t>
      </w:r>
      <w:r>
        <w:rPr>
          <w:b w:val="0"/>
          <w:bCs w:val="0"/>
        </w:rPr>
      </w:r>
    </w:p>
    <w:p>
      <w:pPr>
        <w:pStyle w:val="BodyText"/>
        <w:spacing w:line="408" w:lineRule="auto" w:before="169"/>
        <w:ind w:right="1126" w:firstLine="420"/>
        <w:jc w:val="both"/>
      </w:pPr>
      <w:r>
        <w:rPr>
          <w:spacing w:val="-2"/>
        </w:rPr>
        <w:t>公司充分尊重和维护相关利益者的合法权益，重视公司的社会责任，积极与相关利益者合作，加强与</w:t>
      </w:r>
      <w:r>
        <w:rPr>
          <w:w w:val="100"/>
        </w:rPr>
        <w:t> </w:t>
      </w:r>
      <w:r>
        <w:rPr/>
        <w:t>各方的沟通和交流，实现股东、员工、社会等各方利益的协调平衡，共同推动公司持续、健康的发展。</w:t>
      </w:r>
    </w:p>
    <w:p>
      <w:pPr>
        <w:pStyle w:val="Heading7"/>
        <w:spacing w:line="345" w:lineRule="exact"/>
        <w:ind w:left="575" w:right="995"/>
        <w:jc w:val="left"/>
        <w:rPr>
          <w:b w:val="0"/>
          <w:bCs w:val="0"/>
        </w:rPr>
      </w:pPr>
      <w:r>
        <w:rPr>
          <w:rFonts w:ascii="Times New Roman" w:hAnsi="Times New Roman" w:cs="Times New Roman" w:eastAsia="Times New Roman" w:hint="default"/>
        </w:rPr>
        <w:t>8</w:t>
      </w:r>
      <w:r>
        <w:rPr/>
        <w:t>、投资者关系管理</w:t>
      </w:r>
      <w:r>
        <w:rPr>
          <w:b w:val="0"/>
          <w:bCs w:val="0"/>
        </w:rPr>
      </w:r>
    </w:p>
    <w:p>
      <w:pPr>
        <w:pStyle w:val="BodyText"/>
        <w:spacing w:line="408" w:lineRule="auto" w:before="170"/>
        <w:ind w:right="1126" w:firstLine="420"/>
        <w:jc w:val="both"/>
      </w:pPr>
      <w:r>
        <w:rPr>
          <w:spacing w:val="-2"/>
        </w:rPr>
        <w:t>投资者关系工作是一项长期、持续的重要工作，公司不断学习先进投资者关系管理经验，便于以更好</w:t>
      </w:r>
      <w:r>
        <w:rPr>
          <w:w w:val="100"/>
        </w:rPr>
        <w:t> </w:t>
      </w:r>
      <w:r>
        <w:rPr>
          <w:spacing w:val="-2"/>
        </w:rPr>
        <w:t>的方式和途径使广大投资者能够平等地获取公司经营管理、未来发展等信息，构建与投资者的良好互动关</w:t>
      </w:r>
      <w:r>
        <w:rPr>
          <w:spacing w:val="-44"/>
        </w:rPr>
        <w:t> </w:t>
      </w:r>
      <w:r>
        <w:rPr>
          <w:spacing w:val="-44"/>
        </w:rPr>
      </w:r>
      <w:r>
        <w:rPr>
          <w:spacing w:val="-2"/>
        </w:rPr>
        <w:t>系，树立公司在资本市场的规范形象。报告期内，公司严格执行《投资者关系管理制度》，认真做好投资</w:t>
      </w:r>
      <w:r>
        <w:rPr>
          <w:spacing w:val="-42"/>
        </w:rPr>
        <w:t> </w:t>
      </w:r>
      <w:r>
        <w:rPr>
          <w:spacing w:val="-42"/>
        </w:rPr>
      </w:r>
      <w:r>
        <w:rPr/>
        <w:t>者关系管理工作。</w:t>
      </w:r>
    </w:p>
    <w:p>
      <w:pPr>
        <w:pStyle w:val="BodyText"/>
        <w:spacing w:line="398" w:lineRule="auto"/>
        <w:ind w:right="995" w:firstLine="420"/>
        <w:jc w:val="left"/>
      </w:pPr>
      <w:r>
        <w:rPr/>
        <w:t>（</w:t>
      </w:r>
      <w:r>
        <w:rPr>
          <w:rFonts w:ascii="Times New Roman" w:hAnsi="Times New Roman" w:cs="Times New Roman" w:eastAsia="Times New Roman" w:hint="default"/>
        </w:rPr>
        <w:t>1</w:t>
      </w:r>
      <w:r>
        <w:rPr/>
        <w:t>）公司指定董事会秘书作为投资者关系管理的负责人，负责投资者来访接待工作，合理、妥善地</w:t>
      </w:r>
      <w:r>
        <w:rPr>
          <w:w w:val="100"/>
        </w:rPr>
        <w:t> </w:t>
      </w:r>
      <w:r>
        <w:rPr>
          <w:spacing w:val="-2"/>
        </w:rPr>
        <w:t>安排个人投资者、机构投资者、行业分析师等相关人员到公司进行调研，做好调研的会议记录和相关信息</w:t>
      </w:r>
      <w:r>
        <w:rPr>
          <w:spacing w:val="-45"/>
        </w:rPr>
        <w:t> </w:t>
      </w:r>
      <w:r>
        <w:rPr>
          <w:spacing w:val="-45"/>
        </w:rPr>
      </w:r>
      <w:r>
        <w:rPr/>
        <w:t>的保密工作，并对调研会议记录上传深交所报备，公司进行存档保管。</w:t>
      </w:r>
    </w:p>
    <w:p>
      <w:pPr>
        <w:pStyle w:val="BodyText"/>
        <w:spacing w:line="386" w:lineRule="auto" w:before="55"/>
        <w:ind w:right="1210" w:firstLine="420"/>
        <w:jc w:val="both"/>
      </w:pPr>
      <w:r>
        <w:rPr>
          <w:spacing w:val="-2"/>
        </w:rPr>
        <w:t>（</w:t>
      </w:r>
      <w:r>
        <w:rPr>
          <w:rFonts w:ascii="Times New Roman" w:hAnsi="Times New Roman" w:cs="Times New Roman" w:eastAsia="Times New Roman" w:hint="default"/>
          <w:spacing w:val="-2"/>
        </w:rPr>
        <w:t>2</w:t>
      </w:r>
      <w:r>
        <w:rPr>
          <w:spacing w:val="-2"/>
        </w:rPr>
        <w:t>）通过公司网站、投资者关系管理电话、电子信箱、互动平台等多种渠道与投资者加强沟通，尽</w:t>
      </w:r>
      <w:r>
        <w:rPr>
          <w:w w:val="100"/>
        </w:rPr>
        <w:t> </w:t>
      </w:r>
      <w:r>
        <w:rPr/>
        <w:t>职解答投资者的疑问。</w:t>
      </w:r>
    </w:p>
    <w:p>
      <w:pPr>
        <w:pStyle w:val="BodyText"/>
        <w:spacing w:line="408" w:lineRule="auto" w:before="65"/>
        <w:ind w:right="1126" w:firstLine="420"/>
        <w:jc w:val="both"/>
      </w:pPr>
      <w:r>
        <w:rPr>
          <w:spacing w:val="-2"/>
        </w:rPr>
        <w:t>作为公众公司，在资本市场需要与投资者建立良性互动的关系，公司仍需进一步加强投资者关系管理</w:t>
      </w:r>
      <w:r>
        <w:rPr>
          <w:w w:val="100"/>
        </w:rPr>
        <w:t> </w:t>
      </w:r>
      <w:r>
        <w:rPr/>
        <w:t>工作，以提高公司信息透明度，保障全体股东的合法权益。</w:t>
      </w:r>
    </w:p>
    <w:p>
      <w:pPr>
        <w:spacing w:before="69"/>
        <w:ind w:left="513" w:right="995"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240" w:lineRule="auto" w:before="10"/>
        <w:rPr>
          <w:rFonts w:ascii="宋体" w:hAnsi="宋体" w:cs="宋体" w:eastAsia="宋体" w:hint="default"/>
          <w:sz w:val="17"/>
          <w:szCs w:val="17"/>
        </w:rPr>
      </w:pPr>
    </w:p>
    <w:p>
      <w:pPr>
        <w:spacing w:line="451" w:lineRule="auto" w:before="0"/>
        <w:ind w:left="513" w:right="31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3"/>
        <w:rPr>
          <w:rFonts w:ascii="宋体" w:hAnsi="宋体" w:cs="宋体" w:eastAsia="宋体" w:hint="default"/>
          <w:sz w:val="13"/>
          <w:szCs w:val="13"/>
        </w:rPr>
      </w:pPr>
    </w:p>
    <w:p>
      <w:pPr>
        <w:pStyle w:val="Heading3"/>
        <w:spacing w:line="240" w:lineRule="auto"/>
        <w:ind w:right="995"/>
        <w:jc w:val="left"/>
        <w:rPr>
          <w:b w:val="0"/>
          <w:bCs w:val="0"/>
        </w:rPr>
      </w:pPr>
      <w:r>
        <w:rPr/>
        <w:t>二、公司相对于控股股东在业务、人员、资产、机构、财务等方面的独立情况</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BodyText"/>
        <w:spacing w:line="408" w:lineRule="auto" w:before="0"/>
        <w:ind w:right="1104" w:firstLine="420"/>
        <w:jc w:val="both"/>
      </w:pPr>
      <w:r>
        <w:rPr>
          <w:spacing w:val="-2"/>
        </w:rPr>
        <w:t>公司自成立以来严格按照《公司法》、《证券法》等相关法律法规和《公司章程》的要求规范运作，</w:t>
      </w:r>
      <w:r>
        <w:rPr>
          <w:w w:val="100"/>
        </w:rPr>
        <w:t> </w:t>
      </w:r>
      <w:r>
        <w:rPr>
          <w:spacing w:val="-2"/>
        </w:rPr>
        <w:t>在业务、资产、人员、机构和财务等方面与公司股东相互独立，保证了公司人员独立、资产完整、财务独</w:t>
      </w:r>
      <w:r>
        <w:rPr>
          <w:spacing w:val="-42"/>
        </w:rPr>
        <w:t> </w:t>
      </w:r>
      <w:r>
        <w:rPr>
          <w:spacing w:val="-42"/>
        </w:rPr>
      </w:r>
      <w:r>
        <w:rPr/>
        <w:t>立、机构独立运作和业务独立完整，具备面向市场自主经营的能力。</w:t>
      </w:r>
    </w:p>
    <w:p>
      <w:pPr>
        <w:pStyle w:val="BodyText"/>
        <w:spacing w:line="398" w:lineRule="auto"/>
        <w:ind w:right="1126" w:firstLine="420"/>
        <w:jc w:val="both"/>
      </w:pPr>
      <w:r>
        <w:rPr>
          <w:rFonts w:ascii="Times New Roman" w:hAnsi="Times New Roman" w:cs="Times New Roman" w:eastAsia="Times New Roman" w:hint="default"/>
        </w:rPr>
        <w:t>1</w:t>
      </w:r>
      <w:r>
        <w:rPr/>
        <w:t>、人员独立：公司的董事、监事均严格按照《公司法》、《公司章程》的有关规定选举，</w:t>
      </w:r>
      <w:r>
        <w:rPr>
          <w:spacing w:val="-32"/>
        </w:rPr>
        <w:t> </w:t>
      </w:r>
      <w:r>
        <w:rPr/>
        <w:t>履行了合</w:t>
      </w:r>
      <w:r>
        <w:rPr>
          <w:w w:val="100"/>
        </w:rPr>
        <w:t> </w:t>
      </w:r>
      <w:r>
        <w:rPr>
          <w:spacing w:val="-2"/>
        </w:rPr>
        <w:t>法程序；公司的人事及工资管理与股东完全分开，总经理、副总经理、董事会秘书、财务负责人等高级管</w:t>
      </w:r>
      <w:r>
        <w:rPr>
          <w:spacing w:val="-43"/>
        </w:rPr>
        <w:t> </w:t>
      </w:r>
      <w:r>
        <w:rPr>
          <w:spacing w:val="-43"/>
        </w:rPr>
      </w:r>
      <w:r>
        <w:rPr>
          <w:spacing w:val="-2"/>
        </w:rPr>
        <w:t>理人员均未在股东单位兼职或领取薪酬；公司在员工管理、社会保障、工资报酬等方面独立于股东和其他</w:t>
      </w:r>
    </w:p>
    <w:p>
      <w:pPr>
        <w:spacing w:after="0" w:line="39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995"/>
        <w:jc w:val="left"/>
      </w:pPr>
      <w:r>
        <w:rPr/>
        <w:t>关联方。</w:t>
      </w:r>
    </w:p>
    <w:p>
      <w:pPr>
        <w:spacing w:line="240" w:lineRule="auto" w:before="10"/>
        <w:rPr>
          <w:rFonts w:ascii="宋体" w:hAnsi="宋体" w:cs="宋体" w:eastAsia="宋体" w:hint="default"/>
          <w:sz w:val="14"/>
          <w:szCs w:val="14"/>
        </w:rPr>
      </w:pPr>
    </w:p>
    <w:p>
      <w:pPr>
        <w:pStyle w:val="BodyText"/>
        <w:spacing w:line="386" w:lineRule="auto" w:before="0"/>
        <w:ind w:right="995" w:firstLine="420"/>
        <w:jc w:val="left"/>
      </w:pPr>
      <w:r>
        <w:rPr>
          <w:rFonts w:ascii="Times New Roman" w:hAnsi="Times New Roman" w:cs="Times New Roman" w:eastAsia="Times New Roman" w:hint="default"/>
          <w:spacing w:val="-2"/>
        </w:rPr>
        <w:t>2</w:t>
      </w:r>
      <w:r>
        <w:rPr>
          <w:spacing w:val="-2"/>
        </w:rPr>
        <w:t>、资产独立：公司拥有独立、完整的生产经营场所及商标，不存在资产资金被股东占用而损害公司</w:t>
      </w:r>
      <w:r>
        <w:rPr>
          <w:w w:val="100"/>
        </w:rPr>
        <w:t> </w:t>
      </w:r>
      <w:r>
        <w:rPr/>
        <w:t>利益的情况。</w:t>
      </w:r>
    </w:p>
    <w:p>
      <w:pPr>
        <w:pStyle w:val="BodyText"/>
        <w:spacing w:line="386" w:lineRule="auto" w:before="65"/>
        <w:ind w:right="995" w:firstLine="420"/>
        <w:jc w:val="left"/>
      </w:pPr>
      <w:r>
        <w:rPr>
          <w:rFonts w:ascii="Times New Roman" w:hAnsi="Times New Roman" w:cs="Times New Roman" w:eastAsia="Times New Roman" w:hint="default"/>
          <w:spacing w:val="-2"/>
        </w:rPr>
        <w:t>3</w:t>
      </w:r>
      <w:r>
        <w:rPr>
          <w:spacing w:val="-2"/>
        </w:rPr>
        <w:t>、财务独立：公司设有独立的财务会计部门，配备了专门的财务人员，建立了符合有关会计制度要</w:t>
      </w:r>
      <w:r>
        <w:rPr>
          <w:w w:val="100"/>
        </w:rPr>
        <w:t> </w:t>
      </w:r>
      <w:r>
        <w:rPr/>
        <w:t>求、独立的会计核算体系和财务管理制度。</w:t>
      </w:r>
    </w:p>
    <w:p>
      <w:pPr>
        <w:pStyle w:val="BodyText"/>
        <w:spacing w:line="398" w:lineRule="auto" w:before="65"/>
        <w:ind w:right="995" w:firstLine="420"/>
        <w:jc w:val="left"/>
      </w:pPr>
      <w:r>
        <w:rPr>
          <w:rFonts w:ascii="Times New Roman" w:hAnsi="Times New Roman" w:cs="Times New Roman" w:eastAsia="Times New Roman" w:hint="default"/>
        </w:rPr>
        <w:t>4</w:t>
      </w:r>
      <w:r>
        <w:rPr/>
        <w:t>、机构独立：公司健全了股东大会、董事会、监事会等法人治理机构，各组织机构依法行使各自的</w:t>
      </w:r>
      <w:r>
        <w:rPr>
          <w:w w:val="100"/>
        </w:rPr>
        <w:t> </w:t>
      </w:r>
      <w:r>
        <w:rPr>
          <w:spacing w:val="-2"/>
        </w:rPr>
        <w:t>职权；公司建立了独立的、适应自身发展需要的组织机构，制订了完善的岗位职责和管理制度，各部门按</w:t>
      </w:r>
      <w:r>
        <w:rPr>
          <w:spacing w:val="-50"/>
        </w:rPr>
        <w:t> </w:t>
      </w:r>
      <w:r>
        <w:rPr>
          <w:spacing w:val="-50"/>
        </w:rPr>
      </w:r>
      <w:r>
        <w:rPr/>
        <w:t>照规定的职责独立运作。</w:t>
      </w:r>
    </w:p>
    <w:p>
      <w:pPr>
        <w:pStyle w:val="BodyText"/>
        <w:spacing w:line="398" w:lineRule="auto" w:before="55"/>
        <w:ind w:right="1126" w:firstLine="420"/>
        <w:jc w:val="both"/>
      </w:pPr>
      <w:r>
        <w:rPr>
          <w:rFonts w:ascii="Times New Roman" w:hAnsi="Times New Roman" w:cs="Times New Roman" w:eastAsia="Times New Roman" w:hint="default"/>
        </w:rPr>
        <w:t>5</w:t>
      </w:r>
      <w:r>
        <w:rPr/>
        <w:t>、业务独立：公司已经建立了符合现代企业制度要求的法人治理结构和内部组织结构，</w:t>
      </w:r>
      <w:r>
        <w:rPr>
          <w:spacing w:val="-28"/>
        </w:rPr>
        <w:t> </w:t>
      </w:r>
      <w:r>
        <w:rPr/>
        <w:t>在经营管理</w:t>
      </w:r>
      <w:r>
        <w:rPr>
          <w:w w:val="100"/>
        </w:rPr>
        <w:t> </w:t>
      </w:r>
      <w:r>
        <w:rPr>
          <w:spacing w:val="-2"/>
        </w:rPr>
        <w:t>上独立运作。公司独立对外签订合同，开展业务，形成了独立完整的业务体系，具备面向市场自主经营的</w:t>
      </w:r>
      <w:r>
        <w:rPr>
          <w:spacing w:val="-47"/>
        </w:rPr>
        <w:t> </w:t>
      </w:r>
      <w:r>
        <w:rPr>
          <w:spacing w:val="-47"/>
        </w:rPr>
      </w:r>
      <w:r>
        <w:rPr/>
        <w:t>能力。</w:t>
      </w:r>
    </w:p>
    <w:p>
      <w:pPr>
        <w:pStyle w:val="Heading3"/>
        <w:spacing w:line="240" w:lineRule="auto" w:before="176"/>
        <w:ind w:right="995"/>
        <w:jc w:val="left"/>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3"/>
        <w:spacing w:line="240" w:lineRule="auto"/>
        <w:ind w:right="995"/>
        <w:jc w:val="left"/>
        <w:rPr>
          <w:b w:val="0"/>
          <w:bCs w:val="0"/>
        </w:rPr>
      </w:pPr>
      <w:r>
        <w:rPr/>
        <w:t>四、报告期内召开的年度股东大会和临时股东大会的有关情况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8"/>
          <w:szCs w:val="18"/>
        </w:rPr>
      </w:pPr>
    </w:p>
    <w:p>
      <w:pPr>
        <w:spacing w:before="44"/>
        <w:ind w:left="0" w:right="1138" w:firstLine="0"/>
        <w:jc w:val="right"/>
        <w:rPr>
          <w:rFonts w:ascii="宋体" w:hAnsi="宋体" w:cs="宋体" w:eastAsia="宋体" w:hint="default"/>
          <w:sz w:val="18"/>
          <w:szCs w:val="18"/>
        </w:rPr>
      </w:pPr>
      <w:r>
        <w:rPr/>
        <w:pict>
          <v:shape style="position:absolute;margin-left:56.424pt;margin-top:-52.08828pt;width:479.15pt;height:71.9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489"/>
                    <w:gridCol w:w="1347"/>
                    <w:gridCol w:w="1560"/>
                    <w:gridCol w:w="1561"/>
                    <w:gridCol w:w="1911"/>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45.35%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50" w:right="-41" w:hanging="27"/>
                          <w:jc w:val="left"/>
                          <w:rPr>
                            <w:rFonts w:ascii="宋体" w:hAnsi="宋体" w:cs="宋体" w:eastAsia="宋体" w:hint="default"/>
                            <w:sz w:val="18"/>
                            <w:szCs w:val="18"/>
                          </w:rPr>
                        </w:pPr>
                        <w:r>
                          <w:rPr>
                            <w:rFonts w:ascii="宋体" w:hAnsi="宋体" w:cs="宋体" w:eastAsia="宋体" w:hint="default"/>
                            <w:spacing w:val="-16"/>
                            <w:sz w:val="18"/>
                            <w:szCs w:val="18"/>
                          </w:rPr>
                          <w:t>巨潮资讯网：《</w:t>
                        </w:r>
                        <w:r>
                          <w:rPr>
                            <w:rFonts w:ascii="Times New Roman" w:hAnsi="Times New Roman" w:cs="Times New Roman" w:eastAsia="Times New Roman" w:hint="default"/>
                            <w:spacing w:val="-16"/>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年年</w:t>
                        </w:r>
                        <w:r>
                          <w:rPr>
                            <w:rFonts w:ascii="宋体" w:hAnsi="宋体" w:cs="宋体" w:eastAsia="宋体" w:hint="default"/>
                            <w:spacing w:val="-83"/>
                            <w:sz w:val="18"/>
                            <w:szCs w:val="18"/>
                          </w:rPr>
                          <w:t> </w:t>
                        </w:r>
                        <w:r>
                          <w:rPr>
                            <w:rFonts w:ascii="宋体" w:hAnsi="宋体" w:cs="宋体" w:eastAsia="宋体" w:hint="default"/>
                            <w:sz w:val="18"/>
                            <w:szCs w:val="18"/>
                          </w:rPr>
                          <w:t>度股东大会决议公告</w:t>
                        </w:r>
                        <w:r>
                          <w:rPr>
                            <w:rFonts w:ascii="宋体" w:hAnsi="宋体" w:cs="宋体" w:eastAsia="宋体" w:hint="default"/>
                            <w:spacing w:val="1"/>
                            <w:sz w:val="18"/>
                            <w:szCs w:val="18"/>
                          </w:rPr>
                          <w:t> </w:t>
                        </w:r>
                        <w:r>
                          <w:rPr>
                            <w:rFonts w:ascii="宋体" w:hAnsi="宋体" w:cs="宋体" w:eastAsia="宋体" w:hint="default"/>
                            <w:sz w:val="18"/>
                            <w:szCs w:val="18"/>
                          </w:rPr>
                          <w:t>》</w:t>
                        </w:r>
                      </w:p>
                      <w:p>
                        <w:pPr>
                          <w:pStyle w:val="TableParagraph"/>
                          <w:spacing w:line="240" w:lineRule="auto" w:before="3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2019-028</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3"/>
        <w:spacing w:line="240" w:lineRule="auto"/>
        <w:ind w:right="995"/>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427"/>
        <w:gridCol w:w="1165"/>
        <w:gridCol w:w="1164"/>
        <w:gridCol w:w="1162"/>
        <w:gridCol w:w="1164"/>
        <w:gridCol w:w="1162"/>
        <w:gridCol w:w="1164"/>
        <w:gridCol w:w="1164"/>
      </w:tblGrid>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吴永平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3" w:right="0" w:firstLine="0"/>
        <w:jc w:val="both"/>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
        <w:rPr>
          <w:rFonts w:ascii="宋体" w:hAnsi="宋体" w:cs="宋体" w:eastAsia="宋体" w:hint="default"/>
          <w:sz w:val="22"/>
          <w:szCs w:val="22"/>
        </w:rPr>
      </w:pPr>
    </w:p>
    <w:p>
      <w:pPr>
        <w:pStyle w:val="Heading7"/>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2"/>
        <w:rPr>
          <w:rFonts w:ascii="宋体" w:hAnsi="宋体" w:cs="宋体" w:eastAsia="宋体" w:hint="default"/>
          <w:sz w:val="16"/>
          <w:szCs w:val="16"/>
        </w:rPr>
      </w:pPr>
    </w:p>
    <w:p>
      <w:pPr>
        <w:pStyle w:val="Heading7"/>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5"/>
        <w:ind w:right="1126" w:firstLine="420"/>
        <w:jc w:val="both"/>
      </w:pPr>
      <w:r>
        <w:rPr>
          <w:spacing w:val="-3"/>
        </w:rPr>
        <w:t>报告期内，公司独立董事积极出席相关会议，认真审阅各项议案，客观地发表自己的看法和观点，了</w:t>
      </w:r>
      <w:r>
        <w:rPr>
          <w:w w:val="100"/>
        </w:rPr>
        <w:t> </w:t>
      </w:r>
      <w:r>
        <w:rPr>
          <w:spacing w:val="-2"/>
        </w:rPr>
        <w:t>解公司运营、经营状况、内部控制建设以及董事会决议和股东会决议的执行情况，并利用自己的专业知识</w:t>
      </w:r>
      <w:r>
        <w:rPr>
          <w:spacing w:val="-43"/>
        </w:rPr>
        <w:t> </w:t>
      </w:r>
      <w:r>
        <w:rPr>
          <w:spacing w:val="-43"/>
        </w:rPr>
      </w:r>
      <w:r>
        <w:rPr>
          <w:spacing w:val="-2"/>
        </w:rPr>
        <w:t>对公司的内部管理积极提出建议，包括：加强公司内部管理制度、加强业务流程管理、加强现金流量和应</w:t>
      </w:r>
      <w:r>
        <w:rPr>
          <w:spacing w:val="-47"/>
        </w:rPr>
        <w:t> </w:t>
      </w:r>
      <w:r>
        <w:rPr>
          <w:spacing w:val="-47"/>
        </w:rPr>
      </w:r>
      <w:r>
        <w:rPr>
          <w:spacing w:val="-2"/>
        </w:rPr>
        <w:t>收款项管理、对外投资、募集资金的使用管理等等，公司认真采纳独立董事的建议，不断完善和提高公司</w:t>
      </w:r>
      <w:r>
        <w:rPr>
          <w:spacing w:val="-47"/>
        </w:rPr>
        <w:t> </w:t>
      </w:r>
      <w:r>
        <w:rPr>
          <w:spacing w:val="-47"/>
        </w:rPr>
      </w:r>
      <w:r>
        <w:rPr/>
        <w:t>的管理水平。</w:t>
      </w:r>
    </w:p>
    <w:p>
      <w:pPr>
        <w:pStyle w:val="Heading3"/>
        <w:spacing w:line="240" w:lineRule="auto" w:before="168"/>
        <w:ind w:right="0"/>
        <w:jc w:val="both"/>
        <w:rPr>
          <w:b w:val="0"/>
          <w:bCs w:val="0"/>
        </w:rPr>
      </w:pPr>
      <w:r>
        <w:rPr/>
        <w:t>六、董事会下设专门委员会在报告期内履行职责情况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386" w:lineRule="auto" w:before="0"/>
        <w:ind w:left="573" w:right="995"/>
        <w:jc w:val="left"/>
      </w:pPr>
      <w:r>
        <w:rPr>
          <w:rFonts w:ascii="Times New Roman" w:hAnsi="Times New Roman" w:cs="Times New Roman" w:eastAsia="Times New Roman" w:hint="default"/>
        </w:rPr>
        <w:t>1</w:t>
      </w:r>
      <w:r>
        <w:rPr/>
        <w:t>、审计委员会的履职情况</w:t>
      </w:r>
      <w:r>
        <w:rPr>
          <w:w w:val="100"/>
        </w:rPr>
        <w:t> </w:t>
      </w:r>
      <w:r>
        <w:rPr>
          <w:spacing w:val="-2"/>
        </w:rPr>
        <w:t>根据公司《董事会审计委员会工作细则》，审计委员会充分发挥了审核与监督作用，主要负责公司财</w:t>
      </w:r>
    </w:p>
    <w:p>
      <w:pPr>
        <w:pStyle w:val="BodyText"/>
        <w:spacing w:line="391" w:lineRule="auto" w:before="65"/>
        <w:ind w:right="1106"/>
        <w:jc w:val="both"/>
      </w:pPr>
      <w:r>
        <w:rPr>
          <w:spacing w:val="-2"/>
        </w:rPr>
        <w:t>务监督和核查工作及与外部审计机构的沟通、协调工作。审计委员会对公司</w:t>
      </w:r>
      <w:r>
        <w:rPr>
          <w:rFonts w:ascii="Times New Roman" w:hAnsi="Times New Roman" w:cs="Times New Roman" w:eastAsia="Times New Roman" w:hint="default"/>
          <w:spacing w:val="-2"/>
        </w:rPr>
        <w:t>2019</w:t>
      </w:r>
      <w:r>
        <w:rPr>
          <w:spacing w:val="-2"/>
        </w:rPr>
        <w:t>年内控情况进行了核查，</w:t>
      </w:r>
      <w:r>
        <w:rPr>
          <w:spacing w:val="-20"/>
        </w:rPr>
        <w:t> </w:t>
      </w:r>
      <w:r>
        <w:rPr>
          <w:spacing w:val="-20"/>
        </w:rPr>
      </w:r>
      <w:r>
        <w:rPr>
          <w:spacing w:val="-2"/>
        </w:rPr>
        <w:t>认为公司已经建立的内控制度体系符合相关法规的规定，并能有效控制相关风险。</w:t>
      </w:r>
      <w:r>
        <w:rPr>
          <w:rFonts w:ascii="Times New Roman" w:hAnsi="Times New Roman" w:cs="Times New Roman" w:eastAsia="Times New Roman" w:hint="default"/>
          <w:spacing w:val="-2"/>
        </w:rPr>
        <w:t>2019</w:t>
      </w:r>
      <w:r>
        <w:rPr>
          <w:spacing w:val="-2"/>
        </w:rPr>
        <w:t>年，审计委员会重</w:t>
      </w:r>
      <w:r>
        <w:rPr>
          <w:spacing w:val="-41"/>
        </w:rPr>
        <w:t> </w:t>
      </w:r>
      <w:r>
        <w:rPr>
          <w:spacing w:val="-41"/>
        </w:rPr>
      </w:r>
      <w:r>
        <w:rPr>
          <w:spacing w:val="-2"/>
        </w:rPr>
        <w:t>点对公司定期财务报告、生产经营控制、募集资金使用情况、控股股东及关联方资金占用、聘任</w:t>
      </w:r>
      <w:r>
        <w:rPr>
          <w:rFonts w:ascii="Times New Roman" w:hAnsi="Times New Roman" w:cs="Times New Roman" w:eastAsia="Times New Roman" w:hint="default"/>
          <w:spacing w:val="-2"/>
        </w:rPr>
        <w:t>2019</w:t>
      </w:r>
      <w:r>
        <w:rPr>
          <w:spacing w:val="-2"/>
        </w:rPr>
        <w:t>年度</w:t>
      </w:r>
      <w:r>
        <w:rPr>
          <w:spacing w:val="-46"/>
        </w:rPr>
        <w:t> </w:t>
      </w:r>
      <w:r>
        <w:rPr>
          <w:spacing w:val="-2"/>
        </w:rPr>
        <w:t>会计师事务所等事项进行审议。审计委员会就会计师事务所从事公司年度审计的工作进行了总结评价，提</w:t>
      </w:r>
      <w:r>
        <w:rPr>
          <w:spacing w:val="-43"/>
        </w:rPr>
        <w:t> </w:t>
      </w:r>
      <w:r>
        <w:rPr>
          <w:spacing w:val="-43"/>
        </w:rPr>
      </w:r>
      <w:r>
        <w:rPr/>
        <w:t>出续聘会计事务所的建议。</w:t>
      </w:r>
    </w:p>
    <w:p>
      <w:pPr>
        <w:pStyle w:val="BodyText"/>
        <w:spacing w:line="386" w:lineRule="auto" w:before="61"/>
        <w:ind w:left="573" w:right="995"/>
        <w:jc w:val="left"/>
      </w:pPr>
      <w:r>
        <w:rPr>
          <w:rFonts w:ascii="Times New Roman" w:hAnsi="Times New Roman" w:cs="Times New Roman" w:eastAsia="Times New Roman" w:hint="default"/>
        </w:rPr>
        <w:t>2</w:t>
      </w:r>
      <w:r>
        <w:rPr/>
        <w:t>、薪酬与考核委员会的履职情况</w:t>
      </w:r>
      <w:r>
        <w:rPr>
          <w:w w:val="100"/>
        </w:rPr>
        <w:t> </w:t>
      </w:r>
      <w:r>
        <w:rPr>
          <w:spacing w:val="-2"/>
        </w:rPr>
        <w:t>报告期内，公司董事会薪酬与考核委员会依照相关法规以及《公司章程》、《董事会薪酬与考核委员</w:t>
      </w:r>
    </w:p>
    <w:p>
      <w:pPr>
        <w:pStyle w:val="BodyText"/>
        <w:spacing w:line="240" w:lineRule="auto" w:before="65"/>
        <w:ind w:right="0"/>
        <w:jc w:val="both"/>
      </w:pPr>
      <w:r>
        <w:rPr/>
        <w:t>会工作细则》的规定勤勉履行职责，对</w:t>
      </w:r>
      <w:r>
        <w:rPr>
          <w:rFonts w:ascii="Times New Roman" w:hAnsi="Times New Roman" w:cs="Times New Roman" w:eastAsia="Times New Roman" w:hint="default"/>
        </w:rPr>
        <w:t>2019</w:t>
      </w:r>
      <w:r>
        <w:rPr/>
        <w:t>年度董事和高级管理人员薪酬情况等事项进行审核。</w:t>
      </w:r>
    </w:p>
    <w:p>
      <w:pPr>
        <w:pStyle w:val="BodyText"/>
        <w:spacing w:line="386" w:lineRule="auto" w:before="177"/>
        <w:ind w:left="909" w:right="4273" w:hanging="336"/>
        <w:jc w:val="left"/>
      </w:pPr>
      <w:r>
        <w:rPr>
          <w:rFonts w:ascii="Times New Roman" w:hAnsi="Times New Roman" w:cs="Times New Roman" w:eastAsia="Times New Roman" w:hint="default"/>
        </w:rPr>
        <w:t>3</w:t>
      </w:r>
      <w:r>
        <w:rPr/>
        <w:t>、提名委员会的履职情况</w:t>
      </w:r>
      <w:r>
        <w:rPr>
          <w:w w:val="100"/>
        </w:rPr>
        <w:t> </w:t>
      </w:r>
      <w:r>
        <w:rPr>
          <w:spacing w:val="-2"/>
        </w:rPr>
        <w:t>报告期内，公司董事会提名委员会未召开会议。</w:t>
      </w:r>
    </w:p>
    <w:p>
      <w:pPr>
        <w:spacing w:after="0" w:line="386" w:lineRule="auto"/>
        <w:jc w:val="left"/>
        <w:sectPr>
          <w:pgSz w:w="11910" w:h="16840"/>
          <w:pgMar w:header="880" w:footer="979" w:top="1100" w:bottom="1160" w:left="980" w:right="0"/>
        </w:sectPr>
      </w:pPr>
    </w:p>
    <w:p>
      <w:pPr>
        <w:spacing w:line="240" w:lineRule="auto" w:before="12"/>
        <w:rPr>
          <w:rFonts w:ascii="宋体" w:hAnsi="宋体" w:cs="宋体" w:eastAsia="宋体" w:hint="default"/>
          <w:sz w:val="19"/>
          <w:szCs w:val="19"/>
        </w:rPr>
      </w:pPr>
      <w:r>
        <w:rPr/>
        <w:pict>
          <v:shape style="position:absolute;margin-left:250.727005pt;margin-top:582.675964pt;width:284.25pt;height:97.6pt;mso-position-horizontal-relative:page;mso-position-vertical-relative:page;z-index:-863440" type="#_x0000_t202" filled="false" stroked="false">
            <v:textbox inset="0,0,0,0">
              <w:txbxContent>
                <w:p>
                  <w:pPr>
                    <w:spacing w:line="240" w:lineRule="auto" w:before="16"/>
                    <w:rPr>
                      <w:rFonts w:ascii="Microsoft JhengHei" w:hAnsi="Microsoft JhengHei" w:cs="Microsoft JhengHei" w:eastAsia="Microsoft JhengHei" w:hint="default"/>
                      <w:b/>
                      <w:bCs/>
                      <w:sz w:val="11"/>
                      <w:szCs w:val="1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（指一个或多个控制缺陷的组合，</w:t>
                  </w:r>
                </w:p>
              </w:txbxContent>
            </v:textbox>
            <w10:wrap type="none"/>
          </v:shape>
        </w:pict>
      </w:r>
    </w:p>
    <w:p>
      <w:pPr>
        <w:pStyle w:val="Heading3"/>
        <w:spacing w:line="367" w:lineRule="exact"/>
        <w:ind w:right="995"/>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8"/>
        <w:rPr>
          <w:rFonts w:ascii="宋体" w:hAnsi="宋体" w:cs="宋体" w:eastAsia="宋体" w:hint="default"/>
          <w:sz w:val="13"/>
          <w:szCs w:val="13"/>
        </w:rPr>
      </w:pPr>
    </w:p>
    <w:p>
      <w:pPr>
        <w:pStyle w:val="Heading3"/>
        <w:spacing w:line="240" w:lineRule="auto"/>
        <w:ind w:right="995"/>
        <w:jc w:val="left"/>
        <w:rPr>
          <w:b w:val="0"/>
          <w:bCs w:val="0"/>
        </w:rPr>
      </w:pPr>
      <w:r>
        <w:rPr/>
        <w:t>八、高级管理人员的考评及激励情况</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BodyText"/>
        <w:spacing w:line="408" w:lineRule="auto" w:before="0"/>
        <w:ind w:right="1126" w:firstLine="420"/>
        <w:jc w:val="both"/>
      </w:pPr>
      <w:r>
        <w:rPr>
          <w:spacing w:val="-2"/>
        </w:rPr>
        <w:t>为切实达成公司的中长期战略目标，公司对高级管理建立以绩效目标考核为主的激励和约束机制，制</w:t>
      </w:r>
      <w:r>
        <w:rPr>
          <w:w w:val="100"/>
        </w:rPr>
        <w:t> </w:t>
      </w:r>
      <w:r>
        <w:rPr/>
        <w:t>定《方直科技高级管理人员薪酬方案》 ，通过绩效考核的方式激励高级管理人员达成考核目标。</w:t>
      </w:r>
      <w:r>
        <w:rPr>
          <w:spacing w:val="-47"/>
        </w:rPr>
        <w:t> </w:t>
      </w:r>
      <w:r>
        <w:rPr/>
        <w:t>自激励</w:t>
      </w:r>
      <w:r>
        <w:rPr>
          <w:w w:val="100"/>
        </w:rPr>
        <w:t> </w:t>
      </w:r>
      <w:r>
        <w:rPr>
          <w:spacing w:val="-2"/>
        </w:rPr>
        <w:t>机制建立以来，公司每年依据年度经营目标层层分解，对每位高级管理人员制定绩效考核指标，并进行过</w:t>
      </w:r>
      <w:r>
        <w:rPr>
          <w:spacing w:val="-43"/>
        </w:rPr>
        <w:t> </w:t>
      </w:r>
      <w:r>
        <w:rPr>
          <w:spacing w:val="-43"/>
        </w:rPr>
      </w:r>
      <w:r>
        <w:rPr/>
        <w:t>程监督、调控、促进公司目标达成。</w:t>
      </w:r>
    </w:p>
    <w:p>
      <w:pPr>
        <w:pStyle w:val="Heading3"/>
        <w:spacing w:line="240" w:lineRule="auto" w:before="167"/>
        <w:ind w:right="995"/>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9"/>
        <w:gridCol w:w="3327"/>
        <w:gridCol w:w="305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85"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10" w:space="0" w:color="FFFFFF"/>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29" w:right="39"/>
              <w:jc w:val="left"/>
              <w:rPr>
                <w:rFonts w:ascii="宋体" w:hAnsi="宋体" w:cs="宋体" w:eastAsia="宋体" w:hint="default"/>
                <w:sz w:val="18"/>
                <w:szCs w:val="18"/>
              </w:rPr>
            </w:pPr>
            <w:r>
              <w:rPr>
                <w:rFonts w:ascii="宋体" w:hAnsi="宋体" w:cs="宋体" w:eastAsia="宋体" w:hint="default"/>
                <w:sz w:val="18"/>
                <w:szCs w:val="18"/>
              </w:rPr>
              <w:t>重大缺陷 可能导致企业严重偏离控制目标）重要缺 陷（指一个或多个控制缺陷的组合，其严 重程度和经济后果低于重大缺陷但仍有可 </w:t>
            </w:r>
            <w:r>
              <w:rPr>
                <w:rFonts w:ascii="宋体" w:hAnsi="宋体" w:cs="宋体" w:eastAsia="宋体" w:hint="default"/>
                <w:spacing w:val="-8"/>
                <w:sz w:val="18"/>
                <w:szCs w:val="18"/>
              </w:rPr>
              <w:t>能导致企业偏离控制目标。）</w:t>
            </w:r>
          </w:p>
        </w:tc>
        <w:tc>
          <w:tcPr>
            <w:tcW w:w="3054" w:type="dxa"/>
            <w:vMerge w:val="restart"/>
            <w:tcBorders>
              <w:top w:val="single" w:sz="4" w:space="0" w:color="000000"/>
              <w:left w:val="single" w:sz="10" w:space="0" w:color="FFFFFF"/>
              <w:right w:val="single" w:sz="10" w:space="0" w:color="FFFFFF"/>
            </w:tcBorders>
          </w:tcPr>
          <w:p>
            <w:pPr>
              <w:pStyle w:val="TableParagraph"/>
              <w:spacing w:line="319" w:lineRule="auto" w:before="51"/>
              <w:ind w:left="19" w:right="-50"/>
              <w:jc w:val="left"/>
              <w:rPr>
                <w:rFonts w:ascii="宋体" w:hAnsi="宋体" w:cs="宋体" w:eastAsia="宋体" w:hint="default"/>
                <w:sz w:val="18"/>
                <w:szCs w:val="18"/>
              </w:rPr>
            </w:pPr>
            <w:r>
              <w:rPr>
                <w:rFonts w:ascii="宋体" w:hAnsi="宋体" w:cs="宋体" w:eastAsia="宋体" w:hint="default"/>
                <w:spacing w:val="-4"/>
                <w:sz w:val="18"/>
                <w:szCs w:val="18"/>
              </w:rPr>
              <w:t>重大缺陷（指一个或多个控制缺陷的组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合，可能导致企业严重偏离控制目标） </w:t>
            </w:r>
            <w:r>
              <w:rPr>
                <w:rFonts w:ascii="宋体" w:hAnsi="宋体" w:cs="宋体" w:eastAsia="宋体" w:hint="default"/>
                <w:spacing w:val="-4"/>
                <w:sz w:val="18"/>
                <w:szCs w:val="18"/>
              </w:rPr>
              <w:t>重要缺陷（指一个或多个控制缺陷的组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合，其严重程度和经济后果低于重大缺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陷，但是仍有可能导致企业偏离控制目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标。）</w:t>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10" w:space="0" w:color="FFFFFF"/>
            </w:tcBorders>
          </w:tcPr>
          <w:p>
            <w:pPr/>
          </w:p>
        </w:tc>
        <w:tc>
          <w:tcPr>
            <w:tcW w:w="3054" w:type="dxa"/>
            <w:vMerge/>
            <w:tcBorders>
              <w:left w:val="single" w:sz="10" w:space="0" w:color="FFFFFF"/>
              <w:right w:val="single" w:sz="10" w:space="0" w:color="FFFFFF"/>
            </w:tcBorders>
          </w:tcPr>
          <w:p>
            <w:pPr/>
          </w:p>
        </w:tc>
      </w:tr>
      <w:tr>
        <w:trPr>
          <w:trHeight w:val="78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10" w:space="0" w:color="FFFFFF"/>
            </w:tcBorders>
          </w:tcPr>
          <w:p>
            <w:pPr/>
          </w:p>
        </w:tc>
        <w:tc>
          <w:tcPr>
            <w:tcW w:w="3054" w:type="dxa"/>
            <w:vMerge/>
            <w:tcBorders>
              <w:left w:val="single" w:sz="10" w:space="0" w:color="FFFFFF"/>
              <w:bottom w:val="single" w:sz="4" w:space="0" w:color="000000"/>
              <w:right w:val="single" w:sz="10" w:space="0" w:color="FFFFFF"/>
            </w:tcBorders>
          </w:tcPr>
          <w:p>
            <w:pPr/>
          </w:p>
        </w:tc>
      </w:tr>
      <w:tr>
        <w:trPr>
          <w:trHeight w:val="475"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0" w:lineRule="auto" w:before="53"/>
              <w:ind w:left="29"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 额大于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且绝对金额大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3054" w:type="dxa"/>
            <w:vMerge w:val="restart"/>
            <w:tcBorders>
              <w:top w:val="single" w:sz="4" w:space="0" w:color="000000"/>
              <w:left w:val="single" w:sz="4" w:space="0" w:color="000000"/>
              <w:right w:val="single" w:sz="4" w:space="0" w:color="000000"/>
            </w:tcBorders>
          </w:tcPr>
          <w:p>
            <w:pPr>
              <w:pStyle w:val="TableParagraph"/>
              <w:spacing w:line="300" w:lineRule="auto" w:before="53"/>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 金额大于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 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 对金额大于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4" w:space="0" w:color="000000"/>
            </w:tcBorders>
          </w:tcPr>
          <w:p>
            <w:pPr/>
          </w:p>
        </w:tc>
        <w:tc>
          <w:tcPr>
            <w:tcW w:w="3054" w:type="dxa"/>
            <w:vMerge/>
            <w:tcBorders>
              <w:left w:val="single" w:sz="4" w:space="0" w:color="000000"/>
              <w:right w:val="single" w:sz="4" w:space="0" w:color="000000"/>
            </w:tcBorders>
          </w:tcPr>
          <w:p>
            <w:pPr/>
          </w:p>
        </w:tc>
      </w:tr>
      <w:tr>
        <w:trPr>
          <w:trHeight w:val="47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194"/>
        <w:gridCol w:w="6376"/>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Microsoft JhengHei" w:hAnsi="Microsoft JhengHei" w:cs="Microsoft JhengHei" w:eastAsia="Microsoft JhengHei" w:hint="default"/>
          <w:b/>
          <w:bCs/>
          <w:sz w:val="13"/>
          <w:szCs w:val="13"/>
        </w:rPr>
      </w:pPr>
    </w:p>
    <w:p>
      <w:pPr>
        <w:pStyle w:val="Heading3"/>
        <w:spacing w:line="367" w:lineRule="exact"/>
        <w:ind w:right="995"/>
        <w:jc w:val="left"/>
        <w:rPr>
          <w:b w:val="0"/>
          <w:bCs w:val="0"/>
        </w:rPr>
      </w:pPr>
      <w:r>
        <w:rPr/>
        <w:t>十、内部控制审计报告或鉴证报告</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tabs>
          <w:tab w:pos="4492" w:val="left" w:leader="none"/>
        </w:tabs>
        <w:spacing w:line="456" w:lineRule="exact"/>
        <w:ind w:left="2885" w:right="995"/>
        <w:jc w:val="left"/>
        <w:rPr>
          <w:b w:val="0"/>
          <w:bCs w:val="0"/>
        </w:rPr>
      </w:pPr>
      <w:bookmarkStart w:name="_bookmark10" w:id="11"/>
      <w:bookmarkEnd w:id="11"/>
      <w:r>
        <w:rPr>
          <w:b w:val="0"/>
          <w:bCs w:val="0"/>
        </w:rPr>
      </w:r>
      <w:r>
        <w:rPr/>
        <w:t>第十一节</w:t>
        <w:tab/>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tabs>
          <w:tab w:pos="5134" w:val="left" w:leader="none"/>
        </w:tabs>
        <w:spacing w:line="456" w:lineRule="exact"/>
        <w:ind w:left="3525" w:right="995"/>
        <w:jc w:val="left"/>
        <w:rPr>
          <w:b w:val="0"/>
          <w:bCs w:val="0"/>
        </w:rPr>
      </w:pPr>
      <w:bookmarkStart w:name="_bookmark11" w:id="12"/>
      <w:bookmarkEnd w:id="12"/>
      <w:r>
        <w:rPr>
          <w:b w:val="0"/>
          <w:bCs w:val="0"/>
        </w:rPr>
      </w:r>
      <w:r>
        <w:rPr/>
        <w:t>第十二节</w:t>
        <w:tab/>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3"/>
        <w:spacing w:line="367" w:lineRule="exact"/>
        <w:ind w:right="995"/>
        <w:jc w:val="left"/>
        <w:rPr>
          <w:b w:val="0"/>
          <w:bCs w:val="0"/>
        </w:rPr>
      </w:pPr>
      <w:r>
        <w:rPr/>
        <w:t>一、审计报告</w:t>
      </w:r>
      <w:r>
        <w:rPr>
          <w:b w:val="0"/>
          <w:bCs w:val="0"/>
        </w:rPr>
      </w:r>
    </w:p>
    <w:p>
      <w:pPr>
        <w:spacing w:line="240" w:lineRule="auto" w:before="10"/>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XYZH/2020SZA10228</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彭建华、张媛</w:t>
            </w:r>
          </w:p>
        </w:tc>
      </w:tr>
    </w:tbl>
    <w:p>
      <w:pPr>
        <w:spacing w:before="49"/>
        <w:ind w:left="0" w:right="97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Heading2"/>
        <w:spacing w:line="240" w:lineRule="auto" w:before="105"/>
        <w:ind w:left="0" w:right="980"/>
        <w:jc w:val="center"/>
        <w:rPr>
          <w:b w:val="0"/>
          <w:bCs w:val="0"/>
        </w:rPr>
      </w:pPr>
      <w:r>
        <w:rPr/>
        <w:t>审计报告</w:t>
      </w:r>
      <w:r>
        <w:rPr>
          <w:b w:val="0"/>
          <w:bCs w:val="0"/>
        </w:rPr>
      </w:r>
    </w:p>
    <w:p>
      <w:pPr>
        <w:spacing w:line="240" w:lineRule="auto" w:before="7"/>
        <w:rPr>
          <w:rFonts w:ascii="Microsoft JhengHei" w:hAnsi="Microsoft JhengHei" w:cs="Microsoft JhengHei" w:eastAsia="Microsoft JhengHei" w:hint="default"/>
          <w:b/>
          <w:bCs/>
          <w:sz w:val="23"/>
          <w:szCs w:val="23"/>
        </w:rPr>
      </w:pPr>
    </w:p>
    <w:p>
      <w:pPr>
        <w:pStyle w:val="Heading6"/>
        <w:spacing w:line="240" w:lineRule="auto" w:before="72"/>
        <w:ind w:left="0" w:right="1131" w:firstLine="0"/>
        <w:jc w:val="right"/>
        <w:rPr>
          <w:rFonts w:ascii="Times New Roman" w:hAnsi="Times New Roman" w:cs="Times New Roman" w:eastAsia="Times New Roman" w:hint="default"/>
        </w:rPr>
      </w:pPr>
      <w:r>
        <w:rPr>
          <w:rFonts w:ascii="Times New Roman"/>
          <w:spacing w:val="-1"/>
        </w:rPr>
        <w:t>XYZH/2020SZA10228</w:t>
      </w:r>
    </w:p>
    <w:p>
      <w:pPr>
        <w:spacing w:line="240" w:lineRule="auto" w:before="2"/>
        <w:rPr>
          <w:rFonts w:ascii="Times New Roman" w:hAnsi="Times New Roman" w:cs="Times New Roman" w:eastAsia="Times New Roman" w:hint="default"/>
          <w:sz w:val="25"/>
          <w:szCs w:val="25"/>
        </w:rPr>
      </w:pPr>
    </w:p>
    <w:p>
      <w:pPr>
        <w:pStyle w:val="Heading5"/>
        <w:spacing w:line="346" w:lineRule="exact"/>
        <w:ind w:left="153" w:right="995"/>
        <w:jc w:val="left"/>
        <w:rPr>
          <w:b w:val="0"/>
          <w:bCs w:val="0"/>
        </w:rPr>
      </w:pPr>
      <w:r>
        <w:rPr/>
        <w:t>深圳市方直科技股份有限公司全体股东：</w:t>
      </w:r>
      <w:r>
        <w:rPr>
          <w:b w:val="0"/>
          <w:bCs w:val="0"/>
        </w:rPr>
      </w:r>
    </w:p>
    <w:p>
      <w:pPr>
        <w:spacing w:line="240" w:lineRule="auto" w:before="15"/>
        <w:rPr>
          <w:rFonts w:ascii="Microsoft JhengHei" w:hAnsi="Microsoft JhengHei" w:cs="Microsoft JhengHei" w:eastAsia="Microsoft JhengHei" w:hint="default"/>
          <w:b/>
          <w:bCs/>
          <w:sz w:val="13"/>
          <w:szCs w:val="13"/>
        </w:rPr>
      </w:pPr>
    </w:p>
    <w:p>
      <w:pPr>
        <w:pStyle w:val="BodyText"/>
        <w:spacing w:line="240" w:lineRule="auto" w:before="0"/>
        <w:ind w:left="573" w:right="995"/>
        <w:jc w:val="left"/>
      </w:pPr>
      <w:r>
        <w:rPr/>
        <w:t>一、审计意见</w:t>
      </w:r>
    </w:p>
    <w:p>
      <w:pPr>
        <w:spacing w:line="240" w:lineRule="auto" w:before="0"/>
        <w:rPr>
          <w:rFonts w:ascii="宋体" w:hAnsi="宋体" w:cs="宋体" w:eastAsia="宋体" w:hint="default"/>
          <w:sz w:val="26"/>
          <w:szCs w:val="26"/>
        </w:rPr>
      </w:pPr>
    </w:p>
    <w:p>
      <w:pPr>
        <w:pStyle w:val="Heading6"/>
        <w:spacing w:line="369" w:lineRule="auto"/>
        <w:ind w:right="1125"/>
        <w:jc w:val="both"/>
      </w:pPr>
      <w:r>
        <w:rPr>
          <w:spacing w:val="-2"/>
        </w:rPr>
        <w:t>我们审计了深圳市方直科技股份有限公司（以下简称方直科技公司）财务报表，包括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w w:val="100"/>
        </w:rPr>
        <w:t> </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2019</w:t>
      </w:r>
      <w:r>
        <w:rPr>
          <w:spacing w:val="-2"/>
        </w:rPr>
        <w:t>年度的合并及母公司利润表、合并及母公司现金流量表、合并</w:t>
      </w:r>
      <w:r>
        <w:rPr>
          <w:spacing w:val="-59"/>
        </w:rPr>
        <w:t> </w:t>
      </w:r>
      <w:r>
        <w:rPr>
          <w:spacing w:val="-59"/>
        </w:rPr>
      </w:r>
      <w:r>
        <w:rPr/>
        <w:t>及母公司股东权益变动表，以及相关财务报表附注。</w:t>
      </w:r>
    </w:p>
    <w:p>
      <w:pPr>
        <w:pStyle w:val="Heading6"/>
        <w:spacing w:line="391" w:lineRule="auto" w:before="61"/>
        <w:ind w:right="995"/>
        <w:jc w:val="left"/>
      </w:pPr>
      <w:r>
        <w:rPr>
          <w:spacing w:val="-2"/>
        </w:rPr>
        <w:t>我们认为，后附的财务报表在所有重大方面按照企业会计准则的规定编制，公允反映了方直科技</w:t>
      </w:r>
      <w:r>
        <w:rPr>
          <w:w w:val="100"/>
        </w:rPr>
        <w:t> </w:t>
      </w:r>
      <w:r>
        <w:rPr/>
        <w:t>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年度的合并及母公司经营成果和现金流量。</w:t>
      </w:r>
    </w:p>
    <w:p>
      <w:pPr>
        <w:pStyle w:val="Heading7"/>
        <w:spacing w:line="240" w:lineRule="auto" w:before="108"/>
        <w:ind w:left="575" w:right="995"/>
        <w:jc w:val="left"/>
        <w:rPr>
          <w:b w:val="0"/>
          <w:bCs w:val="0"/>
        </w:rPr>
      </w:pPr>
      <w:r>
        <w:rPr/>
        <w:t>二、形成审计意见的基础</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6"/>
        <w:spacing w:line="376" w:lineRule="auto"/>
        <w:ind w:right="995"/>
        <w:jc w:val="left"/>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w:t>
      </w:r>
      <w:r>
        <w:rPr>
          <w:w w:val="100"/>
        </w:rPr>
        <w:t> </w:t>
      </w:r>
      <w:r>
        <w:rPr/>
        <w:t>审计的责任</w:t>
      </w:r>
      <w:r>
        <w:rPr>
          <w:rFonts w:ascii="Times New Roman" w:hAnsi="Times New Roman" w:cs="Times New Roman" w:eastAsia="Times New Roman" w:hint="default"/>
        </w:rPr>
        <w:t>”</w:t>
      </w:r>
      <w:r>
        <w:rPr/>
        <w:t>部分进一步阐述了我们在这些准则下的责任。按照中国注册会计师职业道德守则，我们</w:t>
      </w:r>
      <w:r>
        <w:rPr>
          <w:w w:val="100"/>
        </w:rPr>
        <w:t> </w:t>
      </w:r>
      <w:r>
        <w:rPr>
          <w:spacing w:val="-1"/>
        </w:rPr>
        <w:t>独立于方直科技公司，并履行了职业道德方面的其他责任。我们相信，我们获取的审计证据是充分、</w:t>
      </w:r>
      <w:r>
        <w:rPr>
          <w:spacing w:val="-72"/>
        </w:rPr>
        <w:t> </w:t>
      </w:r>
      <w:r>
        <w:rPr>
          <w:spacing w:val="-72"/>
        </w:rPr>
      </w:r>
      <w:r>
        <w:rPr/>
        <w:t>适当的，为发表审计意见提供了基础。</w:t>
      </w:r>
    </w:p>
    <w:p>
      <w:pPr>
        <w:pStyle w:val="Heading7"/>
        <w:spacing w:line="240" w:lineRule="auto" w:before="153"/>
        <w:ind w:left="575" w:right="995"/>
        <w:jc w:val="left"/>
        <w:rPr>
          <w:b w:val="0"/>
          <w:bCs w:val="0"/>
        </w:rPr>
      </w:pPr>
      <w:r>
        <w:rPr/>
        <w:t>三、关键审计事项</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6"/>
        <w:spacing w:line="391" w:lineRule="auto"/>
        <w:ind w:right="995"/>
        <w:jc w:val="left"/>
      </w:pPr>
      <w:r>
        <w:rPr>
          <w:spacing w:val="-2"/>
        </w:rPr>
        <w:t>关键审计事项是我们根据职业判断，认为对本期财务报表审计最为重要的事项。这些事项的应对</w:t>
      </w:r>
      <w:r>
        <w:rPr>
          <w:w w:val="100"/>
        </w:rPr>
        <w:t> </w:t>
      </w:r>
      <w:r>
        <w:rPr/>
        <w:t>以对财务报表整体进行审计并形成审计意见为背景，我们不对这些事项单独发表意见。</w:t>
      </w:r>
    </w:p>
    <w:p>
      <w:pPr>
        <w:spacing w:after="0" w:line="391" w:lineRule="auto"/>
        <w:jc w:val="left"/>
        <w:sectPr>
          <w:pgSz w:w="11910" w:h="16840"/>
          <w:pgMar w:header="88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6"/>
        <w:ind w:left="0" w:right="1356"/>
        <w:jc w:val="right"/>
      </w:pPr>
      <w:r>
        <w:rPr/>
        <w:pict>
          <v:shape style="position:absolute;margin-left:56.304001pt;margin-top:-300.146332pt;width:466.8pt;height:356.4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24"/>
                    <w:gridCol w:w="4890"/>
                  </w:tblGrid>
                  <w:tr>
                    <w:trPr>
                      <w:trHeight w:val="348" w:hRule="exact"/>
                    </w:trPr>
                    <w:tc>
                      <w:tcPr>
                        <w:tcW w:w="9314" w:type="dxa"/>
                        <w:gridSpan w:val="2"/>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64" w:right="0"/>
                          <w:jc w:val="left"/>
                          <w:rPr>
                            <w:rFonts w:ascii="Microsoft JhengHei" w:hAnsi="Microsoft JhengHei" w:cs="Microsoft JhengHei" w:eastAsia="Microsoft JhengHei" w:hint="default"/>
                            <w:sz w:val="22"/>
                            <w:szCs w:val="22"/>
                          </w:rPr>
                        </w:pPr>
                        <w:r>
                          <w:rPr>
                            <w:rFonts w:ascii="Trebuchet MS" w:hAnsi="Trebuchet MS" w:cs="Trebuchet MS" w:eastAsia="Trebuchet MS" w:hint="default"/>
                            <w:b/>
                            <w:bCs/>
                            <w:w w:val="105"/>
                            <w:sz w:val="22"/>
                            <w:szCs w:val="22"/>
                          </w:rPr>
                          <w:t>1.</w:t>
                        </w:r>
                        <w:r>
                          <w:rPr>
                            <w:rFonts w:ascii="Trebuchet MS" w:hAnsi="Trebuchet MS" w:cs="Trebuchet MS" w:eastAsia="Trebuchet MS" w:hint="default"/>
                            <w:b/>
                            <w:bCs/>
                            <w:spacing w:val="8"/>
                            <w:w w:val="105"/>
                            <w:sz w:val="22"/>
                            <w:szCs w:val="22"/>
                          </w:rPr>
                          <w:t> </w:t>
                        </w:r>
                        <w:r>
                          <w:rPr>
                            <w:rFonts w:ascii="Microsoft JhengHei" w:hAnsi="Microsoft JhengHei" w:cs="Microsoft JhengHei" w:eastAsia="Microsoft JhengHei" w:hint="default"/>
                            <w:b/>
                            <w:bCs/>
                            <w:w w:val="105"/>
                            <w:sz w:val="22"/>
                            <w:szCs w:val="22"/>
                          </w:rPr>
                          <w:t>收入确认事项</w:t>
                        </w:r>
                        <w:r>
                          <w:rPr>
                            <w:rFonts w:ascii="Microsoft JhengHei" w:hAnsi="Microsoft JhengHei" w:cs="Microsoft JhengHei" w:eastAsia="Microsoft JhengHei" w:hint="default"/>
                            <w:w w:val="105"/>
                            <w:sz w:val="22"/>
                            <w:szCs w:val="22"/>
                          </w:rPr>
                        </w:r>
                      </w:p>
                    </w:tc>
                  </w:tr>
                  <w:tr>
                    <w:trPr>
                      <w:trHeight w:val="346" w:hRule="exact"/>
                    </w:trPr>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关键审计事项</w:t>
                        </w:r>
                        <w:r>
                          <w:rPr>
                            <w:rFonts w:ascii="Microsoft JhengHei" w:hAnsi="Microsoft JhengHei" w:cs="Microsoft JhengHei" w:eastAsia="Microsoft JhengHei" w:hint="default"/>
                            <w:sz w:val="22"/>
                            <w:szCs w:val="22"/>
                          </w:rPr>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 w:right="0"/>
                          <w:jc w:val="center"/>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审计中的应对</w:t>
                        </w:r>
                        <w:r>
                          <w:rPr>
                            <w:rFonts w:ascii="Microsoft JhengHei" w:hAnsi="Microsoft JhengHei" w:cs="Microsoft JhengHei" w:eastAsia="Microsoft JhengHei" w:hint="default"/>
                            <w:sz w:val="22"/>
                            <w:szCs w:val="22"/>
                          </w:rPr>
                        </w:r>
                      </w:p>
                    </w:tc>
                  </w:tr>
                  <w:tr>
                    <w:trPr>
                      <w:trHeight w:val="6421" w:hRule="exact"/>
                    </w:trPr>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64" w:lineRule="auto"/>
                          <w:ind w:left="4" w:right="-12"/>
                          <w:jc w:val="left"/>
                          <w:rPr>
                            <w:rFonts w:ascii="宋体" w:hAnsi="宋体" w:cs="宋体" w:eastAsia="宋体" w:hint="default"/>
                            <w:sz w:val="21"/>
                            <w:szCs w:val="21"/>
                          </w:rPr>
                        </w:pPr>
                        <w:r>
                          <w:rPr>
                            <w:rFonts w:ascii="宋体" w:hAnsi="宋体" w:cs="宋体" w:eastAsia="宋体" w:hint="default"/>
                            <w:sz w:val="21"/>
                            <w:szCs w:val="21"/>
                          </w:rPr>
                          <w:t>方直科技公司主要从事同步教育软件产品的研</w:t>
                        </w:r>
                        <w:r>
                          <w:rPr>
                            <w:rFonts w:ascii="宋体" w:hAnsi="宋体" w:cs="宋体" w:eastAsia="宋体" w:hint="default"/>
                            <w:w w:val="100"/>
                            <w:sz w:val="21"/>
                            <w:szCs w:val="21"/>
                          </w:rPr>
                          <w:t> </w:t>
                        </w:r>
                        <w:r>
                          <w:rPr>
                            <w:rFonts w:ascii="宋体" w:hAnsi="宋体" w:cs="宋体" w:eastAsia="宋体" w:hint="default"/>
                            <w:spacing w:val="-2"/>
                            <w:sz w:val="21"/>
                            <w:szCs w:val="21"/>
                          </w:rPr>
                          <w:t>发和销售。</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年度，方直科技销售产品确认的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营业收入为人民币</w:t>
                        </w:r>
                        <w:r>
                          <w:rPr>
                            <w:rFonts w:ascii="Times New Roman" w:hAnsi="Times New Roman" w:cs="Times New Roman" w:eastAsia="Times New Roman" w:hint="default"/>
                            <w:sz w:val="21"/>
                            <w:szCs w:val="21"/>
                          </w:rPr>
                          <w:t>109,014,398.01</w:t>
                        </w:r>
                        <w:r>
                          <w:rPr>
                            <w:rFonts w:ascii="宋体" w:hAnsi="宋体" w:cs="宋体" w:eastAsia="宋体" w:hint="default"/>
                            <w:sz w:val="21"/>
                            <w:szCs w:val="21"/>
                          </w:rPr>
                          <w:t>元。</w:t>
                        </w:r>
                      </w:p>
                      <w:p>
                        <w:pPr>
                          <w:pStyle w:val="TableParagraph"/>
                          <w:spacing w:line="273" w:lineRule="auto" w:before="118"/>
                          <w:ind w:left="4" w:right="-12"/>
                          <w:jc w:val="left"/>
                          <w:rPr>
                            <w:rFonts w:ascii="宋体" w:hAnsi="宋体" w:cs="宋体" w:eastAsia="宋体" w:hint="default"/>
                            <w:sz w:val="21"/>
                            <w:szCs w:val="21"/>
                          </w:rPr>
                        </w:pPr>
                        <w:r>
                          <w:rPr>
                            <w:rFonts w:ascii="宋体" w:hAnsi="宋体" w:cs="宋体" w:eastAsia="宋体" w:hint="default"/>
                            <w:spacing w:val="-2"/>
                            <w:sz w:val="21"/>
                            <w:szCs w:val="21"/>
                          </w:rPr>
                          <w:t>鉴于收入是方直科技公司的关键业绩指标之一，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从而存在管理层为了达到特定目标或期望而操</w:t>
                        </w:r>
                        <w:r>
                          <w:rPr>
                            <w:rFonts w:ascii="宋体" w:hAnsi="宋体" w:cs="宋体" w:eastAsia="宋体" w:hint="default"/>
                            <w:w w:val="100"/>
                            <w:sz w:val="21"/>
                            <w:szCs w:val="21"/>
                          </w:rPr>
                          <w:t> </w:t>
                        </w:r>
                        <w:r>
                          <w:rPr>
                            <w:rFonts w:ascii="宋体" w:hAnsi="宋体" w:cs="宋体" w:eastAsia="宋体" w:hint="default"/>
                            <w:spacing w:val="-2"/>
                            <w:sz w:val="21"/>
                            <w:szCs w:val="21"/>
                          </w:rPr>
                          <w:t>纵收入确认时点的固有风险，我们将方直科技公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司收入确认识别为关键审计事项。</w:t>
                        </w:r>
                      </w:p>
                      <w:p>
                        <w:pPr>
                          <w:pStyle w:val="TableParagraph"/>
                          <w:spacing w:line="266" w:lineRule="auto" w:before="127"/>
                          <w:ind w:left="4" w:right="-3"/>
                          <w:jc w:val="both"/>
                          <w:rPr>
                            <w:rFonts w:ascii="宋体" w:hAnsi="宋体" w:cs="宋体" w:eastAsia="宋体" w:hint="default"/>
                            <w:sz w:val="21"/>
                            <w:szCs w:val="21"/>
                          </w:rPr>
                        </w:pPr>
                        <w:r>
                          <w:rPr>
                            <w:rFonts w:ascii="宋体" w:hAnsi="宋体" w:cs="宋体" w:eastAsia="宋体" w:hint="default"/>
                            <w:spacing w:val="-2"/>
                            <w:sz w:val="21"/>
                            <w:szCs w:val="21"/>
                          </w:rPr>
                          <w:t>参见财务报表附注“四、重要会计政策和会计估</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计</w:t>
                        </w:r>
                        <w:r>
                          <w:rPr>
                            <w:rFonts w:ascii="Times New Roman" w:hAnsi="Times New Roman" w:cs="Times New Roman" w:eastAsia="Times New Roman" w:hint="default"/>
                            <w:spacing w:val="-2"/>
                            <w:sz w:val="21"/>
                            <w:szCs w:val="21"/>
                          </w:rPr>
                          <w:t>22</w:t>
                        </w:r>
                        <w:r>
                          <w:rPr>
                            <w:rFonts w:ascii="宋体" w:hAnsi="宋体" w:cs="宋体" w:eastAsia="宋体" w:hint="default"/>
                            <w:spacing w:val="-2"/>
                            <w:sz w:val="21"/>
                            <w:szCs w:val="21"/>
                          </w:rPr>
                          <w:t>”所述的会计政策及“六、合并财务报表主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要项目注释</w:t>
                        </w:r>
                        <w:r>
                          <w:rPr>
                            <w:rFonts w:ascii="Times New Roman" w:hAnsi="Times New Roman" w:cs="Times New Roman" w:eastAsia="Times New Roman" w:hint="default"/>
                            <w:sz w:val="21"/>
                            <w:szCs w:val="21"/>
                          </w:rPr>
                          <w:t>26</w:t>
                        </w:r>
                        <w:r>
                          <w:rPr>
                            <w:rFonts w:ascii="宋体" w:hAnsi="宋体" w:cs="宋体" w:eastAsia="宋体" w:hint="default"/>
                            <w:sz w:val="21"/>
                            <w:szCs w:val="21"/>
                          </w:rPr>
                          <w:t>”。</w:t>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4"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我们执行的主要审计程序：</w:t>
                        </w:r>
                        <w:r>
                          <w:rPr>
                            <w:rFonts w:ascii="Microsoft JhengHei" w:hAnsi="Microsoft JhengHei" w:cs="Microsoft JhengHei" w:eastAsia="Microsoft JhengHei" w:hint="default"/>
                            <w:sz w:val="22"/>
                            <w:szCs w:val="22"/>
                          </w:rPr>
                        </w:r>
                      </w:p>
                      <w:p>
                        <w:pPr>
                          <w:pStyle w:val="TableParagraph"/>
                          <w:spacing w:line="256" w:lineRule="auto" w:before="128"/>
                          <w:ind w:left="443" w:right="0" w:hanging="36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评价并测试了管理层与收入确认相关的关键内部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控制的设计和运行有效性；</w:t>
                        </w:r>
                      </w:p>
                      <w:p>
                        <w:pPr>
                          <w:pStyle w:val="TableParagraph"/>
                          <w:spacing w:line="266" w:lineRule="auto" w:before="142"/>
                          <w:ind w:left="443" w:right="-2" w:hanging="36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选取样本检查业务合同，识别与商品所有权上的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风险和报酬转移相关的合同条款与条件，评价方</w:t>
                        </w:r>
                        <w:r>
                          <w:rPr>
                            <w:rFonts w:ascii="宋体" w:hAnsi="宋体" w:cs="宋体" w:eastAsia="宋体" w:hint="default"/>
                            <w:w w:val="100"/>
                            <w:sz w:val="21"/>
                            <w:szCs w:val="21"/>
                          </w:rPr>
                          <w:t> </w:t>
                        </w:r>
                        <w:r>
                          <w:rPr>
                            <w:rFonts w:ascii="宋体" w:hAnsi="宋体" w:cs="宋体" w:eastAsia="宋体" w:hint="default"/>
                            <w:sz w:val="21"/>
                            <w:szCs w:val="21"/>
                          </w:rPr>
                          <w:t>直科技的收入确认时点是否符合企业会计准则的</w:t>
                        </w:r>
                        <w:r>
                          <w:rPr>
                            <w:rFonts w:ascii="宋体" w:hAnsi="宋体" w:cs="宋体" w:eastAsia="宋体" w:hint="default"/>
                            <w:w w:val="100"/>
                            <w:sz w:val="21"/>
                            <w:szCs w:val="21"/>
                          </w:rPr>
                          <w:t> </w:t>
                        </w:r>
                        <w:r>
                          <w:rPr>
                            <w:rFonts w:ascii="宋体" w:hAnsi="宋体" w:cs="宋体" w:eastAsia="宋体" w:hint="default"/>
                            <w:sz w:val="21"/>
                            <w:szCs w:val="21"/>
                          </w:rPr>
                          <w:t>要求；</w:t>
                        </w:r>
                      </w:p>
                      <w:p>
                        <w:pPr>
                          <w:pStyle w:val="TableParagraph"/>
                          <w:spacing w:line="259" w:lineRule="auto" w:before="134"/>
                          <w:ind w:left="443" w:right="0" w:hanging="36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对销售收入执行月度波动分析，结合行业特征识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别和调查异常波动；</w:t>
                        </w:r>
                      </w:p>
                      <w:p>
                        <w:pPr>
                          <w:pStyle w:val="TableParagraph"/>
                          <w:spacing w:line="256" w:lineRule="auto" w:before="140"/>
                          <w:ind w:left="443" w:right="-3" w:hanging="36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核对财务系统收入记录与业务系统订单信息及发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货记录的一致性，识别和调查异常业务记录；</w:t>
                        </w:r>
                      </w:p>
                      <w:p>
                        <w:pPr>
                          <w:pStyle w:val="TableParagraph"/>
                          <w:spacing w:line="264" w:lineRule="auto" w:before="142"/>
                          <w:ind w:left="443" w:right="-2" w:hanging="36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对本年记录的收入交易选取样本，核对发票、销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售合同及出库单，评价相关收入确认是否符合方</w:t>
                        </w:r>
                        <w:r>
                          <w:rPr>
                            <w:rFonts w:ascii="宋体" w:hAnsi="宋体" w:cs="宋体" w:eastAsia="宋体" w:hint="default"/>
                            <w:w w:val="100"/>
                            <w:sz w:val="21"/>
                            <w:szCs w:val="21"/>
                          </w:rPr>
                          <w:t> </w:t>
                        </w:r>
                        <w:r>
                          <w:rPr>
                            <w:rFonts w:ascii="宋体" w:hAnsi="宋体" w:cs="宋体" w:eastAsia="宋体" w:hint="default"/>
                            <w:sz w:val="21"/>
                            <w:szCs w:val="21"/>
                          </w:rPr>
                          <w:t>直科技公司收入确认的会计政策；</w:t>
                        </w:r>
                      </w:p>
                      <w:p>
                        <w:pPr>
                          <w:pStyle w:val="TableParagraph"/>
                          <w:tabs>
                            <w:tab w:pos="424" w:val="left" w:leader="none"/>
                          </w:tabs>
                          <w:spacing w:line="264" w:lineRule="auto" w:before="136"/>
                          <w:ind w:left="443" w:right="-2" w:hanging="360"/>
                          <w:jc w:val="left"/>
                          <w:rPr>
                            <w:rFonts w:ascii="宋体" w:hAnsi="宋体" w:cs="宋体" w:eastAsia="宋体" w:hint="default"/>
                            <w:sz w:val="21"/>
                            <w:szCs w:val="21"/>
                          </w:rPr>
                        </w:pPr>
                        <w:r>
                          <w:rPr>
                            <w:rFonts w:ascii="Times New Roman" w:hAnsi="Times New Roman" w:cs="Times New Roman" w:eastAsia="Times New Roman" w:hint="default"/>
                            <w:sz w:val="22"/>
                            <w:szCs w:val="22"/>
                          </w:rPr>
                          <w:t>*</w:t>
                          <w:tab/>
                        </w:r>
                        <w:r>
                          <w:rPr>
                            <w:rFonts w:ascii="宋体" w:hAnsi="宋体" w:cs="宋体" w:eastAsia="宋体" w:hint="default"/>
                            <w:spacing w:val="-5"/>
                            <w:sz w:val="21"/>
                            <w:szCs w:val="21"/>
                          </w:rPr>
                          <w:t>就资产负债表日前后记录的收入交易，选取样本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核对出库单及其他支持性文件，以评价收入是否</w:t>
                        </w:r>
                        <w:r>
                          <w:rPr>
                            <w:rFonts w:ascii="宋体" w:hAnsi="宋体" w:cs="宋体" w:eastAsia="宋体" w:hint="default"/>
                            <w:w w:val="100"/>
                            <w:sz w:val="21"/>
                            <w:szCs w:val="21"/>
                          </w:rPr>
                          <w:t> </w:t>
                        </w:r>
                        <w:r>
                          <w:rPr>
                            <w:rFonts w:ascii="宋体" w:hAnsi="宋体" w:cs="宋体" w:eastAsia="宋体" w:hint="default"/>
                            <w:sz w:val="21"/>
                            <w:szCs w:val="21"/>
                          </w:rPr>
                          <w:t>被记录于恰当的会计期间。</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7"/>
        <w:spacing w:line="335" w:lineRule="exact"/>
        <w:ind w:left="575" w:right="995"/>
        <w:jc w:val="left"/>
        <w:rPr>
          <w:b w:val="0"/>
          <w:bCs w:val="0"/>
        </w:rPr>
      </w:pPr>
      <w:r>
        <w:rPr/>
        <w:t>四、其他信息</w:t>
      </w:r>
      <w:r>
        <w:rPr>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386" w:lineRule="auto" w:before="0"/>
        <w:ind w:right="995" w:firstLine="420"/>
        <w:jc w:val="left"/>
      </w:pPr>
      <w:r>
        <w:rPr>
          <w:spacing w:val="-2"/>
        </w:rPr>
        <w:t>管理层对其他信息负责。其他信息包括方直科技公司</w:t>
      </w:r>
      <w:r>
        <w:rPr>
          <w:rFonts w:ascii="Times New Roman" w:hAnsi="Times New Roman" w:cs="Times New Roman" w:eastAsia="Times New Roman" w:hint="default"/>
          <w:spacing w:val="-2"/>
        </w:rPr>
        <w:t>2019</w:t>
      </w:r>
      <w:r>
        <w:rPr>
          <w:spacing w:val="-2"/>
        </w:rPr>
        <w:t>年年度报告中涵盖的信息，但不包括财务报</w:t>
      </w:r>
      <w:r>
        <w:rPr>
          <w:w w:val="100"/>
        </w:rPr>
        <w:t> </w:t>
      </w:r>
      <w:r>
        <w:rPr/>
        <w:t>表和我们的审计报告。</w:t>
      </w:r>
    </w:p>
    <w:p>
      <w:pPr>
        <w:pStyle w:val="BodyText"/>
        <w:spacing w:line="408" w:lineRule="auto" w:before="65"/>
        <w:ind w:left="573" w:right="995"/>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408" w:lineRule="auto"/>
        <w:ind w:left="573" w:right="995" w:hanging="420"/>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spacing w:line="487" w:lineRule="auto" w:before="46"/>
        <w:ind w:left="575" w:right="6613" w:hanging="423"/>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100"/>
          <w:sz w:val="21"/>
          <w:szCs w:val="21"/>
        </w:rPr>
        <w:t> </w:t>
      </w:r>
      <w:r>
        <w:rPr>
          <w:rFonts w:ascii="Microsoft JhengHei" w:hAnsi="Microsoft JhengHei" w:cs="Microsoft JhengHei" w:eastAsia="Microsoft JhengHei" w:hint="default"/>
          <w:b/>
          <w:bCs/>
          <w:spacing w:val="-1"/>
          <w:sz w:val="21"/>
          <w:szCs w:val="21"/>
        </w:rPr>
        <w:t>五、管理层和治理层对财务报表的责任</w:t>
      </w:r>
      <w:r>
        <w:rPr>
          <w:rFonts w:ascii="Microsoft JhengHei" w:hAnsi="Microsoft JhengHei" w:cs="Microsoft JhengHei" w:eastAsia="Microsoft JhengHei" w:hint="default"/>
          <w:spacing w:val="-1"/>
          <w:sz w:val="21"/>
          <w:szCs w:val="21"/>
        </w:rPr>
      </w:r>
    </w:p>
    <w:p>
      <w:pPr>
        <w:pStyle w:val="BodyText"/>
        <w:spacing w:line="408" w:lineRule="auto" w:before="37"/>
        <w:ind w:right="995" w:firstLine="420"/>
        <w:jc w:val="left"/>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408" w:lineRule="auto"/>
        <w:ind w:right="995" w:firstLine="420"/>
        <w:jc w:val="left"/>
      </w:pPr>
      <w:r>
        <w:rPr>
          <w:spacing w:val="-2"/>
        </w:rPr>
        <w:t>在编制财务报表时，管理层负责评估方直科技公司的持续经营能力，披露与持续经营相关的事项（如</w:t>
      </w:r>
      <w:r>
        <w:rPr>
          <w:w w:val="100"/>
        </w:rPr>
        <w:t> </w:t>
      </w:r>
      <w:r>
        <w:rPr/>
        <w:t>适用），并运用持续经营假设，除非管理层计划清算方直科技公司、终止运营或别无其他现实的选择。</w:t>
      </w:r>
    </w:p>
    <w:p>
      <w:pPr>
        <w:spacing w:after="0" w:line="408"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spacing w:line="487" w:lineRule="auto" w:before="36"/>
        <w:ind w:left="575" w:right="2653" w:hanging="3"/>
        <w:jc w:val="left"/>
        <w:rPr>
          <w:rFonts w:ascii="Microsoft JhengHei" w:hAnsi="Microsoft JhengHei" w:cs="Microsoft JhengHei" w:eastAsia="Microsoft JhengHei" w:hint="default"/>
          <w:sz w:val="21"/>
          <w:szCs w:val="21"/>
        </w:rPr>
      </w:pPr>
      <w:r>
        <w:rPr>
          <w:rFonts w:ascii="宋体" w:hAnsi="宋体" w:cs="宋体" w:eastAsia="宋体" w:hint="default"/>
          <w:spacing w:val="-2"/>
          <w:sz w:val="21"/>
          <w:szCs w:val="21"/>
        </w:rPr>
        <w:t>治理层负责监督方直科技公司的财务报告过程。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Microsoft JhengHei" w:hAnsi="Microsoft JhengHei" w:cs="Microsoft JhengHei" w:eastAsia="Microsoft JhengHei" w:hint="default"/>
          <w:b/>
          <w:bCs/>
          <w:sz w:val="21"/>
          <w:szCs w:val="21"/>
        </w:rPr>
        <w:t>六、注册会计师对财务报表审计的责任</w:t>
      </w:r>
      <w:r>
        <w:rPr>
          <w:rFonts w:ascii="Microsoft JhengHei" w:hAnsi="Microsoft JhengHei" w:cs="Microsoft JhengHei" w:eastAsia="Microsoft JhengHei" w:hint="default"/>
          <w:sz w:val="21"/>
          <w:szCs w:val="21"/>
        </w:rPr>
      </w:r>
    </w:p>
    <w:p>
      <w:pPr>
        <w:pStyle w:val="BodyText"/>
        <w:spacing w:line="408" w:lineRule="auto" w:before="37"/>
        <w:ind w:right="1126"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410" w:lineRule="auto"/>
        <w:ind w:right="1128" w:firstLine="420"/>
        <w:jc w:val="both"/>
      </w:pPr>
      <w:r>
        <w:rPr>
          <w:spacing w:val="-2"/>
        </w:rPr>
        <w:t>在按照审计准则执行审计工作的过程中，我们运用职业判断，并保持职业怀疑。同时，我们也执行以</w:t>
      </w:r>
      <w:r>
        <w:rPr>
          <w:w w:val="100"/>
        </w:rPr>
        <w:t> </w:t>
      </w:r>
      <w:r>
        <w:rPr/>
        <w:t>下工作：</w:t>
      </w:r>
    </w:p>
    <w:p>
      <w:pPr>
        <w:pStyle w:val="BodyText"/>
        <w:spacing w:line="400" w:lineRule="auto" w:before="44"/>
        <w:ind w:right="1126" w:firstLine="420"/>
        <w:jc w:val="both"/>
      </w:pP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识别和评估由于舞弊或错误导致的财务报表重大错报风险，设计和实施审计程序以应对这些风险，</w:t>
      </w:r>
      <w:r>
        <w:rPr>
          <w:w w:val="100"/>
        </w:rPr>
        <w:t> </w:t>
      </w:r>
      <w:r>
        <w:rPr>
          <w:spacing w:val="-2"/>
        </w:rPr>
        <w:t>并获取充分、适当的审计证据，作为发表审计意见的基础。由于舞弊可能涉及串通、伪造、故意遗漏、虚</w:t>
      </w:r>
      <w:r>
        <w:rPr>
          <w:spacing w:val="-45"/>
        </w:rPr>
        <w:t> </w:t>
      </w:r>
      <w:r>
        <w:rPr>
          <w:spacing w:val="-45"/>
        </w:rPr>
      </w:r>
      <w:r>
        <w:rPr>
          <w:spacing w:val="-2"/>
        </w:rPr>
        <w:t>假陈述或凌驾于内部控制之上，未能发现由于舞弊导致的重大错报的风险高于未能发现由于错误导致的重</w:t>
      </w:r>
      <w:r>
        <w:rPr>
          <w:spacing w:val="-43"/>
        </w:rPr>
        <w:t> </w:t>
      </w:r>
      <w:r>
        <w:rPr>
          <w:spacing w:val="-43"/>
        </w:rPr>
      </w:r>
      <w:r>
        <w:rPr/>
        <w:t>大错报的风险。</w:t>
      </w:r>
    </w:p>
    <w:p>
      <w:pPr>
        <w:pStyle w:val="BodyText"/>
        <w:spacing w:line="240" w:lineRule="auto" w:before="52"/>
        <w:ind w:left="573" w:right="995"/>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177"/>
        <w:ind w:left="573" w:right="995"/>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403" w:lineRule="auto" w:before="177"/>
        <w:ind w:right="1126" w:firstLine="420"/>
        <w:jc w:val="both"/>
      </w:pP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对管理层使用持续经营假设的恰当性得出结论。同时，根据获取的审计证据，就可能导致对方直科</w:t>
      </w:r>
      <w:r>
        <w:rPr>
          <w:w w:val="100"/>
        </w:rPr>
        <w:t> </w:t>
      </w:r>
      <w:r>
        <w:rPr>
          <w:spacing w:val="-2"/>
        </w:rPr>
        <w:t>技公司持续经营能力产生重大疑虑的事项或情况是否存在重大不确定性得出结论。如果我们得出结论认为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项或情况可能导致方直科技公司不能持续经营。</w:t>
      </w:r>
    </w:p>
    <w:p>
      <w:pPr>
        <w:pStyle w:val="BodyText"/>
        <w:spacing w:line="240" w:lineRule="auto" w:before="50"/>
        <w:ind w:left="573" w:right="995"/>
        <w:jc w:val="left"/>
      </w:pP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386" w:lineRule="auto" w:before="177"/>
        <w:ind w:right="1127" w:firstLine="420"/>
        <w:jc w:val="both"/>
      </w:pPr>
      <w:r>
        <w:rPr>
          <w:rFonts w:ascii="Times New Roman" w:hAnsi="Times New Roman" w:cs="Times New Roman" w:eastAsia="Times New Roman" w:hint="default"/>
          <w:spacing w:val="-1"/>
        </w:rPr>
        <w:t>6.</w:t>
      </w:r>
      <w:r>
        <w:rPr>
          <w:spacing w:val="-1"/>
        </w:rPr>
        <w:t>就方直科技公司中实体或业务活动的财务信息获取充分、适当的审计证据，以对财务报表发表审计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408" w:lineRule="auto" w:before="65"/>
        <w:ind w:right="1126"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408" w:lineRule="auto"/>
        <w:ind w:right="1126" w:firstLine="420"/>
        <w:jc w:val="both"/>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408" w:lineRule="auto"/>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left="293" w:right="0"/>
        <w:jc w:val="left"/>
      </w:pPr>
      <w:r>
        <w:rPr/>
        <w:t>告中沟通该事项。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4303"/>
        <w:gridCol w:w="4909"/>
      </w:tblGrid>
      <w:tr>
        <w:trPr>
          <w:trHeight w:val="449"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信永中和会计师事务所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c>
          <w:tcPr>
            <w:tcW w:w="4909" w:type="dxa"/>
            <w:tcBorders>
              <w:top w:val="nil" w:sz="6" w:space="0" w:color="auto"/>
              <w:left w:val="nil" w:sz="6" w:space="0" w:color="auto"/>
              <w:bottom w:val="nil" w:sz="6" w:space="0" w:color="auto"/>
              <w:right w:val="nil" w:sz="6" w:space="0" w:color="auto"/>
            </w:tcBorders>
          </w:tcPr>
          <w:p>
            <w:pPr>
              <w:pStyle w:val="TableParagraph"/>
              <w:tabs>
                <w:tab w:pos="3167" w:val="left" w:leader="none"/>
              </w:tabs>
              <w:spacing w:line="221" w:lineRule="exact"/>
              <w:ind w:left="433" w:right="0"/>
              <w:jc w:val="left"/>
              <w:rPr>
                <w:rFonts w:ascii="宋体" w:hAnsi="宋体" w:cs="宋体" w:eastAsia="宋体" w:hint="default"/>
                <w:sz w:val="22"/>
                <w:szCs w:val="22"/>
              </w:rPr>
            </w:pPr>
            <w:r>
              <w:rPr>
                <w:rFonts w:ascii="宋体" w:hAnsi="宋体" w:cs="宋体" w:eastAsia="宋体" w:hint="default"/>
                <w:spacing w:val="-1"/>
                <w:sz w:val="22"/>
                <w:szCs w:val="22"/>
              </w:rPr>
              <w:t>中国注册会计师：</w:t>
              <w:tab/>
              <w:t>（项目合伙人）</w:t>
            </w:r>
          </w:p>
        </w:tc>
      </w:tr>
      <w:tr>
        <w:trPr>
          <w:trHeight w:val="658" w:hRule="exact"/>
        </w:trPr>
        <w:tc>
          <w:tcPr>
            <w:tcW w:w="4303" w:type="dxa"/>
            <w:tcBorders>
              <w:top w:val="nil" w:sz="6" w:space="0" w:color="auto"/>
              <w:left w:val="nil" w:sz="6" w:space="0" w:color="auto"/>
              <w:bottom w:val="nil" w:sz="6" w:space="0" w:color="auto"/>
              <w:right w:val="nil" w:sz="6" w:space="0" w:color="auto"/>
            </w:tcBorders>
          </w:tcPr>
          <w:p>
            <w:pPr/>
          </w:p>
        </w:tc>
        <w:tc>
          <w:tcPr>
            <w:tcW w:w="4909"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433" w:right="0"/>
              <w:jc w:val="left"/>
              <w:rPr>
                <w:rFonts w:ascii="宋体" w:hAnsi="宋体" w:cs="宋体" w:eastAsia="宋体" w:hint="default"/>
                <w:sz w:val="22"/>
                <w:szCs w:val="22"/>
              </w:rPr>
            </w:pPr>
            <w:r>
              <w:rPr>
                <w:rFonts w:ascii="宋体" w:hAnsi="宋体" w:cs="宋体" w:eastAsia="宋体" w:hint="default"/>
                <w:sz w:val="22"/>
                <w:szCs w:val="22"/>
              </w:rPr>
              <w:t>中国注册会计师：</w:t>
            </w:r>
          </w:p>
        </w:tc>
      </w:tr>
      <w:tr>
        <w:trPr>
          <w:trHeight w:val="454" w:hRule="exact"/>
        </w:trPr>
        <w:tc>
          <w:tcPr>
            <w:tcW w:w="4303" w:type="dxa"/>
            <w:tcBorders>
              <w:top w:val="nil" w:sz="6" w:space="0" w:color="auto"/>
              <w:left w:val="nil" w:sz="6" w:space="0" w:color="auto"/>
              <w:bottom w:val="nil" w:sz="6" w:space="0" w:color="auto"/>
              <w:right w:val="nil" w:sz="6" w:space="0" w:color="auto"/>
            </w:tcBorders>
          </w:tcPr>
          <w:p>
            <w:pPr>
              <w:pStyle w:val="TableParagraph"/>
              <w:tabs>
                <w:tab w:pos="950" w:val="left" w:leader="none"/>
              </w:tabs>
              <w:spacing w:line="240" w:lineRule="auto" w:before="153"/>
              <w:ind w:left="110" w:right="0"/>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4909"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33" w:right="0"/>
              <w:jc w:val="left"/>
              <w:rPr>
                <w:rFonts w:ascii="宋体" w:hAnsi="宋体" w:cs="宋体" w:eastAsia="宋体" w:hint="default"/>
                <w:sz w:val="22"/>
                <w:szCs w:val="22"/>
              </w:rPr>
            </w:pP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年四月三日</w:t>
            </w:r>
          </w:p>
        </w:tc>
      </w:tr>
    </w:tbl>
    <w:p>
      <w:pPr>
        <w:spacing w:after="0" w:line="240" w:lineRule="auto"/>
        <w:jc w:val="left"/>
        <w:rPr>
          <w:rFonts w:ascii="宋体" w:hAnsi="宋体" w:cs="宋体" w:eastAsia="宋体" w:hint="default"/>
          <w:sz w:val="22"/>
          <w:szCs w:val="22"/>
        </w:rPr>
        <w:sectPr>
          <w:pgSz w:w="11910" w:h="16840"/>
          <w:pgMar w:header="880" w:footer="979" w:top="1100" w:bottom="1160" w:left="840" w:right="0"/>
        </w:sectPr>
      </w:pPr>
    </w:p>
    <w:p>
      <w:pPr>
        <w:spacing w:line="240" w:lineRule="auto" w:before="12"/>
        <w:rPr>
          <w:rFonts w:ascii="宋体" w:hAnsi="宋体" w:cs="宋体" w:eastAsia="宋体" w:hint="default"/>
          <w:sz w:val="19"/>
          <w:szCs w:val="19"/>
        </w:rPr>
      </w:pPr>
    </w:p>
    <w:p>
      <w:pPr>
        <w:pStyle w:val="Heading3"/>
        <w:spacing w:line="367" w:lineRule="exact"/>
        <w:ind w:right="995"/>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12"/>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80" w:footer="979" w:top="110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编制单位：深圳市方直科技股份有限公司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394" w:space="634"/>
            <w:col w:w="1642" w:space="3152"/>
            <w:col w:w="2108"/>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313,625,415.81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241,150,175.57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21,942,273.76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36,573,625.49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11,536,561.00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683,015.75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2,584,800.52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26,587,405.60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6,052,467.27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8,003,640.61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2,639,139.05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131,317,855.84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458,380,657.41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444,315,718.86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105,600,569.41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80,439,031.58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89,554,843.04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94,836,680.01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2,321,512.53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3,521,511.95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124,640.72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125,450.19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13,930.87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1,027,694.65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197,615,496.57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179,950,368.38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655,996,153.98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624,266,087.24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9,491,477.46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15,925,517.83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2,563,745.62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1,165,160.98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5,335,325.80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4,055,775.08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126,423.09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168,826.13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6,319,490.50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6,021,385.77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28,836,462.47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27,336,665.79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429,042.78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1,782,560.20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50,929.18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481,866.85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479,971.96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2,264,427.05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29,316,434.43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29,601,092.84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167,831,090.00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167,831,090.00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281,747,580.52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281,747,580.52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23,509,148.87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20,141,720.27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153,518,350.82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124,698,323.79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626,606,170.21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594,418,714.58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73,549.34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246,279.82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626,679,719.55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594,664,994.40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655,996,153.98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624,266,087.24</w:t>
            </w:r>
          </w:p>
        </w:tc>
      </w:tr>
    </w:tbl>
    <w:p>
      <w:pPr>
        <w:spacing w:line="240" w:lineRule="auto" w:before="2"/>
        <w:rPr>
          <w:rFonts w:ascii="Times New Roman" w:hAnsi="Times New Roman" w:cs="Times New Roman" w:eastAsia="Times New Roman" w:hint="default"/>
          <w:sz w:val="23"/>
          <w:szCs w:val="23"/>
        </w:rPr>
      </w:pPr>
    </w:p>
    <w:p>
      <w:pPr>
        <w:tabs>
          <w:tab w:pos="3578" w:val="left" w:leader="none"/>
          <w:tab w:pos="7721" w:val="left" w:leader="none"/>
        </w:tabs>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法定代表人：黄元忠</w:t>
        <w:tab/>
      </w:r>
      <w:r>
        <w:rPr>
          <w:rFonts w:ascii="宋体" w:hAnsi="宋体" w:cs="宋体" w:eastAsia="宋体" w:hint="default"/>
          <w:spacing w:val="-1"/>
          <w:sz w:val="18"/>
          <w:szCs w:val="18"/>
        </w:rPr>
        <w:t>主管会计工作负责人：贺林英</w:t>
        <w:tab/>
        <w:t>会计机构负责人：廖晓莉</w:t>
      </w:r>
    </w:p>
    <w:p>
      <w:pPr>
        <w:spacing w:line="240" w:lineRule="auto" w:before="12"/>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309,274,125.55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237,728,863.75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21,942,273.76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36,573,625.49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4,051,087.62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677,744.17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12,530,897.28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26,584,427.30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31"/>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1"/>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6,042,113.43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7,957,775.90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1,639,691.89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131,273,247.25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455,480,189.53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440,795,683.86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108,600,569.41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83,439,031.58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89,509,160.35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94,769,536.05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1,921,512.53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2,971,511.95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124,640.72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125,450.19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784,066.50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200,155,883.01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182,089,596.27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655,636,072.54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622,885,280.13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10,174,393.66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15,925,135.83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1,507,339.99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1,130,103.11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5,183,325.00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4,017,300.00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124,272.85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167,163.63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6,096,529.47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5,985,196.91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28,085,860.97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27,224,899.48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429,042.78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1,782,560.20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50,929.18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481,866.85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479,971.96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2,264,427.05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28,565,832.93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29,489,326.53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167,831,090.00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167,831,090.00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281,747,580.52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281,747,580.52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23,509,148.87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20,141,720.27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153,982,420.22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123,675,562.81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627,070,239.61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593,395,953.60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655,636,072.54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622,885,280.13</w:t>
            </w:r>
          </w:p>
        </w:tc>
      </w:tr>
    </w:tbl>
    <w:p>
      <w:pPr>
        <w:spacing w:line="240" w:lineRule="auto" w:before="1"/>
        <w:rPr>
          <w:rFonts w:ascii="Times New Roman" w:hAnsi="Times New Roman" w:cs="Times New Roman" w:eastAsia="Times New Roman" w:hint="default"/>
          <w:sz w:val="22"/>
          <w:szCs w:val="22"/>
        </w:rPr>
      </w:pPr>
    </w:p>
    <w:p>
      <w:pPr>
        <w:pStyle w:val="Heading7"/>
        <w:spacing w:line="335" w:lineRule="exact"/>
        <w:ind w:right="995"/>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109,014,398.01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107,245,103.63</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109,014,398.01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107,245,103.63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84,747,856.19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105,045,490.34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36,585,007.75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40,850,440.88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1,111,461.87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1,154,661.91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20,670,051.51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28,785,837.20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14,702,702.54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14,967,095.75</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24,646,512.29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29,817,734.94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-12,967,879.77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-10,530,280.34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4"/>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13,081,567.68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10,550,067.14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5,292,070.99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9,006,391.26</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4,477,107.57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5,883,209.50</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-838,463.17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154,257.44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177.889999pt;margin-top:367.129974pt;width:193.1pt;height:19.6pt;mso-position-horizontal-relative:page;mso-position-vertical-relative:page;z-index:-8633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1.009995pt;margin-top:108.259979pt;width:160pt;height:19.6pt;mso-position-horizontal-relative:page;mso-position-vertical-relative:page;z-index:-863368" coordorigin="4220,2165" coordsize="3200,392">
            <v:group style="position:absolute;left:7398;top:2165;width:22;height:392" coordorigin="7398,2165" coordsize="22,392">
              <v:shape style="position:absolute;left:7398;top:2165;width:22;height:392" coordorigin="7398,2165" coordsize="22,392" path="m7398,2556l7420,2556,7420,2165,7398,2165,7398,2556xe" filled="true" fillcolor="#ffffff" stroked="false">
                <v:path arrowok="t"/>
                <v:fill type="solid"/>
              </v:shape>
            </v:group>
            <v:group style="position:absolute;left:4220;top:2165;width:22;height:392" coordorigin="4220,2165" coordsize="22,392">
              <v:shape style="position:absolute;left:4220;top:2165;width:22;height:392" coordorigin="4220,2165" coordsize="22,392" path="m4220,2556l4242,2556,4242,2165,4220,2165,4220,2556xe" filled="true" fillcolor="#ffffff" stroked="false">
                <v:path arrowok="t"/>
                <v:fill type="solid"/>
              </v:shape>
            </v:group>
            <v:group style="position:absolute;left:4242;top:2165;width:3157;height:392" coordorigin="4242,2165" coordsize="3157,392">
              <v:shape style="position:absolute;left:4242;top:2165;width:3157;height:392" coordorigin="4242,2165" coordsize="3157,392" path="m4242,2556l7398,2556,7398,2165,4242,2165,4242,255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080"/>
        <w:gridCol w:w="1107"/>
        <w:gridCol w:w="2105"/>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64" w:firstLine="1079"/>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1" w:firstLine="720"/>
              <w:jc w:val="left"/>
              <w:rPr>
                <w:rFonts w:ascii="宋体" w:hAnsi="宋体" w:cs="宋体" w:eastAsia="宋体"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2,876,632.06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-1,097,221.12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-3,144,320.12</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35,815,131.32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13,944,893.93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830,223.56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1,529,232.68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423,288.17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57,131.48</w:t>
            </w:r>
          </w:p>
        </w:tc>
      </w:tr>
      <w:tr>
        <w:trPr>
          <w:trHeight w:val="401"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7"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36,222,066.71</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15,416,995.13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4,207,341.56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3,306,905.91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32,014,725.15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12,110,089.22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32,014,725.15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12,110,089.22</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32,187,455.63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12,316,056.55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-172,730.48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-205,967.33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firstLine="34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firstLine="34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32,014,725.15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12,110,089.22</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32,187,455.63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12,316,056.55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-172,730.48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-205,967.33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0.07</w:t>
            </w:r>
          </w:p>
        </w:tc>
      </w:tr>
    </w:tbl>
    <w:p>
      <w:pPr>
        <w:tabs>
          <w:tab w:pos="3578" w:val="left" w:leader="none"/>
          <w:tab w:pos="7721" w:val="left" w:leader="none"/>
        </w:tabs>
        <w:spacing w:line="624" w:lineRule="auto" w:before="49"/>
        <w:ind w:left="153" w:right="1224"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法定代表人：黄元忠</w:t>
        <w:tab/>
      </w:r>
      <w:r>
        <w:rPr>
          <w:rFonts w:ascii="宋体" w:hAnsi="宋体" w:cs="宋体" w:eastAsia="宋体" w:hint="default"/>
          <w:spacing w:val="-1"/>
          <w:sz w:val="18"/>
          <w:szCs w:val="18"/>
        </w:rPr>
        <w:t>主管会计工作负责人：贺林英</w:t>
        <w:tab/>
        <w:t>会计机构负责人：廖晓莉</w:t>
      </w:r>
    </w:p>
    <w:p>
      <w:pPr>
        <w:pStyle w:val="Heading7"/>
        <w:spacing w:line="240" w:lineRule="auto" w:before="1"/>
        <w:ind w:right="995"/>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108,584,927.22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107,093,148.49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36,529,927.39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40,824,964.30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1,107,756.42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1,154,399.86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20,120,991.87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28,432,495.30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13,907,914.95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14,129,491.34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24,204,103.74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29,817,734.94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-12,946,384.19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-10,507,531.48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13,058,243.05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10,525,394.47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5,287,094.85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9,002,986.09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4,477,107.57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5,883,209.50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-838,463.17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154,257.44</w:t>
            </w:r>
          </w:p>
        </w:tc>
      </w:tr>
      <w:tr>
        <w:trPr>
          <w:trHeight w:val="102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51" w:firstLine="1079"/>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2,877,267.46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-1,097,221.12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-3,067,864.21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37,204,865.80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15,059,925.61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830,223.56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1,527,502.01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383,159.07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57,081.48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37,651,930.29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16,530,346.14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3,977,644.28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3,306,909.66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33,674,286.01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13,223,436.48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33,674,286.01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13,223,436.48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33,674,286.01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13,223,436.48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3"/>
          <w:szCs w:val="23"/>
        </w:rPr>
      </w:pPr>
    </w:p>
    <w:p>
      <w:pPr>
        <w:pStyle w:val="Heading7"/>
        <w:spacing w:line="335" w:lineRule="exact"/>
        <w:ind w:right="995"/>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136,933,618.86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117,751,602.57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3,056,252.33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2,929,011.54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18,052,823.22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12,162,162.55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158,042,694.41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132,842,776.66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42,327,322.74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39,760,403.70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36,673,213.82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42,304,339.90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13,291,534.52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12,187,331.32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41,466,237.85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25,985,201.96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133,758,308.93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120,237,276.88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24,284,385.48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12,605,499.78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542,707,356.60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618,094,438.50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11,960,017.00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11,430,020.11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5,020.26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554,672,393.86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629,524,458.61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386,538.10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2,455,941.90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511,000,001.00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565,000,000.00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511,386,539.10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567,455,941.90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43,285,854.76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62,068,516.71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72,475,240.24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74,674,016.49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241,150,175.57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166,476,159.08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313,625,415.81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241,150,175.57</w:t>
            </w:r>
          </w:p>
        </w:tc>
      </w:tr>
    </w:tbl>
    <w:p>
      <w:pPr>
        <w:spacing w:line="240" w:lineRule="auto" w:before="1"/>
        <w:rPr>
          <w:rFonts w:ascii="Times New Roman" w:hAnsi="Times New Roman" w:cs="Times New Roman" w:eastAsia="Times New Roman" w:hint="default"/>
          <w:sz w:val="22"/>
          <w:szCs w:val="22"/>
        </w:rPr>
      </w:pPr>
    </w:p>
    <w:p>
      <w:pPr>
        <w:pStyle w:val="Heading7"/>
        <w:spacing w:line="335" w:lineRule="exact"/>
        <w:ind w:right="995"/>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136,362,446.30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117,236,261.23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3,056,252.33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2,929,011.54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15,724,959.21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11,667,015.04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155,143,657.84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131,832,287.81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42,330,932.74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39,744,524.70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35,583,223.30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41,533,028.01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13,286,009.90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12,184,461.21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40,589,034.86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25,724,369.35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131,789,200.80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119,186,383.27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23,354,457.04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12,645,904.54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542,707,356.60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618,094,438.50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11,960,017.00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11,430,020.11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4,970.26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554,672,343.86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629,524,458.61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386,538.10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2,455,941.90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511,000,001.00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511,386,539.10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568,455,941.90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43,285,804.76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61,068,516.71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71,545,261.80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73,714,421.25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237,728,863.75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164,014,442.50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309,274,125.55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237,728,863.75</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100" w:bottom="1160" w:left="980" w:right="0"/>
        </w:sectPr>
      </w:pPr>
    </w:p>
    <w:p>
      <w:pPr>
        <w:pStyle w:val="Heading7"/>
        <w:spacing w:line="352" w:lineRule="exact"/>
        <w:ind w:left="140" w:right="10678"/>
        <w:jc w:val="left"/>
        <w:rPr>
          <w:b w:val="0"/>
          <w:bCs w:val="0"/>
        </w:rPr>
      </w:pPr>
      <w:r>
        <w:rPr/>
        <w:pict>
          <v:group style="position:absolute;margin-left:70.559998pt;margin-top:2.102063pt;width:700.9pt;height:.1pt;mso-position-horizontal-relative:page;mso-position-vertical-relative:paragraph;z-index:-863344" coordorigin="1411,42" coordsize="14018,2">
            <v:shape style="position:absolute;left:1411;top:42;width:14018;height:2" coordorigin="1411,42" coordsize="14018,0" path="m1411,42l15429,42e" filled="false" stroked="true" strokeweight=".72pt" strokecolor="#000000">
              <v:path arrowok="t"/>
            </v:shape>
            <w10:wrap type="none"/>
          </v:group>
        </w:pict>
      </w: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10678"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78"/>
        <w:gridCol w:w="1181"/>
        <w:gridCol w:w="398"/>
        <w:gridCol w:w="399"/>
        <w:gridCol w:w="319"/>
        <w:gridCol w:w="1181"/>
        <w:gridCol w:w="660"/>
        <w:gridCol w:w="646"/>
        <w:gridCol w:w="480"/>
        <w:gridCol w:w="1092"/>
        <w:gridCol w:w="646"/>
        <w:gridCol w:w="1181"/>
        <w:gridCol w:w="317"/>
        <w:gridCol w:w="1371"/>
        <w:gridCol w:w="926"/>
        <w:gridCol w:w="1243"/>
      </w:tblGrid>
      <w:tr>
        <w:trPr>
          <w:trHeight w:val="402" w:hRule="exact"/>
        </w:trPr>
        <w:tc>
          <w:tcPr>
            <w:tcW w:w="19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4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978" w:type="dxa"/>
            <w:vMerge/>
            <w:tcBorders>
              <w:left w:val="single" w:sz="4" w:space="0" w:color="000000"/>
              <w:right w:val="single" w:sz="4" w:space="0" w:color="000000"/>
            </w:tcBorders>
            <w:shd w:val="clear" w:color="auto" w:fill="D2D2D2"/>
          </w:tcPr>
          <w:p>
            <w:pPr/>
          </w:p>
        </w:tc>
        <w:tc>
          <w:tcPr>
            <w:tcW w:w="987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278" w:right="96"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525" w:right="74"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715" w:hRule="exact"/>
        </w:trPr>
        <w:tc>
          <w:tcPr>
            <w:tcW w:w="1978"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1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460" w:right="104"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43"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47" w:right="4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55" w:right="5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48" w:right="4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62" w:right="62"/>
              <w:jc w:val="left"/>
              <w:rPr>
                <w:rFonts w:ascii="宋体" w:hAnsi="宋体" w:cs="宋体" w:eastAsia="宋体" w:hint="default"/>
                <w:sz w:val="18"/>
                <w:szCs w:val="18"/>
              </w:rPr>
            </w:pPr>
            <w:r>
              <w:rPr>
                <w:rFonts w:ascii="宋体" w:hAnsi="宋体" w:cs="宋体" w:eastAsia="宋体" w:hint="default"/>
                <w:sz w:val="18"/>
                <w:szCs w:val="18"/>
              </w:rPr>
              <w:t>其 他</w:t>
            </w:r>
          </w:p>
        </w:tc>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926" w:type="dxa"/>
            <w:vMerge/>
            <w:tcBorders>
              <w:left w:val="single" w:sz="4" w:space="0" w:color="000000"/>
              <w:right w:val="single" w:sz="4" w:space="0" w:color="000000"/>
            </w:tcBorders>
            <w:shd w:val="clear" w:color="auto" w:fill="D2D2D2"/>
          </w:tcPr>
          <w:p>
            <w:pPr/>
          </w:p>
        </w:tc>
        <w:tc>
          <w:tcPr>
            <w:tcW w:w="1243" w:type="dxa"/>
            <w:vMerge/>
            <w:tcBorders>
              <w:left w:val="single" w:sz="4" w:space="0" w:color="000000"/>
              <w:right w:val="single" w:sz="4" w:space="0" w:color="000000"/>
            </w:tcBorders>
            <w:shd w:val="clear" w:color="auto" w:fill="D2D2D2"/>
          </w:tcPr>
          <w:p>
            <w:pPr/>
          </w:p>
        </w:tc>
      </w:tr>
      <w:tr>
        <w:trPr>
          <w:trHeight w:val="1025" w:hRule="exact"/>
        </w:trPr>
        <w:tc>
          <w:tcPr>
            <w:tcW w:w="1978"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2"/>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480"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317" w:type="dxa"/>
            <w:vMerge/>
            <w:tcBorders>
              <w:left w:val="single" w:sz="4" w:space="0" w:color="000000"/>
              <w:bottom w:val="single" w:sz="4" w:space="0" w:color="000000"/>
              <w:right w:val="single" w:sz="4" w:space="0" w:color="000000"/>
            </w:tcBorders>
            <w:shd w:val="clear" w:color="auto" w:fill="D2D2D2"/>
          </w:tcPr>
          <w:p>
            <w:pPr/>
          </w:p>
        </w:tc>
        <w:tc>
          <w:tcPr>
            <w:tcW w:w="1371"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24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167,831,090.00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281,747,580.52</w:t>
            </w: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20,141,720.27</w:t>
            </w: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124,698,323.79</w:t>
            </w: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594,418,714.58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246,279.82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594,664,994.40</w:t>
            </w:r>
          </w:p>
        </w:tc>
      </w:tr>
      <w:tr>
        <w:trPr>
          <w:trHeight w:val="401"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167,831,090.00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281,747,580.52</w:t>
            </w: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20,141,720.27</w:t>
            </w: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124,698,323.79</w:t>
            </w: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594,418,714.58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246,279.82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594,664,994.40</w:t>
            </w:r>
          </w:p>
        </w:tc>
      </w:tr>
      <w:tr>
        <w:trPr>
          <w:trHeight w:val="716"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3,367,428.60</w:t>
            </w: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28,820,027.03</w:t>
            </w: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32,187,455.63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-172,730.48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32,014,725.15</w:t>
            </w:r>
          </w:p>
        </w:tc>
      </w:tr>
      <w:tr>
        <w:trPr>
          <w:trHeight w:val="401"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32,187,455.63</w:t>
            </w: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32,187,455.63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-172,730.48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32,014,725.15</w:t>
            </w:r>
          </w:p>
        </w:tc>
      </w:tr>
      <w:tr>
        <w:trPr>
          <w:trHeight w:val="715"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3" w:right="22"/>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2"/>
          <w:footerReference w:type="default" r:id="rId43"/>
          <w:pgSz w:w="16840" w:h="11910" w:orient="landscape"/>
          <w:pgMar w:header="870" w:footer="979" w:top="1060" w:bottom="1160" w:left="1300" w:right="1280"/>
          <w:pgNumType w:start="92"/>
        </w:sectPr>
      </w:pPr>
    </w:p>
    <w:p>
      <w:pPr>
        <w:spacing w:line="240" w:lineRule="auto" w:before="0"/>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78"/>
        <w:gridCol w:w="1181"/>
        <w:gridCol w:w="398"/>
        <w:gridCol w:w="399"/>
        <w:gridCol w:w="319"/>
        <w:gridCol w:w="1181"/>
        <w:gridCol w:w="660"/>
        <w:gridCol w:w="646"/>
        <w:gridCol w:w="480"/>
        <w:gridCol w:w="1092"/>
        <w:gridCol w:w="646"/>
        <w:gridCol w:w="1181"/>
        <w:gridCol w:w="317"/>
        <w:gridCol w:w="1371"/>
        <w:gridCol w:w="926"/>
        <w:gridCol w:w="1243"/>
      </w:tblGrid>
      <w:tr>
        <w:trPr>
          <w:trHeight w:val="730" w:hRule="exact"/>
        </w:trPr>
        <w:tc>
          <w:tcPr>
            <w:tcW w:w="19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398" w:type="dxa"/>
            <w:tcBorders>
              <w:top w:val="single" w:sz="15" w:space="0" w:color="000000"/>
              <w:left w:val="single" w:sz="4" w:space="0" w:color="000000"/>
              <w:bottom w:val="single" w:sz="4" w:space="0" w:color="000000"/>
              <w:right w:val="single" w:sz="4" w:space="0" w:color="000000"/>
            </w:tcBorders>
          </w:tcPr>
          <w:p>
            <w:pPr/>
          </w:p>
        </w:tc>
        <w:tc>
          <w:tcPr>
            <w:tcW w:w="399" w:type="dxa"/>
            <w:tcBorders>
              <w:top w:val="single" w:sz="15" w:space="0" w:color="000000"/>
              <w:left w:val="single" w:sz="4" w:space="0" w:color="000000"/>
              <w:bottom w:val="single" w:sz="4" w:space="0" w:color="000000"/>
              <w:right w:val="single" w:sz="4" w:space="0" w:color="000000"/>
            </w:tcBorders>
          </w:tcPr>
          <w:p>
            <w:pPr/>
          </w:p>
        </w:tc>
        <w:tc>
          <w:tcPr>
            <w:tcW w:w="319"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660" w:type="dxa"/>
            <w:tcBorders>
              <w:top w:val="single" w:sz="15" w:space="0" w:color="000000"/>
              <w:left w:val="single" w:sz="4" w:space="0" w:color="000000"/>
              <w:bottom w:val="single" w:sz="4" w:space="0" w:color="000000"/>
              <w:right w:val="single" w:sz="4" w:space="0" w:color="000000"/>
            </w:tcBorders>
          </w:tcPr>
          <w:p>
            <w:pPr/>
          </w:p>
        </w:tc>
        <w:tc>
          <w:tcPr>
            <w:tcW w:w="646" w:type="dxa"/>
            <w:tcBorders>
              <w:top w:val="single" w:sz="15" w:space="0" w:color="000000"/>
              <w:left w:val="single" w:sz="4" w:space="0" w:color="000000"/>
              <w:bottom w:val="single" w:sz="4" w:space="0" w:color="000000"/>
              <w:right w:val="single" w:sz="4" w:space="0" w:color="000000"/>
            </w:tcBorders>
          </w:tcPr>
          <w:p>
            <w:pPr/>
          </w:p>
        </w:tc>
        <w:tc>
          <w:tcPr>
            <w:tcW w:w="480"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64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317" w:type="dxa"/>
            <w:tcBorders>
              <w:top w:val="single" w:sz="15" w:space="0" w:color="000000"/>
              <w:left w:val="single" w:sz="4" w:space="0" w:color="000000"/>
              <w:bottom w:val="single" w:sz="4" w:space="0" w:color="000000"/>
              <w:right w:val="single" w:sz="4" w:space="0" w:color="000000"/>
            </w:tcBorders>
          </w:tcPr>
          <w:p>
            <w:pPr/>
          </w:p>
        </w:tc>
        <w:tc>
          <w:tcPr>
            <w:tcW w:w="1371" w:type="dxa"/>
            <w:tcBorders>
              <w:top w:val="single" w:sz="15" w:space="0" w:color="000000"/>
              <w:left w:val="single" w:sz="4" w:space="0" w:color="000000"/>
              <w:bottom w:val="single" w:sz="4" w:space="0" w:color="000000"/>
              <w:right w:val="single" w:sz="4" w:space="0" w:color="000000"/>
            </w:tcBorders>
          </w:tcPr>
          <w:p>
            <w:pPr/>
          </w:p>
        </w:tc>
        <w:tc>
          <w:tcPr>
            <w:tcW w:w="926" w:type="dxa"/>
            <w:tcBorders>
              <w:top w:val="single" w:sz="15" w:space="0" w:color="000000"/>
              <w:left w:val="single" w:sz="4" w:space="0" w:color="000000"/>
              <w:bottom w:val="single" w:sz="4" w:space="0" w:color="000000"/>
              <w:right w:val="single" w:sz="4" w:space="0" w:color="000000"/>
            </w:tcBorders>
          </w:tcPr>
          <w:p>
            <w:pPr/>
          </w:p>
        </w:tc>
        <w:tc>
          <w:tcPr>
            <w:tcW w:w="1243"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3,367,428.60</w:t>
            </w: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-3,367,428.60</w:t>
            </w: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3,367,428.60</w:t>
            </w: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-3,367,428.60</w:t>
            </w: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3"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．资本公积转增资本（或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．盈余公积转增资本（或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 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9" w:top="1060" w:bottom="1160" w:left="1300" w:right="1280"/>
        </w:sectPr>
      </w:pPr>
    </w:p>
    <w:p>
      <w:pPr>
        <w:spacing w:line="240" w:lineRule="auto" w:before="0"/>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78"/>
        <w:gridCol w:w="1181"/>
        <w:gridCol w:w="398"/>
        <w:gridCol w:w="399"/>
        <w:gridCol w:w="319"/>
        <w:gridCol w:w="1181"/>
        <w:gridCol w:w="660"/>
        <w:gridCol w:w="646"/>
        <w:gridCol w:w="480"/>
        <w:gridCol w:w="1092"/>
        <w:gridCol w:w="646"/>
        <w:gridCol w:w="1181"/>
        <w:gridCol w:w="317"/>
        <w:gridCol w:w="1371"/>
        <w:gridCol w:w="926"/>
        <w:gridCol w:w="1243"/>
      </w:tblGrid>
      <w:tr>
        <w:trPr>
          <w:trHeight w:val="418" w:hRule="exact"/>
        </w:trPr>
        <w:tc>
          <w:tcPr>
            <w:tcW w:w="19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167,831,090.00</w:t>
            </w:r>
          </w:p>
        </w:tc>
        <w:tc>
          <w:tcPr>
            <w:tcW w:w="398" w:type="dxa"/>
            <w:tcBorders>
              <w:top w:val="single" w:sz="15" w:space="0" w:color="000000"/>
              <w:left w:val="single" w:sz="4" w:space="0" w:color="000000"/>
              <w:bottom w:val="single" w:sz="4" w:space="0" w:color="000000"/>
              <w:right w:val="single" w:sz="4" w:space="0" w:color="000000"/>
            </w:tcBorders>
          </w:tcPr>
          <w:p>
            <w:pPr/>
          </w:p>
        </w:tc>
        <w:tc>
          <w:tcPr>
            <w:tcW w:w="399" w:type="dxa"/>
            <w:tcBorders>
              <w:top w:val="single" w:sz="15" w:space="0" w:color="000000"/>
              <w:left w:val="single" w:sz="4" w:space="0" w:color="000000"/>
              <w:bottom w:val="single" w:sz="4" w:space="0" w:color="000000"/>
              <w:right w:val="single" w:sz="4" w:space="0" w:color="000000"/>
            </w:tcBorders>
          </w:tcPr>
          <w:p>
            <w:pPr/>
          </w:p>
        </w:tc>
        <w:tc>
          <w:tcPr>
            <w:tcW w:w="319"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281,747,580.52</w:t>
            </w:r>
          </w:p>
        </w:tc>
        <w:tc>
          <w:tcPr>
            <w:tcW w:w="660" w:type="dxa"/>
            <w:tcBorders>
              <w:top w:val="single" w:sz="15" w:space="0" w:color="000000"/>
              <w:left w:val="single" w:sz="4" w:space="0" w:color="000000"/>
              <w:bottom w:val="single" w:sz="4" w:space="0" w:color="000000"/>
              <w:right w:val="single" w:sz="4" w:space="0" w:color="000000"/>
            </w:tcBorders>
          </w:tcPr>
          <w:p>
            <w:pPr/>
          </w:p>
        </w:tc>
        <w:tc>
          <w:tcPr>
            <w:tcW w:w="646" w:type="dxa"/>
            <w:tcBorders>
              <w:top w:val="single" w:sz="15" w:space="0" w:color="000000"/>
              <w:left w:val="single" w:sz="4" w:space="0" w:color="000000"/>
              <w:bottom w:val="single" w:sz="4" w:space="0" w:color="000000"/>
              <w:right w:val="single" w:sz="4" w:space="0" w:color="000000"/>
            </w:tcBorders>
          </w:tcPr>
          <w:p>
            <w:pPr/>
          </w:p>
        </w:tc>
        <w:tc>
          <w:tcPr>
            <w:tcW w:w="480"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23,509,148.87</w:t>
            </w:r>
          </w:p>
        </w:tc>
        <w:tc>
          <w:tcPr>
            <w:tcW w:w="64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153,518,350.82</w:t>
            </w:r>
          </w:p>
        </w:tc>
        <w:tc>
          <w:tcPr>
            <w:tcW w:w="317" w:type="dxa"/>
            <w:tcBorders>
              <w:top w:val="single" w:sz="15" w:space="0" w:color="000000"/>
              <w:left w:val="single" w:sz="4" w:space="0" w:color="000000"/>
              <w:bottom w:val="single" w:sz="4" w:space="0" w:color="000000"/>
              <w:right w:val="single" w:sz="4" w:space="0" w:color="000000"/>
            </w:tcBorders>
          </w:tcPr>
          <w:p>
            <w:pPr/>
          </w:p>
        </w:tc>
        <w:tc>
          <w:tcPr>
            <w:tcW w:w="137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626,606,170.21</w:t>
            </w:r>
          </w:p>
        </w:tc>
        <w:tc>
          <w:tcPr>
            <w:tcW w:w="9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175" w:right="0"/>
              <w:jc w:val="left"/>
              <w:rPr>
                <w:rFonts w:ascii="Times New Roman" w:hAnsi="Times New Roman" w:cs="Times New Roman" w:eastAsia="Times New Roman" w:hint="default"/>
                <w:sz w:val="18"/>
                <w:szCs w:val="18"/>
              </w:rPr>
            </w:pPr>
            <w:r>
              <w:rPr>
                <w:rFonts w:ascii="Times New Roman"/>
                <w:sz w:val="18"/>
              </w:rPr>
              <w:t>73,549.34</w:t>
            </w:r>
          </w:p>
        </w:tc>
        <w:tc>
          <w:tcPr>
            <w:tcW w:w="12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626,679,719.55</w:t>
            </w:r>
          </w:p>
        </w:tc>
      </w:tr>
    </w:tbl>
    <w:p>
      <w:pPr>
        <w:spacing w:before="49"/>
        <w:ind w:left="140" w:right="10678"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004"/>
        <w:gridCol w:w="1181"/>
        <w:gridCol w:w="403"/>
        <w:gridCol w:w="404"/>
        <w:gridCol w:w="317"/>
        <w:gridCol w:w="1183"/>
        <w:gridCol w:w="665"/>
        <w:gridCol w:w="653"/>
        <w:gridCol w:w="487"/>
        <w:gridCol w:w="1090"/>
        <w:gridCol w:w="653"/>
        <w:gridCol w:w="1181"/>
        <w:gridCol w:w="319"/>
        <w:gridCol w:w="1181"/>
        <w:gridCol w:w="1025"/>
        <w:gridCol w:w="1243"/>
      </w:tblGrid>
      <w:tr>
        <w:trPr>
          <w:trHeight w:val="403" w:hRule="exact"/>
        </w:trPr>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2004" w:type="dxa"/>
            <w:vMerge/>
            <w:tcBorders>
              <w:left w:val="single" w:sz="4" w:space="0" w:color="000000"/>
              <w:right w:val="single" w:sz="4" w:space="0" w:color="000000"/>
            </w:tcBorders>
            <w:shd w:val="clear" w:color="auto" w:fill="D2D2D2"/>
          </w:tcPr>
          <w:p>
            <w:pPr/>
          </w:p>
        </w:tc>
        <w:tc>
          <w:tcPr>
            <w:tcW w:w="971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417" w:right="55"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25" w:right="77"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716" w:hRule="exact"/>
        </w:trPr>
        <w:tc>
          <w:tcPr>
            <w:tcW w:w="2004"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1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5" w:right="106"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146" w:right="59"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52" w:right="4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57" w:right="5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52" w:right="4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64" w:right="62"/>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25" w:type="dxa"/>
            <w:vMerge/>
            <w:tcBorders>
              <w:left w:val="single" w:sz="4" w:space="0" w:color="000000"/>
              <w:right w:val="single" w:sz="4" w:space="0" w:color="000000"/>
            </w:tcBorders>
            <w:shd w:val="clear" w:color="auto" w:fill="D2D2D2"/>
          </w:tcPr>
          <w:p>
            <w:pPr/>
          </w:p>
        </w:tc>
        <w:tc>
          <w:tcPr>
            <w:tcW w:w="1243" w:type="dxa"/>
            <w:vMerge/>
            <w:tcBorders>
              <w:left w:val="single" w:sz="4" w:space="0" w:color="000000"/>
              <w:right w:val="single" w:sz="4" w:space="0" w:color="000000"/>
            </w:tcBorders>
            <w:shd w:val="clear" w:color="auto" w:fill="D2D2D2"/>
          </w:tcPr>
          <w:p>
            <w:pPr/>
          </w:p>
        </w:tc>
      </w:tr>
      <w:tr>
        <w:trPr>
          <w:trHeight w:val="1025" w:hRule="exact"/>
        </w:trPr>
        <w:tc>
          <w:tcPr>
            <w:tcW w:w="2004"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62" w:right="62"/>
              <w:jc w:val="left"/>
              <w:rPr>
                <w:rFonts w:ascii="宋体" w:hAnsi="宋体" w:cs="宋体" w:eastAsia="宋体" w:hint="default"/>
                <w:sz w:val="18"/>
                <w:szCs w:val="18"/>
              </w:rPr>
            </w:pPr>
            <w:r>
              <w:rPr>
                <w:rFonts w:ascii="宋体" w:hAnsi="宋体" w:cs="宋体" w:eastAsia="宋体" w:hint="default"/>
                <w:sz w:val="18"/>
                <w:szCs w:val="18"/>
              </w:rPr>
              <w:t>其 他</w:t>
            </w:r>
          </w:p>
        </w:tc>
        <w:tc>
          <w:tcPr>
            <w:tcW w:w="118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487"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319"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25" w:type="dxa"/>
            <w:vMerge/>
            <w:tcBorders>
              <w:left w:val="single" w:sz="4" w:space="0" w:color="000000"/>
              <w:bottom w:val="single" w:sz="4" w:space="0" w:color="000000"/>
              <w:right w:val="single" w:sz="4" w:space="0" w:color="000000"/>
            </w:tcBorders>
            <w:shd w:val="clear" w:color="auto" w:fill="D2D2D2"/>
          </w:tcPr>
          <w:p>
            <w:pPr/>
          </w:p>
        </w:tc>
        <w:tc>
          <w:tcPr>
            <w:tcW w:w="124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167,831,090.00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281,747,580.52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18,819,376.62</w:t>
            </w: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113,704,610.89</w:t>
            </w: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582,102,658.03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452,247.15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582,554,905.18</w:t>
            </w:r>
          </w:p>
        </w:tc>
      </w:tr>
      <w:tr>
        <w:trPr>
          <w:trHeight w:val="401"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5"/>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167,831,090.00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281,747,580.52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18,819,376.62</w:t>
            </w: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113,704,610.89</w:t>
            </w: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582,102,658.03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452,247.15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582,554,905.18</w:t>
            </w:r>
          </w:p>
        </w:tc>
      </w:tr>
      <w:tr>
        <w:trPr>
          <w:trHeight w:val="716"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1,322,343.65</w:t>
            </w: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10,993,712.90</w:t>
            </w: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12,316,056.55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-205,967.33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12,110,089.22</w:t>
            </w:r>
          </w:p>
        </w:tc>
      </w:tr>
      <w:tr>
        <w:trPr>
          <w:trHeight w:val="401"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12,316,056.55</w:t>
            </w: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12,316,056.55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-205,967.33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12,110,089.22</w:t>
            </w:r>
          </w:p>
        </w:tc>
      </w:tr>
      <w:tr>
        <w:trPr>
          <w:trHeight w:val="715"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4"/>
                <w:sz w:val="18"/>
                <w:szCs w:val="18"/>
              </w:rPr>
              <w:t>（二）所有者投入和减少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9" w:top="1060" w:bottom="1160" w:left="1300" w:right="1280"/>
        </w:sectPr>
      </w:pPr>
    </w:p>
    <w:p>
      <w:pPr>
        <w:spacing w:line="240" w:lineRule="auto" w:before="0"/>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003"/>
        <w:gridCol w:w="1182"/>
        <w:gridCol w:w="403"/>
        <w:gridCol w:w="404"/>
        <w:gridCol w:w="317"/>
        <w:gridCol w:w="1183"/>
        <w:gridCol w:w="665"/>
        <w:gridCol w:w="653"/>
        <w:gridCol w:w="487"/>
        <w:gridCol w:w="1090"/>
        <w:gridCol w:w="653"/>
        <w:gridCol w:w="1181"/>
        <w:gridCol w:w="319"/>
        <w:gridCol w:w="1181"/>
        <w:gridCol w:w="1025"/>
        <w:gridCol w:w="1243"/>
      </w:tblGrid>
      <w:tr>
        <w:trPr>
          <w:trHeight w:val="730" w:hRule="exact"/>
        </w:trPr>
        <w:tc>
          <w:tcPr>
            <w:tcW w:w="200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2" w:type="dxa"/>
            <w:tcBorders>
              <w:top w:val="single" w:sz="15" w:space="0" w:color="000000"/>
              <w:left w:val="single" w:sz="4" w:space="0" w:color="000000"/>
              <w:bottom w:val="single" w:sz="4" w:space="0" w:color="000000"/>
              <w:right w:val="single" w:sz="4" w:space="0" w:color="000000"/>
            </w:tcBorders>
          </w:tcPr>
          <w:p>
            <w:pPr/>
          </w:p>
        </w:tc>
        <w:tc>
          <w:tcPr>
            <w:tcW w:w="403" w:type="dxa"/>
            <w:tcBorders>
              <w:top w:val="single" w:sz="15" w:space="0" w:color="000000"/>
              <w:left w:val="single" w:sz="4" w:space="0" w:color="000000"/>
              <w:bottom w:val="single" w:sz="4" w:space="0" w:color="000000"/>
              <w:right w:val="single" w:sz="4" w:space="0" w:color="000000"/>
            </w:tcBorders>
          </w:tcPr>
          <w:p>
            <w:pPr/>
          </w:p>
        </w:tc>
        <w:tc>
          <w:tcPr>
            <w:tcW w:w="404" w:type="dxa"/>
            <w:tcBorders>
              <w:top w:val="single" w:sz="15" w:space="0" w:color="000000"/>
              <w:left w:val="single" w:sz="4" w:space="0" w:color="000000"/>
              <w:bottom w:val="single" w:sz="4" w:space="0" w:color="000000"/>
              <w:right w:val="single" w:sz="4" w:space="0" w:color="000000"/>
            </w:tcBorders>
          </w:tcPr>
          <w:p>
            <w:pPr/>
          </w:p>
        </w:tc>
        <w:tc>
          <w:tcPr>
            <w:tcW w:w="317"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53" w:type="dxa"/>
            <w:tcBorders>
              <w:top w:val="single" w:sz="15" w:space="0" w:color="000000"/>
              <w:left w:val="single" w:sz="4" w:space="0" w:color="000000"/>
              <w:bottom w:val="single" w:sz="4" w:space="0" w:color="000000"/>
              <w:right w:val="single" w:sz="4" w:space="0" w:color="000000"/>
            </w:tcBorders>
          </w:tcPr>
          <w:p>
            <w:pPr/>
          </w:p>
        </w:tc>
        <w:tc>
          <w:tcPr>
            <w:tcW w:w="487"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653"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319"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25" w:type="dxa"/>
            <w:tcBorders>
              <w:top w:val="single" w:sz="15" w:space="0" w:color="000000"/>
              <w:left w:val="single" w:sz="4" w:space="0" w:color="000000"/>
              <w:bottom w:val="single" w:sz="4" w:space="0" w:color="000000"/>
              <w:right w:val="single" w:sz="4" w:space="0" w:color="000000"/>
            </w:tcBorders>
          </w:tcPr>
          <w:p>
            <w:pPr/>
          </w:p>
        </w:tc>
        <w:tc>
          <w:tcPr>
            <w:tcW w:w="1243"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1,322,343.65</w:t>
            </w: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-1,322,343.65</w:t>
            </w: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1,322,343.65</w:t>
            </w: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-1,322,343.65</w:t>
            </w: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4"/>
                <w:sz w:val="18"/>
                <w:szCs w:val="18"/>
              </w:rPr>
              <w:t>（四）所有者权益内部结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转</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3" w:right="21"/>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．资本公积转增资本（或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．盈余公积转增资本（或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 存收益</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404" w:type="dxa"/>
            <w:tcBorders>
              <w:top w:val="single" w:sz="4" w:space="0" w:color="000000"/>
              <w:left w:val="single" w:sz="4" w:space="0" w:color="000000"/>
              <w:bottom w:val="single" w:sz="4" w:space="0" w:color="000000"/>
              <w:right w:val="single" w:sz="4" w:space="0" w:color="000000"/>
            </w:tcBorders>
          </w:tcPr>
          <w:p>
            <w:pPr/>
          </w:p>
        </w:tc>
        <w:tc>
          <w:tcPr>
            <w:tcW w:w="317"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9" w:top="1060" w:bottom="1160" w:left="1320" w:right="1280"/>
        </w:sectPr>
      </w:pPr>
    </w:p>
    <w:p>
      <w:pPr>
        <w:spacing w:line="240" w:lineRule="auto" w:before="0"/>
        <w:rPr>
          <w:rFonts w:ascii="Times New Roman" w:hAnsi="Times New Roman" w:cs="Times New Roman" w:eastAsia="Times New Roman"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2003"/>
        <w:gridCol w:w="1182"/>
        <w:gridCol w:w="403"/>
        <w:gridCol w:w="404"/>
        <w:gridCol w:w="317"/>
        <w:gridCol w:w="1183"/>
        <w:gridCol w:w="665"/>
        <w:gridCol w:w="653"/>
        <w:gridCol w:w="487"/>
        <w:gridCol w:w="1090"/>
        <w:gridCol w:w="653"/>
        <w:gridCol w:w="1181"/>
        <w:gridCol w:w="319"/>
        <w:gridCol w:w="1181"/>
        <w:gridCol w:w="1025"/>
        <w:gridCol w:w="1243"/>
      </w:tblGrid>
      <w:tr>
        <w:trPr>
          <w:trHeight w:val="418" w:hRule="exact"/>
        </w:trPr>
        <w:tc>
          <w:tcPr>
            <w:tcW w:w="200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167,831,090.00</w:t>
            </w:r>
          </w:p>
        </w:tc>
        <w:tc>
          <w:tcPr>
            <w:tcW w:w="403" w:type="dxa"/>
            <w:tcBorders>
              <w:top w:val="single" w:sz="15" w:space="0" w:color="000000"/>
              <w:left w:val="single" w:sz="4" w:space="0" w:color="000000"/>
              <w:bottom w:val="single" w:sz="4" w:space="0" w:color="000000"/>
              <w:right w:val="single" w:sz="4" w:space="0" w:color="000000"/>
            </w:tcBorders>
          </w:tcPr>
          <w:p>
            <w:pPr/>
          </w:p>
        </w:tc>
        <w:tc>
          <w:tcPr>
            <w:tcW w:w="404" w:type="dxa"/>
            <w:tcBorders>
              <w:top w:val="single" w:sz="15" w:space="0" w:color="000000"/>
              <w:left w:val="single" w:sz="4" w:space="0" w:color="000000"/>
              <w:bottom w:val="single" w:sz="4" w:space="0" w:color="000000"/>
              <w:right w:val="single" w:sz="4" w:space="0" w:color="000000"/>
            </w:tcBorders>
          </w:tcPr>
          <w:p>
            <w:pPr/>
          </w:p>
        </w:tc>
        <w:tc>
          <w:tcPr>
            <w:tcW w:w="317"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281,747,580.52</w:t>
            </w:r>
          </w:p>
        </w:tc>
        <w:tc>
          <w:tcPr>
            <w:tcW w:w="665" w:type="dxa"/>
            <w:tcBorders>
              <w:top w:val="single" w:sz="15" w:space="0" w:color="000000"/>
              <w:left w:val="single" w:sz="4" w:space="0" w:color="000000"/>
              <w:bottom w:val="single" w:sz="4" w:space="0" w:color="000000"/>
              <w:right w:val="single" w:sz="4" w:space="0" w:color="000000"/>
            </w:tcBorders>
          </w:tcPr>
          <w:p>
            <w:pPr/>
          </w:p>
        </w:tc>
        <w:tc>
          <w:tcPr>
            <w:tcW w:w="653" w:type="dxa"/>
            <w:tcBorders>
              <w:top w:val="single" w:sz="15" w:space="0" w:color="000000"/>
              <w:left w:val="single" w:sz="4" w:space="0" w:color="000000"/>
              <w:bottom w:val="single" w:sz="4" w:space="0" w:color="000000"/>
              <w:right w:val="single" w:sz="4" w:space="0" w:color="000000"/>
            </w:tcBorders>
          </w:tcPr>
          <w:p>
            <w:pPr/>
          </w:p>
        </w:tc>
        <w:tc>
          <w:tcPr>
            <w:tcW w:w="487"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20,141,720.27</w:t>
            </w:r>
          </w:p>
        </w:tc>
        <w:tc>
          <w:tcPr>
            <w:tcW w:w="653"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124,698,323.79</w:t>
            </w:r>
          </w:p>
        </w:tc>
        <w:tc>
          <w:tcPr>
            <w:tcW w:w="319"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594,418,714.58</w:t>
            </w:r>
          </w:p>
        </w:tc>
        <w:tc>
          <w:tcPr>
            <w:tcW w:w="10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179" w:right="0"/>
              <w:jc w:val="left"/>
              <w:rPr>
                <w:rFonts w:ascii="Times New Roman" w:hAnsi="Times New Roman" w:cs="Times New Roman" w:eastAsia="Times New Roman" w:hint="default"/>
                <w:sz w:val="18"/>
                <w:szCs w:val="18"/>
              </w:rPr>
            </w:pPr>
            <w:r>
              <w:rPr>
                <w:rFonts w:ascii="Times New Roman"/>
                <w:sz w:val="18"/>
              </w:rPr>
              <w:t>246,279.82</w:t>
            </w:r>
          </w:p>
        </w:tc>
        <w:tc>
          <w:tcPr>
            <w:tcW w:w="124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594,664,994.40</w:t>
            </w:r>
          </w:p>
        </w:tc>
      </w:tr>
    </w:tbl>
    <w:p>
      <w:pPr>
        <w:spacing w:line="240" w:lineRule="auto" w:before="1"/>
        <w:rPr>
          <w:rFonts w:ascii="Times New Roman" w:hAnsi="Times New Roman" w:cs="Times New Roman" w:eastAsia="Times New Roman" w:hint="default"/>
          <w:sz w:val="22"/>
          <w:szCs w:val="22"/>
        </w:rPr>
      </w:pPr>
    </w:p>
    <w:p>
      <w:pPr>
        <w:pStyle w:val="Heading7"/>
        <w:spacing w:line="335" w:lineRule="exact"/>
        <w:ind w:left="140" w:right="10678"/>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10678"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08"/>
        <w:gridCol w:w="1181"/>
        <w:gridCol w:w="598"/>
        <w:gridCol w:w="627"/>
        <w:gridCol w:w="482"/>
        <w:gridCol w:w="1181"/>
        <w:gridCol w:w="998"/>
        <w:gridCol w:w="1280"/>
        <w:gridCol w:w="847"/>
        <w:gridCol w:w="1135"/>
        <w:gridCol w:w="1277"/>
        <w:gridCol w:w="564"/>
        <w:gridCol w:w="1939"/>
      </w:tblGrid>
      <w:tr>
        <w:trPr>
          <w:trHeight w:val="404" w:hRule="exact"/>
        </w:trPr>
        <w:tc>
          <w:tcPr>
            <w:tcW w:w="19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1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908"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1908"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998" w:type="dxa"/>
            <w:vMerge/>
            <w:tcBorders>
              <w:left w:val="single" w:sz="4" w:space="0" w:color="000000"/>
              <w:bottom w:val="single" w:sz="4" w:space="0" w:color="000000"/>
              <w:right w:val="single" w:sz="4" w:space="0" w:color="000000"/>
            </w:tcBorders>
            <w:shd w:val="clear" w:color="auto" w:fill="D2D2D2"/>
          </w:tcPr>
          <w:p>
            <w:pPr/>
          </w:p>
        </w:tc>
        <w:tc>
          <w:tcPr>
            <w:tcW w:w="1280" w:type="dxa"/>
            <w:vMerge/>
            <w:tcBorders>
              <w:left w:val="single" w:sz="4" w:space="0" w:color="000000"/>
              <w:bottom w:val="single" w:sz="4" w:space="0" w:color="000000"/>
              <w:right w:val="single" w:sz="4" w:space="0" w:color="000000"/>
            </w:tcBorders>
            <w:shd w:val="clear" w:color="auto" w:fill="D2D2D2"/>
          </w:tcPr>
          <w:p>
            <w:pPr/>
          </w:p>
        </w:tc>
        <w:tc>
          <w:tcPr>
            <w:tcW w:w="847"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564"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167,831,090.00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281,747,580.52</w:t>
            </w: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20,141,720.27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123,675,562.81</w:t>
            </w: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593,395,953.60</w:t>
            </w: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167,831,090.00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281,747,580.52</w:t>
            </w: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20,141,720.27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123,675,562.81</w:t>
            </w: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593,395,953.60</w:t>
            </w: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3,367,428.60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30,306,857.41</w:t>
            </w: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33,674,286.01</w:t>
            </w: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33,674,286.01</w:t>
            </w: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33,674,286.01</w:t>
            </w:r>
          </w:p>
        </w:tc>
      </w:tr>
      <w:tr>
        <w:trPr>
          <w:trHeight w:val="716"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9" w:top="1060" w:bottom="1160" w:left="1300" w:right="1280"/>
        </w:sectPr>
      </w:pPr>
    </w:p>
    <w:p>
      <w:pPr>
        <w:spacing w:line="240" w:lineRule="auto" w:before="9"/>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08"/>
        <w:gridCol w:w="1181"/>
        <w:gridCol w:w="598"/>
        <w:gridCol w:w="627"/>
        <w:gridCol w:w="482"/>
        <w:gridCol w:w="1181"/>
        <w:gridCol w:w="998"/>
        <w:gridCol w:w="1280"/>
        <w:gridCol w:w="847"/>
        <w:gridCol w:w="1135"/>
        <w:gridCol w:w="1277"/>
        <w:gridCol w:w="564"/>
        <w:gridCol w:w="1939"/>
      </w:tblGrid>
      <w:tr>
        <w:trPr>
          <w:trHeight w:val="418" w:hRule="exact"/>
        </w:trPr>
        <w:tc>
          <w:tcPr>
            <w:tcW w:w="19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98" w:type="dxa"/>
            <w:tcBorders>
              <w:top w:val="single" w:sz="15" w:space="0" w:color="000000"/>
              <w:left w:val="single" w:sz="4" w:space="0" w:color="000000"/>
              <w:bottom w:val="single" w:sz="4" w:space="0" w:color="000000"/>
              <w:right w:val="single" w:sz="4" w:space="0" w:color="000000"/>
            </w:tcBorders>
          </w:tcPr>
          <w:p>
            <w:pPr/>
          </w:p>
        </w:tc>
        <w:tc>
          <w:tcPr>
            <w:tcW w:w="627" w:type="dxa"/>
            <w:tcBorders>
              <w:top w:val="single" w:sz="15" w:space="0" w:color="000000"/>
              <w:left w:val="single" w:sz="4" w:space="0" w:color="000000"/>
              <w:bottom w:val="single" w:sz="4" w:space="0" w:color="000000"/>
              <w:right w:val="single" w:sz="4" w:space="0" w:color="000000"/>
            </w:tcBorders>
          </w:tcPr>
          <w:p>
            <w:pPr/>
          </w:p>
        </w:tc>
        <w:tc>
          <w:tcPr>
            <w:tcW w:w="48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98" w:type="dxa"/>
            <w:tcBorders>
              <w:top w:val="single" w:sz="15" w:space="0" w:color="000000"/>
              <w:left w:val="single" w:sz="4" w:space="0" w:color="000000"/>
              <w:bottom w:val="single" w:sz="4" w:space="0" w:color="000000"/>
              <w:right w:val="single" w:sz="4" w:space="0" w:color="000000"/>
            </w:tcBorders>
          </w:tcPr>
          <w:p>
            <w:pPr/>
          </w:p>
        </w:tc>
        <w:tc>
          <w:tcPr>
            <w:tcW w:w="1280" w:type="dxa"/>
            <w:tcBorders>
              <w:top w:val="single" w:sz="15" w:space="0" w:color="000000"/>
              <w:left w:val="single" w:sz="4" w:space="0" w:color="000000"/>
              <w:bottom w:val="single" w:sz="4" w:space="0" w:color="000000"/>
              <w:right w:val="single" w:sz="4" w:space="0" w:color="000000"/>
            </w:tcBorders>
          </w:tcPr>
          <w:p>
            <w:pPr/>
          </w:p>
        </w:tc>
        <w:tc>
          <w:tcPr>
            <w:tcW w:w="847"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136" w:right="0"/>
              <w:jc w:val="center"/>
              <w:rPr>
                <w:rFonts w:ascii="Times New Roman" w:hAnsi="Times New Roman" w:cs="Times New Roman" w:eastAsia="Times New Roman" w:hint="default"/>
                <w:sz w:val="18"/>
                <w:szCs w:val="18"/>
              </w:rPr>
            </w:pPr>
            <w:r>
              <w:rPr>
                <w:rFonts w:ascii="Times New Roman"/>
                <w:sz w:val="18"/>
              </w:rPr>
              <w:t>3,367,428.60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left="212" w:right="0"/>
              <w:jc w:val="center"/>
              <w:rPr>
                <w:rFonts w:ascii="Times New Roman" w:hAnsi="Times New Roman" w:cs="Times New Roman" w:eastAsia="Times New Roman" w:hint="default"/>
                <w:sz w:val="18"/>
                <w:szCs w:val="18"/>
              </w:rPr>
            </w:pPr>
            <w:r>
              <w:rPr>
                <w:rFonts w:ascii="Times New Roman"/>
                <w:sz w:val="18"/>
              </w:rPr>
              <w:t>-3,367,428.60</w:t>
            </w:r>
          </w:p>
        </w:tc>
        <w:tc>
          <w:tcPr>
            <w:tcW w:w="564" w:type="dxa"/>
            <w:tcBorders>
              <w:top w:val="single" w:sz="15" w:space="0" w:color="000000"/>
              <w:left w:val="single" w:sz="4" w:space="0" w:color="000000"/>
              <w:bottom w:val="single" w:sz="4" w:space="0" w:color="000000"/>
              <w:right w:val="single" w:sz="4" w:space="0" w:color="000000"/>
            </w:tcBorders>
          </w:tcPr>
          <w:p>
            <w:pPr/>
          </w:p>
        </w:tc>
        <w:tc>
          <w:tcPr>
            <w:tcW w:w="1939"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center"/>
              <w:rPr>
                <w:rFonts w:ascii="Times New Roman" w:hAnsi="Times New Roman" w:cs="Times New Roman" w:eastAsia="Times New Roman" w:hint="default"/>
                <w:sz w:val="18"/>
                <w:szCs w:val="18"/>
              </w:rPr>
            </w:pPr>
            <w:r>
              <w:rPr>
                <w:rFonts w:ascii="Times New Roman"/>
                <w:sz w:val="18"/>
              </w:rPr>
              <w:t>3,367,428.60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2" w:right="0"/>
              <w:jc w:val="center"/>
              <w:rPr>
                <w:rFonts w:ascii="Times New Roman" w:hAnsi="Times New Roman" w:cs="Times New Roman" w:eastAsia="Times New Roman" w:hint="default"/>
                <w:sz w:val="18"/>
                <w:szCs w:val="18"/>
              </w:rPr>
            </w:pPr>
            <w:r>
              <w:rPr>
                <w:rFonts w:ascii="Times New Roman"/>
                <w:sz w:val="18"/>
              </w:rPr>
              <w:t>-3,367,428.60</w:t>
            </w: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3" w:right="72"/>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．设定受益计划变动额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．其他综合收益结转留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167,831,090.00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281,747,580.52</w:t>
            </w:r>
          </w:p>
        </w:tc>
        <w:tc>
          <w:tcPr>
            <w:tcW w:w="998"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23,509,148.87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153,982,420.22</w:t>
            </w:r>
          </w:p>
        </w:tc>
        <w:tc>
          <w:tcPr>
            <w:tcW w:w="564"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627,070,239.61</w:t>
            </w:r>
          </w:p>
        </w:tc>
      </w:tr>
    </w:tbl>
    <w:p>
      <w:pPr>
        <w:spacing w:before="49"/>
        <w:ind w:left="140" w:right="10678"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968"/>
        <w:gridCol w:w="12019"/>
      </w:tblGrid>
      <w:tr>
        <w:trPr>
          <w:trHeight w:val="401"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bl>
    <w:p>
      <w:pPr>
        <w:spacing w:after="0" w:line="240" w:lineRule="auto"/>
        <w:jc w:val="center"/>
        <w:rPr>
          <w:rFonts w:ascii="宋体" w:hAnsi="宋体" w:cs="宋体" w:eastAsia="宋体" w:hint="default"/>
          <w:sz w:val="18"/>
          <w:szCs w:val="18"/>
        </w:rPr>
        <w:sectPr>
          <w:pgSz w:w="16840" w:h="11910" w:orient="landscape"/>
          <w:pgMar w:header="870" w:footer="979" w:top="1060" w:bottom="1160" w:left="1300" w:right="1280"/>
        </w:sectPr>
      </w:pPr>
    </w:p>
    <w:p>
      <w:pPr>
        <w:spacing w:line="240" w:lineRule="auto" w:before="3"/>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968"/>
        <w:gridCol w:w="1183"/>
        <w:gridCol w:w="655"/>
        <w:gridCol w:w="701"/>
        <w:gridCol w:w="425"/>
        <w:gridCol w:w="1181"/>
        <w:gridCol w:w="938"/>
        <w:gridCol w:w="1260"/>
        <w:gridCol w:w="842"/>
        <w:gridCol w:w="1133"/>
        <w:gridCol w:w="1181"/>
        <w:gridCol w:w="866"/>
        <w:gridCol w:w="1654"/>
      </w:tblGrid>
      <w:tr>
        <w:trPr>
          <w:trHeight w:val="416" w:hRule="exact"/>
        </w:trPr>
        <w:tc>
          <w:tcPr>
            <w:tcW w:w="1968" w:type="dxa"/>
            <w:vMerge w:val="restart"/>
            <w:tcBorders>
              <w:top w:val="single" w:sz="15" w:space="0" w:color="000000"/>
              <w:left w:val="single" w:sz="4" w:space="0" w:color="000000"/>
              <w:right w:val="single" w:sz="4" w:space="0" w:color="000000"/>
            </w:tcBorders>
            <w:shd w:val="clear" w:color="auto" w:fill="D2D2D2"/>
          </w:tcPr>
          <w:p>
            <w:pPr/>
          </w:p>
        </w:tc>
        <w:tc>
          <w:tcPr>
            <w:tcW w:w="1183"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81" w:type="dxa"/>
            <w:gridSpan w:val="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38"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4"/>
                <w:sz w:val="18"/>
                <w:szCs w:val="18"/>
              </w:rPr>
              <w:t>减：库存股</w:t>
            </w:r>
          </w:p>
        </w:tc>
        <w:tc>
          <w:tcPr>
            <w:tcW w:w="1260"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42"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3"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66"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4"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1" w:hRule="exact"/>
        </w:trPr>
        <w:tc>
          <w:tcPr>
            <w:tcW w:w="1968"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65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167,831,090.00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281,747,580.52</w:t>
            </w: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 w:right="0"/>
              <w:jc w:val="center"/>
              <w:rPr>
                <w:rFonts w:ascii="Times New Roman" w:hAnsi="Times New Roman" w:cs="Times New Roman" w:eastAsia="Times New Roman" w:hint="default"/>
                <w:sz w:val="18"/>
                <w:szCs w:val="18"/>
              </w:rPr>
            </w:pPr>
            <w:r>
              <w:rPr>
                <w:rFonts w:ascii="Times New Roman"/>
                <w:sz w:val="18"/>
              </w:rPr>
              <w:t>18,819,376.62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 w:right="0"/>
              <w:jc w:val="center"/>
              <w:rPr>
                <w:rFonts w:ascii="Times New Roman" w:hAnsi="Times New Roman" w:cs="Times New Roman" w:eastAsia="Times New Roman" w:hint="default"/>
                <w:sz w:val="18"/>
                <w:szCs w:val="18"/>
              </w:rPr>
            </w:pPr>
            <w:r>
              <w:rPr>
                <w:rFonts w:ascii="Times New Roman"/>
                <w:sz w:val="18"/>
              </w:rPr>
              <w:t>111,774,469.98</w:t>
            </w: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8"/>
                <w:szCs w:val="18"/>
              </w:rPr>
            </w:pPr>
            <w:r>
              <w:rPr>
                <w:rFonts w:ascii="Times New Roman"/>
                <w:spacing w:val="-1"/>
                <w:sz w:val="18"/>
              </w:rPr>
              <w:t>580,172,517.12</w:t>
            </w: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09"/>
              <w:jc w:val="center"/>
              <w:rPr>
                <w:rFonts w:ascii="宋体" w:hAnsi="宋体" w:cs="宋体" w:eastAsia="宋体" w:hint="default"/>
                <w:sz w:val="18"/>
                <w:szCs w:val="18"/>
              </w:rPr>
            </w:pP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167,831,090.00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281,747,580.52</w:t>
            </w: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 w:right="0"/>
              <w:jc w:val="center"/>
              <w:rPr>
                <w:rFonts w:ascii="Times New Roman" w:hAnsi="Times New Roman" w:cs="Times New Roman" w:eastAsia="Times New Roman" w:hint="default"/>
                <w:sz w:val="18"/>
                <w:szCs w:val="18"/>
              </w:rPr>
            </w:pPr>
            <w:r>
              <w:rPr>
                <w:rFonts w:ascii="Times New Roman"/>
                <w:sz w:val="18"/>
              </w:rPr>
              <w:t>18,819,376.62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 w:right="0"/>
              <w:jc w:val="center"/>
              <w:rPr>
                <w:rFonts w:ascii="Times New Roman" w:hAnsi="Times New Roman" w:cs="Times New Roman" w:eastAsia="Times New Roman" w:hint="default"/>
                <w:sz w:val="18"/>
                <w:szCs w:val="18"/>
              </w:rPr>
            </w:pPr>
            <w:r>
              <w:rPr>
                <w:rFonts w:ascii="Times New Roman"/>
                <w:sz w:val="18"/>
              </w:rPr>
              <w:t>111,774,469.98</w:t>
            </w: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8"/>
                <w:szCs w:val="18"/>
              </w:rPr>
            </w:pPr>
            <w:r>
              <w:rPr>
                <w:rFonts w:ascii="Times New Roman"/>
                <w:spacing w:val="-1"/>
                <w:sz w:val="18"/>
              </w:rPr>
              <w:t>580,172,517.12</w:t>
            </w:r>
          </w:p>
        </w:tc>
      </w:tr>
      <w:tr>
        <w:trPr>
          <w:trHeight w:val="71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1,322,343.65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11,901,092.83</w:t>
            </w: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13,223,436.48</w:t>
            </w:r>
          </w:p>
        </w:tc>
      </w:tr>
      <w:tr>
        <w:trPr>
          <w:trHeight w:val="40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2" w:right="0"/>
              <w:jc w:val="center"/>
              <w:rPr>
                <w:rFonts w:ascii="Times New Roman" w:hAnsi="Times New Roman" w:cs="Times New Roman" w:eastAsia="Times New Roman" w:hint="default"/>
                <w:sz w:val="18"/>
                <w:szCs w:val="18"/>
              </w:rPr>
            </w:pPr>
            <w:r>
              <w:rPr>
                <w:rFonts w:ascii="Times New Roman"/>
                <w:sz w:val="18"/>
              </w:rPr>
              <w:t>13,223,436.48</w:t>
            </w: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8"/>
                <w:szCs w:val="18"/>
              </w:rPr>
            </w:pPr>
            <w:r>
              <w:rPr>
                <w:rFonts w:ascii="Times New Roman"/>
                <w:spacing w:val="-1"/>
                <w:sz w:val="18"/>
              </w:rPr>
              <w:t>13,223,436.48</w:t>
            </w:r>
          </w:p>
        </w:tc>
      </w:tr>
      <w:tr>
        <w:trPr>
          <w:trHeight w:val="71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23"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6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4" w:right="0"/>
              <w:jc w:val="center"/>
              <w:rPr>
                <w:rFonts w:ascii="Times New Roman" w:hAnsi="Times New Roman" w:cs="Times New Roman" w:eastAsia="Times New Roman" w:hint="default"/>
                <w:sz w:val="18"/>
                <w:szCs w:val="18"/>
              </w:rPr>
            </w:pPr>
            <w:r>
              <w:rPr>
                <w:rFonts w:ascii="Times New Roman"/>
                <w:sz w:val="18"/>
              </w:rPr>
              <w:t>1,322,343.65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1" w:right="0"/>
              <w:jc w:val="center"/>
              <w:rPr>
                <w:rFonts w:ascii="Times New Roman" w:hAnsi="Times New Roman" w:cs="Times New Roman" w:eastAsia="Times New Roman" w:hint="default"/>
                <w:sz w:val="18"/>
                <w:szCs w:val="18"/>
              </w:rPr>
            </w:pPr>
            <w:r>
              <w:rPr>
                <w:rFonts w:ascii="Times New Roman"/>
                <w:sz w:val="18"/>
              </w:rPr>
              <w:t>-1,322,343.65</w:t>
            </w: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0"/>
              <w:jc w:val="center"/>
              <w:rPr>
                <w:rFonts w:ascii="Times New Roman" w:hAnsi="Times New Roman" w:cs="Times New Roman" w:eastAsia="Times New Roman" w:hint="default"/>
                <w:sz w:val="18"/>
                <w:szCs w:val="18"/>
              </w:rPr>
            </w:pPr>
            <w:r>
              <w:rPr>
                <w:rFonts w:ascii="Times New Roman"/>
                <w:sz w:val="18"/>
              </w:rPr>
              <w:t>1,322,343.65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1" w:right="0"/>
              <w:jc w:val="center"/>
              <w:rPr>
                <w:rFonts w:ascii="Times New Roman" w:hAnsi="Times New Roman" w:cs="Times New Roman" w:eastAsia="Times New Roman" w:hint="default"/>
                <w:sz w:val="18"/>
                <w:szCs w:val="18"/>
              </w:rPr>
            </w:pPr>
            <w:r>
              <w:rPr>
                <w:rFonts w:ascii="Times New Roman"/>
                <w:sz w:val="18"/>
              </w:rPr>
              <w:t>-1,322,343.65</w:t>
            </w: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6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转</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9" w:top="1060" w:bottom="1260" w:left="1320" w:right="1280"/>
        </w:sectPr>
      </w:pPr>
    </w:p>
    <w:p>
      <w:pPr>
        <w:spacing w:line="240" w:lineRule="auto" w:before="0"/>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968"/>
        <w:gridCol w:w="1183"/>
        <w:gridCol w:w="655"/>
        <w:gridCol w:w="701"/>
        <w:gridCol w:w="425"/>
        <w:gridCol w:w="1181"/>
        <w:gridCol w:w="938"/>
        <w:gridCol w:w="1260"/>
        <w:gridCol w:w="842"/>
        <w:gridCol w:w="1133"/>
        <w:gridCol w:w="1181"/>
        <w:gridCol w:w="866"/>
        <w:gridCol w:w="1654"/>
      </w:tblGrid>
      <w:tr>
        <w:trPr>
          <w:trHeight w:val="730" w:hRule="exact"/>
        </w:trPr>
        <w:tc>
          <w:tcPr>
            <w:tcW w:w="19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21"/>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．资本公积转增资本（或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3" w:type="dxa"/>
            <w:tcBorders>
              <w:top w:val="single" w:sz="15" w:space="0" w:color="000000"/>
              <w:left w:val="single" w:sz="4" w:space="0" w:color="000000"/>
              <w:bottom w:val="single" w:sz="4" w:space="0" w:color="000000"/>
              <w:right w:val="single" w:sz="4" w:space="0" w:color="000000"/>
            </w:tcBorders>
          </w:tcPr>
          <w:p>
            <w:pPr/>
          </w:p>
        </w:tc>
        <w:tc>
          <w:tcPr>
            <w:tcW w:w="655" w:type="dxa"/>
            <w:tcBorders>
              <w:top w:val="single" w:sz="15" w:space="0" w:color="000000"/>
              <w:left w:val="single" w:sz="4" w:space="0" w:color="000000"/>
              <w:bottom w:val="single" w:sz="4" w:space="0" w:color="000000"/>
              <w:right w:val="single" w:sz="4" w:space="0" w:color="000000"/>
            </w:tcBorders>
          </w:tcPr>
          <w:p>
            <w:pPr/>
          </w:p>
        </w:tc>
        <w:tc>
          <w:tcPr>
            <w:tcW w:w="701"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38"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
        </w:tc>
        <w:tc>
          <w:tcPr>
            <w:tcW w:w="842"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1654"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．盈余公积转增资本（或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 存收益</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167,831,090.00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281,747,580.52</w:t>
            </w:r>
          </w:p>
        </w:tc>
        <w:tc>
          <w:tcPr>
            <w:tcW w:w="9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20,141,720.27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123,675,562.81</w:t>
            </w: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2" w:right="0"/>
              <w:jc w:val="left"/>
              <w:rPr>
                <w:rFonts w:ascii="Times New Roman" w:hAnsi="Times New Roman" w:cs="Times New Roman" w:eastAsia="Times New Roman" w:hint="default"/>
                <w:sz w:val="18"/>
                <w:szCs w:val="18"/>
              </w:rPr>
            </w:pPr>
            <w:r>
              <w:rPr>
                <w:rFonts w:ascii="Times New Roman"/>
                <w:sz w:val="18"/>
              </w:rPr>
              <w:t>593,395,953.60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70" w:footer="979" w:top="1060" w:bottom="1160" w:left="1320" w:right="1280"/>
        </w:sectPr>
      </w:pPr>
    </w:p>
    <w:p>
      <w:pPr>
        <w:spacing w:line="240" w:lineRule="auto" w:before="10"/>
        <w:rPr>
          <w:rFonts w:ascii="Times New Roman" w:hAnsi="Times New Roman" w:cs="Times New Roman" w:eastAsia="Times New Roman" w:hint="default"/>
          <w:sz w:val="26"/>
          <w:szCs w:val="26"/>
        </w:rPr>
      </w:pPr>
    </w:p>
    <w:p>
      <w:pPr>
        <w:pStyle w:val="Heading3"/>
        <w:spacing w:line="367" w:lineRule="exact"/>
        <w:ind w:right="0"/>
        <w:jc w:val="both"/>
        <w:rPr>
          <w:b w:val="0"/>
          <w:bCs w:val="0"/>
        </w:rPr>
      </w:pPr>
      <w:r>
        <w:rPr/>
        <w:t>三、公司基本情况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386" w:lineRule="auto" w:before="0"/>
        <w:ind w:left="573" w:right="995"/>
        <w:jc w:val="left"/>
      </w:pPr>
      <w:r>
        <w:rPr>
          <w:rFonts w:ascii="Times New Roman" w:hAnsi="Times New Roman" w:cs="Times New Roman" w:eastAsia="Times New Roman" w:hint="default"/>
        </w:rPr>
        <w:t>1.</w:t>
      </w:r>
      <w:r>
        <w:rPr/>
        <w:t>历史沿革、注册地、组织形式和总部地址</w:t>
      </w:r>
      <w:r>
        <w:rPr>
          <w:w w:val="100"/>
        </w:rPr>
        <w:t> </w:t>
      </w:r>
      <w:r>
        <w:rPr/>
        <w:t>深圳市方直科技股份有限公司</w:t>
      </w:r>
      <w:r>
        <w:rPr>
          <w:rFonts w:ascii="Times New Roman" w:hAnsi="Times New Roman" w:cs="Times New Roman" w:eastAsia="Times New Roman" w:hint="default"/>
        </w:rPr>
        <w:t>(</w:t>
      </w:r>
      <w:r>
        <w:rPr/>
        <w:t>以下简称本公司</w:t>
      </w:r>
      <w:r>
        <w:rPr>
          <w:rFonts w:ascii="Times New Roman" w:hAnsi="Times New Roman" w:cs="Times New Roman" w:eastAsia="Times New Roman" w:hint="default"/>
        </w:rPr>
        <w:t>)</w:t>
      </w:r>
      <w:r>
        <w:rPr/>
        <w:t>是以黄元忠等</w:t>
      </w:r>
      <w:r>
        <w:rPr>
          <w:rFonts w:ascii="Times New Roman" w:hAnsi="Times New Roman" w:cs="Times New Roman" w:eastAsia="Times New Roman" w:hint="default"/>
        </w:rPr>
        <w:t>7</w:t>
      </w:r>
      <w:r>
        <w:rPr/>
        <w:t>位自然人和深圳市戈尔登投资有限公</w:t>
      </w:r>
    </w:p>
    <w:p>
      <w:pPr>
        <w:pStyle w:val="BodyText"/>
        <w:spacing w:line="393" w:lineRule="auto" w:before="35"/>
        <w:ind w:right="1128"/>
        <w:jc w:val="both"/>
      </w:pPr>
      <w:r>
        <w:rPr/>
        <w:t>司</w:t>
      </w:r>
      <w:r>
        <w:rPr>
          <w:spacing w:val="-73"/>
        </w:rPr>
        <w:t> </w:t>
      </w:r>
      <w:r>
        <w:rPr/>
        <w:t>为</w:t>
      </w:r>
      <w:r>
        <w:rPr>
          <w:spacing w:val="-73"/>
        </w:rPr>
        <w:t> </w:t>
      </w:r>
      <w:r>
        <w:rPr/>
        <w:t>发</w:t>
      </w:r>
      <w:r>
        <w:rPr>
          <w:spacing w:val="-73"/>
        </w:rPr>
        <w:t> </w:t>
      </w:r>
      <w:r>
        <w:rPr/>
        <w:t>起</w:t>
      </w:r>
      <w:r>
        <w:rPr>
          <w:spacing w:val="-73"/>
        </w:rPr>
        <w:t> </w:t>
      </w:r>
      <w:r>
        <w:rPr/>
        <w:t>人</w:t>
      </w:r>
      <w:r>
        <w:rPr>
          <w:spacing w:val="-76"/>
        </w:rPr>
        <w:t> </w:t>
      </w:r>
      <w:r>
        <w:rPr/>
        <w:t>，</w:t>
      </w:r>
      <w:r>
        <w:rPr>
          <w:spacing w:val="-73"/>
        </w:rPr>
        <w:t> </w:t>
      </w:r>
      <w:r>
        <w:rPr/>
        <w:t>由</w:t>
      </w:r>
      <w:r>
        <w:rPr>
          <w:spacing w:val="-73"/>
        </w:rPr>
        <w:t> </w:t>
      </w:r>
      <w:r>
        <w:rPr/>
        <w:t>深</w:t>
      </w:r>
      <w:r>
        <w:rPr>
          <w:spacing w:val="-73"/>
        </w:rPr>
        <w:t> </w:t>
      </w:r>
      <w:r>
        <w:rPr/>
        <w:t>圳</w:t>
      </w:r>
      <w:r>
        <w:rPr>
          <w:spacing w:val="-76"/>
        </w:rPr>
        <w:t> </w:t>
      </w:r>
      <w:r>
        <w:rPr/>
        <w:t>市</w:t>
      </w:r>
      <w:r>
        <w:rPr>
          <w:spacing w:val="-76"/>
        </w:rPr>
        <w:t> </w:t>
      </w:r>
      <w:r>
        <w:rPr/>
        <w:t>方</w:t>
      </w:r>
      <w:r>
        <w:rPr>
          <w:spacing w:val="-73"/>
        </w:rPr>
        <w:t> </w:t>
      </w:r>
      <w:r>
        <w:rPr/>
        <w:t>直</w:t>
      </w:r>
      <w:r>
        <w:rPr>
          <w:spacing w:val="-73"/>
        </w:rPr>
        <w:t> </w:t>
      </w:r>
      <w:r>
        <w:rPr/>
        <w:t>科</w:t>
      </w:r>
      <w:r>
        <w:rPr>
          <w:spacing w:val="-73"/>
        </w:rPr>
        <w:t> </w:t>
      </w:r>
      <w:r>
        <w:rPr/>
        <w:t>技</w:t>
      </w:r>
      <w:r>
        <w:rPr>
          <w:spacing w:val="-73"/>
        </w:rPr>
        <w:t> </w:t>
      </w:r>
      <w:r>
        <w:rPr/>
        <w:t>有</w:t>
      </w:r>
      <w:r>
        <w:rPr>
          <w:spacing w:val="-76"/>
        </w:rPr>
        <w:t> </w:t>
      </w:r>
      <w:r>
        <w:rPr/>
        <w:t>限</w:t>
      </w:r>
      <w:r>
        <w:rPr>
          <w:spacing w:val="-73"/>
        </w:rPr>
        <w:t> </w:t>
      </w:r>
      <w:r>
        <w:rPr/>
        <w:t>公</w:t>
      </w:r>
      <w:r>
        <w:rPr>
          <w:spacing w:val="-73"/>
        </w:rPr>
        <w:t> </w:t>
      </w:r>
      <w:r>
        <w:rPr/>
        <w:t>司</w:t>
      </w:r>
      <w:r>
        <w:rPr>
          <w:spacing w:val="-73"/>
        </w:rPr>
        <w:t> </w:t>
      </w:r>
      <w:r>
        <w:rPr/>
        <w:t>以</w:t>
      </w:r>
      <w:r>
        <w:rPr>
          <w:spacing w:val="-71"/>
        </w:rPr>
        <w:t> </w:t>
      </w:r>
      <w:r>
        <w:rPr/>
        <w:t>整</w:t>
      </w:r>
      <w:r>
        <w:rPr>
          <w:spacing w:val="-76"/>
        </w:rPr>
        <w:t> </w:t>
      </w:r>
      <w:r>
        <w:rPr/>
        <w:t>体</w:t>
      </w:r>
      <w:r>
        <w:rPr>
          <w:spacing w:val="-73"/>
        </w:rPr>
        <w:t> </w:t>
      </w:r>
      <w:r>
        <w:rPr/>
        <w:t>变</w:t>
      </w:r>
      <w:r>
        <w:rPr>
          <w:spacing w:val="-73"/>
        </w:rPr>
        <w:t> </w:t>
      </w:r>
      <w:r>
        <w:rPr/>
        <w:t>更</w:t>
      </w:r>
      <w:r>
        <w:rPr>
          <w:spacing w:val="-73"/>
        </w:rPr>
        <w:t> </w:t>
      </w:r>
      <w:r>
        <w:rPr/>
        <w:t>方</w:t>
      </w:r>
      <w:r>
        <w:rPr>
          <w:spacing w:val="-73"/>
        </w:rPr>
        <w:t> </w:t>
      </w:r>
      <w:r>
        <w:rPr/>
        <w:t>式</w:t>
      </w:r>
      <w:r>
        <w:rPr>
          <w:spacing w:val="-76"/>
        </w:rPr>
        <w:t> </w:t>
      </w:r>
      <w:r>
        <w:rPr/>
        <w:t>设</w:t>
      </w:r>
      <w:r>
        <w:rPr>
          <w:spacing w:val="-73"/>
        </w:rPr>
        <w:t> </w:t>
      </w:r>
      <w:r>
        <w:rPr/>
        <w:t>立</w:t>
      </w:r>
      <w:r>
        <w:rPr>
          <w:spacing w:val="-73"/>
        </w:rPr>
        <w:t> </w:t>
      </w:r>
      <w:r>
        <w:rPr/>
        <w:t>的</w:t>
      </w:r>
      <w:r>
        <w:rPr>
          <w:spacing w:val="-73"/>
        </w:rPr>
        <w:t> </w:t>
      </w:r>
      <w:r>
        <w:rPr/>
        <w:t>股</w:t>
      </w:r>
      <w:r>
        <w:rPr>
          <w:spacing w:val="-76"/>
        </w:rPr>
        <w:t> </w:t>
      </w:r>
      <w:r>
        <w:rPr/>
        <w:t>份</w:t>
      </w:r>
      <w:r>
        <w:rPr>
          <w:spacing w:val="-76"/>
        </w:rPr>
        <w:t> </w:t>
      </w:r>
      <w:r>
        <w:rPr/>
        <w:t>有</w:t>
      </w:r>
      <w:r>
        <w:rPr>
          <w:spacing w:val="-73"/>
        </w:rPr>
        <w:t> </w:t>
      </w:r>
      <w:r>
        <w:rPr/>
        <w:t>限</w:t>
      </w:r>
      <w:r>
        <w:rPr>
          <w:spacing w:val="-73"/>
        </w:rPr>
        <w:t> </w:t>
      </w:r>
      <w:r>
        <w:rPr/>
        <w:t>公</w:t>
      </w:r>
      <w:r>
        <w:rPr>
          <w:spacing w:val="-73"/>
        </w:rPr>
        <w:t> </w:t>
      </w:r>
      <w:r>
        <w:rPr/>
        <w:t>司</w:t>
      </w:r>
      <w:r>
        <w:rPr>
          <w:spacing w:val="-73"/>
        </w:rPr>
        <w:t> </w:t>
      </w:r>
      <w:r>
        <w:rPr/>
        <w:t>，</w:t>
      </w:r>
      <w:r>
        <w:rPr>
          <w:spacing w:val="-76"/>
        </w:rPr>
        <w:t> </w:t>
      </w:r>
      <w:r>
        <w:rPr/>
        <w:t>取</w:t>
      </w:r>
      <w:r>
        <w:rPr>
          <w:spacing w:val="-73"/>
        </w:rPr>
        <w:t> </w:t>
      </w:r>
      <w:r>
        <w:rPr/>
        <w:t>得</w:t>
      </w:r>
      <w:r>
        <w:rPr>
          <w:spacing w:val="-73"/>
        </w:rPr>
        <w:t> </w:t>
      </w:r>
      <w:r>
        <w:rPr/>
        <w:t>注</w:t>
      </w:r>
      <w:r>
        <w:rPr>
          <w:spacing w:val="-73"/>
        </w:rPr>
        <w:t> </w:t>
      </w:r>
      <w:r>
        <w:rPr/>
        <w:t>册</w:t>
      </w:r>
      <w:r>
        <w:rPr>
          <w:spacing w:val="-76"/>
        </w:rPr>
        <w:t> </w:t>
      </w:r>
      <w:r>
        <w:rPr/>
        <w:t>号</w:t>
      </w:r>
      <w:r>
        <w:rPr>
          <w:w w:val="100"/>
        </w:rPr>
        <w:t> </w:t>
      </w:r>
      <w:r>
        <w:rPr>
          <w:rFonts w:ascii="Times New Roman" w:hAnsi="Times New Roman" w:cs="Times New Roman" w:eastAsia="Times New Roman" w:hint="default"/>
          <w:spacing w:val="-2"/>
        </w:rPr>
        <w:t>440301103180183</w:t>
      </w:r>
      <w:r>
        <w:rPr>
          <w:spacing w:val="-2"/>
        </w:rPr>
        <w:t>《企业法人营业执照》。</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日，本公司经深圳市市场监督管理局核准，工商营</w:t>
      </w:r>
      <w:r>
        <w:rPr>
          <w:spacing w:val="-25"/>
        </w:rPr>
        <w:t> </w:t>
      </w:r>
      <w:r>
        <w:rPr>
          <w:spacing w:val="-25"/>
        </w:rPr>
      </w:r>
      <w:r>
        <w:rPr>
          <w:spacing w:val="-3"/>
        </w:rPr>
        <w:t>业执照、组织机构代码证和税务登记证三证合一，换发统一社会信用代码为</w:t>
      </w:r>
      <w:r>
        <w:rPr>
          <w:rFonts w:ascii="Times New Roman" w:hAnsi="Times New Roman" w:cs="Times New Roman" w:eastAsia="Times New Roman" w:hint="default"/>
          <w:spacing w:val="-3"/>
        </w:rPr>
        <w:t>91440300279416467B</w:t>
      </w:r>
      <w:r>
        <w:rPr>
          <w:spacing w:val="-3"/>
        </w:rPr>
        <w:t>的《营业</w:t>
      </w:r>
      <w:r>
        <w:rPr>
          <w:spacing w:val="-9"/>
        </w:rPr>
        <w:t> </w:t>
      </w:r>
      <w:r>
        <w:rPr>
          <w:spacing w:val="-9"/>
        </w:rPr>
      </w:r>
      <w:r>
        <w:rPr/>
        <w:t>执照》。</w:t>
      </w:r>
    </w:p>
    <w:p>
      <w:pPr>
        <w:pStyle w:val="BodyText"/>
        <w:spacing w:line="386" w:lineRule="auto" w:before="58"/>
        <w:ind w:right="1127" w:firstLine="420"/>
        <w:jc w:val="both"/>
      </w:pPr>
      <w:r>
        <w:rPr>
          <w:spacing w:val="-6"/>
        </w:rPr>
        <w:t>本公司前身为深圳市方直电子科技有限公司，经深圳市人民政府办公厅以深府办复（</w:t>
      </w:r>
      <w:r>
        <w:rPr>
          <w:rFonts w:ascii="Times New Roman" w:hAnsi="Times New Roman" w:cs="Times New Roman" w:eastAsia="Times New Roman" w:hint="default"/>
          <w:spacing w:val="-6"/>
        </w:rPr>
        <w:t>1992</w:t>
      </w:r>
      <w:r>
        <w:rPr>
          <w:spacing w:val="-6"/>
        </w:rPr>
        <w:t>）</w:t>
      </w:r>
      <w:r>
        <w:rPr>
          <w:rFonts w:ascii="Times New Roman" w:hAnsi="Times New Roman" w:cs="Times New Roman" w:eastAsia="Times New Roman" w:hint="default"/>
          <w:spacing w:val="-6"/>
        </w:rPr>
        <w:t>1747</w:t>
      </w:r>
      <w:r>
        <w:rPr>
          <w:spacing w:val="-6"/>
        </w:rPr>
        <w:t>号《关</w:t>
      </w:r>
      <w:r>
        <w:rPr>
          <w:w w:val="100"/>
        </w:rPr>
        <w:t> </w:t>
      </w:r>
      <w:r>
        <w:rPr>
          <w:spacing w:val="-1"/>
        </w:rPr>
        <w:t>于成立深圳市方直电子科技有限公司的批复》批准，成立于</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19</w:t>
      </w:r>
      <w:r>
        <w:rPr>
          <w:spacing w:val="-1"/>
        </w:rPr>
        <w:t>日，注册资本人民币</w:t>
      </w:r>
      <w:r>
        <w:rPr>
          <w:rFonts w:ascii="Times New Roman" w:hAnsi="Times New Roman" w:cs="Times New Roman" w:eastAsia="Times New Roman" w:hint="default"/>
          <w:spacing w:val="-1"/>
        </w:rPr>
        <w:t>30.00</w:t>
      </w:r>
      <w:r>
        <w:rPr>
          <w:spacing w:val="-1"/>
        </w:rPr>
        <w:t>万元，</w:t>
      </w:r>
      <w:r>
        <w:rPr>
          <w:spacing w:val="-29"/>
        </w:rPr>
        <w:t> </w:t>
      </w:r>
      <w:r>
        <w:rPr/>
        <w:t>由黄元忠、张竑天和陈克让各出资人民币</w:t>
      </w:r>
      <w:r>
        <w:rPr>
          <w:rFonts w:ascii="Times New Roman" w:hAnsi="Times New Roman" w:cs="Times New Roman" w:eastAsia="Times New Roman" w:hint="default"/>
        </w:rPr>
        <w:t>10.00</w:t>
      </w:r>
      <w:r>
        <w:rPr/>
        <w:t>万元设立。</w:t>
      </w:r>
    </w:p>
    <w:p>
      <w:pPr>
        <w:pStyle w:val="BodyText"/>
        <w:spacing w:line="398" w:lineRule="auto" w:before="35"/>
        <w:ind w:right="1126" w:firstLine="420"/>
        <w:jc w:val="both"/>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日，经本公司股东会决议通过，同意张竑天将所持公司股权转让给黄晓峰；同意广州保</w:t>
      </w:r>
      <w:r>
        <w:rPr>
          <w:w w:val="100"/>
        </w:rPr>
        <w:t> </w:t>
      </w:r>
      <w:r>
        <w:rPr>
          <w:spacing w:val="-2"/>
        </w:rPr>
        <w:t>税区开特科技发展有限公司、广州保税区立诚经济发展有限公司及本公司原股东对公司进行增资，增资后</w:t>
      </w:r>
      <w:r>
        <w:rPr>
          <w:spacing w:val="-44"/>
        </w:rPr>
        <w:t> </w:t>
      </w:r>
      <w:r>
        <w:rPr>
          <w:spacing w:val="-44"/>
        </w:rPr>
      </w:r>
      <w:r>
        <w:rPr/>
        <w:t>注册资本变更为人民币</w:t>
      </w:r>
      <w:r>
        <w:rPr>
          <w:rFonts w:ascii="Times New Roman" w:hAnsi="Times New Roman" w:cs="Times New Roman" w:eastAsia="Times New Roman" w:hint="default"/>
        </w:rPr>
        <w:t>395.00</w:t>
      </w:r>
      <w:r>
        <w:rPr/>
        <w:t>万元。本公司于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日完成工商变更登记。</w:t>
      </w:r>
    </w:p>
    <w:p>
      <w:pPr>
        <w:pStyle w:val="BodyText"/>
        <w:spacing w:line="386" w:lineRule="auto" w:before="24"/>
        <w:ind w:right="1133" w:firstLine="420"/>
        <w:jc w:val="both"/>
      </w:pP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日，经本公司股东会决议通过，同意深圳市菲莫斯实业发展有限公司对公司进行增资，</w:t>
      </w:r>
      <w:r>
        <w:rPr>
          <w:w w:val="100"/>
        </w:rPr>
        <w:t> </w:t>
      </w:r>
      <w:r>
        <w:rPr/>
        <w:t>增资后注册资本变更为人民币</w:t>
      </w:r>
      <w:r>
        <w:rPr>
          <w:rFonts w:ascii="Times New Roman" w:hAnsi="Times New Roman" w:cs="Times New Roman" w:eastAsia="Times New Roman" w:hint="default"/>
        </w:rPr>
        <w:t>806.12</w:t>
      </w:r>
      <w:r>
        <w:rPr/>
        <w:t>万元。本公司于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日完成工商变更登记。</w:t>
      </w:r>
    </w:p>
    <w:p>
      <w:pPr>
        <w:pStyle w:val="BodyText"/>
        <w:spacing w:line="386" w:lineRule="auto" w:before="26"/>
        <w:ind w:right="1130" w:firstLine="420"/>
        <w:jc w:val="both"/>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等线" w:hAnsi="等线" w:cs="等线" w:eastAsia="等线" w:hint="default"/>
        </w:rPr>
        <w:t>，</w:t>
      </w:r>
      <w:r>
        <w:rPr/>
        <w:t>经深圳市福田区公证处以“（</w:t>
      </w:r>
      <w:r>
        <w:rPr>
          <w:rFonts w:ascii="Times New Roman" w:hAnsi="Times New Roman" w:cs="Times New Roman" w:eastAsia="Times New Roman" w:hint="default"/>
        </w:rPr>
        <w:t>2000</w:t>
      </w:r>
      <w:r>
        <w:rPr/>
        <w:t>）深福证字第</w:t>
      </w:r>
      <w:r>
        <w:rPr>
          <w:rFonts w:ascii="Times New Roman" w:hAnsi="Times New Roman" w:cs="Times New Roman" w:eastAsia="Times New Roman" w:hint="default"/>
        </w:rPr>
        <w:t>2795</w:t>
      </w:r>
      <w:r>
        <w:rPr/>
        <w:t>号”公证书公证，深圳市菲莫斯实</w:t>
      </w:r>
      <w:r>
        <w:rPr>
          <w:w w:val="100"/>
        </w:rPr>
        <w:t> </w:t>
      </w:r>
      <w:r>
        <w:rPr/>
        <w:t>业发展有限公司将其所持公司</w:t>
      </w:r>
      <w:r>
        <w:rPr>
          <w:rFonts w:ascii="Times New Roman" w:hAnsi="Times New Roman" w:cs="Times New Roman" w:eastAsia="Times New Roman" w:hint="default"/>
        </w:rPr>
        <w:t>51%</w:t>
      </w:r>
      <w:r>
        <w:rPr/>
        <w:t>的股权转让给深圳市菲莫斯科技开发有限公司。本公司于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rFonts w:ascii="Times New Roman" w:hAnsi="Times New Roman" w:cs="Times New Roman" w:eastAsia="Times New Roman" w:hint="default"/>
          <w:spacing w:val="10"/>
        </w:rPr>
        <w:t> </w:t>
      </w:r>
      <w:r>
        <w:rPr/>
        <w:t>日完成工商变更登记。</w:t>
      </w:r>
    </w:p>
    <w:p>
      <w:pPr>
        <w:pStyle w:val="BodyText"/>
        <w:spacing w:line="386" w:lineRule="auto" w:before="65"/>
        <w:ind w:right="1092" w:firstLine="420"/>
        <w:jc w:val="both"/>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月，经深圳国际高新技术产权交易所以“深高交所见（</w:t>
      </w:r>
      <w:r>
        <w:rPr>
          <w:rFonts w:ascii="Times New Roman" w:hAnsi="Times New Roman" w:cs="Times New Roman" w:eastAsia="Times New Roman" w:hint="default"/>
        </w:rPr>
        <w:t>2005</w:t>
      </w:r>
      <w:r>
        <w:rPr/>
        <w:t>）字第</w:t>
      </w:r>
      <w:r>
        <w:rPr>
          <w:rFonts w:ascii="Times New Roman" w:hAnsi="Times New Roman" w:cs="Times New Roman" w:eastAsia="Times New Roman" w:hint="default"/>
        </w:rPr>
        <w:t>2244</w:t>
      </w:r>
      <w:r>
        <w:rPr/>
        <w:t>号”《股权转让见证</w:t>
      </w:r>
      <w:r>
        <w:rPr>
          <w:w w:val="100"/>
        </w:rPr>
        <w:t> </w:t>
      </w:r>
      <w:r>
        <w:rPr>
          <w:spacing w:val="-7"/>
        </w:rPr>
        <w:t>书》见证，深圳市金汛新世纪投资发展有限公司（原名深圳市菲莫斯科技开发有限公司）将所持公司</w:t>
      </w:r>
      <w:r>
        <w:rPr>
          <w:rFonts w:ascii="Times New Roman" w:hAnsi="Times New Roman" w:cs="Times New Roman" w:eastAsia="Times New Roman" w:hint="default"/>
          <w:spacing w:val="-7"/>
        </w:rPr>
        <w:t>51.00% </w:t>
      </w:r>
      <w:r>
        <w:rPr>
          <w:spacing w:val="-2"/>
        </w:rPr>
        <w:t>的股权转让给黄晓峰。转让后黄晓峰持股</w:t>
      </w:r>
      <w:r>
        <w:rPr>
          <w:rFonts w:ascii="Times New Roman" w:hAnsi="Times New Roman" w:cs="Times New Roman" w:eastAsia="Times New Roman" w:hint="default"/>
          <w:spacing w:val="-2"/>
        </w:rPr>
        <w:t>59.06%</w:t>
      </w:r>
      <w:r>
        <w:rPr>
          <w:spacing w:val="-2"/>
        </w:rPr>
        <w:t>。本公司于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日完成工商变更登记。同年</w:t>
      </w:r>
      <w:r>
        <w:rPr>
          <w:rFonts w:ascii="Times New Roman" w:hAnsi="Times New Roman" w:cs="Times New Roman" w:eastAsia="Times New Roman" w:hint="default"/>
          <w:spacing w:val="-2"/>
        </w:rPr>
        <w:t>8</w:t>
      </w:r>
      <w:r>
        <w:rPr>
          <w:spacing w:val="-2"/>
        </w:rPr>
        <w:t>月，</w:t>
      </w:r>
      <w:r>
        <w:rPr>
          <w:spacing w:val="-17"/>
        </w:rPr>
        <w:t> </w:t>
      </w:r>
      <w:r>
        <w:rPr/>
        <w:t>公司名称变更为</w:t>
      </w:r>
      <w:r>
        <w:rPr>
          <w:rFonts w:ascii="Times New Roman" w:hAnsi="Times New Roman" w:cs="Times New Roman" w:eastAsia="Times New Roman" w:hint="default"/>
        </w:rPr>
        <w:t>“</w:t>
      </w:r>
      <w:r>
        <w:rPr/>
        <w:t>深圳市方直科技有限公司</w:t>
      </w:r>
      <w:r>
        <w:rPr>
          <w:rFonts w:ascii="Times New Roman" w:hAnsi="Times New Roman" w:cs="Times New Roman" w:eastAsia="Times New Roman" w:hint="default"/>
        </w:rPr>
        <w:t>”</w:t>
      </w:r>
      <w:r>
        <w:rPr/>
        <w:t>。</w:t>
      </w:r>
    </w:p>
    <w:p>
      <w:pPr>
        <w:pStyle w:val="BodyText"/>
        <w:spacing w:line="386" w:lineRule="auto" w:before="35"/>
        <w:ind w:right="1128" w:firstLine="42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月，经深圳国际高新技术产权交易所以“深高交所见（</w:t>
      </w:r>
      <w:r>
        <w:rPr>
          <w:rFonts w:ascii="Times New Roman" w:hAnsi="Times New Roman" w:cs="Times New Roman" w:eastAsia="Times New Roman" w:hint="default"/>
        </w:rPr>
        <w:t>2006</w:t>
      </w:r>
      <w:r>
        <w:rPr/>
        <w:t>）字第</w:t>
      </w:r>
      <w:r>
        <w:rPr>
          <w:rFonts w:ascii="Times New Roman" w:hAnsi="Times New Roman" w:cs="Times New Roman" w:eastAsia="Times New Roman" w:hint="default"/>
        </w:rPr>
        <w:t>153</w:t>
      </w:r>
      <w:r>
        <w:rPr/>
        <w:t>号及</w:t>
      </w:r>
      <w:r>
        <w:rPr>
          <w:rFonts w:ascii="Times New Roman" w:hAnsi="Times New Roman" w:cs="Times New Roman" w:eastAsia="Times New Roman" w:hint="default"/>
        </w:rPr>
        <w:t>154</w:t>
      </w:r>
      <w:r>
        <w:rPr/>
        <w:t>号”《股权转</w:t>
      </w:r>
      <w:r>
        <w:rPr>
          <w:w w:val="100"/>
        </w:rPr>
        <w:t> </w:t>
      </w:r>
      <w:r>
        <w:rPr>
          <w:spacing w:val="-4"/>
        </w:rPr>
        <w:t>让见证书》见证，广州保税区开特科技发展有限公司及广州市立诚贸易有限公司</w:t>
      </w:r>
      <w:r>
        <w:rPr>
          <w:rFonts w:ascii="Times New Roman" w:hAnsi="Times New Roman" w:cs="Times New Roman" w:eastAsia="Times New Roman" w:hint="default"/>
          <w:spacing w:val="-4"/>
        </w:rPr>
        <w:t>(</w:t>
      </w:r>
      <w:r>
        <w:rPr>
          <w:spacing w:val="-4"/>
        </w:rPr>
        <w:t>原名广州保税区立诚经济</w:t>
      </w:r>
      <w:r>
        <w:rPr>
          <w:spacing w:val="-19"/>
        </w:rPr>
        <w:t> </w:t>
      </w:r>
      <w:r>
        <w:rPr>
          <w:spacing w:val="-19"/>
        </w:rPr>
      </w:r>
      <w:r>
        <w:rPr>
          <w:spacing w:val="-2"/>
        </w:rPr>
        <w:t>发展有限公司</w:t>
      </w:r>
      <w:r>
        <w:rPr>
          <w:rFonts w:ascii="Times New Roman" w:hAnsi="Times New Roman" w:cs="Times New Roman" w:eastAsia="Times New Roman" w:hint="default"/>
          <w:spacing w:val="-2"/>
        </w:rPr>
        <w:t>)</w:t>
      </w:r>
      <w:r>
        <w:rPr>
          <w:spacing w:val="-2"/>
        </w:rPr>
        <w:t>分别将所持公司</w:t>
      </w:r>
      <w:r>
        <w:rPr>
          <w:rFonts w:ascii="Times New Roman" w:hAnsi="Times New Roman" w:cs="Times New Roman" w:eastAsia="Times New Roman" w:hint="default"/>
          <w:spacing w:val="-2"/>
        </w:rPr>
        <w:t>12.41%</w:t>
      </w:r>
      <w:r>
        <w:rPr>
          <w:spacing w:val="-2"/>
        </w:rPr>
        <w:t>的股权转让给黄晓峰。转让后黄晓峰持股</w:t>
      </w:r>
      <w:r>
        <w:rPr>
          <w:rFonts w:ascii="Times New Roman" w:hAnsi="Times New Roman" w:cs="Times New Roman" w:eastAsia="Times New Roman" w:hint="default"/>
          <w:spacing w:val="-2"/>
        </w:rPr>
        <w:t>83.88%</w:t>
      </w:r>
      <w:r>
        <w:rPr>
          <w:spacing w:val="-2"/>
        </w:rPr>
        <w:t>。本公司于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22"/>
        </w:rPr>
        <w:t> </w:t>
      </w:r>
      <w:r>
        <w:rPr/>
        <w:t>月</w:t>
      </w:r>
      <w:r>
        <w:rPr>
          <w:rFonts w:ascii="Times New Roman" w:hAnsi="Times New Roman" w:cs="Times New Roman" w:eastAsia="Times New Roman" w:hint="default"/>
        </w:rPr>
        <w:t>19</w:t>
      </w:r>
      <w:r>
        <w:rPr/>
        <w:t>日完成工商变更登记。</w:t>
      </w:r>
    </w:p>
    <w:p>
      <w:pPr>
        <w:pStyle w:val="BodyText"/>
        <w:spacing w:line="386" w:lineRule="auto" w:before="35"/>
        <w:ind w:right="995" w:firstLine="420"/>
        <w:jc w:val="left"/>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2</w:t>
      </w:r>
      <w:r>
        <w:rPr>
          <w:spacing w:val="-4"/>
        </w:rPr>
        <w:t>月，经深圳国际高新技术产权交易所以“深高交所见（</w:t>
      </w:r>
      <w:r>
        <w:rPr>
          <w:rFonts w:ascii="Times New Roman" w:hAnsi="Times New Roman" w:cs="Times New Roman" w:eastAsia="Times New Roman" w:hint="default"/>
          <w:spacing w:val="-4"/>
        </w:rPr>
        <w:t>2006</w:t>
      </w:r>
      <w:r>
        <w:rPr>
          <w:spacing w:val="-4"/>
        </w:rPr>
        <w:t>）字第</w:t>
      </w:r>
      <w:r>
        <w:rPr>
          <w:rFonts w:ascii="Times New Roman" w:hAnsi="Times New Roman" w:cs="Times New Roman" w:eastAsia="Times New Roman" w:hint="default"/>
          <w:spacing w:val="-4"/>
        </w:rPr>
        <w:t>468</w:t>
      </w:r>
      <w:r>
        <w:rPr>
          <w:spacing w:val="-4"/>
        </w:rPr>
        <w:t>号”《股权转让见证书》</w:t>
      </w:r>
      <w:r>
        <w:rPr>
          <w:w w:val="100"/>
        </w:rPr>
        <w:t> </w:t>
      </w:r>
      <w:r>
        <w:rPr>
          <w:spacing w:val="-3"/>
        </w:rPr>
        <w:t>见证，黄晓峰将所持公司</w:t>
      </w:r>
      <w:r>
        <w:rPr>
          <w:rFonts w:ascii="Times New Roman" w:hAnsi="Times New Roman" w:cs="Times New Roman" w:eastAsia="Times New Roman" w:hint="default"/>
          <w:spacing w:val="-3"/>
        </w:rPr>
        <w:t>25.94%</w:t>
      </w:r>
      <w:r>
        <w:rPr>
          <w:spacing w:val="-3"/>
        </w:rPr>
        <w:t>的股权转让给黄元忠，将所持公司</w:t>
      </w:r>
      <w:r>
        <w:rPr>
          <w:rFonts w:ascii="Times New Roman" w:hAnsi="Times New Roman" w:cs="Times New Roman" w:eastAsia="Times New Roman" w:hint="default"/>
          <w:spacing w:val="-3"/>
        </w:rPr>
        <w:t>24.94%</w:t>
      </w:r>
      <w:r>
        <w:rPr>
          <w:spacing w:val="-3"/>
        </w:rPr>
        <w:t>的股权转让给陈克让，转让后黄</w:t>
      </w:r>
      <w:r>
        <w:rPr>
          <w:spacing w:val="-18"/>
        </w:rPr>
        <w:t> </w:t>
      </w:r>
      <w:r>
        <w:rPr>
          <w:spacing w:val="-18"/>
        </w:rPr>
      </w:r>
      <w:r>
        <w:rPr/>
        <w:t>晓峰持股</w:t>
      </w:r>
      <w:r>
        <w:rPr>
          <w:rFonts w:ascii="Times New Roman" w:hAnsi="Times New Roman" w:cs="Times New Roman" w:eastAsia="Times New Roman" w:hint="default"/>
        </w:rPr>
        <w:t>33.00%</w:t>
      </w:r>
      <w:r>
        <w:rPr/>
        <w:t>，黄元忠持股</w:t>
      </w:r>
      <w:r>
        <w:rPr>
          <w:rFonts w:ascii="Times New Roman" w:hAnsi="Times New Roman" w:cs="Times New Roman" w:eastAsia="Times New Roman" w:hint="default"/>
        </w:rPr>
        <w:t>34.00%</w:t>
      </w:r>
      <w:r>
        <w:rPr/>
        <w:t>，陈克让持股</w:t>
      </w:r>
      <w:r>
        <w:rPr>
          <w:rFonts w:ascii="Times New Roman" w:hAnsi="Times New Roman" w:cs="Times New Roman" w:eastAsia="Times New Roman" w:hint="default"/>
        </w:rPr>
        <w:t>33.00%</w:t>
      </w:r>
      <w:r>
        <w:rPr/>
        <w:t>。本公司于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日完成工商变更登记。</w:t>
      </w:r>
    </w:p>
    <w:p>
      <w:pPr>
        <w:spacing w:after="0" w:line="386" w:lineRule="auto"/>
        <w:jc w:val="left"/>
        <w:sectPr>
          <w:headerReference w:type="default" r:id="rId44"/>
          <w:footerReference w:type="default" r:id="rId45"/>
          <w:pgSz w:w="11910" w:h="16840"/>
          <w:pgMar w:header="880" w:footer="979" w:top="1060" w:bottom="1160" w:left="980" w:right="0"/>
          <w:pgNumType w:start="100"/>
        </w:sectPr>
      </w:pPr>
    </w:p>
    <w:p>
      <w:pPr>
        <w:spacing w:line="240" w:lineRule="auto" w:before="12"/>
        <w:rPr>
          <w:rFonts w:ascii="宋体" w:hAnsi="宋体" w:cs="宋体" w:eastAsia="宋体" w:hint="default"/>
          <w:sz w:val="26"/>
          <w:szCs w:val="26"/>
        </w:rPr>
      </w:pPr>
    </w:p>
    <w:p>
      <w:pPr>
        <w:pStyle w:val="BodyText"/>
        <w:spacing w:line="386" w:lineRule="auto" w:before="36"/>
        <w:ind w:right="1025" w:firstLine="42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日，经本公司股东会决议通过，同意黄元忠和黄晓峰分别将其</w:t>
      </w:r>
      <w:r>
        <w:rPr>
          <w:rFonts w:ascii="Times New Roman" w:hAnsi="Times New Roman" w:cs="Times New Roman" w:eastAsia="Times New Roman" w:hint="default"/>
        </w:rPr>
        <w:t>1.70%</w:t>
      </w:r>
      <w:r>
        <w:rPr/>
        <w:t>和</w:t>
      </w:r>
      <w:r>
        <w:rPr>
          <w:rFonts w:ascii="Times New Roman" w:hAnsi="Times New Roman" w:cs="Times New Roman" w:eastAsia="Times New Roman" w:hint="default"/>
        </w:rPr>
        <w:t>1.20%</w:t>
      </w:r>
      <w:r>
        <w:rPr/>
        <w:t>的股权转让</w:t>
      </w:r>
      <w:r>
        <w:rPr>
          <w:w w:val="100"/>
        </w:rPr>
        <w:t> </w:t>
      </w:r>
      <w:r>
        <w:rPr/>
        <w:t>给张文凯；黄晓峰和陈克让分别将其</w:t>
      </w:r>
      <w:r>
        <w:rPr>
          <w:rFonts w:ascii="Times New Roman" w:hAnsi="Times New Roman" w:cs="Times New Roman" w:eastAsia="Times New Roman" w:hint="default"/>
        </w:rPr>
        <w:t>2.972%</w:t>
      </w:r>
      <w:r>
        <w:rPr/>
        <w:t>和</w:t>
      </w:r>
      <w:r>
        <w:rPr>
          <w:rFonts w:ascii="Times New Roman" w:hAnsi="Times New Roman" w:cs="Times New Roman" w:eastAsia="Times New Roman" w:hint="default"/>
        </w:rPr>
        <w:t>0.70%</w:t>
      </w:r>
      <w:r>
        <w:rPr/>
        <w:t>的股权转让给孙晓玲；黄晓峰将其</w:t>
      </w:r>
      <w:r>
        <w:rPr>
          <w:rFonts w:ascii="Times New Roman" w:hAnsi="Times New Roman" w:cs="Times New Roman" w:eastAsia="Times New Roman" w:hint="default"/>
        </w:rPr>
        <w:t>0.259%</w:t>
      </w:r>
      <w:r>
        <w:rPr/>
        <w:t>的股权转让</w:t>
      </w:r>
      <w:r>
        <w:rPr>
          <w:spacing w:val="-79"/>
        </w:rPr>
        <w:t> </w:t>
      </w:r>
      <w:r>
        <w:rPr>
          <w:spacing w:val="-79"/>
        </w:rPr>
      </w:r>
      <w:r>
        <w:rPr/>
        <w:t>给吴文峰；陈克让将其</w:t>
      </w:r>
      <w:r>
        <w:rPr>
          <w:rFonts w:ascii="Times New Roman" w:hAnsi="Times New Roman" w:cs="Times New Roman" w:eastAsia="Times New Roman" w:hint="default"/>
        </w:rPr>
        <w:t>3.472%</w:t>
      </w:r>
      <w:r>
        <w:rPr/>
        <w:t>的股权转让给杨颖；并同意深圳市戈尔登投资有限公司以货币资金人民币</w:t>
      </w:r>
      <w:r>
        <w:rPr>
          <w:spacing w:val="47"/>
        </w:rPr>
        <w:t> </w:t>
      </w:r>
      <w:r>
        <w:rPr>
          <w:spacing w:val="47"/>
        </w:rPr>
      </w:r>
      <w:r>
        <w:rPr>
          <w:rFonts w:ascii="Times New Roman" w:hAnsi="Times New Roman" w:cs="Times New Roman" w:eastAsia="Times New Roman" w:hint="default"/>
        </w:rPr>
        <w:t>232.00</w:t>
      </w:r>
      <w:r>
        <w:rPr/>
        <w:t>万元对本公司进行增资。其中，</w:t>
      </w:r>
      <w:r>
        <w:rPr>
          <w:rFonts w:ascii="Times New Roman" w:hAnsi="Times New Roman" w:cs="Times New Roman" w:eastAsia="Times New Roman" w:hint="default"/>
        </w:rPr>
        <w:t>55.53</w:t>
      </w:r>
      <w:r>
        <w:rPr/>
        <w:t>万元为新增注册资本，其余部分</w:t>
      </w:r>
      <w:r>
        <w:rPr>
          <w:rFonts w:ascii="Times New Roman" w:hAnsi="Times New Roman" w:cs="Times New Roman" w:eastAsia="Times New Roman" w:hint="default"/>
        </w:rPr>
        <w:t>176.47</w:t>
      </w:r>
      <w:r>
        <w:rPr/>
        <w:t>万元为资本公积。深圳</w:t>
      </w:r>
      <w:r>
        <w:rPr>
          <w:spacing w:val="-78"/>
        </w:rPr>
        <w:t> </w:t>
      </w:r>
      <w:r>
        <w:rPr>
          <w:spacing w:val="-78"/>
        </w:rPr>
      </w:r>
      <w:r>
        <w:rPr/>
        <w:t>国际高新技术产权交易所分别于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日出具深高交所见（</w:t>
      </w:r>
      <w:r>
        <w:rPr>
          <w:rFonts w:ascii="Times New Roman" w:hAnsi="Times New Roman" w:cs="Times New Roman" w:eastAsia="Times New Roman" w:hint="default"/>
        </w:rPr>
        <w:t>2009</w:t>
      </w:r>
      <w:r>
        <w:rPr/>
        <w:t>）字第</w:t>
      </w:r>
      <w:r>
        <w:rPr>
          <w:rFonts w:ascii="Times New Roman" w:hAnsi="Times New Roman" w:cs="Times New Roman" w:eastAsia="Times New Roman" w:hint="default"/>
        </w:rPr>
        <w:t>03381</w:t>
      </w:r>
      <w:r>
        <w:rPr/>
        <w:t>号和</w:t>
      </w:r>
      <w:r>
        <w:rPr>
          <w:spacing w:val="-26"/>
        </w:rPr>
        <w:t> </w:t>
      </w:r>
      <w:r>
        <w:rPr>
          <w:spacing w:val="-2"/>
        </w:rPr>
        <w:t>深高交所见（</w:t>
      </w:r>
      <w:r>
        <w:rPr>
          <w:rFonts w:ascii="Times New Roman" w:hAnsi="Times New Roman" w:cs="Times New Roman" w:eastAsia="Times New Roman" w:hint="default"/>
          <w:spacing w:val="-2"/>
        </w:rPr>
        <w:t>2009</w:t>
      </w:r>
      <w:r>
        <w:rPr>
          <w:spacing w:val="-2"/>
        </w:rPr>
        <w:t>）字第</w:t>
      </w:r>
      <w:r>
        <w:rPr>
          <w:rFonts w:ascii="Times New Roman" w:hAnsi="Times New Roman" w:cs="Times New Roman" w:eastAsia="Times New Roman" w:hint="default"/>
          <w:spacing w:val="-2"/>
        </w:rPr>
        <w:t>03912</w:t>
      </w:r>
      <w:r>
        <w:rPr>
          <w:spacing w:val="-2"/>
        </w:rPr>
        <w:t>号《股权转让见证书》，对上述股权转让事宜予以见证。本公司于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21"/>
        </w:rPr>
        <w:t> </w:t>
      </w:r>
      <w:r>
        <w:rPr/>
        <w:t>月</w:t>
      </w:r>
      <w:r>
        <w:rPr>
          <w:rFonts w:ascii="Times New Roman" w:hAnsi="Times New Roman" w:cs="Times New Roman" w:eastAsia="Times New Roman" w:hint="default"/>
        </w:rPr>
        <w:t>25</w:t>
      </w:r>
      <w:r>
        <w:rPr/>
        <w:t>日完成工商变更登记</w:t>
      </w:r>
      <w:r>
        <w:rPr>
          <w:rFonts w:ascii="Times New Roman" w:hAnsi="Times New Roman" w:cs="Times New Roman" w:eastAsia="Times New Roman" w:hint="default"/>
        </w:rPr>
        <w:t>,</w:t>
      </w:r>
      <w:r>
        <w:rPr/>
        <w:t>变更后黄元忠持股</w:t>
      </w:r>
      <w:r>
        <w:rPr>
          <w:rFonts w:ascii="Times New Roman" w:hAnsi="Times New Roman" w:cs="Times New Roman" w:eastAsia="Times New Roman" w:hint="default"/>
        </w:rPr>
        <w:t>30.20%</w:t>
      </w:r>
      <w:r>
        <w:rPr/>
        <w:t>，黄晓峰持股</w:t>
      </w:r>
      <w:r>
        <w:rPr>
          <w:rFonts w:ascii="Times New Roman" w:hAnsi="Times New Roman" w:cs="Times New Roman" w:eastAsia="Times New Roman" w:hint="default"/>
        </w:rPr>
        <w:t>26.75%</w:t>
      </w:r>
      <w:r>
        <w:rPr/>
        <w:t>，陈克让持股</w:t>
      </w:r>
      <w:r>
        <w:rPr>
          <w:rFonts w:ascii="Times New Roman" w:hAnsi="Times New Roman" w:cs="Times New Roman" w:eastAsia="Times New Roman" w:hint="default"/>
        </w:rPr>
        <w:t>26.75%</w:t>
      </w:r>
      <w:r>
        <w:rPr/>
        <w:t>，孙晓玲持</w:t>
      </w:r>
      <w:r>
        <w:rPr>
          <w:spacing w:val="-27"/>
        </w:rPr>
        <w:t> </w:t>
      </w:r>
      <w:r>
        <w:rPr>
          <w:spacing w:val="-27"/>
        </w:rPr>
      </w:r>
      <w:r>
        <w:rPr>
          <w:spacing w:val="-4"/>
        </w:rPr>
        <w:t>股</w:t>
      </w:r>
      <w:r>
        <w:rPr>
          <w:rFonts w:ascii="Times New Roman" w:hAnsi="Times New Roman" w:cs="Times New Roman" w:eastAsia="Times New Roman" w:hint="default"/>
          <w:spacing w:val="-4"/>
        </w:rPr>
        <w:t>3.44%</w:t>
      </w:r>
      <w:r>
        <w:rPr>
          <w:spacing w:val="-4"/>
        </w:rPr>
        <w:t>，张文凯持股</w:t>
      </w:r>
      <w:r>
        <w:rPr>
          <w:rFonts w:ascii="Times New Roman" w:hAnsi="Times New Roman" w:cs="Times New Roman" w:eastAsia="Times New Roman" w:hint="default"/>
          <w:spacing w:val="-4"/>
        </w:rPr>
        <w:t>2.72%</w:t>
      </w:r>
      <w:r>
        <w:rPr>
          <w:spacing w:val="-4"/>
        </w:rPr>
        <w:t>，杨颖持股</w:t>
      </w:r>
      <w:r>
        <w:rPr>
          <w:rFonts w:ascii="Times New Roman" w:hAnsi="Times New Roman" w:cs="Times New Roman" w:eastAsia="Times New Roman" w:hint="default"/>
          <w:spacing w:val="-4"/>
        </w:rPr>
        <w:t>3.21%</w:t>
      </w:r>
      <w:r>
        <w:rPr>
          <w:spacing w:val="-4"/>
        </w:rPr>
        <w:t>，吴文峰持股</w:t>
      </w:r>
      <w:r>
        <w:rPr>
          <w:rFonts w:ascii="Times New Roman" w:hAnsi="Times New Roman" w:cs="Times New Roman" w:eastAsia="Times New Roman" w:hint="default"/>
          <w:spacing w:val="-4"/>
        </w:rPr>
        <w:t>0.49%</w:t>
      </w:r>
      <w:r>
        <w:rPr>
          <w:spacing w:val="-4"/>
        </w:rPr>
        <w:t>，深圳市戈尔登投资有限公司持股</w:t>
      </w:r>
      <w:r>
        <w:rPr>
          <w:rFonts w:ascii="Times New Roman" w:hAnsi="Times New Roman" w:cs="Times New Roman" w:eastAsia="Times New Roman" w:hint="default"/>
          <w:spacing w:val="-4"/>
        </w:rPr>
        <w:t>6.44%</w:t>
      </w:r>
      <w:r>
        <w:rPr>
          <w:spacing w:val="-4"/>
        </w:rPr>
        <w:t>。</w:t>
      </w:r>
    </w:p>
    <w:p>
      <w:pPr>
        <w:pStyle w:val="BodyText"/>
        <w:spacing w:line="386" w:lineRule="auto" w:before="36"/>
        <w:ind w:right="1128" w:firstLine="420"/>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日，黄元忠等</w:t>
      </w:r>
      <w:r>
        <w:rPr>
          <w:rFonts w:ascii="Times New Roman" w:hAnsi="Times New Roman" w:cs="Times New Roman" w:eastAsia="Times New Roman" w:hint="default"/>
          <w:spacing w:val="-2"/>
        </w:rPr>
        <w:t>7</w:t>
      </w:r>
      <w:r>
        <w:rPr>
          <w:spacing w:val="-2"/>
        </w:rPr>
        <w:t>位自然人和深圳市戈尔登投资有限公司签署发起人协议，本公司由有限责</w:t>
      </w:r>
      <w:r>
        <w:rPr>
          <w:w w:val="100"/>
        </w:rPr>
        <w:t> </w:t>
      </w:r>
      <w:r>
        <w:rPr/>
        <w:t>任公司整体变更为股份有限公司。本公司根据截止</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日经审计的净资产折股，注册资本变更为</w:t>
      </w:r>
      <w:r>
        <w:rPr>
          <w:spacing w:val="-27"/>
        </w:rPr>
        <w:t> </w:t>
      </w:r>
      <w:r>
        <w:rPr>
          <w:spacing w:val="-27"/>
        </w:rPr>
      </w:r>
      <w:r>
        <w:rPr>
          <w:rFonts w:ascii="Times New Roman" w:hAnsi="Times New Roman" w:cs="Times New Roman" w:eastAsia="Times New Roman" w:hint="default"/>
        </w:rPr>
        <w:t>3,300.00</w:t>
      </w:r>
      <w:r>
        <w:rPr/>
        <w:t>万元。本公司于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日完成工商变更登记。</w:t>
      </w:r>
    </w:p>
    <w:p>
      <w:pPr>
        <w:pStyle w:val="BodyText"/>
        <w:spacing w:line="386" w:lineRule="auto" w:before="35"/>
        <w:ind w:right="995" w:firstLine="42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日，经本公司</w:t>
      </w:r>
      <w:r>
        <w:rPr>
          <w:rFonts w:ascii="Times New Roman" w:hAnsi="Times New Roman" w:cs="Times New Roman" w:eastAsia="Times New Roman" w:hint="default"/>
        </w:rPr>
        <w:t>2010</w:t>
      </w:r>
      <w:r>
        <w:rPr/>
        <w:t>年第二次临时股东大会决议通过，同意黄晓峰将其</w:t>
      </w:r>
      <w:r>
        <w:rPr>
          <w:rFonts w:ascii="Times New Roman" w:hAnsi="Times New Roman" w:cs="Times New Roman" w:eastAsia="Times New Roman" w:hint="default"/>
        </w:rPr>
        <w:t>5%</w:t>
      </w:r>
      <w:r>
        <w:rPr/>
        <w:t>的股权转让给平</w:t>
      </w:r>
      <w:r>
        <w:rPr>
          <w:w w:val="100"/>
        </w:rPr>
        <w:t> </w:t>
      </w:r>
      <w:r>
        <w:rPr>
          <w:spacing w:val="-4"/>
        </w:rPr>
        <w:t>安财智投资管理有限公司；陈克让将其</w:t>
      </w:r>
      <w:r>
        <w:rPr>
          <w:rFonts w:ascii="Times New Roman" w:hAnsi="Times New Roman" w:cs="Times New Roman" w:eastAsia="Times New Roman" w:hint="default"/>
          <w:spacing w:val="-4"/>
        </w:rPr>
        <w:t>5%</w:t>
      </w:r>
      <w:r>
        <w:rPr>
          <w:spacing w:val="-4"/>
        </w:rPr>
        <w:t>的股权转让给深圳市融元创业投资有限责任公司。本公司于</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日完成工商变更登记</w:t>
      </w:r>
      <w:r>
        <w:rPr>
          <w:rFonts w:ascii="Times New Roman" w:hAnsi="Times New Roman" w:cs="Times New Roman" w:eastAsia="Times New Roman" w:hint="default"/>
          <w:spacing w:val="-2"/>
        </w:rPr>
        <w:t>,</w:t>
      </w:r>
      <w:r>
        <w:rPr>
          <w:spacing w:val="-2"/>
        </w:rPr>
        <w:t>变更后黄元忠持股</w:t>
      </w:r>
      <w:r>
        <w:rPr>
          <w:rFonts w:ascii="Times New Roman" w:hAnsi="Times New Roman" w:cs="Times New Roman" w:eastAsia="Times New Roman" w:hint="default"/>
          <w:spacing w:val="-2"/>
        </w:rPr>
        <w:t>30.20%</w:t>
      </w:r>
      <w:r>
        <w:rPr>
          <w:spacing w:val="-2"/>
        </w:rPr>
        <w:t>、黄晓峰持股</w:t>
      </w:r>
      <w:r>
        <w:rPr>
          <w:rFonts w:ascii="Times New Roman" w:hAnsi="Times New Roman" w:cs="Times New Roman" w:eastAsia="Times New Roman" w:hint="default"/>
          <w:spacing w:val="-2"/>
        </w:rPr>
        <w:t>21.75%</w:t>
      </w:r>
      <w:r>
        <w:rPr>
          <w:spacing w:val="-2"/>
        </w:rPr>
        <w:t>、陈克让持股</w:t>
      </w:r>
      <w:r>
        <w:rPr>
          <w:rFonts w:ascii="Times New Roman" w:hAnsi="Times New Roman" w:cs="Times New Roman" w:eastAsia="Times New Roman" w:hint="default"/>
          <w:spacing w:val="-2"/>
        </w:rPr>
        <w:t>21.75%</w:t>
      </w:r>
      <w:r>
        <w:rPr>
          <w:spacing w:val="-2"/>
        </w:rPr>
        <w:t>、孙晓玲</w:t>
      </w:r>
      <w:r>
        <w:rPr>
          <w:spacing w:val="-28"/>
        </w:rPr>
        <w:t> </w:t>
      </w:r>
      <w:r>
        <w:rPr>
          <w:spacing w:val="-28"/>
        </w:rPr>
      </w:r>
      <w:r>
        <w:rPr>
          <w:spacing w:val="-7"/>
        </w:rPr>
        <w:t>持股</w:t>
      </w:r>
      <w:r>
        <w:rPr>
          <w:rFonts w:ascii="Times New Roman" w:hAnsi="Times New Roman" w:cs="Times New Roman" w:eastAsia="Times New Roman" w:hint="default"/>
          <w:spacing w:val="-7"/>
        </w:rPr>
        <w:t>3.44%</w:t>
      </w:r>
      <w:r>
        <w:rPr>
          <w:spacing w:val="-7"/>
        </w:rPr>
        <w:t>、张文凯持股</w:t>
      </w:r>
      <w:r>
        <w:rPr>
          <w:rFonts w:ascii="Times New Roman" w:hAnsi="Times New Roman" w:cs="Times New Roman" w:eastAsia="Times New Roman" w:hint="default"/>
          <w:spacing w:val="-7"/>
        </w:rPr>
        <w:t>2.72%</w:t>
      </w:r>
      <w:r>
        <w:rPr>
          <w:spacing w:val="-7"/>
        </w:rPr>
        <w:t>、杨颖持股</w:t>
      </w:r>
      <w:r>
        <w:rPr>
          <w:rFonts w:ascii="Times New Roman" w:hAnsi="Times New Roman" w:cs="Times New Roman" w:eastAsia="Times New Roman" w:hint="default"/>
          <w:spacing w:val="-7"/>
        </w:rPr>
        <w:t>3.21%</w:t>
      </w:r>
      <w:r>
        <w:rPr>
          <w:spacing w:val="-7"/>
        </w:rPr>
        <w:t>、吴文峰持股</w:t>
      </w:r>
      <w:r>
        <w:rPr>
          <w:rFonts w:ascii="Times New Roman" w:hAnsi="Times New Roman" w:cs="Times New Roman" w:eastAsia="Times New Roman" w:hint="default"/>
          <w:spacing w:val="-7"/>
        </w:rPr>
        <w:t>0.49%</w:t>
      </w:r>
      <w:r>
        <w:rPr>
          <w:spacing w:val="-7"/>
        </w:rPr>
        <w:t>、深圳市戈尔登投资有限公司持股</w:t>
      </w:r>
      <w:r>
        <w:rPr>
          <w:rFonts w:ascii="Times New Roman" w:hAnsi="Times New Roman" w:cs="Times New Roman" w:eastAsia="Times New Roman" w:hint="default"/>
          <w:spacing w:val="-7"/>
        </w:rPr>
        <w:t>6.44%</w:t>
      </w:r>
      <w:r>
        <w:rPr>
          <w:spacing w:val="-7"/>
        </w:rPr>
        <w:t>、</w:t>
      </w:r>
      <w:r>
        <w:rPr>
          <w:spacing w:val="-21"/>
        </w:rPr>
        <w:t> </w:t>
      </w:r>
      <w:r>
        <w:rPr/>
        <w:t>平安财智投资管理有限公司持股</w:t>
      </w:r>
      <w:r>
        <w:rPr>
          <w:rFonts w:ascii="Times New Roman" w:hAnsi="Times New Roman" w:cs="Times New Roman" w:eastAsia="Times New Roman" w:hint="default"/>
        </w:rPr>
        <w:t>5.00%</w:t>
      </w:r>
      <w:r>
        <w:rPr/>
        <w:t>、深圳市融元创业投资有限责任公司持股</w:t>
      </w:r>
      <w:r>
        <w:rPr>
          <w:rFonts w:ascii="Times New Roman" w:hAnsi="Times New Roman" w:cs="Times New Roman" w:eastAsia="Times New Roman" w:hint="default"/>
        </w:rPr>
        <w:t>5.00%</w:t>
      </w:r>
      <w:r>
        <w:rPr/>
        <w:t>。</w:t>
      </w:r>
    </w:p>
    <w:p>
      <w:pPr>
        <w:pStyle w:val="BodyText"/>
        <w:spacing w:line="386" w:lineRule="auto" w:before="35"/>
        <w:ind w:right="1104" w:firstLine="420"/>
        <w:jc w:val="both"/>
      </w:pPr>
      <w:r>
        <w:rPr>
          <w:spacing w:val="-3"/>
        </w:rPr>
        <w:t>经中国证券监督管理委员会证监许可</w:t>
      </w:r>
      <w:r>
        <w:rPr>
          <w:rFonts w:ascii="Times New Roman" w:hAnsi="Times New Roman" w:cs="Times New Roman" w:eastAsia="Times New Roman" w:hint="default"/>
          <w:spacing w:val="-3"/>
        </w:rPr>
        <w:t>[2011]901</w:t>
      </w:r>
      <w:r>
        <w:rPr>
          <w:spacing w:val="-3"/>
        </w:rPr>
        <w:t>号文核准，并经深圳证券交易所同意，本公司由主承销</w:t>
      </w:r>
      <w:r>
        <w:rPr>
          <w:w w:val="100"/>
        </w:rPr>
        <w:t> </w:t>
      </w:r>
      <w:r>
        <w:rPr>
          <w:spacing w:val="-2"/>
        </w:rPr>
        <w:t>商平安证券有限责任公司于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日向社会公众公开发行普通股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w:t>
      </w:r>
      <w:r>
        <w:rPr>
          <w:spacing w:val="-2"/>
        </w:rPr>
        <w:t>股票</w:t>
      </w:r>
      <w:r>
        <w:rPr>
          <w:rFonts w:ascii="Times New Roman" w:hAnsi="Times New Roman" w:cs="Times New Roman" w:eastAsia="Times New Roman" w:hint="default"/>
          <w:spacing w:val="-2"/>
        </w:rPr>
        <w:t>1,100</w:t>
      </w:r>
      <w:r>
        <w:rPr>
          <w:spacing w:val="-2"/>
        </w:rPr>
        <w:t>万股，每股面值</w:t>
      </w:r>
      <w:r>
        <w:rPr>
          <w:rFonts w:ascii="Times New Roman" w:hAnsi="Times New Roman" w:cs="Times New Roman" w:eastAsia="Times New Roman" w:hint="default"/>
          <w:spacing w:val="-2"/>
        </w:rPr>
        <w:t>1.00</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spacing w:val="-2"/>
        </w:rPr>
        <w:t>元，每股发行价人民币</w:t>
      </w:r>
      <w:r>
        <w:rPr>
          <w:rFonts w:ascii="Times New Roman" w:hAnsi="Times New Roman" w:cs="Times New Roman" w:eastAsia="Times New Roman" w:hint="default"/>
          <w:spacing w:val="-2"/>
        </w:rPr>
        <w:t>19.60</w:t>
      </w:r>
      <w:r>
        <w:rPr>
          <w:spacing w:val="-2"/>
        </w:rPr>
        <w:t>元。此次公开发行共募集资金</w:t>
      </w:r>
      <w:r>
        <w:rPr>
          <w:rFonts w:ascii="Times New Roman" w:hAnsi="Times New Roman" w:cs="Times New Roman" w:eastAsia="Times New Roman" w:hint="default"/>
          <w:spacing w:val="-2"/>
        </w:rPr>
        <w:t>21,560.00</w:t>
      </w:r>
      <w:r>
        <w:rPr>
          <w:spacing w:val="-2"/>
        </w:rPr>
        <w:t>万元，扣除发行费用</w:t>
      </w:r>
      <w:r>
        <w:rPr>
          <w:rFonts w:ascii="Times New Roman" w:hAnsi="Times New Roman" w:cs="Times New Roman" w:eastAsia="Times New Roman" w:hint="default"/>
          <w:spacing w:val="-2"/>
        </w:rPr>
        <w:t>29,967,169.30</w:t>
      </w:r>
      <w:r>
        <w:rPr>
          <w:spacing w:val="-2"/>
        </w:rPr>
        <w:t>元，</w:t>
      </w:r>
      <w:r>
        <w:rPr>
          <w:spacing w:val="7"/>
        </w:rPr>
        <w:t> </w:t>
      </w:r>
      <w:r>
        <w:rPr>
          <w:spacing w:val="-1"/>
        </w:rPr>
        <w:t>募集资金净额</w:t>
      </w:r>
      <w:r>
        <w:rPr>
          <w:rFonts w:ascii="Times New Roman" w:hAnsi="Times New Roman" w:cs="Times New Roman" w:eastAsia="Times New Roman" w:hint="default"/>
          <w:spacing w:val="-1"/>
        </w:rPr>
        <w:t>185,632,830.70</w:t>
      </w:r>
      <w:r>
        <w:rPr>
          <w:spacing w:val="-1"/>
        </w:rPr>
        <w:t>元，经此次发行，注册资本变更为人民币</w:t>
      </w:r>
      <w:r>
        <w:rPr>
          <w:rFonts w:ascii="Times New Roman" w:hAnsi="Times New Roman" w:cs="Times New Roman" w:eastAsia="Times New Roman" w:hint="default"/>
          <w:spacing w:val="-1"/>
        </w:rPr>
        <w:t>4,400.00</w:t>
      </w:r>
      <w:r>
        <w:rPr>
          <w:spacing w:val="-1"/>
        </w:rPr>
        <w:t>万元，此次增资业经立信大</w:t>
      </w:r>
      <w:r>
        <w:rPr>
          <w:spacing w:val="-22"/>
        </w:rPr>
        <w:t> </w:t>
      </w:r>
      <w:r>
        <w:rPr>
          <w:spacing w:val="-22"/>
        </w:rPr>
      </w:r>
      <w:r>
        <w:rPr/>
        <w:t>华会计师事务所有限公司“立信大华验字</w:t>
      </w:r>
      <w:r>
        <w:rPr>
          <w:rFonts w:ascii="Times New Roman" w:hAnsi="Times New Roman" w:cs="Times New Roman" w:eastAsia="Times New Roman" w:hint="default"/>
        </w:rPr>
        <w:t>[2011]178</w:t>
      </w:r>
      <w:r>
        <w:rPr/>
        <w:t>号”验资报告验证。</w:t>
      </w:r>
    </w:p>
    <w:p>
      <w:pPr>
        <w:pStyle w:val="BodyText"/>
        <w:spacing w:line="240" w:lineRule="auto" w:before="35"/>
        <w:ind w:left="573" w:right="995"/>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日，经本公司</w:t>
      </w:r>
      <w:r>
        <w:rPr>
          <w:rFonts w:ascii="Times New Roman" w:hAnsi="Times New Roman" w:cs="Times New Roman" w:eastAsia="Times New Roman" w:hint="default"/>
        </w:rPr>
        <w:t>2012</w:t>
      </w:r>
      <w:r>
        <w:rPr/>
        <w:t>年第一届董事会第二十次会议诀议、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日股东大会审议通过</w:t>
      </w:r>
    </w:p>
    <w:p>
      <w:pPr>
        <w:pStyle w:val="BodyText"/>
        <w:spacing w:line="386" w:lineRule="auto" w:before="177"/>
        <w:ind w:right="1128"/>
        <w:jc w:val="both"/>
      </w:pPr>
      <w:r>
        <w:rPr>
          <w:spacing w:val="-4"/>
        </w:rPr>
        <w:t>《关于</w:t>
      </w:r>
      <w:r>
        <w:rPr>
          <w:rFonts w:ascii="Times New Roman" w:hAnsi="Times New Roman" w:cs="Times New Roman" w:eastAsia="Times New Roman" w:hint="default"/>
          <w:spacing w:val="-4"/>
        </w:rPr>
        <w:t>2011</w:t>
      </w:r>
      <w:r>
        <w:rPr>
          <w:spacing w:val="-4"/>
        </w:rPr>
        <w:t>年度利润分配及资本公积转增股本预案的议案》，本公司以</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4,400.00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万股为基数，以资本公积转增股本，向全体股东每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4,400.00</w:t>
      </w:r>
      <w:r>
        <w:rPr/>
        <w:t>万股，转增后公司总</w:t>
      </w:r>
      <w:r>
        <w:rPr>
          <w:spacing w:val="-24"/>
        </w:rPr>
        <w:t> </w:t>
      </w:r>
      <w:r>
        <w:rPr>
          <w:spacing w:val="-24"/>
        </w:rPr>
      </w:r>
      <w:r>
        <w:rPr>
          <w:spacing w:val="-4"/>
        </w:rPr>
        <w:t>股本增加至</w:t>
      </w:r>
      <w:r>
        <w:rPr>
          <w:rFonts w:ascii="Times New Roman" w:hAnsi="Times New Roman" w:cs="Times New Roman" w:eastAsia="Times New Roman" w:hint="default"/>
          <w:spacing w:val="-4"/>
        </w:rPr>
        <w:t>8,800.00</w:t>
      </w:r>
      <w:r>
        <w:rPr>
          <w:spacing w:val="-4"/>
        </w:rPr>
        <w:t>万股，注册资本变更为人民币</w:t>
      </w:r>
      <w:r>
        <w:rPr>
          <w:rFonts w:ascii="Times New Roman" w:hAnsi="Times New Roman" w:cs="Times New Roman" w:eastAsia="Times New Roman" w:hint="default"/>
          <w:spacing w:val="-4"/>
        </w:rPr>
        <w:t>8,800.00</w:t>
      </w:r>
      <w:r>
        <w:rPr>
          <w:spacing w:val="-4"/>
        </w:rPr>
        <w:t>万元，此次增资业经深圳嘉达信会计师事务所</w:t>
      </w:r>
      <w:r>
        <w:rPr>
          <w:rFonts w:ascii="Times New Roman" w:hAnsi="Times New Roman" w:cs="Times New Roman" w:eastAsia="Times New Roman" w:hint="default"/>
          <w:spacing w:val="-4"/>
        </w:rPr>
        <w:t>“</w:t>
      </w:r>
      <w:r>
        <w:rPr>
          <w:spacing w:val="-4"/>
        </w:rPr>
        <w:t>深</w:t>
      </w:r>
      <w:r>
        <w:rPr>
          <w:spacing w:val="-12"/>
        </w:rPr>
        <w:t> </w:t>
      </w:r>
      <w:r>
        <w:rPr/>
        <w:t>嘉达信验字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079</w:t>
      </w:r>
      <w:r>
        <w:rPr/>
        <w:t>号</w:t>
      </w:r>
      <w:r>
        <w:rPr>
          <w:rFonts w:ascii="Times New Roman" w:hAnsi="Times New Roman" w:cs="Times New Roman" w:eastAsia="Times New Roman" w:hint="default"/>
        </w:rPr>
        <w:t>”</w:t>
      </w:r>
      <w:r>
        <w:rPr/>
        <w:t>验资报告验证。</w:t>
      </w:r>
    </w:p>
    <w:p>
      <w:pPr>
        <w:pStyle w:val="BodyText"/>
        <w:spacing w:line="240" w:lineRule="auto" w:before="35"/>
        <w:ind w:left="573" w:right="995"/>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日，经本公司</w:t>
      </w:r>
      <w:r>
        <w:rPr>
          <w:rFonts w:ascii="Times New Roman" w:hAnsi="Times New Roman" w:cs="Times New Roman" w:eastAsia="Times New Roman" w:hint="default"/>
        </w:rPr>
        <w:t>2014</w:t>
      </w:r>
      <w:r>
        <w:rPr/>
        <w:t>年第二届董事会第十一次会议诀议、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日股东大会审议通过</w:t>
      </w:r>
    </w:p>
    <w:p>
      <w:pPr>
        <w:pStyle w:val="BodyText"/>
        <w:spacing w:line="386" w:lineRule="auto" w:before="177"/>
        <w:ind w:right="1128"/>
        <w:jc w:val="both"/>
      </w:pPr>
      <w:r>
        <w:rPr/>
        <w:t>《关于</w:t>
      </w:r>
      <w:r>
        <w:rPr>
          <w:rFonts w:ascii="Times New Roman" w:hAnsi="Times New Roman" w:cs="Times New Roman" w:eastAsia="Times New Roman" w:hint="default"/>
        </w:rPr>
        <w:t>2013</w:t>
      </w:r>
      <w:r>
        <w:rPr/>
        <w:t>年度利润分配及资本公积转增股本预案的议案》，本公司以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8,800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1"/>
        </w:rPr>
        <w:t>万股为基数，以资本公积转增股本，向全体股东每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8</w:t>
      </w:r>
      <w:r>
        <w:rPr>
          <w:spacing w:val="-1"/>
        </w:rPr>
        <w:t>股，共计转增</w:t>
      </w:r>
      <w:r>
        <w:rPr>
          <w:rFonts w:ascii="Times New Roman" w:hAnsi="Times New Roman" w:cs="Times New Roman" w:eastAsia="Times New Roman" w:hint="default"/>
          <w:spacing w:val="-1"/>
        </w:rPr>
        <w:t>7,040</w:t>
      </w:r>
      <w:r>
        <w:rPr>
          <w:spacing w:val="-1"/>
        </w:rPr>
        <w:t>万股，转增后公司总股本</w:t>
      </w:r>
      <w:r>
        <w:rPr>
          <w:spacing w:val="-29"/>
        </w:rPr>
        <w:t> </w:t>
      </w:r>
      <w:r>
        <w:rPr>
          <w:spacing w:val="-29"/>
        </w:rPr>
      </w:r>
      <w:r>
        <w:rPr>
          <w:spacing w:val="-5"/>
        </w:rPr>
        <w:t>增加至</w:t>
      </w:r>
      <w:r>
        <w:rPr>
          <w:rFonts w:ascii="Times New Roman" w:hAnsi="Times New Roman" w:cs="Times New Roman" w:eastAsia="Times New Roman" w:hint="default"/>
          <w:spacing w:val="-5"/>
        </w:rPr>
        <w:t>15,840</w:t>
      </w:r>
      <w:r>
        <w:rPr>
          <w:spacing w:val="-5"/>
        </w:rPr>
        <w:t>万股，注册资本变更为</w:t>
      </w:r>
      <w:r>
        <w:rPr>
          <w:rFonts w:ascii="Times New Roman" w:hAnsi="Times New Roman" w:cs="Times New Roman" w:eastAsia="Times New Roman" w:hint="default"/>
          <w:spacing w:val="-5"/>
        </w:rPr>
        <w:t>15,840.00</w:t>
      </w:r>
      <w:r>
        <w:rPr>
          <w:spacing w:val="-5"/>
        </w:rPr>
        <w:t>万元，此次增资业经深圳平海会计师事务所（普通合伙）“深</w:t>
      </w:r>
    </w:p>
    <w:p>
      <w:pPr>
        <w:spacing w:after="0" w:line="386"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86" w:lineRule="auto" w:before="36"/>
        <w:ind w:left="573" w:right="995" w:hanging="420"/>
        <w:jc w:val="left"/>
      </w:pPr>
      <w:r>
        <w:rPr/>
        <w:t>平海验报字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15</w:t>
      </w:r>
      <w:r>
        <w:rPr/>
        <w:t>号”验资报告验证。</w:t>
      </w:r>
      <w:r>
        <w:rPr>
          <w:w w:val="100"/>
        </w:rPr>
        <w:t> </w:t>
      </w:r>
      <w:r>
        <w:rPr/>
        <w:t>经中国证券监督管理委员会证监许可</w:t>
      </w:r>
      <w:r>
        <w:rPr>
          <w:rFonts w:ascii="Times New Roman" w:hAnsi="Times New Roman" w:cs="Times New Roman" w:eastAsia="Times New Roman" w:hint="default"/>
        </w:rPr>
        <w:t>[2017]56</w:t>
      </w:r>
      <w:r>
        <w:rPr/>
        <w:t>号文核准，并经深圳证券交易所同意，本公司由主承销</w:t>
      </w:r>
    </w:p>
    <w:p>
      <w:pPr>
        <w:pStyle w:val="BodyText"/>
        <w:spacing w:line="386" w:lineRule="auto" w:before="35"/>
        <w:ind w:right="1126"/>
        <w:jc w:val="both"/>
      </w:pPr>
      <w:r>
        <w:rPr>
          <w:spacing w:val="-2"/>
        </w:rPr>
        <w:t>商平安证券有限责任公司于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日向北京嘉豪伟业投资中心（有限合伙）和前海开源基金管理有限</w:t>
      </w:r>
      <w:r>
        <w:rPr>
          <w:spacing w:val="-37"/>
        </w:rPr>
        <w:t> </w:t>
      </w:r>
      <w:r>
        <w:rPr>
          <w:spacing w:val="-37"/>
        </w:rPr>
      </w:r>
      <w:r>
        <w:rPr>
          <w:spacing w:val="-3"/>
        </w:rPr>
        <w:t>公司定向增发普通股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w:t>
      </w:r>
      <w:r>
        <w:rPr>
          <w:spacing w:val="-3"/>
        </w:rPr>
        <w:t>股票</w:t>
      </w:r>
      <w:r>
        <w:rPr>
          <w:rFonts w:ascii="Times New Roman" w:hAnsi="Times New Roman" w:cs="Times New Roman" w:eastAsia="Times New Roman" w:hint="default"/>
          <w:spacing w:val="-3"/>
        </w:rPr>
        <w:t>9,431,090</w:t>
      </w:r>
      <w:r>
        <w:rPr>
          <w:spacing w:val="-3"/>
        </w:rPr>
        <w:t>股，每股面值</w:t>
      </w:r>
      <w:r>
        <w:rPr>
          <w:rFonts w:ascii="Times New Roman" w:hAnsi="Times New Roman" w:cs="Times New Roman" w:eastAsia="Times New Roman" w:hint="default"/>
          <w:spacing w:val="-3"/>
        </w:rPr>
        <w:t>1.00</w:t>
      </w:r>
      <w:r>
        <w:rPr>
          <w:spacing w:val="-3"/>
        </w:rPr>
        <w:t>元，每股发行价人民币</w:t>
      </w:r>
      <w:r>
        <w:rPr>
          <w:rFonts w:ascii="Times New Roman" w:hAnsi="Times New Roman" w:cs="Times New Roman" w:eastAsia="Times New Roman" w:hint="default"/>
          <w:spacing w:val="-3"/>
        </w:rPr>
        <w:t>25.30</w:t>
      </w:r>
      <w:r>
        <w:rPr>
          <w:spacing w:val="-3"/>
        </w:rPr>
        <w:t>元，其中北京嘉豪伟</w:t>
      </w:r>
      <w:r>
        <w:rPr>
          <w:spacing w:val="-50"/>
        </w:rPr>
        <w:t> </w:t>
      </w:r>
      <w:r>
        <w:rPr>
          <w:spacing w:val="-50"/>
        </w:rPr>
      </w:r>
      <w:r>
        <w:rPr>
          <w:spacing w:val="-2"/>
        </w:rPr>
        <w:t>业投资中心（有限合伙）</w:t>
      </w:r>
      <w:r>
        <w:rPr>
          <w:rFonts w:ascii="Times New Roman" w:hAnsi="Times New Roman" w:cs="Times New Roman" w:eastAsia="Times New Roman" w:hint="default"/>
          <w:spacing w:val="-2"/>
        </w:rPr>
        <w:t>7,905,138</w:t>
      </w:r>
      <w:r>
        <w:rPr>
          <w:spacing w:val="-2"/>
        </w:rPr>
        <w:t>股，前海开源基金管理有限公司</w:t>
      </w:r>
      <w:r>
        <w:rPr>
          <w:rFonts w:ascii="Times New Roman" w:hAnsi="Times New Roman" w:cs="Times New Roman" w:eastAsia="Times New Roman" w:hint="default"/>
          <w:spacing w:val="-2"/>
        </w:rPr>
        <w:t>1,525,952</w:t>
      </w:r>
      <w:r>
        <w:rPr>
          <w:spacing w:val="-2"/>
        </w:rPr>
        <w:t>股。此次非公开发行共募集资</w:t>
      </w:r>
      <w:r>
        <w:rPr>
          <w:spacing w:val="-29"/>
        </w:rPr>
        <w:t> </w:t>
      </w:r>
      <w:r>
        <w:rPr>
          <w:spacing w:val="-29"/>
        </w:rPr>
      </w:r>
      <w:r>
        <w:rPr>
          <w:spacing w:val="-3"/>
        </w:rPr>
        <w:t>金</w:t>
      </w:r>
      <w:r>
        <w:rPr>
          <w:rFonts w:ascii="Times New Roman" w:hAnsi="Times New Roman" w:cs="Times New Roman" w:eastAsia="Times New Roman" w:hint="default"/>
          <w:spacing w:val="-3"/>
        </w:rPr>
        <w:t>238,606,577.00</w:t>
      </w:r>
      <w:r>
        <w:rPr>
          <w:spacing w:val="-3"/>
        </w:rPr>
        <w:t>元，扣除发行费用</w:t>
      </w:r>
      <w:r>
        <w:rPr>
          <w:rFonts w:ascii="Times New Roman" w:hAnsi="Times New Roman" w:cs="Times New Roman" w:eastAsia="Times New Roman" w:hint="default"/>
          <w:spacing w:val="-3"/>
        </w:rPr>
        <w:t>10,609,431.09</w:t>
      </w:r>
      <w:r>
        <w:rPr>
          <w:spacing w:val="-3"/>
        </w:rPr>
        <w:t>元，募集资金净额</w:t>
      </w:r>
      <w:r>
        <w:rPr>
          <w:rFonts w:ascii="Times New Roman" w:hAnsi="Times New Roman" w:cs="Times New Roman" w:eastAsia="Times New Roman" w:hint="default"/>
          <w:spacing w:val="-3"/>
        </w:rPr>
        <w:t>227,997,145.91</w:t>
      </w:r>
      <w:r>
        <w:rPr>
          <w:spacing w:val="-3"/>
        </w:rPr>
        <w:t>元，经此次发行，注册资</w:t>
      </w:r>
      <w:r>
        <w:rPr>
          <w:spacing w:val="12"/>
        </w:rPr>
        <w:t> </w:t>
      </w:r>
      <w:r>
        <w:rPr>
          <w:spacing w:val="12"/>
        </w:rPr>
      </w:r>
      <w:r>
        <w:rPr>
          <w:spacing w:val="16"/>
        </w:rPr>
        <w:t>本变更为人民币</w:t>
      </w:r>
      <w:r>
        <w:rPr>
          <w:spacing w:val="-74"/>
        </w:rPr>
        <w:t> </w:t>
      </w:r>
      <w:r>
        <w:rPr>
          <w:rFonts w:ascii="Times New Roman" w:hAnsi="Times New Roman" w:cs="Times New Roman" w:eastAsia="Times New Roman" w:hint="default"/>
        </w:rPr>
        <w:t>167,831,090.00</w:t>
      </w:r>
      <w:r>
        <w:rPr>
          <w:rFonts w:ascii="Times New Roman" w:hAnsi="Times New Roman" w:cs="Times New Roman" w:eastAsia="Times New Roman" w:hint="default"/>
          <w:spacing w:val="-22"/>
        </w:rPr>
        <w:t> </w:t>
      </w:r>
      <w:r>
        <w:rPr>
          <w:spacing w:val="9"/>
        </w:rPr>
        <w:t>元，</w:t>
      </w:r>
      <w:r>
        <w:rPr>
          <w:spacing w:val="-73"/>
        </w:rPr>
        <w:t> </w:t>
      </w:r>
      <w:r>
        <w:rPr>
          <w:spacing w:val="17"/>
        </w:rPr>
        <w:t>此次增资业经大华会计师事务所（</w:t>
      </w:r>
      <w:r>
        <w:rPr>
          <w:spacing w:val="-73"/>
        </w:rPr>
        <w:t> </w:t>
      </w:r>
      <w:r>
        <w:rPr>
          <w:spacing w:val="16"/>
        </w:rPr>
        <w:t>特殊普通合伙）</w:t>
      </w:r>
      <w:r>
        <w:rPr>
          <w:spacing w:val="-63"/>
        </w:rPr>
        <w:t> </w:t>
      </w:r>
      <w:r>
        <w:rPr/>
        <w:t>“</w:t>
      </w:r>
      <w:r>
        <w:rPr>
          <w:spacing w:val="-76"/>
        </w:rPr>
        <w:t> </w:t>
      </w:r>
      <w:r>
        <w:rPr>
          <w:spacing w:val="14"/>
        </w:rPr>
        <w:t>大华验字</w:t>
      </w:r>
      <w:r>
        <w:rPr>
          <w:spacing w:val="-96"/>
        </w:rPr>
        <w:t> </w:t>
      </w:r>
      <w:r>
        <w:rPr>
          <w:spacing w:val="-96"/>
        </w:rPr>
      </w:r>
      <w:r>
        <w:rPr>
          <w:rFonts w:ascii="Times New Roman" w:hAnsi="Times New Roman" w:cs="Times New Roman" w:eastAsia="Times New Roman" w:hint="default"/>
        </w:rPr>
        <w:t>[2017]000151</w:t>
      </w:r>
      <w:r>
        <w:rPr/>
        <w:t>号”验资报告验证。</w:t>
      </w:r>
    </w:p>
    <w:p>
      <w:pPr>
        <w:pStyle w:val="BodyText"/>
        <w:spacing w:line="386" w:lineRule="auto" w:before="36"/>
        <w:ind w:left="573" w:right="995"/>
        <w:jc w:val="left"/>
      </w:pPr>
      <w:r>
        <w:rPr>
          <w:rFonts w:ascii="Times New Roman" w:hAnsi="Times New Roman" w:cs="Times New Roman" w:eastAsia="Times New Roman" w:hint="default"/>
        </w:rPr>
        <w:t>2.</w:t>
      </w:r>
      <w:r>
        <w:rPr/>
        <w:t>经营范围</w:t>
      </w:r>
      <w:r>
        <w:rPr>
          <w:spacing w:val="-103"/>
        </w:rPr>
        <w:t> </w:t>
      </w:r>
      <w:r>
        <w:rPr>
          <w:spacing w:val="-103"/>
        </w:rPr>
      </w:r>
      <w:r>
        <w:rPr>
          <w:spacing w:val="-2"/>
        </w:rPr>
        <w:t>本公司主要的经营业务包括：计算机软、硬件、网络及教育软件和教学资源的开发、销售、咨询及其</w:t>
      </w:r>
    </w:p>
    <w:p>
      <w:pPr>
        <w:pStyle w:val="BodyText"/>
        <w:spacing w:line="403" w:lineRule="auto" w:before="65"/>
        <w:ind w:right="1126"/>
        <w:jc w:val="both"/>
      </w:pPr>
      <w:r>
        <w:rPr>
          <w:spacing w:val="-2"/>
        </w:rPr>
        <w:t>技术服务；计算机系统集成及相关技术服务、信息技术咨询；从事互联网文化活动；电子产品的开发、销</w:t>
      </w:r>
      <w:r>
        <w:rPr>
          <w:spacing w:val="-43"/>
        </w:rPr>
        <w:t> </w:t>
      </w:r>
      <w:r>
        <w:rPr>
          <w:spacing w:val="-43"/>
        </w:rPr>
      </w:r>
      <w:r>
        <w:rPr>
          <w:spacing w:val="-2"/>
        </w:rPr>
        <w:t>售（不含二、三类医疗器械等需许可项目）；经营进出口业务（法律、行政法规、国务院决定禁止的项目</w:t>
      </w:r>
      <w:r>
        <w:rPr>
          <w:spacing w:val="-47"/>
        </w:rPr>
        <w:t> </w:t>
      </w:r>
      <w:r>
        <w:rPr>
          <w:spacing w:val="-47"/>
        </w:rPr>
      </w:r>
      <w:r>
        <w:rPr>
          <w:spacing w:val="-2"/>
        </w:rPr>
        <w:t>除外，限制的项目须取得许可后方可经营）；投资兴办实业（具体项目另行申报）；房屋租赁。许可经营</w:t>
      </w:r>
      <w:r>
        <w:rPr>
          <w:spacing w:val="-46"/>
        </w:rPr>
        <w:t> </w:t>
      </w:r>
      <w:r>
        <w:rPr>
          <w:spacing w:val="-46"/>
        </w:rPr>
      </w:r>
      <w:r>
        <w:rPr>
          <w:spacing w:val="-2"/>
        </w:rPr>
        <w:t>项目是：出版物批发；第二类增值电信业务中的信息服务业务（仅限互联网信息服务）（凭“中华人民共</w:t>
      </w:r>
      <w:r>
        <w:rPr>
          <w:spacing w:val="-42"/>
        </w:rPr>
        <w:t> </w:t>
      </w:r>
      <w:r>
        <w:rPr>
          <w:spacing w:val="-42"/>
        </w:rPr>
      </w:r>
      <w:r>
        <w:rPr/>
        <w:t>和国增值电信业务经营许可证粤</w:t>
      </w:r>
      <w:r>
        <w:rPr>
          <w:rFonts w:ascii="Times New Roman" w:hAnsi="Times New Roman" w:cs="Times New Roman" w:eastAsia="Times New Roman" w:hint="default"/>
        </w:rPr>
        <w:t>B2-20110094</w:t>
      </w:r>
      <w:r>
        <w:rPr/>
        <w:t>经营”）；第二类增值电信业务中的信息服务业务（不含互</w:t>
      </w:r>
      <w:r>
        <w:rPr>
          <w:spacing w:val="-29"/>
        </w:rPr>
        <w:t> </w:t>
      </w:r>
      <w:r>
        <w:rPr>
          <w:spacing w:val="-29"/>
        </w:rPr>
      </w:r>
      <w:r>
        <w:rPr/>
        <w:t>联网信息服务）（凭“中华人民共和国增值电信业务经营许可证</w:t>
      </w:r>
      <w:r>
        <w:rPr>
          <w:rFonts w:ascii="Times New Roman" w:hAnsi="Times New Roman" w:cs="Times New Roman" w:eastAsia="Times New Roman" w:hint="default"/>
        </w:rPr>
        <w:t>B2-20173115</w:t>
      </w:r>
      <w:r>
        <w:rPr/>
        <w:t>经营”</w:t>
      </w:r>
      <w:r>
        <w:rPr>
          <w:rFonts w:ascii="宋体" w:hAnsi="宋体" w:cs="宋体" w:eastAsia="宋体" w:hint="default"/>
        </w:rPr>
        <w:t>)</w:t>
      </w:r>
      <w:r>
        <w:rPr/>
        <w:t>。</w:t>
      </w:r>
    </w:p>
    <w:p>
      <w:pPr>
        <w:pStyle w:val="BodyText"/>
        <w:spacing w:line="386" w:lineRule="auto" w:before="19"/>
        <w:ind w:left="573" w:right="4273"/>
        <w:jc w:val="left"/>
      </w:pPr>
      <w:r>
        <w:rPr>
          <w:rFonts w:ascii="Times New Roman" w:hAnsi="Times New Roman" w:cs="Times New Roman" w:eastAsia="Times New Roman" w:hint="default"/>
        </w:rPr>
        <w:t>3.</w:t>
      </w:r>
      <w:r>
        <w:rPr/>
        <w:t>财务报表的批准报出</w:t>
      </w:r>
      <w:r>
        <w:rPr>
          <w:w w:val="100"/>
        </w:rPr>
        <w:t> </w:t>
      </w:r>
      <w:r>
        <w:rPr>
          <w:spacing w:val="-2"/>
        </w:rPr>
        <w:t>本财务报表业经公司董事会于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w:t>
      </w:r>
      <w:r>
        <w:rPr>
          <w:spacing w:val="-2"/>
        </w:rPr>
        <w:t>日批准报出。</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240" w:lineRule="auto" w:before="0"/>
        <w:ind w:left="573" w:right="995"/>
        <w:jc w:val="left"/>
      </w:pPr>
      <w:r>
        <w:rPr/>
        <w:t>本期纳入合并财务报表范围的主体共三户，具体包括：</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3505"/>
        <w:gridCol w:w="1265"/>
        <w:gridCol w:w="730"/>
        <w:gridCol w:w="1515"/>
        <w:gridCol w:w="1517"/>
      </w:tblGrid>
      <w:tr>
        <w:trPr>
          <w:trHeight w:val="367"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6"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2"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10"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深圳市连邦信息技术有限公司</w:t>
            </w:r>
            <w:r>
              <w:rPr>
                <w:rFonts w:ascii="Times New Roman" w:hAnsi="Times New Roman" w:cs="Times New Roman" w:eastAsia="Times New Roman" w:hint="default"/>
                <w:sz w:val="18"/>
                <w:szCs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100</w:t>
            </w:r>
          </w:p>
        </w:tc>
      </w:tr>
      <w:tr>
        <w:trPr>
          <w:trHeight w:val="411"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left"/>
              <w:rPr>
                <w:rFonts w:ascii="宋体" w:hAnsi="宋体" w:cs="宋体" w:eastAsia="宋体" w:hint="default"/>
                <w:sz w:val="18"/>
                <w:szCs w:val="18"/>
              </w:rPr>
            </w:pPr>
            <w:r>
              <w:rPr>
                <w:rFonts w:ascii="宋体" w:hAnsi="宋体" w:cs="宋体" w:eastAsia="宋体" w:hint="default"/>
                <w:sz w:val="18"/>
                <w:szCs w:val="18"/>
              </w:rPr>
              <w:t>深圳市木愚科技有限公司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sz w:val="18"/>
              </w:rPr>
              <w:t>100</w:t>
            </w:r>
          </w:p>
        </w:tc>
      </w:tr>
      <w:tr>
        <w:trPr>
          <w:trHeight w:val="410" w:hRule="exact"/>
        </w:trPr>
        <w:tc>
          <w:tcPr>
            <w:tcW w:w="3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 w:right="0"/>
              <w:jc w:val="left"/>
              <w:rPr>
                <w:rFonts w:ascii="宋体" w:hAnsi="宋体" w:cs="宋体" w:eastAsia="宋体" w:hint="default"/>
                <w:sz w:val="18"/>
                <w:szCs w:val="18"/>
              </w:rPr>
            </w:pPr>
            <w:r>
              <w:rPr>
                <w:rFonts w:ascii="宋体" w:hAnsi="宋体" w:cs="宋体" w:eastAsia="宋体" w:hint="default"/>
                <w:sz w:val="18"/>
                <w:szCs w:val="18"/>
              </w:rPr>
              <w:t>徐州金太阳教育科技有限公司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 w:right="0"/>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55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55</w:t>
            </w:r>
          </w:p>
        </w:tc>
      </w:tr>
    </w:tbl>
    <w:p>
      <w:pPr>
        <w:spacing w:line="240" w:lineRule="auto" w:before="9"/>
        <w:rPr>
          <w:rFonts w:ascii="宋体" w:hAnsi="宋体" w:cs="宋体" w:eastAsia="宋体" w:hint="default"/>
          <w:sz w:val="10"/>
          <w:szCs w:val="10"/>
        </w:rPr>
      </w:pPr>
    </w:p>
    <w:p>
      <w:pPr>
        <w:pStyle w:val="Heading6"/>
        <w:spacing w:line="240" w:lineRule="auto" w:before="32"/>
        <w:ind w:right="995" w:firstLine="0"/>
        <w:jc w:val="left"/>
      </w:pPr>
      <w:r>
        <w:rPr/>
        <w:t>本期纳入合并财务报表范围的主体较上期相比无增加。</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19"/>
          <w:szCs w:val="19"/>
        </w:rPr>
      </w:pPr>
    </w:p>
    <w:p>
      <w:pPr>
        <w:pStyle w:val="Heading3"/>
        <w:spacing w:line="367" w:lineRule="exact"/>
        <w:ind w:right="995"/>
        <w:jc w:val="left"/>
        <w:rPr>
          <w:b w:val="0"/>
          <w:bCs w:val="0"/>
        </w:rPr>
      </w:pPr>
      <w:r>
        <w:rPr/>
        <w:t>四、财务报表的编制基础</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408" w:lineRule="auto" w:before="0"/>
        <w:ind w:right="995" w:firstLine="420"/>
        <w:jc w:val="left"/>
      </w:pPr>
      <w:r>
        <w:rPr>
          <w:spacing w:val="-5"/>
        </w:rPr>
        <w:t>本公司财务报表以持续经营为基础，根据实际发生的交易和事项，按照财政部颁布的《企业会计准则》</w:t>
      </w:r>
      <w:r>
        <w:rPr>
          <w:w w:val="100"/>
        </w:rPr>
        <w:t> </w:t>
      </w:r>
      <w:r>
        <w:rPr>
          <w:spacing w:val="-2"/>
        </w:rPr>
        <w:t>及相关规定，结合中国证券监督管理委员会《公开发行证券的公司信息披露编报规则第</w:t>
      </w:r>
      <w:r>
        <w:rPr>
          <w:rFonts w:ascii="宋体" w:hAnsi="宋体" w:cs="宋体" w:eastAsia="宋体" w:hint="default"/>
          <w:spacing w:val="-2"/>
        </w:rPr>
        <w:t>15</w:t>
      </w:r>
      <w:r>
        <w:rPr>
          <w:spacing w:val="-2"/>
        </w:rPr>
        <w:t>号——财务报告</w:t>
      </w:r>
      <w:r>
        <w:rPr>
          <w:spacing w:val="-41"/>
        </w:rPr>
        <w:t> </w:t>
      </w:r>
      <w:r>
        <w:rPr>
          <w:spacing w:val="-41"/>
        </w:rPr>
      </w:r>
      <w:r>
        <w:rPr>
          <w:spacing w:val="-2"/>
        </w:rPr>
        <w:t>的一般规定》（</w:t>
      </w:r>
      <w:r>
        <w:rPr>
          <w:rFonts w:ascii="宋体" w:hAnsi="宋体" w:cs="宋体" w:eastAsia="宋体" w:hint="default"/>
          <w:spacing w:val="-2"/>
        </w:rPr>
        <w:t>2014</w:t>
      </w:r>
      <w:r>
        <w:rPr>
          <w:spacing w:val="-2"/>
        </w:rPr>
        <w:t>年修订）的规定，并基于本附注“五、重要会计政策及会计估计”所述会计政策和会</w:t>
      </w:r>
      <w:r>
        <w:rPr>
          <w:spacing w:val="-45"/>
        </w:rPr>
        <w:t> </w:t>
      </w:r>
      <w:r>
        <w:rPr>
          <w:spacing w:val="-45"/>
        </w:rPr>
      </w:r>
      <w:r>
        <w:rPr/>
        <w:t>计估计编制。</w:t>
      </w:r>
    </w:p>
    <w:p>
      <w:pPr>
        <w:spacing w:line="240" w:lineRule="auto" w:before="6"/>
        <w:rPr>
          <w:rFonts w:ascii="宋体" w:hAnsi="宋体" w:cs="宋体" w:eastAsia="宋体" w:hint="default"/>
          <w:sz w:val="15"/>
          <w:szCs w:val="15"/>
        </w:rPr>
      </w:pPr>
    </w:p>
    <w:p>
      <w:pPr>
        <w:pStyle w:val="Heading7"/>
        <w:spacing w:line="240" w:lineRule="auto"/>
        <w:ind w:right="995"/>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right="995" w:firstLine="420"/>
        <w:jc w:val="left"/>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w:t>
      </w:r>
      <w:r>
        <w:rPr>
          <w:w w:val="100"/>
        </w:rPr>
        <w:t> </w:t>
      </w:r>
      <w:r>
        <w:rPr/>
        <w:t>或情况。</w:t>
      </w:r>
    </w:p>
    <w:p>
      <w:pPr>
        <w:spacing w:line="240" w:lineRule="auto" w:before="3"/>
        <w:rPr>
          <w:rFonts w:ascii="宋体" w:hAnsi="宋体" w:cs="宋体" w:eastAsia="宋体" w:hint="default"/>
          <w:sz w:val="14"/>
          <w:szCs w:val="14"/>
        </w:rPr>
      </w:pPr>
    </w:p>
    <w:p>
      <w:pPr>
        <w:pStyle w:val="Heading3"/>
        <w:spacing w:line="240" w:lineRule="auto"/>
        <w:ind w:right="995"/>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line="360" w:lineRule="auto" w:before="0"/>
        <w:ind w:left="153" w:right="811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无</w:t>
      </w:r>
    </w:p>
    <w:p>
      <w:pPr>
        <w:spacing w:line="240" w:lineRule="auto" w:before="3"/>
        <w:rPr>
          <w:rFonts w:ascii="宋体" w:hAnsi="宋体" w:cs="宋体" w:eastAsia="宋体" w:hint="default"/>
          <w:sz w:val="15"/>
          <w:szCs w:val="15"/>
        </w:rPr>
      </w:pPr>
    </w:p>
    <w:p>
      <w:pPr>
        <w:spacing w:line="496" w:lineRule="auto" w:before="0"/>
        <w:ind w:left="573" w:right="99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本公司编制的财务报表符合企业会计准则的要求，真实、完整地反映了本公司的财务状况、经营成果</w:t>
      </w:r>
    </w:p>
    <w:p>
      <w:pPr>
        <w:pStyle w:val="BodyText"/>
        <w:spacing w:line="243" w:lineRule="exact" w:before="0"/>
        <w:ind w:right="995"/>
        <w:jc w:val="left"/>
      </w:pPr>
      <w:r>
        <w:rPr/>
        <w:t>和现金流量等有关信息。</w:t>
      </w:r>
    </w:p>
    <w:p>
      <w:pPr>
        <w:spacing w:line="240" w:lineRule="auto" w:before="9"/>
        <w:rPr>
          <w:rFonts w:ascii="宋体" w:hAnsi="宋体" w:cs="宋体" w:eastAsia="宋体" w:hint="default"/>
          <w:sz w:val="26"/>
          <w:szCs w:val="26"/>
        </w:rPr>
      </w:pPr>
    </w:p>
    <w:p>
      <w:pPr>
        <w:pStyle w:val="Heading7"/>
        <w:spacing w:line="240" w:lineRule="auto"/>
        <w:ind w:right="995"/>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73" w:right="995"/>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7"/>
        <w:rPr>
          <w:rFonts w:ascii="宋体" w:hAnsi="宋体" w:cs="宋体" w:eastAsia="宋体" w:hint="default"/>
          <w:sz w:val="25"/>
          <w:szCs w:val="25"/>
        </w:rPr>
      </w:pPr>
    </w:p>
    <w:p>
      <w:pPr>
        <w:pStyle w:val="Heading7"/>
        <w:spacing w:line="240" w:lineRule="auto"/>
        <w:ind w:right="995"/>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8"/>
        <w:rPr>
          <w:rFonts w:ascii="Microsoft JhengHei" w:hAnsi="Microsoft JhengHei" w:cs="Microsoft JhengHei" w:eastAsia="Microsoft JhengHei" w:hint="default"/>
          <w:b/>
          <w:bCs/>
          <w:sz w:val="22"/>
          <w:szCs w:val="22"/>
        </w:rPr>
      </w:pPr>
    </w:p>
    <w:p>
      <w:pPr>
        <w:pStyle w:val="BodyText"/>
        <w:spacing w:line="240" w:lineRule="auto" w:before="0"/>
        <w:ind w:left="573" w:right="995"/>
        <w:jc w:val="left"/>
      </w:pPr>
      <w:r>
        <w:rPr/>
        <w:t>本公司营业周期为</w:t>
      </w:r>
      <w:r>
        <w:rPr>
          <w:rFonts w:ascii="Times New Roman" w:hAnsi="Times New Roman" w:cs="Times New Roman" w:eastAsia="Times New Roman" w:hint="default"/>
        </w:rPr>
        <w:t>12</w:t>
      </w:r>
      <w:r>
        <w:rPr/>
        <w:t>个月，并以营业周期作为资产和负债的流动性划分标准。</w:t>
      </w:r>
    </w:p>
    <w:p>
      <w:pPr>
        <w:spacing w:line="240" w:lineRule="auto" w:before="7"/>
        <w:rPr>
          <w:rFonts w:ascii="宋体" w:hAnsi="宋体" w:cs="宋体" w:eastAsia="宋体" w:hint="default"/>
          <w:sz w:val="25"/>
          <w:szCs w:val="25"/>
        </w:rPr>
      </w:pPr>
    </w:p>
    <w:p>
      <w:pPr>
        <w:pStyle w:val="Heading7"/>
        <w:spacing w:line="240" w:lineRule="auto"/>
        <w:ind w:right="995"/>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73" w:right="995"/>
        <w:jc w:val="left"/>
      </w:pPr>
      <w:r>
        <w:rPr/>
        <w:t>本公司以人民币为记账本位币。</w:t>
      </w:r>
    </w:p>
    <w:p>
      <w:pPr>
        <w:spacing w:line="240" w:lineRule="auto" w:before="9"/>
        <w:rPr>
          <w:rFonts w:ascii="宋体" w:hAnsi="宋体" w:cs="宋体" w:eastAsia="宋体" w:hint="default"/>
          <w:sz w:val="26"/>
          <w:szCs w:val="26"/>
        </w:rPr>
      </w:pPr>
    </w:p>
    <w:p>
      <w:pPr>
        <w:spacing w:line="496" w:lineRule="auto" w:before="0"/>
        <w:ind w:left="573" w:right="99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2"/>
          <w:sz w:val="21"/>
          <w:szCs w:val="21"/>
        </w:rPr>
        <w:t>本公司作为合并方，在同一控制下企业合并中取得的资产和负债，在合并日按被合并方在最终控制方</w:t>
      </w:r>
    </w:p>
    <w:p>
      <w:pPr>
        <w:spacing w:after="0" w:line="496" w:lineRule="auto"/>
        <w:jc w:val="left"/>
        <w:rPr>
          <w:rFonts w:ascii="宋体" w:hAnsi="宋体" w:cs="宋体" w:eastAsia="宋体" w:hint="default"/>
          <w:sz w:val="21"/>
          <w:szCs w:val="21"/>
        </w:rPr>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995"/>
        <w:jc w:val="left"/>
      </w:pPr>
      <w:r>
        <w:rPr>
          <w:spacing w:val="-2"/>
        </w:rPr>
        <w:t>合并报表中的账面价值计量。取得的净资产账面价值与支付的合并对价账面价值的差额，调整资本公积；</w:t>
      </w:r>
      <w:r>
        <w:rPr>
          <w:spacing w:val="-21"/>
        </w:rPr>
        <w:t> </w:t>
      </w:r>
      <w:r>
        <w:rPr>
          <w:spacing w:val="-21"/>
        </w:rPr>
      </w:r>
      <w:r>
        <w:rPr/>
        <w:t>资本公积不足冲减的，调整留存收益。</w:t>
      </w:r>
    </w:p>
    <w:p>
      <w:pPr>
        <w:pStyle w:val="BodyText"/>
        <w:spacing w:line="408" w:lineRule="auto"/>
        <w:ind w:right="995" w:firstLine="420"/>
        <w:jc w:val="left"/>
      </w:pPr>
      <w:r>
        <w:rPr/>
        <w:t>在非同一控制下企业合并中取得的被购买方可辨认资产、负债及或有负债在收购日以公允价值计量。</w:t>
      </w:r>
      <w:r>
        <w:rPr>
          <w:w w:val="100"/>
        </w:rPr>
        <w:t> </w:t>
      </w:r>
      <w:r>
        <w:rPr/>
        <w:t>合并成本为本公司在购买日为取得对被购买方的控制权而支付的现金或非现金资产、发行或承担的负债、</w:t>
      </w:r>
      <w:r>
        <w:rPr>
          <w:w w:val="100"/>
        </w:rPr>
        <w:t> </w:t>
      </w:r>
      <w:r>
        <w:rPr>
          <w:spacing w:val="-2"/>
        </w:rPr>
        <w:t>发行的权益性证券等的公允价值以及在企业合并中发生的各项直接相关费用之和（通过多次交易分步实现</w:t>
      </w:r>
      <w:r>
        <w:rPr>
          <w:spacing w:val="-43"/>
        </w:rPr>
        <w:t> </w:t>
      </w:r>
      <w:r>
        <w:rPr>
          <w:spacing w:val="-43"/>
        </w:rPr>
      </w:r>
      <w:r>
        <w:rPr>
          <w:spacing w:val="-2"/>
        </w:rPr>
        <w:t>的企业合并，其合并成本为每一单项交易的成本之和）。合并成本大于合并中取得的被购买方可辨认净资</w:t>
      </w:r>
      <w:r>
        <w:rPr>
          <w:spacing w:val="-43"/>
        </w:rPr>
        <w:t> </w:t>
      </w:r>
      <w:r>
        <w:rPr>
          <w:spacing w:val="-43"/>
        </w:rPr>
      </w:r>
      <w:r>
        <w:rPr>
          <w:spacing w:val="-5"/>
        </w:rPr>
        <w:t>产公允价值份额的差额，确认为商誉；合并成本小于合并中取得的被购买方可辨认净资产公允价值份额的，</w:t>
      </w:r>
      <w:r>
        <w:rPr>
          <w:spacing w:val="-4"/>
        </w:rPr>
        <w:t> </w:t>
      </w:r>
      <w:r>
        <w:rPr>
          <w:spacing w:val="-4"/>
        </w:rPr>
      </w:r>
      <w:r>
        <w:rPr>
          <w:spacing w:val="-2"/>
        </w:rPr>
        <w:t>首先对合并中取得的各项可辨认资产、负债及或有负债的公允价值、以及合并对价的非现金资产或发行的</w:t>
      </w:r>
      <w:r>
        <w:rPr>
          <w:spacing w:val="-44"/>
        </w:rPr>
        <w:t> </w:t>
      </w:r>
      <w:r>
        <w:rPr>
          <w:spacing w:val="-44"/>
        </w:rPr>
      </w:r>
      <w:r>
        <w:rPr>
          <w:spacing w:val="-2"/>
        </w:rPr>
        <w:t>权益性证券等的公允价值进行复核，经复核后，合并成本仍小于合并中取得的被购买方可辨认净资产公允</w:t>
      </w:r>
      <w:r>
        <w:rPr>
          <w:spacing w:val="-42"/>
        </w:rPr>
        <w:t> </w:t>
      </w:r>
      <w:r>
        <w:rPr>
          <w:spacing w:val="-42"/>
        </w:rPr>
      </w:r>
      <w:r>
        <w:rPr/>
        <w:t>价值份额的，将其差额计入合并当期营业外收入。</w:t>
      </w:r>
    </w:p>
    <w:p>
      <w:pPr>
        <w:spacing w:line="240" w:lineRule="auto" w:before="6"/>
        <w:rPr>
          <w:rFonts w:ascii="宋体" w:hAnsi="宋体" w:cs="宋体" w:eastAsia="宋体" w:hint="default"/>
          <w:sz w:val="15"/>
          <w:szCs w:val="15"/>
        </w:rPr>
      </w:pPr>
    </w:p>
    <w:p>
      <w:pPr>
        <w:pStyle w:val="Heading7"/>
        <w:spacing w:line="240" w:lineRule="auto"/>
        <w:ind w:right="995"/>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left="573" w:right="995"/>
        <w:jc w:val="left"/>
      </w:pPr>
      <w:r>
        <w:rPr/>
        <w:t>（</w:t>
      </w:r>
      <w:r>
        <w:rPr>
          <w:rFonts w:ascii="Times New Roman" w:hAnsi="Times New Roman" w:cs="Times New Roman" w:eastAsia="Times New Roman" w:hint="default"/>
        </w:rPr>
        <w:t>1</w:t>
      </w:r>
      <w:r>
        <w:rPr/>
        <w:t>）合并范围</w:t>
      </w:r>
      <w:r>
        <w:rPr>
          <w:w w:val="100"/>
        </w:rPr>
        <w:t> </w:t>
      </w:r>
      <w:r>
        <w:rPr>
          <w:spacing w:val="-2"/>
        </w:rPr>
        <w:t>本公司合并财务报表的合并范围以控制为基础确定，所有子公司（包括本公司所控制的单独主体）均</w:t>
      </w:r>
    </w:p>
    <w:p>
      <w:pPr>
        <w:pStyle w:val="BodyText"/>
        <w:spacing w:line="240" w:lineRule="auto" w:before="65"/>
        <w:ind w:right="995"/>
        <w:jc w:val="left"/>
      </w:pPr>
      <w:r>
        <w:rPr/>
        <w:t>纳入合并财务报表。</w:t>
      </w:r>
    </w:p>
    <w:p>
      <w:pPr>
        <w:spacing w:line="240" w:lineRule="auto" w:before="10"/>
        <w:rPr>
          <w:rFonts w:ascii="宋体" w:hAnsi="宋体" w:cs="宋体" w:eastAsia="宋体" w:hint="default"/>
          <w:sz w:val="14"/>
          <w:szCs w:val="14"/>
        </w:rPr>
      </w:pPr>
    </w:p>
    <w:p>
      <w:pPr>
        <w:pStyle w:val="BodyText"/>
        <w:spacing w:line="386" w:lineRule="auto" w:before="0"/>
        <w:ind w:left="573" w:right="995"/>
        <w:jc w:val="left"/>
      </w:pPr>
      <w:r>
        <w:rPr/>
        <w:t>（</w:t>
      </w:r>
      <w:r>
        <w:rPr>
          <w:rFonts w:ascii="Times New Roman" w:hAnsi="Times New Roman" w:cs="Times New Roman" w:eastAsia="Times New Roman" w:hint="default"/>
        </w:rPr>
        <w:t>2</w:t>
      </w:r>
      <w:r>
        <w:rPr/>
        <w:t>）合并程序</w:t>
      </w:r>
      <w:r>
        <w:rPr>
          <w:w w:val="100"/>
        </w:rPr>
        <w:t> </w:t>
      </w:r>
      <w:r>
        <w:rPr>
          <w:spacing w:val="-2"/>
        </w:rPr>
        <w:t>本公司以自身和各子公司的财务报表为基础，根据其他有关资料，编制合并财务报表。本公司编制合</w:t>
      </w:r>
      <w:r>
        <w:rPr/>
      </w:r>
    </w:p>
    <w:p>
      <w:pPr>
        <w:pStyle w:val="BodyText"/>
        <w:spacing w:line="408" w:lineRule="auto" w:before="62"/>
        <w:ind w:right="995"/>
        <w:jc w:val="left"/>
      </w:pPr>
      <w:r>
        <w:rPr>
          <w:spacing w:val="-2"/>
        </w:rPr>
        <w:t>并财务报表，将整个企业视为一个会计主体，依据相关企业会计准则的确认、计量和列报要求，按照统一</w:t>
      </w:r>
      <w:r>
        <w:rPr>
          <w:spacing w:val="-47"/>
        </w:rPr>
        <w:t> </w:t>
      </w:r>
      <w:r>
        <w:rPr>
          <w:spacing w:val="-47"/>
        </w:rPr>
      </w:r>
      <w:r>
        <w:rPr/>
        <w:t>的会计政策，反映本公司整体财务状况、经营成果和现金流量。</w:t>
      </w:r>
    </w:p>
    <w:p>
      <w:pPr>
        <w:pStyle w:val="BodyText"/>
        <w:spacing w:line="408" w:lineRule="auto"/>
        <w:ind w:right="112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t>必要的调整。</w:t>
      </w:r>
    </w:p>
    <w:p>
      <w:pPr>
        <w:pStyle w:val="BodyText"/>
        <w:spacing w:line="408" w:lineRule="auto"/>
        <w:ind w:right="1126" w:firstLine="420"/>
        <w:jc w:val="both"/>
      </w:pPr>
      <w:r>
        <w:rPr>
          <w:spacing w:val="-2"/>
        </w:rPr>
        <w:t>合并财务报表时抵销本公司与各子公司、各子公司相互之间发生的内部交易对合并资产负债表、合并</w:t>
      </w:r>
      <w:r>
        <w:rPr>
          <w:w w:val="100"/>
        </w:rPr>
        <w:t> </w:t>
      </w:r>
      <w:r>
        <w:rPr>
          <w:spacing w:val="-2"/>
        </w:rPr>
        <w:t>利润表、合并现金流量表、合并股东权益变动表的影响。如果站在企业合并财务报表角度与以本公司或子</w:t>
      </w:r>
      <w:r>
        <w:rPr>
          <w:spacing w:val="-44"/>
        </w:rPr>
        <w:t> </w:t>
      </w:r>
      <w:r>
        <w:rPr>
          <w:spacing w:val="-44"/>
        </w:rPr>
      </w:r>
      <w:r>
        <w:rPr/>
        <w:t>公司为会计主体对同一交易的认定不同时，从企业的角度对该交易予以调整。</w:t>
      </w:r>
    </w:p>
    <w:p>
      <w:pPr>
        <w:pStyle w:val="BodyText"/>
        <w:spacing w:line="408" w:lineRule="auto"/>
        <w:ind w:right="112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3"/>
        </w:rPr>
        <w:t> </w:t>
      </w:r>
      <w:r>
        <w:rPr>
          <w:spacing w:val="-43"/>
        </w:rPr>
      </w:r>
      <w:r>
        <w:rPr/>
        <w:t>亏损超过了少数股东在该子公司期初所有者权益中所享有份额而形成的余额，仍冲减少数股东权益。</w:t>
      </w:r>
    </w:p>
    <w:p>
      <w:pPr>
        <w:pStyle w:val="BodyText"/>
        <w:spacing w:line="408" w:lineRule="auto"/>
        <w:ind w:right="1104" w:firstLine="420"/>
        <w:jc w:val="both"/>
      </w:pPr>
      <w:r>
        <w:rPr>
          <w:spacing w:val="-2"/>
        </w:rPr>
        <w:t>对于同一控制下企业合并取得的子公司，其经营成果和现金流量自合并当期期初纳入合并财务报表。</w:t>
      </w:r>
      <w:r>
        <w:rPr>
          <w:w w:val="100"/>
        </w:rPr>
        <w:t> </w:t>
      </w:r>
      <w:r>
        <w:rPr>
          <w:spacing w:val="-2"/>
        </w:rPr>
        <w:t>编制比较合并财务报表时，对上年财务报表的相关项目进行调整，视同合并后形成的报告主体自最终控制</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left="573" w:right="995" w:hanging="420"/>
        <w:jc w:val="left"/>
      </w:pPr>
      <w:r>
        <w:rPr/>
        <w:t>方开始控制时点起一直存在。</w:t>
      </w:r>
      <w:r>
        <w:rPr>
          <w:w w:val="100"/>
        </w:rPr>
        <w:t> </w:t>
      </w:r>
      <w:r>
        <w:rPr>
          <w:spacing w:val="-2"/>
        </w:rPr>
        <w:t>对于非同一控制下企业合并取得子公司，经营成果和现金流量自本公司取得控制权之日起纳入合并财</w:t>
      </w:r>
    </w:p>
    <w:p>
      <w:pPr>
        <w:pStyle w:val="BodyText"/>
        <w:spacing w:line="408" w:lineRule="auto"/>
        <w:ind w:right="1126"/>
        <w:jc w:val="both"/>
      </w:pPr>
      <w:r>
        <w:rPr>
          <w:spacing w:val="-2"/>
        </w:rPr>
        <w:t>务报表。在编制合并财务报表时，以购买日确定的各项可辨认资产、负债及或有负债的公允价值为基础对</w:t>
      </w:r>
      <w:r>
        <w:rPr>
          <w:spacing w:val="-43"/>
        </w:rPr>
        <w:t> </w:t>
      </w:r>
      <w:r>
        <w:rPr>
          <w:spacing w:val="-43"/>
        </w:rPr>
      </w:r>
      <w:r>
        <w:rPr/>
        <w:t>子公司的财务报表进行调整。</w:t>
      </w:r>
    </w:p>
    <w:p>
      <w:pPr>
        <w:pStyle w:val="BodyText"/>
        <w:spacing w:line="386" w:lineRule="auto"/>
        <w:ind w:left="573" w:right="995"/>
        <w:jc w:val="left"/>
      </w:pP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在报告期内，若因同一控制下企业合并增加子公司或业务的，则调整合并资产负债表的期初数；将子</w:t>
      </w:r>
    </w:p>
    <w:p>
      <w:pPr>
        <w:pStyle w:val="BodyText"/>
        <w:spacing w:line="408" w:lineRule="auto" w:before="65"/>
        <w:ind w:right="112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BodyText"/>
        <w:spacing w:line="408" w:lineRule="auto"/>
        <w:ind w:right="1126" w:firstLine="420"/>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BodyText"/>
        <w:spacing w:line="408" w:lineRule="auto"/>
        <w:ind w:right="1126"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4"/>
        </w:rPr>
        <w:t> </w:t>
      </w:r>
      <w:r>
        <w:rPr>
          <w:spacing w:val="-44"/>
        </w:rPr>
      </w:r>
      <w:r>
        <w:rPr/>
        <w:t>告期末的现金流量纳入合并现金流量表。</w:t>
      </w:r>
    </w:p>
    <w:p>
      <w:pPr>
        <w:pStyle w:val="BodyText"/>
        <w:spacing w:line="408" w:lineRule="auto"/>
        <w:ind w:right="1126"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BodyText"/>
        <w:spacing w:line="386" w:lineRule="auto"/>
        <w:ind w:left="573" w:right="7165"/>
        <w:jc w:val="left"/>
      </w:pPr>
      <w:r>
        <w:rPr>
          <w:rFonts w:ascii="Times New Roman" w:hAnsi="Times New Roman" w:cs="Times New Roman" w:eastAsia="Times New Roman" w:hint="default"/>
          <w:spacing w:val="-2"/>
        </w:rPr>
        <w:t>2</w:t>
      </w:r>
      <w:r>
        <w:rPr>
          <w:spacing w:val="-2"/>
        </w:rPr>
        <w:t>）处置子公司或业务</w:t>
      </w:r>
      <w:r>
        <w:rPr>
          <w:spacing w:val="-86"/>
        </w:rPr>
        <w:t> </w:t>
      </w:r>
      <w:r>
        <w:rPr>
          <w:spacing w:val="-86"/>
        </w:rPr>
      </w:r>
      <w:r>
        <w:rPr>
          <w:rFonts w:ascii="Times New Roman" w:hAnsi="Times New Roman" w:cs="Times New Roman" w:eastAsia="Times New Roman" w:hint="default"/>
        </w:rPr>
        <w:t>A.</w:t>
      </w:r>
      <w:r>
        <w:rPr/>
        <w:t>一般处理方法</w:t>
      </w:r>
    </w:p>
    <w:p>
      <w:pPr>
        <w:pStyle w:val="BodyText"/>
        <w:spacing w:line="408" w:lineRule="auto" w:before="36"/>
        <w:ind w:right="1128" w:firstLine="420"/>
        <w:jc w:val="both"/>
      </w:pPr>
      <w:r>
        <w:rPr>
          <w:spacing w:val="-2"/>
        </w:rPr>
        <w:t>在报告期内，本公司处置子公司或业务，则该子公司或业务期初至处置日的收入、费用、利润纳入合</w:t>
      </w:r>
      <w:r>
        <w:rPr>
          <w:w w:val="100"/>
        </w:rPr>
        <w:t> </w:t>
      </w:r>
      <w:r>
        <w:rPr/>
        <w:t>并利润表；该子公司或业务期初至处置日的现金流量纳入合并现金流量表。</w:t>
      </w:r>
    </w:p>
    <w:p>
      <w:pPr>
        <w:pStyle w:val="BodyText"/>
        <w:spacing w:line="408" w:lineRule="auto"/>
        <w:ind w:right="1126" w:firstLine="420"/>
        <w:jc w:val="both"/>
      </w:pPr>
      <w:r>
        <w:rPr>
          <w:spacing w:val="-2"/>
        </w:rPr>
        <w:t>因处置部分股权投资或其他原因丧失了对被投资方控制权时，对于处置后的剩余股权投资，本公司按</w:t>
      </w:r>
      <w:r>
        <w:rPr>
          <w:w w:val="100"/>
        </w:rPr>
        <w:t> </w:t>
      </w: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995"/>
        <w:jc w:val="left"/>
      </w:pPr>
      <w:r>
        <w:rPr/>
        <w:t>计划净负债或净资产变动而产生的其他综合收益除外。</w:t>
      </w:r>
    </w:p>
    <w:p>
      <w:pPr>
        <w:spacing w:line="240" w:lineRule="auto" w:before="10"/>
        <w:rPr>
          <w:rFonts w:ascii="宋体" w:hAnsi="宋体" w:cs="宋体" w:eastAsia="宋体" w:hint="default"/>
          <w:sz w:val="14"/>
          <w:szCs w:val="14"/>
        </w:rPr>
      </w:pPr>
    </w:p>
    <w:p>
      <w:pPr>
        <w:pStyle w:val="BodyText"/>
        <w:spacing w:line="386" w:lineRule="auto" w:before="0"/>
        <w:ind w:left="573" w:right="995"/>
        <w:jc w:val="left"/>
      </w:pPr>
      <w:r>
        <w:rPr>
          <w:rFonts w:ascii="Times New Roman" w:hAnsi="Times New Roman" w:cs="Times New Roman" w:eastAsia="Times New Roman" w:hint="default"/>
        </w:rPr>
        <w:t>B.</w:t>
      </w:r>
      <w:r>
        <w:rPr/>
        <w:t>分步处置子公司</w:t>
      </w:r>
      <w:r>
        <w:rPr>
          <w:w w:val="100"/>
        </w:rPr>
        <w:t> </w:t>
      </w:r>
      <w:r>
        <w:rPr>
          <w:spacing w:val="-2"/>
        </w:rPr>
        <w:t>通过多次交易分步处置对子公司股权投资直至丧失控制权的，处置对子公司股权投资的各项交易的条</w:t>
      </w:r>
    </w:p>
    <w:p>
      <w:pPr>
        <w:pStyle w:val="BodyText"/>
        <w:spacing w:line="408" w:lineRule="auto" w:before="65"/>
        <w:ind w:right="995"/>
        <w:jc w:val="left"/>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BodyText"/>
        <w:spacing w:line="386" w:lineRule="auto"/>
        <w:ind w:left="573" w:right="2113"/>
        <w:jc w:val="left"/>
      </w:pPr>
      <w:r>
        <w:rPr>
          <w:rFonts w:ascii="Times New Roman" w:hAnsi="Times New Roman" w:cs="Times New Roman" w:eastAsia="Times New Roman" w:hint="default"/>
        </w:rPr>
        <w:t>a.</w:t>
      </w:r>
      <w:r>
        <w:rPr/>
        <w:t>这些交易是同时或者在考虑了彼此影响的情况下订立的；</w:t>
      </w:r>
      <w:r>
        <w:rPr>
          <w:w w:val="100"/>
        </w:rPr>
        <w:t> </w:t>
      </w:r>
      <w:r>
        <w:rPr>
          <w:rFonts w:ascii="Times New Roman" w:hAnsi="Times New Roman" w:cs="Times New Roman" w:eastAsia="Times New Roman" w:hint="default"/>
        </w:rPr>
        <w:t>b.</w:t>
      </w:r>
      <w:r>
        <w:rPr/>
        <w:t>这些交易整体才能达成一项完整的商业结果；</w:t>
      </w:r>
      <w:r>
        <w:rPr>
          <w:w w:val="100"/>
        </w:rPr>
        <w:t> </w:t>
      </w:r>
      <w:r>
        <w:rPr>
          <w:rFonts w:ascii="Times New Roman" w:hAnsi="Times New Roman" w:cs="Times New Roman" w:eastAsia="Times New Roman" w:hint="default"/>
        </w:rPr>
        <w:t>c.</w:t>
      </w:r>
      <w:r>
        <w:rPr/>
        <w:t>一项交易的发生取决于其他至少一项交易的发生；</w:t>
      </w:r>
      <w:r>
        <w:rPr>
          <w:w w:val="100"/>
        </w:rPr>
        <w:t> </w:t>
      </w:r>
      <w:r>
        <w:rPr>
          <w:rFonts w:ascii="Times New Roman" w:hAnsi="Times New Roman" w:cs="Times New Roman" w:eastAsia="Times New Roman" w:hint="default"/>
          <w:spacing w:val="-2"/>
        </w:rPr>
        <w:t>d.</w:t>
      </w:r>
      <w:r>
        <w:rPr>
          <w:spacing w:val="-2"/>
        </w:rPr>
        <w:t>一项交易单独看是不经济的，但是和其他交易一并考虑时是经济的。</w:t>
      </w:r>
    </w:p>
    <w:p>
      <w:pPr>
        <w:pStyle w:val="BodyText"/>
        <w:spacing w:line="408" w:lineRule="auto" w:before="35"/>
        <w:ind w:right="1126" w:firstLine="420"/>
        <w:jc w:val="both"/>
      </w:pPr>
      <w:r>
        <w:rPr>
          <w:spacing w:val="-2"/>
        </w:rPr>
        <w:t>处置对子公司股权投资直至丧失控制权的各项交易属于一揽子交易的，本公司将各项交易作为一项处</w:t>
      </w:r>
      <w:r>
        <w:rPr>
          <w:w w:val="100"/>
        </w:rPr>
        <w:t> </w:t>
      </w: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BodyText"/>
        <w:spacing w:line="408" w:lineRule="auto"/>
        <w:ind w:right="112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BodyText"/>
        <w:spacing w:line="386" w:lineRule="auto"/>
        <w:ind w:left="573" w:right="995"/>
        <w:jc w:val="left"/>
      </w:pP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本公司因购买少数股权新取得的长期股权投资与按照新增持股比例计算应享有子公司自购买日（或合</w:t>
      </w:r>
    </w:p>
    <w:p>
      <w:pPr>
        <w:pStyle w:val="BodyText"/>
        <w:spacing w:line="408" w:lineRule="auto" w:before="65"/>
        <w:ind w:right="995"/>
        <w:jc w:val="left"/>
      </w:pPr>
      <w:r>
        <w:rPr>
          <w:spacing w:val="-2"/>
        </w:rPr>
        <w:t>并日）开始持续计算的净资产份额之间的差额，调整合并资产负债表中的资本公积中的股本溢价，资本公</w:t>
      </w:r>
      <w:r>
        <w:rPr>
          <w:spacing w:val="-45"/>
        </w:rPr>
        <w:t> </w:t>
      </w:r>
      <w:r>
        <w:rPr>
          <w:spacing w:val="-45"/>
        </w:rPr>
      </w:r>
      <w:r>
        <w:rPr/>
        <w:t>积中的股本溢价不足冲减的，调整留存收益。</w:t>
      </w:r>
    </w:p>
    <w:p>
      <w:pPr>
        <w:pStyle w:val="BodyText"/>
        <w:spacing w:line="386" w:lineRule="auto"/>
        <w:ind w:left="573" w:right="995"/>
        <w:jc w:val="left"/>
      </w:pP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410" w:lineRule="auto" w:before="65"/>
        <w:ind w:right="995"/>
        <w:jc w:val="left"/>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240" w:lineRule="auto" w:before="4"/>
        <w:rPr>
          <w:rFonts w:ascii="宋体" w:hAnsi="宋体" w:cs="宋体" w:eastAsia="宋体" w:hint="default"/>
          <w:sz w:val="15"/>
          <w:szCs w:val="15"/>
        </w:rPr>
      </w:pPr>
    </w:p>
    <w:p>
      <w:pPr>
        <w:pStyle w:val="Heading7"/>
        <w:spacing w:line="240" w:lineRule="auto"/>
        <w:ind w:right="995"/>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96" w:lineRule="auto" w:before="0"/>
        <w:ind w:left="573" w:right="99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本公司现金流量表之现金指库存现金以及可以随时用于支付的存款。现金流量表之现金等价物指持有</w:t>
      </w:r>
    </w:p>
    <w:p>
      <w:pPr>
        <w:pStyle w:val="BodyText"/>
        <w:spacing w:line="259" w:lineRule="exact" w:before="0"/>
        <w:ind w:right="995"/>
        <w:jc w:val="left"/>
      </w:pPr>
      <w:r>
        <w:rPr/>
        <w:t>期限不超过</w:t>
      </w:r>
      <w:r>
        <w:rPr>
          <w:rFonts w:ascii="Times New Roman" w:hAnsi="Times New Roman" w:cs="Times New Roman" w:eastAsia="Times New Roman" w:hint="default"/>
        </w:rPr>
        <w:t>3</w:t>
      </w:r>
      <w:r>
        <w:rPr/>
        <w:t>个月、流动性强、易于转换为已知金额现金且价值变动风险很小的投资。</w:t>
      </w:r>
    </w:p>
    <w:p>
      <w:pPr>
        <w:spacing w:after="0" w:line="259" w:lineRule="exact"/>
        <w:jc w:val="left"/>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7"/>
        <w:spacing w:line="335" w:lineRule="exact"/>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left="573" w:right="995"/>
        <w:jc w:val="left"/>
      </w:pPr>
      <w:r>
        <w:rPr/>
        <w:t>外币业务交易在初始确认时，采用交易发生日的即期汇率作为折算汇率折合成人民币记账。</w:t>
      </w:r>
      <w:r>
        <w:rPr>
          <w:w w:val="100"/>
        </w:rPr>
        <w:t> </w:t>
      </w:r>
      <w:r>
        <w:rPr>
          <w:spacing w:val="-2"/>
        </w:rPr>
        <w:t>资产负债表日，外币货币性项目按资产负债表日即期汇率折算，由此产生的汇兑差额，除属于与购建</w:t>
      </w:r>
    </w:p>
    <w:p>
      <w:pPr>
        <w:pStyle w:val="BodyText"/>
        <w:spacing w:line="408" w:lineRule="auto"/>
        <w:ind w:right="1126"/>
        <w:jc w:val="both"/>
      </w:pPr>
      <w:r>
        <w:rPr>
          <w:spacing w:val="-2"/>
        </w:rPr>
        <w:t>符合资本化条件的资产相关的外币专门借款产生的汇兑差额按照借款费用资本化的原则处理外，均计入当</w:t>
      </w:r>
      <w:r>
        <w:rPr>
          <w:spacing w:val="-43"/>
        </w:rPr>
        <w:t> </w:t>
      </w:r>
      <w:r>
        <w:rPr>
          <w:spacing w:val="-43"/>
        </w:rPr>
      </w:r>
      <w:r>
        <w:rPr>
          <w:spacing w:val="-2"/>
        </w:rPr>
        <w:t>期损益。以历史成本计量的外币非货币性项目，仍采用交易发生日的即期汇率折算，不改变其记账本位币</w:t>
      </w:r>
      <w:r>
        <w:rPr>
          <w:spacing w:val="-43"/>
        </w:rPr>
        <w:t> </w:t>
      </w:r>
      <w:r>
        <w:rPr>
          <w:spacing w:val="-43"/>
        </w:rPr>
      </w:r>
      <w:r>
        <w:rPr/>
        <w:t>金额。</w:t>
      </w:r>
    </w:p>
    <w:p>
      <w:pPr>
        <w:pStyle w:val="BodyText"/>
        <w:spacing w:line="408" w:lineRule="auto"/>
        <w:ind w:right="1126" w:firstLine="420"/>
        <w:jc w:val="both"/>
      </w:pPr>
      <w:r>
        <w:rPr>
          <w:spacing w:val="-2"/>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42"/>
        </w:rPr>
        <w:t> </w:t>
      </w:r>
      <w:r>
        <w:rPr>
          <w:spacing w:val="-42"/>
        </w:rPr>
      </w:r>
      <w:r>
        <w:rPr/>
        <w:t>收益。</w:t>
      </w:r>
    </w:p>
    <w:p>
      <w:pPr>
        <w:spacing w:line="240" w:lineRule="auto" w:before="6"/>
        <w:rPr>
          <w:rFonts w:ascii="宋体" w:hAnsi="宋体" w:cs="宋体" w:eastAsia="宋体" w:hint="default"/>
          <w:sz w:val="15"/>
          <w:szCs w:val="15"/>
        </w:rPr>
      </w:pPr>
    </w:p>
    <w:p>
      <w:pPr>
        <w:pStyle w:val="Heading7"/>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240" w:lineRule="auto" w:before="0"/>
        <w:ind w:left="573" w:right="995"/>
        <w:jc w:val="left"/>
      </w:pPr>
      <w:r>
        <w:rPr/>
        <w:t>本公司成为金融工具合同的一方时确认一项金融资产或金融负债。</w:t>
      </w:r>
    </w:p>
    <w:p>
      <w:pPr>
        <w:spacing w:line="240" w:lineRule="auto" w:before="10"/>
        <w:rPr>
          <w:rFonts w:ascii="宋体" w:hAnsi="宋体" w:cs="宋体" w:eastAsia="宋体" w:hint="default"/>
          <w:sz w:val="14"/>
          <w:szCs w:val="14"/>
        </w:rPr>
      </w:pPr>
    </w:p>
    <w:p>
      <w:pPr>
        <w:pStyle w:val="BodyText"/>
        <w:spacing w:line="240" w:lineRule="auto" w:before="0"/>
        <w:ind w:left="573" w:right="995"/>
        <w:jc w:val="left"/>
      </w:pPr>
      <w:r>
        <w:rPr>
          <w:rFonts w:ascii="Times New Roman" w:hAnsi="Times New Roman" w:cs="Times New Roman" w:eastAsia="Times New Roman" w:hint="default"/>
        </w:rPr>
        <w:t>1.</w:t>
      </w:r>
      <w:r>
        <w:rPr/>
        <w:t>金融资产</w:t>
      </w:r>
    </w:p>
    <w:p>
      <w:pPr>
        <w:pStyle w:val="BodyText"/>
        <w:spacing w:line="386" w:lineRule="auto" w:before="177"/>
        <w:ind w:left="573" w:right="995"/>
        <w:jc w:val="left"/>
      </w:pPr>
      <w:r>
        <w:rPr>
          <w:rFonts w:ascii="Times New Roman" w:hAnsi="Times New Roman" w:cs="Times New Roman" w:eastAsia="Times New Roman" w:hint="default"/>
        </w:rPr>
        <w:t>1).</w:t>
      </w:r>
      <w:r>
        <w:rPr/>
        <w:t>金融资产分类、确认依据和计量方法</w:t>
      </w:r>
      <w:r>
        <w:rPr>
          <w:w w:val="100"/>
        </w:rPr>
        <w:t> </w:t>
      </w:r>
      <w:r>
        <w:rPr>
          <w:spacing w:val="-2"/>
        </w:rPr>
        <w:t>本公司根据管理金融资产的业务模式和金融资产的合同现金流特征，将金融资产分类为以摊余成本计</w:t>
      </w:r>
    </w:p>
    <w:p>
      <w:pPr>
        <w:pStyle w:val="BodyText"/>
        <w:spacing w:line="408" w:lineRule="auto" w:before="65"/>
        <w:ind w:right="1126"/>
        <w:jc w:val="both"/>
      </w:pPr>
      <w:r>
        <w:rPr>
          <w:spacing w:val="-2"/>
        </w:rPr>
        <w:t>量的金融资产、以公允价值计量且其变动计入其他综合收益的金融资产、以公允价值计量且其变动计入当</w:t>
      </w:r>
      <w:r>
        <w:rPr>
          <w:spacing w:val="-43"/>
        </w:rPr>
        <w:t> </w:t>
      </w:r>
      <w:r>
        <w:rPr>
          <w:spacing w:val="-43"/>
        </w:rPr>
      </w:r>
      <w:r>
        <w:rPr/>
        <w:t>期损益的金融资产。</w:t>
      </w:r>
    </w:p>
    <w:p>
      <w:pPr>
        <w:pStyle w:val="BodyText"/>
        <w:spacing w:line="240" w:lineRule="auto"/>
        <w:ind w:left="573" w:right="995"/>
        <w:jc w:val="left"/>
      </w:pPr>
      <w:r>
        <w:rPr/>
        <w:t>本公司将同时符合下列条件的金融资产分类为以摊余成本计量的金融资产：</w:t>
      </w:r>
    </w:p>
    <w:p>
      <w:pPr>
        <w:spacing w:line="240" w:lineRule="auto" w:before="10"/>
        <w:rPr>
          <w:rFonts w:ascii="宋体" w:hAnsi="宋体" w:cs="宋体" w:eastAsia="宋体" w:hint="default"/>
          <w:sz w:val="14"/>
          <w:szCs w:val="14"/>
        </w:rPr>
      </w:pPr>
    </w:p>
    <w:p>
      <w:pPr>
        <w:pStyle w:val="BodyText"/>
        <w:spacing w:line="240" w:lineRule="auto" w:before="0"/>
        <w:ind w:left="573" w:right="995"/>
        <w:jc w:val="left"/>
      </w:pPr>
      <w:r>
        <w:rPr/>
        <w:t>①管理该金融资产的业务模式是以收取合同现金流量为目标。</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spacing w:val="-2"/>
        </w:rPr>
        <w:t>②该金融资产的合同条款规定，在特定日期产生的现金流量，仅为对本金和以未偿付本金金额为基础</w:t>
      </w:r>
      <w:r>
        <w:rPr>
          <w:w w:val="100"/>
        </w:rPr>
        <w:t> </w:t>
      </w:r>
      <w:r>
        <w:rPr/>
        <w:t>的利息的支付。</w:t>
      </w:r>
    </w:p>
    <w:p>
      <w:pPr>
        <w:pStyle w:val="BodyText"/>
        <w:spacing w:line="408" w:lineRule="auto"/>
        <w:ind w:right="1126" w:firstLine="420"/>
        <w:jc w:val="both"/>
      </w:pPr>
      <w:r>
        <w:rPr>
          <w:spacing w:val="-2"/>
        </w:rPr>
        <w:t>此类金融资产按照公允价值进行初始计量，相关交易费用计入初始确认金额；以摊余成本进行后续计</w:t>
      </w:r>
      <w:r>
        <w:rPr>
          <w:w w:val="100"/>
        </w:rPr>
        <w:t> </w:t>
      </w:r>
      <w:r>
        <w:rPr>
          <w:spacing w:val="-2"/>
        </w:rPr>
        <w:t>量。除被指定为被套期项目的，按照实际利率法摊销初始金额与到期金额之间的差额，其摊销、减值、汇</w:t>
      </w:r>
      <w:r>
        <w:rPr>
          <w:spacing w:val="-43"/>
        </w:rPr>
        <w:t> </w:t>
      </w:r>
      <w:r>
        <w:rPr>
          <w:spacing w:val="-43"/>
        </w:rPr>
      </w:r>
      <w:r>
        <w:rPr/>
        <w:t>兑损益以及终止确认时产生的利得或损失，计入当期损益。</w:t>
      </w:r>
    </w:p>
    <w:p>
      <w:pPr>
        <w:pStyle w:val="BodyText"/>
        <w:spacing w:line="408" w:lineRule="auto"/>
        <w:ind w:right="1140" w:firstLine="420"/>
        <w:jc w:val="both"/>
      </w:pPr>
      <w:r>
        <w:rPr>
          <w:spacing w:val="2"/>
        </w:rPr>
        <w:t>本公司将同时符合下列条件的金融资产分类为以公允价值计量且其变动计入其他综合收益的金融资</w:t>
      </w:r>
      <w:r>
        <w:rPr>
          <w:w w:val="100"/>
        </w:rPr>
        <w:t> </w:t>
      </w:r>
      <w:r>
        <w:rPr/>
        <w:t>产：</w:t>
      </w:r>
    </w:p>
    <w:p>
      <w:pPr>
        <w:pStyle w:val="BodyText"/>
        <w:spacing w:line="240" w:lineRule="auto"/>
        <w:ind w:left="573" w:right="995"/>
        <w:jc w:val="left"/>
      </w:pPr>
      <w:r>
        <w:rPr/>
        <w:t>①管理该金融资产的业务模式既以收取合同现金流量为目标又以出售该金融资产为目标。</w:t>
      </w:r>
    </w:p>
    <w:p>
      <w:pPr>
        <w:spacing w:line="240" w:lineRule="auto" w:before="10"/>
        <w:rPr>
          <w:rFonts w:ascii="宋体" w:hAnsi="宋体" w:cs="宋体" w:eastAsia="宋体" w:hint="default"/>
          <w:sz w:val="14"/>
          <w:szCs w:val="14"/>
        </w:rPr>
      </w:pPr>
    </w:p>
    <w:p>
      <w:pPr>
        <w:pStyle w:val="BodyText"/>
        <w:spacing w:line="408" w:lineRule="auto" w:before="0"/>
        <w:ind w:right="1125" w:firstLine="420"/>
        <w:jc w:val="both"/>
      </w:pPr>
      <w:r>
        <w:rPr>
          <w:spacing w:val="-2"/>
        </w:rPr>
        <w:t>②该金融资产的合同条款规定，在特定日期产生的现金流量，仅为对本金和以未偿付本金金额为基础</w:t>
      </w:r>
      <w:r>
        <w:rPr>
          <w:w w:val="100"/>
        </w:rPr>
        <w:t> </w:t>
      </w:r>
      <w:r>
        <w:rPr/>
        <w:t>的利息的支付。此类金融资产按照公允价值进行初始计量，相关交易费用计入初始确认金额。</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6" w:firstLine="420"/>
        <w:jc w:val="both"/>
      </w:pPr>
      <w:r>
        <w:rPr>
          <w:spacing w:val="-2"/>
        </w:rPr>
        <w:t>除被指定为被套期项目的，此类金融资产，除信用减值损失或利得、汇兑损益和按照实际利率法计算</w:t>
      </w:r>
      <w:r>
        <w:rPr>
          <w:w w:val="100"/>
        </w:rPr>
        <w:t> </w:t>
      </w:r>
      <w:r>
        <w:rPr>
          <w:spacing w:val="-2"/>
        </w:rPr>
        <w:t>的该金融资产利息之外，所产生的其他利得或损失，均计入其他综合收益；金融资产终止确认时，之前计</w:t>
      </w:r>
      <w:r>
        <w:rPr>
          <w:spacing w:val="-47"/>
        </w:rPr>
        <w:t> </w:t>
      </w:r>
      <w:r>
        <w:rPr>
          <w:spacing w:val="-47"/>
        </w:rPr>
      </w:r>
      <w:r>
        <w:rPr/>
        <w:t>入其他综合收益的累计利得或损失应当从其他综合收益中转出，计入当期损益。</w:t>
      </w:r>
    </w:p>
    <w:p>
      <w:pPr>
        <w:pStyle w:val="BodyText"/>
        <w:spacing w:line="408" w:lineRule="auto"/>
        <w:ind w:right="1126" w:firstLine="420"/>
        <w:jc w:val="both"/>
      </w:pPr>
      <w:r>
        <w:rPr>
          <w:spacing w:val="-2"/>
        </w:rPr>
        <w:t>本公司按照实际利率法确认利息收入。利息收入根据金融资产账面余额乘以实际利率计算确定，但下</w:t>
      </w:r>
      <w:r>
        <w:rPr>
          <w:w w:val="100"/>
        </w:rPr>
        <w:t> </w:t>
      </w:r>
      <w:r>
        <w:rPr/>
        <w:t>列情况除外：</w:t>
      </w:r>
    </w:p>
    <w:p>
      <w:pPr>
        <w:pStyle w:val="BodyText"/>
        <w:spacing w:line="408" w:lineRule="auto"/>
        <w:ind w:right="1126" w:firstLine="420"/>
        <w:jc w:val="both"/>
      </w:pPr>
      <w:r>
        <w:rPr>
          <w:spacing w:val="-2"/>
        </w:rPr>
        <w:t>①对于购入或源生的已发生信用减值的金融资产，自初始确认起，按照该金融资产的摊余成本和经信</w:t>
      </w:r>
      <w:r>
        <w:rPr>
          <w:w w:val="100"/>
        </w:rPr>
        <w:t> </w:t>
      </w:r>
      <w:r>
        <w:rPr/>
        <w:t>用调整的实际利率计算确定其利息收入。</w:t>
      </w:r>
    </w:p>
    <w:p>
      <w:pPr>
        <w:pStyle w:val="BodyText"/>
        <w:spacing w:line="410" w:lineRule="auto"/>
        <w:ind w:right="1104" w:firstLine="420"/>
        <w:jc w:val="both"/>
      </w:pPr>
      <w:r>
        <w:rPr>
          <w:spacing w:val="-2"/>
        </w:rPr>
        <w:t>②对于购入或源生的未发生信用减值、但在后续期间成为已发生信用减值的金融资产，在后续期间，</w:t>
      </w:r>
      <w:r>
        <w:rPr>
          <w:w w:val="100"/>
        </w:rPr>
        <w:t> </w:t>
      </w:r>
      <w:r>
        <w:rPr/>
        <w:t>按照该金融资产的摊余成本和实际利率计算确定其利息收入。</w:t>
      </w:r>
    </w:p>
    <w:p>
      <w:pPr>
        <w:pStyle w:val="BodyText"/>
        <w:spacing w:line="408" w:lineRule="auto" w:before="44"/>
        <w:ind w:right="1126" w:firstLine="420"/>
        <w:jc w:val="both"/>
      </w:pPr>
      <w:r>
        <w:rPr>
          <w:spacing w:val="-2"/>
        </w:rPr>
        <w:t>本公司将非交易性权益工具投资指定为以公允价值计量且其变动计入其他综合收益的金融资产。该指</w:t>
      </w:r>
      <w:r>
        <w:rPr>
          <w:w w:val="100"/>
        </w:rPr>
        <w:t> </w:t>
      </w:r>
      <w:r>
        <w:rPr>
          <w:spacing w:val="-2"/>
        </w:rPr>
        <w:t>定一经作出，不得撤销。本公司指定的以公允价值计量且其变动计入其他综合收益的非交易性权益工具投</w:t>
      </w:r>
      <w:r>
        <w:rPr>
          <w:spacing w:val="-43"/>
        </w:rPr>
        <w:t> </w:t>
      </w:r>
      <w:r>
        <w:rPr>
          <w:spacing w:val="-43"/>
        </w:rPr>
      </w:r>
      <w:r>
        <w:rPr>
          <w:spacing w:val="-2"/>
        </w:rPr>
        <w:t>资，按照公允价值进行初始计量，相关交易费用计入初始确认金额；除了获得股利（属于投资成本收回部</w:t>
      </w:r>
      <w:r>
        <w:rPr>
          <w:spacing w:val="-50"/>
        </w:rPr>
        <w:t> </w:t>
      </w:r>
      <w:r>
        <w:rPr>
          <w:spacing w:val="-50"/>
        </w:rPr>
      </w:r>
      <w:r>
        <w:rPr>
          <w:spacing w:val="-2"/>
        </w:rPr>
        <w:t>分的除外）计入当期损益外，其他相关的利得和损失（包括汇兑损益）均计入其他综合收益，且后续不得</w:t>
      </w:r>
      <w:r>
        <w:rPr>
          <w:spacing w:val="-43"/>
        </w:rPr>
        <w:t> </w:t>
      </w:r>
      <w:r>
        <w:rPr>
          <w:spacing w:val="-43"/>
        </w:rPr>
      </w:r>
      <w:r>
        <w:rPr>
          <w:spacing w:val="-2"/>
        </w:rPr>
        <w:t>转入当期损益。当其终止确认时，之前计入其他综合收益的累计利得或损失从其他综合收益中转出，计入</w:t>
      </w:r>
      <w:r>
        <w:rPr>
          <w:spacing w:val="-43"/>
        </w:rPr>
        <w:t> </w:t>
      </w:r>
      <w:r>
        <w:rPr>
          <w:spacing w:val="-43"/>
        </w:rPr>
      </w:r>
      <w:r>
        <w:rPr/>
        <w:t>留存收益。</w:t>
      </w:r>
    </w:p>
    <w:p>
      <w:pPr>
        <w:pStyle w:val="BodyText"/>
        <w:spacing w:line="408" w:lineRule="auto"/>
        <w:ind w:right="1126" w:firstLine="420"/>
        <w:jc w:val="both"/>
      </w:pPr>
      <w:r>
        <w:rPr>
          <w:spacing w:val="2"/>
        </w:rPr>
        <w:t>除上述分类为以摊余成本计量的金融资产和分类为以公允价值计量且其变动计入其他综合收益的金</w:t>
      </w:r>
      <w:r>
        <w:rPr>
          <w:w w:val="100"/>
        </w:rPr>
        <w:t> </w:t>
      </w:r>
      <w:r>
        <w:rPr>
          <w:spacing w:val="-2"/>
        </w:rPr>
        <w:t>融资产之外的金融资产。本公司将其分类两位以公允价值计量且其变动计入当期损益的金融资产。此类金</w:t>
      </w:r>
      <w:r>
        <w:rPr>
          <w:spacing w:val="-43"/>
        </w:rPr>
        <w:t> </w:t>
      </w:r>
      <w:r>
        <w:rPr>
          <w:spacing w:val="-43"/>
        </w:rPr>
      </w:r>
      <w:r>
        <w:rPr>
          <w:spacing w:val="-2"/>
        </w:rPr>
        <w:t>融资产按照公允价值进行初始计量，相关交易费用直接计入当期损益。此类金融资产的利得或损失，计入</w:t>
      </w:r>
      <w:r>
        <w:rPr>
          <w:spacing w:val="-43"/>
        </w:rPr>
        <w:t> </w:t>
      </w:r>
      <w:r>
        <w:rPr>
          <w:spacing w:val="-43"/>
        </w:rPr>
      </w:r>
      <w:r>
        <w:rPr/>
        <w:t>当期损益。</w:t>
      </w:r>
    </w:p>
    <w:p>
      <w:pPr>
        <w:pStyle w:val="BodyText"/>
        <w:spacing w:line="408" w:lineRule="auto"/>
        <w:ind w:right="1126" w:firstLine="420"/>
        <w:jc w:val="both"/>
      </w:pPr>
      <w:r>
        <w:rPr>
          <w:spacing w:val="-2"/>
        </w:rPr>
        <w:t>本公司在非同一控制下的企业合并中确认的或有对价构成金融资产的，该金融资产分类为以公允价值</w:t>
      </w:r>
      <w:r>
        <w:rPr>
          <w:w w:val="100"/>
        </w:rPr>
        <w:t> </w:t>
      </w:r>
      <w:r>
        <w:rPr/>
        <w:t>计量且其变动计入当期损益的金融资产。</w:t>
      </w:r>
    </w:p>
    <w:p>
      <w:pPr>
        <w:pStyle w:val="BodyText"/>
        <w:spacing w:line="386" w:lineRule="auto"/>
        <w:ind w:left="573" w:right="2113"/>
        <w:jc w:val="left"/>
      </w:pPr>
      <w:r>
        <w:rPr>
          <w:rFonts w:ascii="Times New Roman" w:hAnsi="Times New Roman" w:cs="Times New Roman" w:eastAsia="Times New Roman" w:hint="default"/>
        </w:rPr>
        <w:t>2).</w:t>
      </w:r>
      <w:r>
        <w:rPr/>
        <w:t>金融资产转移的确认依据和计量方法</w:t>
      </w:r>
      <w:r>
        <w:rPr>
          <w:w w:val="100"/>
        </w:rPr>
        <w:t> </w:t>
      </w:r>
      <w:r>
        <w:rPr>
          <w:spacing w:val="-2"/>
        </w:rPr>
        <w:t>本公司将满足下列条件之一的金融资产予以终止确认：</w:t>
      </w:r>
    </w:p>
    <w:p>
      <w:pPr>
        <w:pStyle w:val="BodyText"/>
        <w:spacing w:line="240" w:lineRule="auto" w:before="65"/>
        <w:ind w:left="573" w:right="995"/>
        <w:jc w:val="left"/>
      </w:pPr>
      <w:r>
        <w:rPr/>
        <w:t>①收取该金融资产现金流量的合同权利终止；</w:t>
      </w:r>
    </w:p>
    <w:p>
      <w:pPr>
        <w:spacing w:line="240" w:lineRule="auto" w:before="10"/>
        <w:rPr>
          <w:rFonts w:ascii="宋体" w:hAnsi="宋体" w:cs="宋体" w:eastAsia="宋体" w:hint="default"/>
          <w:sz w:val="14"/>
          <w:szCs w:val="14"/>
        </w:rPr>
      </w:pPr>
    </w:p>
    <w:p>
      <w:pPr>
        <w:pStyle w:val="BodyText"/>
        <w:spacing w:line="240" w:lineRule="auto" w:before="0"/>
        <w:ind w:left="573" w:right="995"/>
        <w:jc w:val="left"/>
      </w:pPr>
      <w:r>
        <w:rPr/>
        <w:t>②金融资产发生转移，本公司转移了金融资产所有权上几乎所有风险和报酬；</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spacing w:val="-2"/>
        </w:rPr>
        <w:t>③金融资产发生转移，本公司既没有转移也没有保留金融资产所有权上几乎所有风险和报酬，且未保</w:t>
      </w:r>
      <w:r>
        <w:rPr>
          <w:w w:val="100"/>
        </w:rPr>
        <w:t> </w:t>
      </w:r>
      <w:r>
        <w:rPr/>
        <w:t>留对该金融资产控制的。</w:t>
      </w:r>
    </w:p>
    <w:p>
      <w:pPr>
        <w:pStyle w:val="BodyText"/>
        <w:spacing w:line="408" w:lineRule="auto"/>
        <w:ind w:right="1126" w:firstLine="420"/>
        <w:jc w:val="both"/>
      </w:pPr>
      <w:r>
        <w:rPr>
          <w:spacing w:val="-2"/>
        </w:rPr>
        <w:t>金融资产整体转移满足终止确认条件的，将所转移金融资产的账面价值，与因转移而收到的对价及原</w:t>
      </w:r>
      <w:r>
        <w:rPr>
          <w:w w:val="100"/>
        </w:rPr>
        <w:t> </w:t>
      </w:r>
      <w:r>
        <w:rPr>
          <w:spacing w:val="-2"/>
        </w:rPr>
        <w:t>直接计入其他综合收益的公允价值变动累计额中对应终止确认部分的金额（涉及转移的金融资产的合同条</w:t>
      </w:r>
      <w:r>
        <w:rPr>
          <w:spacing w:val="-43"/>
        </w:rPr>
        <w:t> </w:t>
      </w:r>
      <w:r>
        <w:rPr>
          <w:spacing w:val="-43"/>
        </w:rPr>
      </w:r>
      <w:r>
        <w:rPr>
          <w:spacing w:val="-2"/>
        </w:rPr>
        <w:t>款规定，在特定日期产生的现金流量，仅为对本金和以未偿付本金金额为基础的利息的支付）之和的差额</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left="573" w:right="995" w:hanging="420"/>
        <w:jc w:val="left"/>
      </w:pPr>
      <w:r>
        <w:rPr/>
        <w:t>计入当期损益。</w:t>
      </w:r>
      <w:r>
        <w:rPr>
          <w:spacing w:val="-103"/>
        </w:rPr>
        <w:t> </w:t>
      </w:r>
      <w:r>
        <w:rPr>
          <w:spacing w:val="-103"/>
        </w:rPr>
      </w:r>
      <w:r>
        <w:rPr>
          <w:spacing w:val="-2"/>
        </w:rPr>
        <w:t>金融资产部分转移满足终止确认条件的，将所转移金融资产整体的账面价值，在终止确认部分和未终</w:t>
      </w:r>
    </w:p>
    <w:p>
      <w:pPr>
        <w:pStyle w:val="BodyText"/>
        <w:spacing w:line="408" w:lineRule="auto"/>
        <w:ind w:right="1126"/>
        <w:jc w:val="both"/>
      </w:pPr>
      <w:r>
        <w:rPr>
          <w:spacing w:val="-2"/>
        </w:rPr>
        <w:t>止确认部分之间，按照各自的相对公允价值进行分摊，并将因转移而收到的对价及应分摊至终止确认部分</w:t>
      </w:r>
      <w:r>
        <w:rPr>
          <w:spacing w:val="-44"/>
        </w:rPr>
        <w:t> </w:t>
      </w:r>
      <w:r>
        <w:rPr>
          <w:spacing w:val="-44"/>
        </w:rPr>
      </w:r>
      <w:r>
        <w:rPr>
          <w:spacing w:val="-2"/>
        </w:rPr>
        <w:t>的原计入其他综合收益的公允价值变动累计额中对应终止确认部分的金额（涉及转移的金融资产的合同条</w:t>
      </w:r>
      <w:r>
        <w:rPr>
          <w:spacing w:val="-43"/>
        </w:rPr>
        <w:t> </w:t>
      </w:r>
      <w:r>
        <w:rPr>
          <w:spacing w:val="-43"/>
        </w:rPr>
      </w:r>
      <w:r>
        <w:rPr>
          <w:spacing w:val="-2"/>
        </w:rPr>
        <w:t>款规定，在特定日期产生的现金流量，仅为对本金和以未偿付本金金额为基础的利息的支付）之和，与分</w:t>
      </w:r>
      <w:r>
        <w:rPr>
          <w:spacing w:val="-47"/>
        </w:rPr>
        <w:t> </w:t>
      </w:r>
      <w:r>
        <w:rPr>
          <w:spacing w:val="-47"/>
        </w:rPr>
      </w:r>
      <w:r>
        <w:rPr/>
        <w:t>摊的前述金融资产整体账面价值的差额计入当期损益。</w:t>
      </w:r>
    </w:p>
    <w:p>
      <w:pPr>
        <w:pStyle w:val="BodyText"/>
        <w:spacing w:line="240" w:lineRule="auto"/>
        <w:ind w:left="573" w:right="995"/>
        <w:jc w:val="left"/>
      </w:pPr>
      <w:r>
        <w:rPr>
          <w:rFonts w:ascii="Times New Roman" w:hAnsi="Times New Roman" w:cs="Times New Roman" w:eastAsia="Times New Roman" w:hint="default"/>
        </w:rPr>
        <w:t>2.</w:t>
      </w:r>
      <w:r>
        <w:rPr/>
        <w:t>金融负债</w:t>
      </w:r>
    </w:p>
    <w:p>
      <w:pPr>
        <w:pStyle w:val="BodyText"/>
        <w:spacing w:line="386" w:lineRule="auto" w:before="177"/>
        <w:ind w:left="573" w:right="995"/>
        <w:jc w:val="left"/>
      </w:pPr>
      <w:r>
        <w:rPr>
          <w:rFonts w:ascii="Times New Roman" w:hAnsi="Times New Roman" w:cs="Times New Roman" w:eastAsia="Times New Roman" w:hint="default"/>
        </w:rPr>
        <w:t>1).</w:t>
      </w:r>
      <w:r>
        <w:rPr/>
        <w:t>金融负债分类、确认依据和计量方法</w:t>
      </w:r>
      <w:r>
        <w:rPr>
          <w:w w:val="100"/>
        </w:rPr>
        <w:t> </w:t>
      </w:r>
      <w:r>
        <w:rPr>
          <w:spacing w:val="2"/>
        </w:rPr>
        <w:t>本公司的金融负债于初始确认时分类为以公允价值计量且其变动计入当期损益的金融负债和其他金</w:t>
      </w:r>
    </w:p>
    <w:p>
      <w:pPr>
        <w:pStyle w:val="BodyText"/>
        <w:spacing w:line="240" w:lineRule="auto" w:before="65"/>
        <w:ind w:right="0"/>
        <w:jc w:val="both"/>
      </w:pPr>
      <w:r>
        <w:rPr/>
        <w:t>融负债。</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spacing w:val="-2"/>
        </w:rPr>
        <w:t>以公允价值计量且其变动计入当期损益的金融负债，包括交易性金融负债和初始确认时指定为以公允</w:t>
      </w:r>
      <w:r>
        <w:rPr>
          <w:w w:val="100"/>
        </w:rPr>
        <w:t> </w:t>
      </w:r>
      <w:r>
        <w:rPr>
          <w:spacing w:val="-2"/>
        </w:rPr>
        <w:t>价值计量且其变动计入当期损益的金融负债。按照公允价值进行后续计量，公允价值变动形成的利得或损</w:t>
      </w:r>
      <w:r>
        <w:rPr>
          <w:spacing w:val="-42"/>
        </w:rPr>
        <w:t> </w:t>
      </w:r>
      <w:r>
        <w:rPr>
          <w:spacing w:val="-42"/>
        </w:rPr>
      </w:r>
      <w:r>
        <w:rPr/>
        <w:t>失以及与该金融负债相关的股利和利息支出计入当期损益。</w:t>
      </w:r>
    </w:p>
    <w:p>
      <w:pPr>
        <w:pStyle w:val="BodyText"/>
        <w:spacing w:line="408" w:lineRule="auto"/>
        <w:ind w:right="1126" w:firstLine="420"/>
        <w:jc w:val="both"/>
      </w:pPr>
      <w:r>
        <w:rPr>
          <w:spacing w:val="-3"/>
        </w:rPr>
        <w:t>其他金融负债，采用实际利率法，按照摊余成本进行后续计量。除下列各项外，本公司将金融负债分</w:t>
      </w:r>
      <w:r>
        <w:rPr>
          <w:w w:val="100"/>
        </w:rPr>
        <w:t> </w:t>
      </w:r>
      <w:r>
        <w:rPr>
          <w:spacing w:val="-2"/>
        </w:rPr>
        <w:t>类为以摊余成本计量的金融负债：①以公允价值计量且其变动计入当期损益的金融负债，包括交易性金融</w:t>
      </w:r>
      <w:r>
        <w:rPr>
          <w:spacing w:val="-44"/>
        </w:rPr>
        <w:t> </w:t>
      </w:r>
      <w:r>
        <w:rPr>
          <w:spacing w:val="-44"/>
        </w:rPr>
      </w:r>
      <w:r>
        <w:rPr>
          <w:spacing w:val="-2"/>
        </w:rPr>
        <w:t>负债（含属于金融负债的衍生工具）和指定为以公允价值计量且其变动计入当期损益的金融负债。②不符</w:t>
      </w:r>
      <w:r>
        <w:rPr>
          <w:spacing w:val="-44"/>
        </w:rPr>
        <w:t> </w:t>
      </w:r>
      <w:r>
        <w:rPr>
          <w:spacing w:val="-44"/>
        </w:rPr>
      </w:r>
      <w:r>
        <w:rPr>
          <w:spacing w:val="-2"/>
        </w:rPr>
        <w:t>合终止确认条件的金融资产转移或继续涉入被转移金融资产所形成的金融负债。③不属于以上①或②情形</w:t>
      </w:r>
      <w:r>
        <w:rPr>
          <w:spacing w:val="-43"/>
        </w:rPr>
        <w:t> </w:t>
      </w:r>
      <w:r>
        <w:rPr>
          <w:spacing w:val="-43"/>
        </w:rPr>
      </w:r>
      <w:r>
        <w:rPr/>
        <w:t>的财务担保合同，以及不属于以上①情形的以低于市场利率贷款的贷款承诺。</w:t>
      </w:r>
    </w:p>
    <w:p>
      <w:pPr>
        <w:pStyle w:val="BodyText"/>
        <w:spacing w:line="408" w:lineRule="auto"/>
        <w:ind w:right="1126" w:firstLine="420"/>
        <w:jc w:val="both"/>
      </w:pPr>
      <w:r>
        <w:rPr>
          <w:spacing w:val="-2"/>
        </w:rPr>
        <w:t>本公司将在非同一控制下的企业合并中作为购买方确认的或有对价形成金融负债的，按照以公允价值</w:t>
      </w:r>
      <w:r>
        <w:rPr>
          <w:w w:val="100"/>
        </w:rPr>
        <w:t> </w:t>
      </w:r>
      <w:r>
        <w:rPr/>
        <w:t>计量且其变动计入当期损益进行会计处理。</w:t>
      </w:r>
    </w:p>
    <w:p>
      <w:pPr>
        <w:pStyle w:val="BodyText"/>
        <w:spacing w:line="386" w:lineRule="auto"/>
        <w:ind w:left="573" w:right="995"/>
        <w:jc w:val="left"/>
      </w:pPr>
      <w:r>
        <w:rPr>
          <w:rFonts w:ascii="Times New Roman" w:hAnsi="Times New Roman" w:cs="Times New Roman" w:eastAsia="Times New Roman" w:hint="default"/>
        </w:rPr>
        <w:t>2).</w:t>
      </w:r>
      <w:r>
        <w:rPr/>
        <w:t>金融负债终止确认条件</w:t>
      </w:r>
      <w:r>
        <w:rPr>
          <w:w w:val="100"/>
        </w:rPr>
        <w:t> </w:t>
      </w:r>
      <w:r>
        <w:rPr>
          <w:spacing w:val="-2"/>
        </w:rPr>
        <w:t>当金融负债的现时义务全部或部分已经解除时，终止确认该金融负债或义务已解除的部分。本公司与</w:t>
      </w:r>
    </w:p>
    <w:p>
      <w:pPr>
        <w:pStyle w:val="BodyText"/>
        <w:spacing w:line="408" w:lineRule="auto" w:before="65"/>
        <w:ind w:right="1126"/>
        <w:jc w:val="both"/>
      </w:pPr>
      <w:r>
        <w:rPr>
          <w:spacing w:val="-2"/>
        </w:rPr>
        <w:t>债权人之间签订协议，以承担新金融负债方式替换现存金融负债，且新金融负债与现存金融负债的合同条</w:t>
      </w:r>
      <w:r>
        <w:rPr>
          <w:spacing w:val="-43"/>
        </w:rPr>
        <w:t> </w:t>
      </w:r>
      <w:r>
        <w:rPr>
          <w:spacing w:val="-43"/>
        </w:rPr>
      </w:r>
      <w:r>
        <w:rPr>
          <w:spacing w:val="-2"/>
        </w:rPr>
        <w:t>款实质上不同的，终止确认现存金融负债，并同时确认新金融负债。本公司对现存金融负债全部或部分的</w:t>
      </w:r>
      <w:r>
        <w:rPr>
          <w:spacing w:val="-45"/>
        </w:rPr>
        <w:t> </w:t>
      </w:r>
      <w:r>
        <w:rPr>
          <w:spacing w:val="-45"/>
        </w:rPr>
      </w:r>
      <w:r>
        <w:rPr>
          <w:spacing w:val="-2"/>
        </w:rPr>
        <w:t>合同条款作出实质性修改的，终止确认现存金融负债或其一部分，同时将修改条款后的金融负债确认为一</w:t>
      </w:r>
      <w:r>
        <w:rPr>
          <w:spacing w:val="-43"/>
        </w:rPr>
        <w:t> </w:t>
      </w:r>
      <w:r>
        <w:rPr>
          <w:spacing w:val="-43"/>
        </w:rPr>
      </w:r>
      <w:r>
        <w:rPr/>
        <w:t>项新金融负债。终止确认部分的账面价值与支付的对价之间的差额，计入当期损益。</w:t>
      </w:r>
    </w:p>
    <w:p>
      <w:pPr>
        <w:pStyle w:val="BodyText"/>
        <w:spacing w:line="386" w:lineRule="auto"/>
        <w:ind w:left="573" w:right="995"/>
        <w:jc w:val="left"/>
      </w:pPr>
      <w:r>
        <w:rPr>
          <w:rFonts w:ascii="Times New Roman" w:hAnsi="Times New Roman" w:cs="Times New Roman" w:eastAsia="Times New Roman" w:hint="default"/>
        </w:rPr>
        <w:t>3.</w:t>
      </w:r>
      <w:r>
        <w:rPr/>
        <w:t>金融资产和金融负债的公允价值确定方法</w:t>
      </w:r>
      <w:r>
        <w:rPr>
          <w:w w:val="100"/>
        </w:rPr>
        <w:t> </w:t>
      </w:r>
      <w:r>
        <w:rPr>
          <w:spacing w:val="-2"/>
        </w:rPr>
        <w:t>本公司以主要市场的价格计量金融资产和金融负债的公允价值，不存在主要市场的，以最有利市场的</w:t>
      </w:r>
    </w:p>
    <w:p>
      <w:pPr>
        <w:pStyle w:val="BodyText"/>
        <w:spacing w:line="408" w:lineRule="auto" w:before="65"/>
        <w:ind w:right="1126"/>
        <w:jc w:val="both"/>
      </w:pPr>
      <w:r>
        <w:rPr>
          <w:spacing w:val="-2"/>
        </w:rPr>
        <w:t>价格计量金融资产和金融负债的公允价值，并且采用当时适用并且有足够可利用数据和其他信息支持的估</w:t>
      </w:r>
      <w:r>
        <w:rPr>
          <w:spacing w:val="-43"/>
        </w:rPr>
        <w:t> </w:t>
      </w:r>
      <w:r>
        <w:rPr>
          <w:spacing w:val="-43"/>
        </w:rPr>
      </w:r>
      <w:r>
        <w:rPr>
          <w:spacing w:val="-2"/>
        </w:rPr>
        <w:t>值技术。公允价值计量所使用的输入值分为三个层次，即第一层次输入值是计量日能够取得的相同资产或</w:t>
      </w:r>
    </w:p>
    <w:p>
      <w:pPr>
        <w:spacing w:after="0" w:line="408"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995"/>
        <w:jc w:val="left"/>
      </w:pPr>
      <w:r>
        <w:rPr>
          <w:spacing w:val="-2"/>
        </w:rPr>
        <w:t>负债在活跃市场上未经调整的报价；第二层次输入值是除第一层次输入值外相关资产或负债直接或间接可</w:t>
      </w:r>
      <w:r>
        <w:rPr>
          <w:spacing w:val="-43"/>
        </w:rPr>
        <w:t> </w:t>
      </w:r>
      <w:r>
        <w:rPr>
          <w:spacing w:val="-43"/>
        </w:rPr>
      </w:r>
      <w:r>
        <w:rPr/>
        <w:t>观察的输入值；第三层次输入值是相关资产或负债的不可观察输入值。</w:t>
      </w:r>
    </w:p>
    <w:p>
      <w:pPr>
        <w:pStyle w:val="BodyText"/>
        <w:spacing w:line="408" w:lineRule="auto"/>
        <w:ind w:right="995" w:firstLine="420"/>
        <w:jc w:val="left"/>
      </w:pPr>
      <w:r>
        <w:rPr>
          <w:spacing w:val="-5"/>
        </w:rPr>
        <w:t>本公司对权益工具的投资以公允价值计量。但在有限情况下，如果用以确定公允价值的近期信息不足，</w:t>
      </w:r>
      <w:r>
        <w:rPr>
          <w:w w:val="100"/>
        </w:rPr>
        <w:t> </w:t>
      </w:r>
      <w:r>
        <w:rPr>
          <w:spacing w:val="-2"/>
        </w:rPr>
        <w:t>或者公允价值的可能估计金额分布范围很广，而成本代表了该范围内对公允价值的最佳估计的，该成本可</w:t>
      </w:r>
      <w:r>
        <w:rPr>
          <w:spacing w:val="-42"/>
        </w:rPr>
        <w:t> </w:t>
      </w:r>
      <w:r>
        <w:rPr>
          <w:spacing w:val="-42"/>
        </w:rPr>
      </w:r>
      <w:r>
        <w:rPr/>
        <w:t>代表其在该分布范围内对公允价值的恰当估计。</w:t>
      </w:r>
    </w:p>
    <w:p>
      <w:pPr>
        <w:pStyle w:val="BodyText"/>
        <w:spacing w:line="386" w:lineRule="auto"/>
        <w:ind w:left="573" w:right="995"/>
        <w:jc w:val="left"/>
      </w:pPr>
      <w:r>
        <w:rPr>
          <w:rFonts w:ascii="Times New Roman" w:hAnsi="Times New Roman" w:cs="Times New Roman" w:eastAsia="Times New Roman" w:hint="default"/>
        </w:rPr>
        <w:t>4.</w:t>
      </w:r>
      <w:r>
        <w:rPr/>
        <w:t>金融资产和金融负债的抵销</w:t>
      </w:r>
      <w:r>
        <w:rPr>
          <w:w w:val="100"/>
        </w:rPr>
        <w:t> </w:t>
      </w:r>
      <w:r>
        <w:rPr>
          <w:spacing w:val="-2"/>
        </w:rPr>
        <w:t>本公司的金融资产和金融负债在资产负债表内分别列示，不相互抵销。但同时满足下列条件时，以相</w:t>
      </w:r>
    </w:p>
    <w:p>
      <w:pPr>
        <w:pStyle w:val="BodyText"/>
        <w:spacing w:line="386" w:lineRule="auto" w:before="65"/>
        <w:ind w:right="995"/>
        <w:jc w:val="left"/>
      </w:pPr>
      <w:r>
        <w:rPr/>
        <w:t>互抵销后的净额在资产负债表内列示：（</w:t>
      </w:r>
      <w:r>
        <w:rPr>
          <w:rFonts w:ascii="Times New Roman" w:hAnsi="Times New Roman" w:cs="Times New Roman" w:eastAsia="Times New Roman" w:hint="default"/>
        </w:rPr>
        <w:t>1</w:t>
      </w:r>
      <w:r>
        <w:rPr/>
        <w:t>）本公司具有抵销已确认金额的法定权利，且该种法定权利是</w:t>
      </w:r>
      <w:r>
        <w:rPr>
          <w:spacing w:val="-24"/>
        </w:rPr>
        <w:t> </w:t>
      </w:r>
      <w:r>
        <w:rPr>
          <w:spacing w:val="-24"/>
        </w:rPr>
      </w:r>
      <w:r>
        <w:rPr/>
        <w:t>当前可执行的；（</w:t>
      </w:r>
      <w:r>
        <w:rPr>
          <w:rFonts w:ascii="Times New Roman" w:hAnsi="Times New Roman" w:cs="Times New Roman" w:eastAsia="Times New Roman" w:hint="default"/>
        </w:rPr>
        <w:t>2</w:t>
      </w:r>
      <w:r>
        <w:rPr/>
        <w:t>）本公司计划以净额结算，或同时变现该金融资产和清偿该金融负债。</w:t>
      </w:r>
    </w:p>
    <w:p>
      <w:pPr>
        <w:pStyle w:val="BodyText"/>
        <w:spacing w:line="408" w:lineRule="auto" w:before="35"/>
        <w:ind w:left="573" w:right="995"/>
        <w:jc w:val="left"/>
      </w:pPr>
      <w:r>
        <w:rPr/>
        <w:t>金融负债与权益工具的区分及相关处理方法</w:t>
      </w:r>
      <w:r>
        <w:rPr>
          <w:w w:val="100"/>
        </w:rPr>
        <w:t> </w:t>
      </w:r>
      <w:r>
        <w:rPr/>
        <w:t>本公司按照以下原则区分金融负债与权益工具：（</w:t>
      </w:r>
      <w:r>
        <w:rPr>
          <w:rFonts w:ascii="Times New Roman" w:hAnsi="Times New Roman" w:cs="Times New Roman" w:eastAsia="Times New Roman" w:hint="default"/>
        </w:rPr>
        <w:t>1</w:t>
      </w:r>
      <w:r>
        <w:rPr/>
        <w:t>）如果本公司不能无条件地避免以交付现金或其</w:t>
      </w:r>
    </w:p>
    <w:p>
      <w:pPr>
        <w:pStyle w:val="BodyText"/>
        <w:spacing w:line="405" w:lineRule="auto" w:before="14"/>
        <w:ind w:right="995"/>
        <w:jc w:val="left"/>
      </w:pPr>
      <w:r>
        <w:rPr>
          <w:spacing w:val="-2"/>
        </w:rPr>
        <w:t>他金融资产来履行一项合同义务，则该合同义务符合金融负债的定义。有些金融工具虽然没有明确地包含</w:t>
      </w:r>
      <w:r>
        <w:rPr>
          <w:spacing w:val="-43"/>
        </w:rPr>
        <w:t> </w:t>
      </w:r>
      <w:r>
        <w:rPr>
          <w:spacing w:val="-43"/>
        </w:rPr>
      </w:r>
      <w:r>
        <w:rPr/>
        <w:t>交付现金或其他金融资产义务的条款和条件，但有可能通过其他条款和条件间接地形成合同义务。（</w:t>
      </w:r>
      <w:r>
        <w:rPr>
          <w:rFonts w:ascii="Times New Roman" w:hAnsi="Times New Roman" w:cs="Times New Roman" w:eastAsia="Times New Roman" w:hint="default"/>
        </w:rPr>
        <w:t>2</w:t>
      </w:r>
      <w:r>
        <w:rPr/>
        <w:t>）</w:t>
      </w:r>
      <w:r>
        <w:rPr>
          <w:spacing w:val="-20"/>
        </w:rPr>
        <w:t> </w:t>
      </w:r>
      <w:r>
        <w:rPr>
          <w:spacing w:val="-2"/>
        </w:rPr>
        <w:t>如果一项金融工具须用或可用本公司自身权益工具进行结算，需要考虑用于结算该工具的本公司自身权益</w:t>
      </w:r>
      <w:r>
        <w:rPr>
          <w:spacing w:val="-43"/>
        </w:rPr>
        <w:t> </w:t>
      </w:r>
      <w:r>
        <w:rPr>
          <w:spacing w:val="-43"/>
        </w:rPr>
      </w:r>
      <w:r>
        <w:rPr>
          <w:spacing w:val="-2"/>
        </w:rPr>
        <w:t>工具，是作为现金或其他金融资产的替代品，还是为了使该工具持有方享有在发行方扣除所有负债后的资</w:t>
      </w:r>
      <w:r>
        <w:rPr>
          <w:spacing w:val="-42"/>
        </w:rPr>
        <w:t> </w:t>
      </w:r>
      <w:r>
        <w:rPr>
          <w:spacing w:val="-42"/>
        </w:rPr>
      </w:r>
      <w:r>
        <w:rPr/>
        <w:t>产中的剩余权益。如果是前者，该工具是发行方的金融负债；如果是后者，该工具是发行方的权益工具。</w:t>
      </w:r>
      <w:r>
        <w:rPr>
          <w:w w:val="100"/>
        </w:rPr>
        <w:t> </w:t>
      </w:r>
      <w:r>
        <w:rPr>
          <w:spacing w:val="-2"/>
        </w:rPr>
        <w:t>在某些情况下，一项金融工具合同规定本公司须用或可用自身权益工具结算该金融工具，其中合同权利或</w:t>
      </w:r>
      <w:r>
        <w:rPr>
          <w:spacing w:val="-43"/>
        </w:rPr>
        <w:t> </w:t>
      </w:r>
      <w:r>
        <w:rPr>
          <w:spacing w:val="-43"/>
        </w:rPr>
      </w:r>
      <w:r>
        <w:rPr>
          <w:spacing w:val="-2"/>
        </w:rPr>
        <w:t>合同义务的金额等于可获取或需交付的自身权益工具的数量乘以其结算时的公允价值，则无论该合同权利</w:t>
      </w:r>
      <w:r>
        <w:rPr>
          <w:spacing w:val="-43"/>
        </w:rPr>
        <w:t> </w:t>
      </w:r>
      <w:r>
        <w:rPr>
          <w:spacing w:val="-43"/>
        </w:rPr>
      </w:r>
      <w:r>
        <w:rPr>
          <w:spacing w:val="-5"/>
        </w:rPr>
        <w:t>或义务的金额是固定的，还是完全或部分地基于除本公司自身权益工具的市场价格以外的变量（例如利率、</w:t>
      </w:r>
      <w:r>
        <w:rPr>
          <w:spacing w:val="-4"/>
        </w:rPr>
        <w:t> </w:t>
      </w:r>
      <w:r>
        <w:rPr>
          <w:spacing w:val="-4"/>
        </w:rPr>
      </w:r>
      <w:r>
        <w:rPr/>
        <w:t>某种商品的价格或某项金融工具的价格）的变动而变动，该合同分类为金融负债。</w:t>
      </w:r>
    </w:p>
    <w:p>
      <w:pPr>
        <w:pStyle w:val="BodyText"/>
        <w:spacing w:line="408" w:lineRule="auto" w:before="48"/>
        <w:ind w:right="1126" w:firstLine="420"/>
        <w:jc w:val="both"/>
      </w:pPr>
      <w:r>
        <w:rPr>
          <w:spacing w:val="-2"/>
        </w:rPr>
        <w:t>本公司在合并报表中对金融工具（或其组成部分）进行分类时，考虑了公司成员和金融工具持有方之</w:t>
      </w:r>
      <w:r>
        <w:rPr>
          <w:w w:val="100"/>
        </w:rPr>
        <w:t> </w:t>
      </w:r>
      <w:r>
        <w:rPr>
          <w:spacing w:val="-2"/>
        </w:rPr>
        <w:t>间达成的所有条款和条件。如果公司作为一个整体由于该工具而承担了交付现金、其他金融资产或者以其</w:t>
      </w:r>
      <w:r>
        <w:rPr>
          <w:spacing w:val="-43"/>
        </w:rPr>
        <w:t> </w:t>
      </w:r>
      <w:r>
        <w:rPr>
          <w:spacing w:val="-43"/>
        </w:rPr>
      </w:r>
      <w:r>
        <w:rPr/>
        <w:t>他导致该工具成为金融负债的方式进行结算的义务，则该工具应当分类为金融负债。</w:t>
      </w:r>
    </w:p>
    <w:p>
      <w:pPr>
        <w:pStyle w:val="BodyText"/>
        <w:spacing w:line="408" w:lineRule="auto"/>
        <w:ind w:right="995" w:firstLine="420"/>
        <w:jc w:val="left"/>
      </w:pPr>
      <w:r>
        <w:rPr>
          <w:spacing w:val="-2"/>
        </w:rPr>
        <w:t>金融工具或其组成部分属于金融负债的，相关利息、股利（或股息）、利得或损失，以及赎回或再融</w:t>
      </w:r>
      <w:r>
        <w:rPr>
          <w:w w:val="100"/>
        </w:rPr>
        <w:t> </w:t>
      </w:r>
      <w:r>
        <w:rPr/>
        <w:t>资产生的利得或损失等，本公司计入当期损益。</w:t>
      </w:r>
    </w:p>
    <w:p>
      <w:pPr>
        <w:pStyle w:val="BodyText"/>
        <w:spacing w:line="408" w:lineRule="auto"/>
        <w:ind w:right="995" w:firstLine="420"/>
        <w:jc w:val="left"/>
      </w:pPr>
      <w:r>
        <w:rPr>
          <w:spacing w:val="-2"/>
        </w:rPr>
        <w:t>金融工具或其组成部分属于权益工具的，其发行（含再融资）、回购、出售或注销时，本公司作为权</w:t>
      </w:r>
      <w:r>
        <w:rPr>
          <w:w w:val="100"/>
        </w:rPr>
        <w:t> </w:t>
      </w:r>
      <w:r>
        <w:rPr/>
        <w:t>益的变动处理，不确认权益工具的公允价值变动。</w:t>
      </w:r>
    </w:p>
    <w:p>
      <w:pPr>
        <w:spacing w:after="0" w:line="408" w:lineRule="auto"/>
        <w:jc w:val="left"/>
        <w:sectPr>
          <w:footerReference w:type="default" r:id="rId46"/>
          <w:pgSz w:w="11910" w:h="16840"/>
          <w:pgMar w:footer="979" w:header="880" w:top="1100" w:bottom="1160" w:left="980" w:right="0"/>
          <w:pgNumType w:start="110"/>
        </w:sectPr>
      </w:pPr>
    </w:p>
    <w:p>
      <w:pPr>
        <w:spacing w:line="240" w:lineRule="auto" w:before="0"/>
        <w:rPr>
          <w:rFonts w:ascii="宋体" w:hAnsi="宋体" w:cs="宋体" w:eastAsia="宋体" w:hint="default"/>
          <w:sz w:val="21"/>
          <w:szCs w:val="21"/>
        </w:rPr>
      </w:pPr>
    </w:p>
    <w:p>
      <w:pPr>
        <w:pStyle w:val="Heading7"/>
        <w:spacing w:line="335" w:lineRule="exact"/>
        <w:ind w:right="995"/>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386" w:lineRule="auto" w:before="0"/>
        <w:ind w:right="995" w:firstLine="420"/>
        <w:jc w:val="left"/>
      </w:pPr>
      <w:r>
        <w:rPr>
          <w:spacing w:val="-4"/>
        </w:rPr>
        <w:t>本公司对于《企业会计准则第</w:t>
      </w:r>
      <w:r>
        <w:rPr>
          <w:rFonts w:ascii="Times New Roman" w:hAnsi="Times New Roman" w:cs="Times New Roman" w:eastAsia="Times New Roman" w:hint="default"/>
          <w:spacing w:val="-4"/>
        </w:rPr>
        <w:t>14</w:t>
      </w:r>
      <w:r>
        <w:rPr>
          <w:spacing w:val="-4"/>
        </w:rPr>
        <w:t>号</w:t>
      </w:r>
      <w:r>
        <w:rPr>
          <w:rFonts w:ascii="Times New Roman" w:hAnsi="Times New Roman" w:cs="Times New Roman" w:eastAsia="Times New Roman" w:hint="default"/>
          <w:spacing w:val="-4"/>
        </w:rPr>
        <w:t>-</w:t>
      </w:r>
      <w:r>
        <w:rPr>
          <w:spacing w:val="-4"/>
        </w:rPr>
        <w:t>收入准则》规范的交易形成且不含重大融资成分的应收账款，始终</w:t>
      </w:r>
      <w:r>
        <w:rPr>
          <w:w w:val="100"/>
        </w:rPr>
        <w:t> </w:t>
      </w:r>
      <w:r>
        <w:rPr/>
        <w:t>按照相当于整个存续期内预期信用损失的金额计量其损失准备。</w:t>
      </w:r>
    </w:p>
    <w:p>
      <w:pPr>
        <w:pStyle w:val="BodyText"/>
        <w:spacing w:line="403" w:lineRule="auto" w:before="65"/>
        <w:ind w:right="1126" w:firstLine="420"/>
        <w:jc w:val="both"/>
      </w:pPr>
      <w:r>
        <w:rPr>
          <w:spacing w:val="-2"/>
        </w:rPr>
        <w:t>信用风险自初始确认后是否显著增加的判断。本公司通过比较金融工具在初始确认时所确定的预计存</w:t>
      </w:r>
      <w:r>
        <w:rPr>
          <w:w w:val="100"/>
        </w:rPr>
        <w:t> </w:t>
      </w:r>
      <w:r>
        <w:rPr>
          <w:spacing w:val="-2"/>
        </w:rPr>
        <w:t>续期内的违约概率额该工具在资产负债表日所确定的预计存续期内的违约概率，来判定金融工具信用风险</w:t>
      </w:r>
      <w:r>
        <w:rPr>
          <w:spacing w:val="-43"/>
        </w:rPr>
        <w:t> </w:t>
      </w:r>
      <w:r>
        <w:rPr>
          <w:spacing w:val="-43"/>
        </w:rPr>
      </w:r>
      <w:r>
        <w:rPr>
          <w:spacing w:val="-2"/>
        </w:rPr>
        <w:t>是否显著增加。但是，如果本公司确定金融工具在资产负债表日只具有较低的信用风险的，可以假设该金</w:t>
      </w:r>
      <w:r>
        <w:rPr>
          <w:spacing w:val="-44"/>
        </w:rPr>
        <w:t> </w:t>
      </w:r>
      <w:r>
        <w:rPr>
          <w:spacing w:val="-44"/>
        </w:rPr>
      </w:r>
      <w:r>
        <w:rPr>
          <w:spacing w:val="-2"/>
        </w:rPr>
        <w:t>融工具的信用风险自初始确认后并未显著增加。通常情况下，如果逾期超过</w:t>
      </w:r>
      <w:r>
        <w:rPr>
          <w:rFonts w:ascii="Times New Roman" w:hAnsi="Times New Roman" w:cs="Times New Roman" w:eastAsia="Times New Roman" w:hint="default"/>
          <w:spacing w:val="-2"/>
        </w:rPr>
        <w:t>30</w:t>
      </w:r>
      <w:r>
        <w:rPr>
          <w:spacing w:val="-2"/>
        </w:rPr>
        <w:t>日，则表明金融工具的信用</w:t>
      </w:r>
      <w:r>
        <w:rPr>
          <w:spacing w:val="-44"/>
        </w:rPr>
        <w:t> </w:t>
      </w:r>
      <w:r>
        <w:rPr>
          <w:spacing w:val="-44"/>
        </w:rPr>
      </w:r>
      <w:r>
        <w:rPr>
          <w:spacing w:val="-2"/>
        </w:rPr>
        <w:t>风险已经显著增加。除非本公司在无须付出不必要的额外成本或努力的情况下即可获得合理且有依据的信</w:t>
      </w:r>
      <w:r>
        <w:rPr>
          <w:spacing w:val="-43"/>
        </w:rPr>
        <w:t> </w:t>
      </w:r>
      <w:r>
        <w:rPr>
          <w:spacing w:val="-43"/>
        </w:rPr>
      </w:r>
      <w:r>
        <w:rPr>
          <w:spacing w:val="-2"/>
        </w:rPr>
        <w:t>息，证明即使逾期超过</w:t>
      </w:r>
      <w:r>
        <w:rPr>
          <w:rFonts w:ascii="Times New Roman" w:hAnsi="Times New Roman" w:cs="Times New Roman" w:eastAsia="Times New Roman" w:hint="default"/>
          <w:spacing w:val="-2"/>
        </w:rPr>
        <w:t>30</w:t>
      </w:r>
      <w:r>
        <w:rPr>
          <w:spacing w:val="-2"/>
        </w:rPr>
        <w:t>日，信用风险自初始确认后仍未显著增加。在确定信用风险自初始确认后是否显</w:t>
      </w:r>
      <w:r>
        <w:rPr>
          <w:spacing w:val="-41"/>
        </w:rPr>
        <w:t> </w:t>
      </w:r>
      <w:r>
        <w:rPr>
          <w:spacing w:val="-41"/>
        </w:rPr>
      </w:r>
      <w:r>
        <w:rPr>
          <w:spacing w:val="-2"/>
        </w:rPr>
        <w:t>著增加时，本公司考虑无须付出不必要的额外成本或努力即可获得的合理且有依据的信息，包括前瞻性信</w:t>
      </w:r>
      <w:r>
        <w:rPr>
          <w:spacing w:val="-42"/>
        </w:rPr>
        <w:t> </w:t>
      </w:r>
      <w:r>
        <w:rPr>
          <w:spacing w:val="-42"/>
        </w:rPr>
      </w:r>
      <w:r>
        <w:rPr/>
        <w:t>息。本公司考虑的信息包括：</w:t>
      </w:r>
    </w:p>
    <w:p>
      <w:pPr>
        <w:pStyle w:val="BodyText"/>
        <w:spacing w:line="240" w:lineRule="auto" w:before="50"/>
        <w:ind w:left="573" w:right="995"/>
        <w:jc w:val="left"/>
      </w:pPr>
      <w:r>
        <w:rPr/>
        <w:t>（</w:t>
      </w:r>
      <w:r>
        <w:rPr>
          <w:rFonts w:ascii="Times New Roman" w:hAnsi="Times New Roman" w:cs="Times New Roman" w:eastAsia="Times New Roman" w:hint="default"/>
        </w:rPr>
        <w:t>1</w:t>
      </w:r>
      <w:r>
        <w:rPr/>
        <w:t>）信用风险变化所导致的内部价格指标是否发生显著变化；</w:t>
      </w:r>
    </w:p>
    <w:p>
      <w:pPr>
        <w:pStyle w:val="BodyText"/>
        <w:spacing w:line="386" w:lineRule="auto" w:before="177"/>
        <w:ind w:right="995" w:firstLine="420"/>
        <w:jc w:val="left"/>
      </w:pPr>
      <w:r>
        <w:rPr/>
        <w:t>（</w:t>
      </w:r>
      <w:r>
        <w:rPr>
          <w:rFonts w:ascii="Times New Roman" w:hAnsi="Times New Roman" w:cs="Times New Roman" w:eastAsia="Times New Roman" w:hint="default"/>
        </w:rPr>
        <w:t>2</w:t>
      </w:r>
      <w:r>
        <w:rPr/>
        <w:t>）若现有金融工具在资产负债表日作为新金融工具源生或发行，该金融工具的利率或其他条款是</w:t>
      </w:r>
      <w:r>
        <w:rPr>
          <w:w w:val="100"/>
        </w:rPr>
        <w:t> </w:t>
      </w:r>
      <w:r>
        <w:rPr/>
        <w:t>否发生显著变化（如更严格的合同条款、增加抵押品或担保物或者更高的收益率等）；</w:t>
      </w:r>
    </w:p>
    <w:p>
      <w:pPr>
        <w:pStyle w:val="BodyText"/>
        <w:spacing w:line="398" w:lineRule="auto" w:before="65"/>
        <w:ind w:right="1128" w:firstLine="420"/>
        <w:jc w:val="both"/>
      </w:pPr>
      <w:r>
        <w:rPr/>
        <w:t>（</w:t>
      </w:r>
      <w:r>
        <w:rPr>
          <w:rFonts w:ascii="Times New Roman" w:hAnsi="Times New Roman" w:cs="Times New Roman" w:eastAsia="Times New Roman" w:hint="default"/>
        </w:rPr>
        <w:t>3</w:t>
      </w:r>
      <w:r>
        <w:rPr/>
        <w:t>）同一金融工具或具有相同预计存续期的类似金融工具的信用风险的外部市场指标是否发生显著</w:t>
      </w:r>
      <w:r>
        <w:rPr>
          <w:w w:val="100"/>
        </w:rPr>
        <w:t> </w:t>
      </w:r>
      <w:r>
        <w:rPr>
          <w:spacing w:val="-2"/>
        </w:rPr>
        <w:t>变化。这些指标包括：信用利差、针对借款人的信用违约互换价格、金融资产的公允价值小于其摊余成本</w:t>
      </w:r>
      <w:r>
        <w:rPr>
          <w:spacing w:val="-47"/>
        </w:rPr>
        <w:t> </w:t>
      </w:r>
      <w:r>
        <w:rPr>
          <w:spacing w:val="-47"/>
        </w:rPr>
      </w:r>
      <w:r>
        <w:rPr/>
        <w:t>的时间长短和程度、与借款人相关的其他市场信息（如借款人的债务工具或权益工具的价格变动）；</w:t>
      </w:r>
    </w:p>
    <w:p>
      <w:pPr>
        <w:pStyle w:val="BodyText"/>
        <w:spacing w:line="240" w:lineRule="auto" w:before="54"/>
        <w:ind w:left="573" w:right="995"/>
        <w:jc w:val="left"/>
      </w:pPr>
      <w:r>
        <w:rPr/>
        <w:t>（</w:t>
      </w:r>
      <w:r>
        <w:rPr>
          <w:rFonts w:ascii="Times New Roman" w:hAnsi="Times New Roman" w:cs="Times New Roman" w:eastAsia="Times New Roman" w:hint="default"/>
        </w:rPr>
        <w:t>4</w:t>
      </w:r>
      <w:r>
        <w:rPr/>
        <w:t>）金融工具外部信用评级实际或预期是否发生显著变化；</w:t>
      </w:r>
    </w:p>
    <w:p>
      <w:pPr>
        <w:pStyle w:val="BodyText"/>
        <w:spacing w:line="240" w:lineRule="auto" w:before="177"/>
        <w:ind w:left="573" w:right="995"/>
        <w:jc w:val="left"/>
      </w:pPr>
      <w:r>
        <w:rPr/>
        <w:t>（</w:t>
      </w:r>
      <w:r>
        <w:rPr>
          <w:rFonts w:ascii="Times New Roman" w:hAnsi="Times New Roman" w:cs="Times New Roman" w:eastAsia="Times New Roman" w:hint="default"/>
        </w:rPr>
        <w:t>5</w:t>
      </w:r>
      <w:r>
        <w:rPr/>
        <w:t>）对债务人实际或预期的内部信用评级是否下调；</w:t>
      </w:r>
    </w:p>
    <w:p>
      <w:pPr>
        <w:pStyle w:val="BodyText"/>
        <w:spacing w:line="386" w:lineRule="auto" w:before="177"/>
        <w:ind w:right="995" w:firstLine="420"/>
        <w:jc w:val="left"/>
      </w:pPr>
      <w:r>
        <w:rPr/>
        <w:t>（</w:t>
      </w:r>
      <w:r>
        <w:rPr>
          <w:rFonts w:ascii="Times New Roman" w:hAnsi="Times New Roman" w:cs="Times New Roman" w:eastAsia="Times New Roman" w:hint="default"/>
        </w:rPr>
        <w:t>6</w:t>
      </w:r>
      <w:r>
        <w:rPr/>
        <w:t>）预期将导致债务人履行其偿债义务的能力是否发生显著变化的业务、财务或经济状况的不利变</w:t>
      </w:r>
      <w:r>
        <w:rPr>
          <w:w w:val="100"/>
        </w:rPr>
        <w:t> </w:t>
      </w:r>
      <w:r>
        <w:rPr/>
        <w:t>化；</w:t>
      </w:r>
    </w:p>
    <w:p>
      <w:pPr>
        <w:pStyle w:val="BodyText"/>
        <w:spacing w:line="240" w:lineRule="auto" w:before="65"/>
        <w:ind w:left="573" w:right="995"/>
        <w:jc w:val="left"/>
      </w:pPr>
      <w:r>
        <w:rPr/>
        <w:t>（</w:t>
      </w:r>
      <w:r>
        <w:rPr>
          <w:rFonts w:ascii="Times New Roman" w:hAnsi="Times New Roman" w:cs="Times New Roman" w:eastAsia="Times New Roman" w:hint="default"/>
        </w:rPr>
        <w:t>7</w:t>
      </w:r>
      <w:r>
        <w:rPr/>
        <w:t>）债务人经营成果实际或预期是否发生显著变化；</w:t>
      </w:r>
    </w:p>
    <w:p>
      <w:pPr>
        <w:pStyle w:val="BodyText"/>
        <w:spacing w:line="240" w:lineRule="auto" w:before="177"/>
        <w:ind w:left="573" w:right="995"/>
        <w:jc w:val="left"/>
      </w:pPr>
      <w:r>
        <w:rPr/>
        <w:t>（</w:t>
      </w:r>
      <w:r>
        <w:rPr>
          <w:rFonts w:ascii="Times New Roman" w:hAnsi="Times New Roman" w:cs="Times New Roman" w:eastAsia="Times New Roman" w:hint="default"/>
        </w:rPr>
        <w:t>8</w:t>
      </w:r>
      <w:r>
        <w:rPr/>
        <w:t>）同一债务人发行的其他金融工具的信用风险是否显著增加；</w:t>
      </w:r>
    </w:p>
    <w:p>
      <w:pPr>
        <w:pStyle w:val="BodyText"/>
        <w:spacing w:line="240" w:lineRule="auto" w:before="177"/>
        <w:ind w:left="573" w:right="995"/>
        <w:jc w:val="left"/>
      </w:pPr>
      <w:r>
        <w:rPr/>
        <w:t>（</w:t>
      </w:r>
      <w:r>
        <w:rPr>
          <w:rFonts w:ascii="Times New Roman" w:hAnsi="Times New Roman" w:cs="Times New Roman" w:eastAsia="Times New Roman" w:hint="default"/>
        </w:rPr>
        <w:t>9</w:t>
      </w:r>
      <w:r>
        <w:rPr/>
        <w:t>）债务人所处的监管、经济或技术环境是否发生显著不利变化；</w:t>
      </w:r>
    </w:p>
    <w:p>
      <w:pPr>
        <w:pStyle w:val="BodyText"/>
        <w:spacing w:line="386" w:lineRule="auto" w:before="177"/>
        <w:ind w:right="995" w:firstLine="420"/>
        <w:jc w:val="left"/>
      </w:pPr>
      <w:r>
        <w:rPr>
          <w:spacing w:val="-2"/>
        </w:rPr>
        <w:t>（</w:t>
      </w:r>
      <w:r>
        <w:rPr>
          <w:rFonts w:ascii="Times New Roman" w:hAnsi="Times New Roman" w:cs="Times New Roman" w:eastAsia="Times New Roman" w:hint="default"/>
          <w:spacing w:val="-2"/>
        </w:rPr>
        <w:t>10</w:t>
      </w:r>
      <w:r>
        <w:rPr>
          <w:spacing w:val="-2"/>
        </w:rPr>
        <w:t>）作为债务抵押的担保物价值或第三方提供的担保或信用增级质量是否发生显著变化。这些变化</w:t>
      </w:r>
      <w:r>
        <w:rPr>
          <w:w w:val="100"/>
        </w:rPr>
        <w:t> </w:t>
      </w:r>
      <w:r>
        <w:rPr/>
        <w:t>预期将降低债务人按合同规定期限还款的经济动机或者影响违约概率；</w:t>
      </w:r>
    </w:p>
    <w:p>
      <w:pPr>
        <w:pStyle w:val="BodyText"/>
        <w:spacing w:line="240" w:lineRule="auto" w:before="65"/>
        <w:ind w:left="573" w:right="995"/>
        <w:jc w:val="left"/>
      </w:pPr>
      <w:r>
        <w:rPr/>
        <w:t>（</w:t>
      </w:r>
      <w:r>
        <w:rPr>
          <w:rFonts w:ascii="Times New Roman" w:hAnsi="Times New Roman" w:cs="Times New Roman" w:eastAsia="Times New Roman" w:hint="default"/>
        </w:rPr>
        <w:t>11</w:t>
      </w:r>
      <w:r>
        <w:rPr/>
        <w:t>）预期将降低借款人按合同约定期限还款的经济动机是否发生显著变化；</w:t>
      </w:r>
    </w:p>
    <w:p>
      <w:pPr>
        <w:pStyle w:val="BodyText"/>
        <w:spacing w:line="240" w:lineRule="auto" w:before="177"/>
        <w:ind w:left="573" w:right="995"/>
        <w:jc w:val="left"/>
      </w:pPr>
      <w:r>
        <w:rPr/>
        <w:t>（</w:t>
      </w:r>
      <w:r>
        <w:rPr>
          <w:rFonts w:ascii="Times New Roman" w:hAnsi="Times New Roman" w:cs="Times New Roman" w:eastAsia="Times New Roman" w:hint="default"/>
        </w:rPr>
        <w:t>12</w:t>
      </w:r>
      <w:r>
        <w:rPr/>
        <w:t>）借款合同的预期变更，包括预计违反合同的行为是否可能导致的合同义务的免除或修订、给予</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995"/>
        <w:jc w:val="left"/>
      </w:pPr>
      <w:r>
        <w:rPr/>
        <w:t>免息期、利率跳升、要求追加抵押品或担保或者对金融工具的合同框架做出其他变更；</w:t>
      </w:r>
    </w:p>
    <w:p>
      <w:pPr>
        <w:spacing w:line="240" w:lineRule="auto" w:before="10"/>
        <w:rPr>
          <w:rFonts w:ascii="宋体" w:hAnsi="宋体" w:cs="宋体" w:eastAsia="宋体" w:hint="default"/>
          <w:sz w:val="14"/>
          <w:szCs w:val="14"/>
        </w:rPr>
      </w:pPr>
    </w:p>
    <w:p>
      <w:pPr>
        <w:pStyle w:val="BodyText"/>
        <w:spacing w:line="240" w:lineRule="auto" w:before="0"/>
        <w:ind w:left="573" w:right="995"/>
        <w:jc w:val="left"/>
      </w:pPr>
      <w:r>
        <w:rPr/>
        <w:t>（</w:t>
      </w:r>
      <w:r>
        <w:rPr>
          <w:rFonts w:ascii="Times New Roman" w:hAnsi="Times New Roman" w:cs="Times New Roman" w:eastAsia="Times New Roman" w:hint="default"/>
        </w:rPr>
        <w:t>13</w:t>
      </w:r>
      <w:r>
        <w:rPr/>
        <w:t>）债务人预期表现和还款行为是否发生显著变化；</w:t>
      </w:r>
    </w:p>
    <w:p>
      <w:pPr>
        <w:pStyle w:val="BodyText"/>
        <w:spacing w:line="386" w:lineRule="auto" w:before="177"/>
        <w:ind w:left="573" w:right="995"/>
        <w:jc w:val="left"/>
      </w:pPr>
      <w:r>
        <w:rPr/>
        <w:t>（</w:t>
      </w:r>
      <w:r>
        <w:rPr>
          <w:rFonts w:ascii="Times New Roman" w:hAnsi="Times New Roman" w:cs="Times New Roman" w:eastAsia="Times New Roman" w:hint="default"/>
        </w:rPr>
        <w:t>14</w:t>
      </w:r>
      <w:r>
        <w:rPr/>
        <w:t>）本公司对金融工具信用管理方法是否发生变化；</w:t>
      </w:r>
      <w:r>
        <w:rPr>
          <w:w w:val="100"/>
        </w:rPr>
        <w:t> </w:t>
      </w:r>
      <w:r>
        <w:rPr>
          <w:spacing w:val="-2"/>
        </w:rPr>
        <w:t>以组合为基础的评估。对于应收账款，本公司在单项工具层面无法以合理成本获得关于信用风险显著</w:t>
      </w:r>
    </w:p>
    <w:p>
      <w:pPr>
        <w:pStyle w:val="BodyText"/>
        <w:spacing w:line="408" w:lineRule="auto" w:before="65"/>
        <w:ind w:right="995"/>
        <w:jc w:val="left"/>
      </w:pPr>
      <w:r>
        <w:rPr>
          <w:spacing w:val="-2"/>
        </w:rPr>
        <w:t>增加的充分证据，而在组合的基础上评估信用风险是否显著增加是可行，所以本公司按照初始确认日期为</w:t>
      </w:r>
      <w:r>
        <w:rPr>
          <w:spacing w:val="-44"/>
        </w:rPr>
        <w:t> </w:t>
      </w:r>
      <w:r>
        <w:rPr>
          <w:spacing w:val="-44"/>
        </w:rPr>
      </w:r>
      <w:r>
        <w:rPr/>
        <w:t>共同风险特征，对应收账款进行分组并以组合为基础考虑评估信用风险是否显著增加。</w:t>
      </w:r>
    </w:p>
    <w:p>
      <w:pPr>
        <w:pStyle w:val="BodyText"/>
        <w:spacing w:line="408" w:lineRule="auto"/>
        <w:ind w:right="995" w:firstLine="420"/>
        <w:jc w:val="left"/>
      </w:pPr>
      <w:r>
        <w:rPr>
          <w:spacing w:val="-5"/>
        </w:rPr>
        <w:t>预期信用损失计量。预期信用损失，是指以发生违约的风险为权重的金融工具信用损失的加权平均值。</w:t>
      </w:r>
      <w:r>
        <w:rPr>
          <w:w w:val="100"/>
        </w:rPr>
        <w:t> </w:t>
      </w:r>
      <w:r>
        <w:rPr>
          <w:spacing w:val="-2"/>
        </w:rPr>
        <w:t>信用损失，是指本公司按照原实际利率折现的、根据合同应收的所有合同现金流量与预期收取的所有现金</w:t>
      </w:r>
      <w:r>
        <w:rPr>
          <w:spacing w:val="-43"/>
        </w:rPr>
        <w:t> </w:t>
      </w:r>
      <w:r>
        <w:rPr>
          <w:spacing w:val="-43"/>
        </w:rPr>
      </w:r>
      <w:r>
        <w:rPr/>
        <w:t>流量之间的差额，即全部现金短缺的现值。</w:t>
      </w:r>
    </w:p>
    <w:p>
      <w:pPr>
        <w:pStyle w:val="BodyText"/>
        <w:spacing w:line="408" w:lineRule="auto"/>
        <w:ind w:right="1126" w:firstLine="420"/>
        <w:jc w:val="both"/>
      </w:pPr>
      <w:r>
        <w:rPr>
          <w:spacing w:val="-2"/>
        </w:rPr>
        <w:t>本公司在资产负债表日计算应收账款预期信用损失，如果该预期信用损失大于当前应收账款减值准备</w:t>
      </w:r>
      <w:r>
        <w:rPr>
          <w:w w:val="100"/>
        </w:rPr>
        <w:t> </w:t>
      </w:r>
      <w:r>
        <w:rPr>
          <w:spacing w:val="-3"/>
        </w:rPr>
        <w:t>的账面金额，本公司将其差额确认为应收账款减值损失，借记“信用减值损失”，贷记“坏账准备”。相</w:t>
      </w:r>
      <w:r>
        <w:rPr>
          <w:spacing w:val="-5"/>
        </w:rPr>
        <w:t> </w:t>
      </w:r>
      <w:r>
        <w:rPr>
          <w:spacing w:val="-5"/>
        </w:rPr>
      </w:r>
      <w:r>
        <w:rPr/>
        <w:t>反，本公司将差额确认为减值利得，做相反的会计记录。</w:t>
      </w:r>
    </w:p>
    <w:p>
      <w:pPr>
        <w:pStyle w:val="BodyText"/>
        <w:spacing w:line="408" w:lineRule="auto"/>
        <w:ind w:right="1104" w:firstLine="420"/>
        <w:jc w:val="both"/>
      </w:pPr>
      <w:r>
        <w:rPr>
          <w:spacing w:val="-2"/>
        </w:rPr>
        <w:t>本公司实际发生信用损失，认定相关应收账款无法收回，经批准予以核销的，根据批准的核销金额，</w:t>
      </w:r>
      <w:r>
        <w:rPr>
          <w:w w:val="100"/>
        </w:rPr>
        <w:t> </w:t>
      </w:r>
      <w:r>
        <w:rPr>
          <w:spacing w:val="-2"/>
        </w:rPr>
        <w:t>借记“坏账准备”，贷记“应收账款”。若核销金额大于已计提的损失准备，按期差额借记“信用减值损</w:t>
      </w:r>
      <w:r>
        <w:rPr>
          <w:spacing w:val="-49"/>
        </w:rPr>
        <w:t> </w:t>
      </w:r>
      <w:r>
        <w:rPr>
          <w:spacing w:val="-49"/>
        </w:rPr>
      </w:r>
      <w:r>
        <w:rPr/>
        <w:t>失”。</w:t>
      </w:r>
    </w:p>
    <w:p>
      <w:pPr>
        <w:spacing w:line="240" w:lineRule="auto" w:before="7"/>
        <w:rPr>
          <w:rFonts w:ascii="宋体" w:hAnsi="宋体" w:cs="宋体" w:eastAsia="宋体" w:hint="default"/>
          <w:sz w:val="15"/>
          <w:szCs w:val="15"/>
        </w:rPr>
      </w:pPr>
    </w:p>
    <w:p>
      <w:pPr>
        <w:pStyle w:val="Heading7"/>
        <w:spacing w:line="240" w:lineRule="auto"/>
        <w:ind w:right="995"/>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spacing w:line="240" w:lineRule="auto" w:before="3"/>
        <w:rPr>
          <w:rFonts w:ascii="宋体" w:hAnsi="宋体" w:cs="宋体" w:eastAsia="宋体" w:hint="default"/>
          <w:sz w:val="13"/>
          <w:szCs w:val="13"/>
        </w:rPr>
      </w:pPr>
    </w:p>
    <w:p>
      <w:pPr>
        <w:pStyle w:val="BodyText"/>
        <w:spacing w:line="408" w:lineRule="auto" w:before="0"/>
        <w:ind w:right="1126" w:firstLine="420"/>
        <w:jc w:val="both"/>
      </w:pPr>
      <w:r>
        <w:rPr>
          <w:spacing w:val="-2"/>
        </w:rPr>
        <w:t>本公司按照下列情形计量其他应收款损失准备：①信用风险自初始确认后未显著增加的金融资产，本</w:t>
      </w:r>
      <w:r>
        <w:rPr>
          <w:w w:val="100"/>
        </w:rPr>
        <w:t> </w:t>
      </w:r>
      <w:r>
        <w:rPr>
          <w:spacing w:val="-2"/>
        </w:rPr>
        <w:t>公司按照未来</w:t>
      </w:r>
      <w:r>
        <w:rPr>
          <w:rFonts w:ascii="宋体" w:hAnsi="宋体" w:cs="宋体" w:eastAsia="宋体" w:hint="default"/>
          <w:spacing w:val="-2"/>
        </w:rPr>
        <w:t>12</w:t>
      </w:r>
      <w:r>
        <w:rPr>
          <w:spacing w:val="-2"/>
        </w:rPr>
        <w:t>个月的预期信用损失的金额计量损失准备；②信用风险自初始确认后已显著增加的金融资</w:t>
      </w:r>
      <w:r>
        <w:rPr>
          <w:spacing w:val="-42"/>
        </w:rPr>
        <w:t> </w:t>
      </w:r>
      <w:r>
        <w:rPr>
          <w:spacing w:val="-42"/>
        </w:rPr>
      </w:r>
      <w:r>
        <w:rPr>
          <w:spacing w:val="-2"/>
        </w:rPr>
        <w:t>产，本公司按照相当于该金融工具整个存续期内预期信用损失的金额计量损失准备；③购买或源生已发生</w:t>
      </w:r>
      <w:r>
        <w:rPr>
          <w:spacing w:val="-44"/>
        </w:rPr>
        <w:t> </w:t>
      </w:r>
      <w:r>
        <w:rPr>
          <w:spacing w:val="-44"/>
        </w:rPr>
      </w:r>
      <w:r>
        <w:rPr/>
        <w:t>信用减值的金融资产，本公司按照相当于整个存续期内预期信用损失的金额计量损失准备。</w:t>
      </w:r>
    </w:p>
    <w:p>
      <w:pPr>
        <w:pStyle w:val="BodyText"/>
        <w:spacing w:line="408" w:lineRule="auto"/>
        <w:ind w:right="1126" w:firstLine="420"/>
        <w:jc w:val="both"/>
      </w:pPr>
      <w:r>
        <w:rPr>
          <w:spacing w:val="-2"/>
        </w:rPr>
        <w:t>以组合为基础的评估。对于其他应收款，本公司在单项工具层面无法以合理成本获得关于信用风险显</w:t>
      </w:r>
      <w:r>
        <w:rPr>
          <w:w w:val="100"/>
        </w:rPr>
        <w:t> </w:t>
      </w:r>
      <w:r>
        <w:rPr>
          <w:spacing w:val="-2"/>
        </w:rPr>
        <w:t>著增加的充分证据，而在组合的基础上评估信用风险是否显著增加是可行，所以本公司按照初始确认日期</w:t>
      </w:r>
      <w:r>
        <w:rPr>
          <w:spacing w:val="-42"/>
        </w:rPr>
        <w:t> </w:t>
      </w:r>
      <w:r>
        <w:rPr>
          <w:spacing w:val="-42"/>
        </w:rPr>
      </w:r>
      <w:r>
        <w:rPr/>
        <w:t>为共同风险特征，对其他应收款进行分组并以组合为基础考虑评估信用风险是否显著增加。</w:t>
      </w:r>
    </w:p>
    <w:p>
      <w:pPr>
        <w:spacing w:line="240" w:lineRule="auto" w:before="6"/>
        <w:rPr>
          <w:rFonts w:ascii="宋体" w:hAnsi="宋体" w:cs="宋体" w:eastAsia="宋体" w:hint="default"/>
          <w:sz w:val="15"/>
          <w:szCs w:val="15"/>
        </w:rPr>
      </w:pPr>
    </w:p>
    <w:p>
      <w:pPr>
        <w:pStyle w:val="Heading7"/>
        <w:spacing w:line="240" w:lineRule="auto"/>
        <w:ind w:right="995"/>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386" w:lineRule="auto" w:before="0"/>
        <w:ind w:left="573" w:right="995"/>
        <w:jc w:val="left"/>
      </w:pPr>
      <w:r>
        <w:rPr/>
        <w:t>（</w:t>
      </w:r>
      <w:r>
        <w:rPr>
          <w:rFonts w:ascii="Times New Roman" w:hAnsi="Times New Roman" w:cs="Times New Roman" w:eastAsia="Times New Roman" w:hint="default"/>
        </w:rPr>
        <w:t>1</w:t>
      </w:r>
      <w:r>
        <w:rPr/>
        <w:t>）存货的分类</w:t>
      </w:r>
      <w:r>
        <w:rPr>
          <w:w w:val="100"/>
        </w:rPr>
        <w:t> </w:t>
      </w:r>
      <w:r>
        <w:rPr>
          <w:spacing w:val="2"/>
        </w:rPr>
        <w:t>存货是指本公司在日常活动中持有以备出售的商品、已发送至客户但不符合收入确认条件的发出商</w:t>
      </w:r>
    </w:p>
    <w:p>
      <w:pPr>
        <w:spacing w:after="0" w:line="386"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0"/>
        <w:jc w:val="both"/>
      </w:pPr>
      <w:r>
        <w:rPr/>
        <w:t>品、在生产过程或提供劳务过程中耗用的材料和物料等。主要包括原材料、库存商品等。</w:t>
      </w:r>
    </w:p>
    <w:p>
      <w:pPr>
        <w:spacing w:line="240" w:lineRule="auto" w:before="10"/>
        <w:rPr>
          <w:rFonts w:ascii="宋体" w:hAnsi="宋体" w:cs="宋体" w:eastAsia="宋体" w:hint="default"/>
          <w:sz w:val="14"/>
          <w:szCs w:val="14"/>
        </w:rPr>
      </w:pPr>
    </w:p>
    <w:p>
      <w:pPr>
        <w:pStyle w:val="BodyText"/>
        <w:spacing w:line="386" w:lineRule="auto" w:before="0"/>
        <w:ind w:left="573" w:right="995"/>
        <w:jc w:val="left"/>
      </w:pPr>
      <w:r>
        <w:rPr/>
        <w:t>（</w:t>
      </w:r>
      <w:r>
        <w:rPr>
          <w:rFonts w:ascii="Times New Roman" w:hAnsi="Times New Roman" w:cs="Times New Roman" w:eastAsia="Times New Roman" w:hint="default"/>
        </w:rPr>
        <w:t>2</w:t>
      </w:r>
      <w:r>
        <w:rPr/>
        <w:t>）存货的计价方法</w:t>
      </w:r>
      <w:r>
        <w:rPr>
          <w:w w:val="100"/>
        </w:rPr>
        <w:t> </w:t>
      </w:r>
      <w:r>
        <w:rPr>
          <w:spacing w:val="-3"/>
        </w:rPr>
        <w:t>存货在取得时，按成本进行初始计量，包括采购成本、加工成本和其他成本。存货领用或发出时按移</w:t>
      </w:r>
    </w:p>
    <w:p>
      <w:pPr>
        <w:pStyle w:val="BodyText"/>
        <w:spacing w:line="240" w:lineRule="auto" w:before="65"/>
        <w:ind w:right="0"/>
        <w:jc w:val="both"/>
      </w:pPr>
      <w:r>
        <w:rPr/>
        <w:t>动加权平均法计价。</w:t>
      </w:r>
    </w:p>
    <w:p>
      <w:pPr>
        <w:spacing w:line="240" w:lineRule="auto" w:before="10"/>
        <w:rPr>
          <w:rFonts w:ascii="宋体" w:hAnsi="宋体" w:cs="宋体" w:eastAsia="宋体" w:hint="default"/>
          <w:sz w:val="14"/>
          <w:szCs w:val="14"/>
        </w:rPr>
      </w:pPr>
    </w:p>
    <w:p>
      <w:pPr>
        <w:pStyle w:val="BodyText"/>
        <w:spacing w:line="386" w:lineRule="auto" w:before="0"/>
        <w:ind w:left="573" w:right="995"/>
        <w:jc w:val="left"/>
      </w:pPr>
      <w:r>
        <w:rPr/>
        <w:t>（</w:t>
      </w:r>
      <w:r>
        <w:rPr>
          <w:rFonts w:ascii="Times New Roman" w:hAnsi="Times New Roman" w:cs="Times New Roman" w:eastAsia="Times New Roman" w:hint="default"/>
        </w:rPr>
        <w:t>3</w:t>
      </w:r>
      <w:r>
        <w:rPr/>
        <w:t>）存货可变现净值的确定依据及存货跌价准备的计提方法</w:t>
      </w:r>
      <w:r>
        <w:rPr>
          <w:w w:val="100"/>
        </w:rPr>
        <w:t> </w:t>
      </w:r>
      <w:r>
        <w:rPr>
          <w:spacing w:val="-2"/>
        </w:rPr>
        <w:t>期末对存货进行全面清查后，按存货的成本与可变现净值孰低提取或调整存货跌价准备。库存商品和</w:t>
      </w:r>
    </w:p>
    <w:p>
      <w:pPr>
        <w:pStyle w:val="BodyText"/>
        <w:spacing w:line="408" w:lineRule="auto" w:before="65"/>
        <w:ind w:right="1126"/>
        <w:jc w:val="both"/>
      </w:pPr>
      <w:r>
        <w:rPr>
          <w:spacing w:val="-2"/>
        </w:rPr>
        <w:t>用于出售的材料等直接用于出售的商品存货，在正常生产经营过程中，以该存货的估计售价减去估计的销</w:t>
      </w:r>
      <w:r>
        <w:rPr>
          <w:spacing w:val="-42"/>
        </w:rPr>
        <w:t> </w:t>
      </w:r>
      <w:r>
        <w:rPr>
          <w:spacing w:val="-42"/>
        </w:rPr>
      </w:r>
      <w:r>
        <w:rPr>
          <w:spacing w:val="-2"/>
        </w:rPr>
        <w:t>售费用和相关税费后的金额，确定其可变现净值；需要经过加工的材料存货，在正常生产经营过程中，以</w:t>
      </w:r>
      <w:r>
        <w:rPr>
          <w:spacing w:val="-44"/>
        </w:rPr>
        <w:t> </w:t>
      </w:r>
      <w:r>
        <w:rPr>
          <w:spacing w:val="-44"/>
        </w:rPr>
      </w:r>
      <w:r>
        <w:rPr>
          <w:spacing w:val="-2"/>
        </w:rPr>
        <w:t>所生产的产成品的估计售价减去至完工时估计将要发生的成本、估计的销售费用和相关税费后的金额，确</w:t>
      </w:r>
      <w:r>
        <w:rPr>
          <w:spacing w:val="-44"/>
        </w:rPr>
        <w:t> </w:t>
      </w:r>
      <w:r>
        <w:rPr>
          <w:spacing w:val="-44"/>
        </w:rPr>
      </w:r>
      <w:r>
        <w:rPr>
          <w:spacing w:val="-2"/>
        </w:rPr>
        <w:t>定其可变现净值；为执行销售合同或者劳务合同而持有的存货，其可变现净值以合同价格为基础计算，若</w:t>
      </w:r>
      <w:r>
        <w:rPr>
          <w:spacing w:val="-43"/>
        </w:rPr>
        <w:t> </w:t>
      </w:r>
      <w:r>
        <w:rPr>
          <w:spacing w:val="-43"/>
        </w:rPr>
      </w:r>
      <w:r>
        <w:rPr/>
        <w:t>持有存货的数量多于销售合同订购数量的，超出部分的存货的可变现净值以一般销售价格为基础计算。</w:t>
      </w:r>
    </w:p>
    <w:p>
      <w:pPr>
        <w:pStyle w:val="BodyText"/>
        <w:spacing w:line="408" w:lineRule="auto"/>
        <w:ind w:right="112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408" w:lineRule="auto"/>
        <w:ind w:right="995" w:firstLine="420"/>
        <w:jc w:val="left"/>
      </w:pPr>
      <w:r>
        <w:rPr>
          <w:spacing w:val="-2"/>
        </w:rPr>
        <w:t>以前减记存货价值的影响因素已经消失的，减记的金额予以恢复，并在原已计提的存货跌价准备金额</w:t>
      </w:r>
      <w:r>
        <w:rPr>
          <w:w w:val="100"/>
        </w:rPr>
        <w:t> </w:t>
      </w:r>
      <w:r>
        <w:rPr/>
        <w:t>内转回，转回的金额计入当期损益。</w:t>
      </w:r>
    </w:p>
    <w:p>
      <w:pPr>
        <w:pStyle w:val="BodyText"/>
        <w:spacing w:line="386" w:lineRule="auto"/>
        <w:ind w:left="573" w:right="6793"/>
        <w:jc w:val="left"/>
      </w:pPr>
      <w:r>
        <w:rPr/>
        <w:t>（</w:t>
      </w:r>
      <w:r>
        <w:rPr>
          <w:rFonts w:ascii="Times New Roman" w:hAnsi="Times New Roman" w:cs="Times New Roman" w:eastAsia="Times New Roman" w:hint="default"/>
        </w:rPr>
        <w:t>4</w:t>
      </w:r>
      <w:r>
        <w:rPr/>
        <w:t>）存货的盘存制度</w:t>
      </w:r>
      <w:r>
        <w:rPr>
          <w:w w:val="100"/>
        </w:rPr>
        <w:t> </w:t>
      </w:r>
      <w:r>
        <w:rPr>
          <w:spacing w:val="-2"/>
        </w:rPr>
        <w:t>本公司存货采用永续盘存制。</w:t>
      </w:r>
    </w:p>
    <w:p>
      <w:pPr>
        <w:pStyle w:val="BodyText"/>
        <w:spacing w:line="240" w:lineRule="auto" w:before="65"/>
        <w:ind w:left="573" w:right="995"/>
        <w:jc w:val="left"/>
      </w:pPr>
      <w:r>
        <w:rPr/>
        <w:t>（</w:t>
      </w:r>
      <w:r>
        <w:rPr>
          <w:rFonts w:ascii="Times New Roman" w:hAnsi="Times New Roman" w:cs="Times New Roman" w:eastAsia="Times New Roman" w:hint="default"/>
        </w:rPr>
        <w:t>5</w:t>
      </w:r>
      <w:r>
        <w:rPr/>
        <w:t>）低值易耗品和包装物的摊销方法</w:t>
      </w:r>
    </w:p>
    <w:p>
      <w:pPr>
        <w:pStyle w:val="BodyText"/>
        <w:spacing w:line="240" w:lineRule="auto" w:before="177"/>
        <w:ind w:left="573" w:right="995"/>
        <w:jc w:val="left"/>
      </w:pPr>
      <w:r>
        <w:rPr>
          <w:rFonts w:ascii="Times New Roman" w:hAnsi="Times New Roman" w:cs="Times New Roman" w:eastAsia="Times New Roman" w:hint="default"/>
        </w:rPr>
        <w:t>1</w:t>
      </w:r>
      <w:r>
        <w:rPr/>
        <w:t>）低值易耗品采用一次转销法；</w:t>
      </w:r>
    </w:p>
    <w:p>
      <w:pPr>
        <w:pStyle w:val="BodyText"/>
        <w:spacing w:line="240" w:lineRule="auto" w:before="177"/>
        <w:ind w:left="573" w:right="995"/>
        <w:jc w:val="left"/>
      </w:pPr>
      <w:r>
        <w:rPr>
          <w:rFonts w:ascii="Times New Roman" w:hAnsi="Times New Roman" w:cs="Times New Roman" w:eastAsia="Times New Roman" w:hint="default"/>
        </w:rPr>
        <w:t>2</w:t>
      </w:r>
      <w:r>
        <w:rPr/>
        <w:t>）包装物采用一次转销法；</w:t>
      </w:r>
    </w:p>
    <w:p>
      <w:pPr>
        <w:pStyle w:val="BodyText"/>
        <w:spacing w:line="240" w:lineRule="auto" w:before="177"/>
        <w:ind w:left="573" w:right="995"/>
        <w:jc w:val="left"/>
      </w:pPr>
      <w:r>
        <w:rPr>
          <w:rFonts w:ascii="Times New Roman" w:hAnsi="Times New Roman" w:cs="Times New Roman" w:eastAsia="Times New Roman" w:hint="default"/>
        </w:rPr>
        <w:t>3</w:t>
      </w:r>
      <w:r>
        <w:rPr/>
        <w:t>）其他周转材料采用一次转销法摊销。</w:t>
      </w:r>
    </w:p>
    <w:p>
      <w:pPr>
        <w:spacing w:after="0" w:line="240" w:lineRule="auto"/>
        <w:jc w:val="left"/>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7"/>
        <w:spacing w:line="335" w:lineRule="exact"/>
        <w:ind w:right="995"/>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73" w:right="995"/>
        <w:jc w:val="left"/>
      </w:pPr>
      <w:r>
        <w:rPr/>
        <w:t>（</w:t>
      </w:r>
      <w:r>
        <w:rPr>
          <w:rFonts w:ascii="Times New Roman" w:hAnsi="Times New Roman" w:cs="Times New Roman" w:eastAsia="Times New Roman" w:hint="default"/>
        </w:rPr>
        <w:t>1</w:t>
      </w:r>
      <w:r>
        <w:rPr/>
        <w:t>）初始投资成本的确定</w:t>
      </w:r>
    </w:p>
    <w:p>
      <w:pPr>
        <w:pStyle w:val="BodyText"/>
        <w:spacing w:line="386" w:lineRule="auto" w:before="177"/>
        <w:ind w:right="995" w:firstLine="420"/>
        <w:jc w:val="left"/>
      </w:pPr>
      <w:r>
        <w:rPr>
          <w:rFonts w:ascii="Times New Roman" w:hAnsi="Times New Roman" w:cs="Times New Roman" w:eastAsia="Times New Roman" w:hint="default"/>
          <w:spacing w:val="-2"/>
        </w:rPr>
        <w:t>1</w:t>
      </w:r>
      <w:r>
        <w:rPr>
          <w:spacing w:val="-2"/>
        </w:rPr>
        <w:t>）企业合并形成的长期股权投资，具体会计政策详见本附注五、</w:t>
      </w:r>
      <w:r>
        <w:rPr>
          <w:rFonts w:ascii="Times New Roman" w:hAnsi="Times New Roman" w:cs="Times New Roman" w:eastAsia="Times New Roman" w:hint="default"/>
          <w:spacing w:val="-2"/>
        </w:rPr>
        <w:t>5</w:t>
      </w:r>
      <w:r>
        <w:rPr>
          <w:spacing w:val="-2"/>
        </w:rPr>
        <w:t>同一控制下和非同一控制下企业合</w:t>
      </w:r>
      <w:r>
        <w:rPr>
          <w:w w:val="100"/>
        </w:rPr>
        <w:t> </w:t>
      </w:r>
      <w:r>
        <w:rPr/>
        <w:t>并的会计处理方法</w:t>
      </w:r>
    </w:p>
    <w:p>
      <w:pPr>
        <w:pStyle w:val="BodyText"/>
        <w:spacing w:line="386" w:lineRule="auto" w:before="65"/>
        <w:ind w:left="573" w:right="995"/>
        <w:jc w:val="left"/>
      </w:pPr>
      <w:r>
        <w:rPr>
          <w:rFonts w:ascii="Times New Roman" w:hAnsi="Times New Roman" w:cs="Times New Roman" w:eastAsia="Times New Roman" w:hint="default"/>
        </w:rPr>
        <w:t>2</w:t>
      </w:r>
      <w:r>
        <w:rPr/>
        <w:t>）其他方式取得的长期股权投资</w:t>
      </w:r>
      <w:r>
        <w:rPr>
          <w:w w:val="100"/>
        </w:rPr>
        <w:t> </w:t>
      </w:r>
      <w:r>
        <w:rPr>
          <w:spacing w:val="-2"/>
        </w:rPr>
        <w:t>以支付现金方式取得的长期股权投资，按照实际支付的购买价款作为初始投资成本。初始投资成本包</w:t>
      </w:r>
    </w:p>
    <w:p>
      <w:pPr>
        <w:pStyle w:val="BodyText"/>
        <w:spacing w:line="408" w:lineRule="auto" w:before="65"/>
        <w:ind w:left="573" w:right="995" w:hanging="420"/>
        <w:jc w:val="left"/>
      </w:pPr>
      <w:r>
        <w:rPr/>
        <w:t>括与取得长期股权投资直接相关的费用、税金及其他必要支出。</w:t>
      </w:r>
      <w:r>
        <w:rPr>
          <w:w w:val="100"/>
        </w:rPr>
        <w:t> </w:t>
      </w:r>
      <w:r>
        <w:rPr>
          <w:spacing w:val="-2"/>
        </w:rPr>
        <w:t>以发行权益性证券取得的长期股权投资，按照发行权益性证券的公允价值作为初始投资成本；发行或</w:t>
      </w:r>
    </w:p>
    <w:p>
      <w:pPr>
        <w:pStyle w:val="BodyText"/>
        <w:spacing w:line="408" w:lineRule="auto"/>
        <w:ind w:left="573" w:right="995" w:hanging="420"/>
        <w:jc w:val="left"/>
      </w:pPr>
      <w:r>
        <w:rPr/>
        <w:t>取得自身权益工具时发生的交易费用，可直接归属于权益性交易的从权益中扣减。</w:t>
      </w:r>
      <w:r>
        <w:rPr>
          <w:w w:val="100"/>
        </w:rPr>
        <w:t> </w:t>
      </w:r>
      <w:r>
        <w:rPr>
          <w:spacing w:val="-2"/>
        </w:rPr>
        <w:t>在非货币性资产交换具备商业实质和换入资产或换出资产的公允价值能够可靠计量的前提下，非货币</w:t>
      </w:r>
    </w:p>
    <w:p>
      <w:pPr>
        <w:pStyle w:val="BodyText"/>
        <w:spacing w:line="408" w:lineRule="auto"/>
        <w:ind w:right="1126"/>
        <w:jc w:val="both"/>
      </w:pP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p>
    <w:p>
      <w:pPr>
        <w:pStyle w:val="BodyText"/>
        <w:spacing w:line="240" w:lineRule="auto"/>
        <w:ind w:left="573" w:right="995"/>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240" w:lineRule="auto" w:before="0"/>
        <w:ind w:left="573" w:right="995"/>
        <w:jc w:val="left"/>
      </w:pPr>
      <w:r>
        <w:rPr/>
        <w:t>（</w:t>
      </w:r>
      <w:r>
        <w:rPr>
          <w:rFonts w:ascii="Times New Roman" w:hAnsi="Times New Roman" w:cs="Times New Roman" w:eastAsia="Times New Roman" w:hint="default"/>
        </w:rPr>
        <w:t>2</w:t>
      </w:r>
      <w:r>
        <w:rPr/>
        <w:t>）后续计量及损益确认</w:t>
      </w:r>
    </w:p>
    <w:p>
      <w:pPr>
        <w:pStyle w:val="BodyText"/>
        <w:spacing w:line="386" w:lineRule="auto" w:before="178"/>
        <w:ind w:left="573" w:right="995"/>
        <w:jc w:val="left"/>
      </w:pPr>
      <w:r>
        <w:rPr>
          <w:rFonts w:ascii="Times New Roman" w:hAnsi="Times New Roman" w:cs="Times New Roman" w:eastAsia="Times New Roman" w:hint="default"/>
        </w:rPr>
        <w:t>1</w:t>
      </w:r>
      <w:r>
        <w:rPr/>
        <w:t>）成本法</w:t>
      </w:r>
      <w:r>
        <w:rPr>
          <w:spacing w:val="-103"/>
        </w:rPr>
        <w:t> </w:t>
      </w:r>
      <w:r>
        <w:rPr>
          <w:spacing w:val="-103"/>
        </w:rPr>
      </w:r>
      <w:r>
        <w:rPr>
          <w:spacing w:val="-2"/>
        </w:rPr>
        <w:t>本公司能够对被投资单位实施控制的长期股权投资采用成本法核算，并按照初始投资成本计价，追加</w:t>
      </w:r>
    </w:p>
    <w:p>
      <w:pPr>
        <w:pStyle w:val="BodyText"/>
        <w:spacing w:line="408" w:lineRule="auto" w:before="65"/>
        <w:ind w:left="573" w:right="995" w:hanging="420"/>
        <w:jc w:val="left"/>
      </w:pPr>
      <w:r>
        <w:rPr/>
        <w:t>或收回投资调整长期股权投资的成本。</w:t>
      </w:r>
      <w:r>
        <w:rPr>
          <w:w w:val="100"/>
        </w:rPr>
        <w:t> </w:t>
      </w:r>
      <w:r>
        <w:rPr>
          <w:spacing w:val="-2"/>
        </w:rPr>
        <w:t>除取得投资时实际支付的价款或对价中包含的已宣告但尚未发放的现金股利或利润外，本公司按照享</w:t>
      </w:r>
    </w:p>
    <w:p>
      <w:pPr>
        <w:pStyle w:val="BodyText"/>
        <w:spacing w:line="240" w:lineRule="auto"/>
        <w:ind w:right="995"/>
        <w:jc w:val="left"/>
      </w:pPr>
      <w:r>
        <w:rPr/>
        <w:t>有被投资单位宣告分派的现金股利或利润确认为当期投资收益。</w:t>
      </w:r>
    </w:p>
    <w:p>
      <w:pPr>
        <w:spacing w:line="240" w:lineRule="auto" w:before="10"/>
        <w:rPr>
          <w:rFonts w:ascii="宋体" w:hAnsi="宋体" w:cs="宋体" w:eastAsia="宋体" w:hint="default"/>
          <w:sz w:val="14"/>
          <w:szCs w:val="14"/>
        </w:rPr>
      </w:pPr>
    </w:p>
    <w:p>
      <w:pPr>
        <w:pStyle w:val="BodyText"/>
        <w:spacing w:line="240" w:lineRule="auto" w:before="0"/>
        <w:ind w:left="573" w:right="995"/>
        <w:jc w:val="left"/>
      </w:pPr>
      <w:r>
        <w:rPr>
          <w:rFonts w:ascii="Times New Roman" w:hAnsi="Times New Roman" w:cs="Times New Roman" w:eastAsia="Times New Roman" w:hint="default"/>
        </w:rPr>
        <w:t>2</w:t>
      </w:r>
      <w:r>
        <w:rPr/>
        <w:t>）权益法</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left="573" w:right="995"/>
        <w:jc w:val="left"/>
      </w:pPr>
      <w:r>
        <w:rPr/>
        <w:t>本公司对联营企业和合营企业的长期股权投资采用权益法核算。</w:t>
      </w:r>
      <w:r>
        <w:rPr>
          <w:w w:val="100"/>
        </w:rPr>
        <w:t> </w:t>
      </w:r>
      <w:r>
        <w:rPr>
          <w:spacing w:val="-2"/>
        </w:rPr>
        <w:t>长期股权投资的初始投资成本大于投资时应享有被投资单位可辨认净资产公允价值份额的差额，不调</w:t>
      </w:r>
    </w:p>
    <w:p>
      <w:pPr>
        <w:pStyle w:val="BodyText"/>
        <w:spacing w:line="408" w:lineRule="auto"/>
        <w:ind w:right="1126"/>
        <w:jc w:val="both"/>
      </w:pPr>
      <w:r>
        <w:rPr>
          <w:spacing w:val="-2"/>
        </w:rPr>
        <w:t>整长期股权投资的初始投资成本；初始投资成本小于投资时应享有被投资单位可辨认净资产公允价值份额</w:t>
      </w:r>
      <w:r>
        <w:rPr>
          <w:spacing w:val="-43"/>
        </w:rPr>
        <w:t> </w:t>
      </w:r>
      <w:r>
        <w:rPr>
          <w:spacing w:val="-43"/>
        </w:rPr>
      </w:r>
      <w:r>
        <w:rPr/>
        <w:t>的差额，计入当期损益。</w:t>
      </w:r>
    </w:p>
    <w:p>
      <w:pPr>
        <w:pStyle w:val="BodyText"/>
        <w:spacing w:line="408" w:lineRule="auto"/>
        <w:ind w:right="1126" w:firstLine="420"/>
        <w:jc w:val="both"/>
      </w:pPr>
      <w:r>
        <w:rPr>
          <w:spacing w:val="2"/>
        </w:rPr>
        <w:t>本公司取得长期股权投资后，按照应享有或应分担的被投资单位实现的净损益和其他综合收益的份</w:t>
      </w:r>
      <w:r>
        <w:rPr>
          <w:w w:val="100"/>
        </w:rPr>
        <w:t> </w:t>
      </w:r>
      <w:r>
        <w:rPr>
          <w:spacing w:val="-2"/>
        </w:rPr>
        <w:t>额，分别确认投资收益和其他综合收益，同时调整长期股权投资的账面价值；并按照被投资单位宣告分派</w:t>
      </w:r>
      <w:r>
        <w:rPr>
          <w:spacing w:val="-44"/>
        </w:rPr>
        <w:t> </w:t>
      </w:r>
      <w:r>
        <w:rPr>
          <w:spacing w:val="-44"/>
        </w:rPr>
      </w:r>
      <w:r>
        <w:rPr>
          <w:spacing w:val="-2"/>
        </w:rPr>
        <w:t>的利润或现金股利计算应享有的部分，相应减少长期股权投资的账面价值；对于被投资单位除净损益、其</w:t>
      </w:r>
      <w:r>
        <w:rPr>
          <w:spacing w:val="-42"/>
        </w:rPr>
        <w:t> </w:t>
      </w:r>
      <w:r>
        <w:rPr>
          <w:spacing w:val="-42"/>
        </w:rPr>
      </w:r>
      <w:r>
        <w:rPr/>
        <w:t>他综合收益和利润分配以外所有者权益的其他变动，调整长期股权投资的账面价值并计入所有者权益。</w:t>
      </w:r>
    </w:p>
    <w:p>
      <w:pPr>
        <w:pStyle w:val="BodyText"/>
        <w:spacing w:line="408" w:lineRule="auto"/>
        <w:ind w:right="1126" w:firstLine="420"/>
        <w:jc w:val="both"/>
      </w:pPr>
      <w:r>
        <w:rPr>
          <w:spacing w:val="-2"/>
        </w:rPr>
        <w:t>本公司在确认应享有被投资单位净损益的份额时，以取得投资时被投资单位各项可辨认资产等的公允</w:t>
      </w:r>
      <w:r>
        <w:rPr>
          <w:w w:val="100"/>
        </w:rPr>
        <w:t> </w:t>
      </w:r>
      <w:r>
        <w:rPr>
          <w:spacing w:val="-2"/>
        </w:rPr>
        <w:t>价值为基础，对被投资单位的净利润进行调整后确认。本公司与联营企业、合营企业之间发生的未实现内</w:t>
      </w:r>
      <w:r>
        <w:rPr>
          <w:spacing w:val="-42"/>
        </w:rPr>
        <w:t> </w:t>
      </w:r>
      <w:r>
        <w:rPr>
          <w:spacing w:val="-42"/>
        </w:rPr>
      </w:r>
      <w:r>
        <w:rPr/>
        <w:t>部交易损益按照应享有的比例计算归属于本公司的部分予以抵销，在此基础上确认投资损益。</w:t>
      </w:r>
    </w:p>
    <w:p>
      <w:pPr>
        <w:pStyle w:val="BodyText"/>
        <w:spacing w:line="408" w:lineRule="auto"/>
        <w:ind w:right="1126" w:firstLine="420"/>
        <w:jc w:val="both"/>
      </w:pPr>
      <w:r>
        <w:rPr>
          <w:spacing w:val="-2"/>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408" w:lineRule="auto"/>
        <w:ind w:right="1126" w:firstLine="420"/>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43"/>
        </w:rPr>
        <w:t> </w:t>
      </w:r>
      <w:r>
        <w:rPr>
          <w:spacing w:val="-43"/>
        </w:rPr>
      </w:r>
      <w:r>
        <w:rPr/>
        <w:t>面价值后，恢复确认投资收益。</w:t>
      </w:r>
    </w:p>
    <w:p>
      <w:pPr>
        <w:pStyle w:val="BodyText"/>
        <w:spacing w:line="240" w:lineRule="auto"/>
        <w:ind w:left="573" w:right="995"/>
        <w:jc w:val="left"/>
      </w:pPr>
      <w:r>
        <w:rPr/>
        <w:t>（</w:t>
      </w:r>
      <w:r>
        <w:rPr>
          <w:rFonts w:ascii="Times New Roman" w:hAnsi="Times New Roman" w:cs="Times New Roman" w:eastAsia="Times New Roman" w:hint="default"/>
        </w:rPr>
        <w:t>3</w:t>
      </w:r>
      <w:r>
        <w:rPr/>
        <w:t>）长期股权投资核算方法的转换</w:t>
      </w:r>
    </w:p>
    <w:p>
      <w:pPr>
        <w:pStyle w:val="BodyText"/>
        <w:spacing w:line="386" w:lineRule="auto" w:before="177"/>
        <w:ind w:left="573" w:right="995"/>
        <w:jc w:val="left"/>
      </w:pPr>
      <w:r>
        <w:rPr>
          <w:rFonts w:ascii="Times New Roman" w:hAnsi="Times New Roman" w:cs="Times New Roman" w:eastAsia="Times New Roman" w:hint="default"/>
        </w:rPr>
        <w:t>1</w:t>
      </w:r>
      <w:r>
        <w:rPr/>
        <w:t>）公允价值计量转权益法核算</w:t>
      </w:r>
      <w:r>
        <w:rPr>
          <w:w w:val="100"/>
        </w:rPr>
        <w:t> </w:t>
      </w:r>
      <w:r>
        <w:rPr>
          <w:spacing w:val="-2"/>
        </w:rPr>
        <w:t>本公司原持有的对被投资单位不具有控制、共同控制或重大影响的按金融工具确认和计量准则进行会</w:t>
      </w:r>
    </w:p>
    <w:p>
      <w:pPr>
        <w:pStyle w:val="BodyText"/>
        <w:spacing w:line="398" w:lineRule="auto" w:before="65"/>
        <w:ind w:right="1126"/>
        <w:jc w:val="both"/>
      </w:pPr>
      <w:r>
        <w:rPr>
          <w:spacing w:val="2"/>
        </w:rPr>
        <w:t>计处理的权益性投资，因追加投资等原因能够对被投资单位施加重大影响或实施共同控制但不构成控制</w:t>
      </w:r>
      <w:r>
        <w:rPr>
          <w:spacing w:val="-30"/>
        </w:rPr>
        <w:t> </w:t>
      </w:r>
      <w:r>
        <w:rPr>
          <w:spacing w:val="-30"/>
        </w:rPr>
      </w:r>
      <w:r>
        <w:rPr>
          <w:spacing w:val="-2"/>
        </w:rPr>
        <w:t>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w:t>
      </w:r>
      <w:r>
        <w:rPr>
          <w:spacing w:val="-40"/>
        </w:rPr>
        <w:t> </w:t>
      </w:r>
      <w:r>
        <w:rPr>
          <w:spacing w:val="-40"/>
        </w:rPr>
      </w:r>
      <w:r>
        <w:rPr/>
        <w:t>投资成本之和，作为改按权益法核算的初始投资成本。</w:t>
      </w:r>
    </w:p>
    <w:p>
      <w:pPr>
        <w:pStyle w:val="BodyText"/>
        <w:spacing w:line="408" w:lineRule="auto" w:before="54"/>
        <w:ind w:right="1126" w:firstLine="420"/>
        <w:jc w:val="both"/>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BodyText"/>
        <w:spacing w:line="408" w:lineRule="auto"/>
        <w:ind w:right="1126" w:firstLine="420"/>
        <w:jc w:val="both"/>
      </w:pPr>
      <w:r>
        <w:rPr>
          <w:spacing w:val="2"/>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44"/>
        </w:rPr>
        <w:t> </w:t>
      </w:r>
      <w:r>
        <w:rPr>
          <w:spacing w:val="-44"/>
        </w:rPr>
      </w:r>
      <w:r>
        <w:rPr/>
        <w:t>入。</w:t>
      </w:r>
    </w:p>
    <w:p>
      <w:pPr>
        <w:pStyle w:val="BodyText"/>
        <w:spacing w:line="240" w:lineRule="auto"/>
        <w:ind w:left="573" w:right="995"/>
        <w:jc w:val="left"/>
      </w:pPr>
      <w:r>
        <w:rPr>
          <w:rFonts w:ascii="Times New Roman" w:hAnsi="Times New Roman" w:cs="Times New Roman" w:eastAsia="Times New Roman" w:hint="default"/>
        </w:rPr>
        <w:t>2</w:t>
      </w:r>
      <w:r>
        <w:rPr/>
        <w:t>）公允价值计量或权益法核算转成本法核算</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5" w:firstLine="420"/>
        <w:jc w:val="both"/>
      </w:pPr>
      <w:r>
        <w:rPr>
          <w:spacing w:val="-2"/>
        </w:rPr>
        <w:t>本公司原持有的对被投资单位不具有控制、共同控制或重大影响的按金融工具确认和计量准则进行会</w:t>
      </w:r>
      <w:r>
        <w:rPr>
          <w:w w:val="100"/>
        </w:rPr>
        <w:t> </w:t>
      </w:r>
      <w:r>
        <w:rPr>
          <w:spacing w:val="-2"/>
        </w:rPr>
        <w:t>计处理的权益性投资，或原持有对联营企业、合营企业的长期股权投资，因追加投资等原因能够对非同一</w:t>
      </w:r>
      <w:r>
        <w:rPr>
          <w:spacing w:val="-44"/>
        </w:rPr>
        <w:t> </w:t>
      </w:r>
      <w:r>
        <w:rPr>
          <w:spacing w:val="-44"/>
        </w:rPr>
      </w:r>
      <w:r>
        <w:rPr>
          <w:spacing w:val="-2"/>
        </w:rPr>
        <w:t>控制下的被投资单位实施控制的，在编制个别财务报表时，按照原持有的股权投资账面价值加上新增投资</w:t>
      </w:r>
      <w:r>
        <w:rPr>
          <w:spacing w:val="-44"/>
        </w:rPr>
        <w:t> </w:t>
      </w:r>
      <w:r>
        <w:rPr>
          <w:spacing w:val="-44"/>
        </w:rPr>
      </w:r>
      <w:r>
        <w:rPr/>
        <w:t>成本之和，作为改按成本法核算的初始投资成本。</w:t>
      </w:r>
    </w:p>
    <w:p>
      <w:pPr>
        <w:pStyle w:val="BodyText"/>
        <w:spacing w:line="408" w:lineRule="auto"/>
        <w:ind w:right="1126" w:firstLine="420"/>
        <w:jc w:val="both"/>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pStyle w:val="BodyText"/>
        <w:spacing w:line="386" w:lineRule="auto"/>
        <w:ind w:right="1128" w:firstLine="420"/>
        <w:jc w:val="both"/>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w:t>
      </w:r>
      <w:r>
        <w:rPr>
          <w:w w:val="100"/>
        </w:rPr>
        <w:t> </w:t>
      </w:r>
      <w:r>
        <w:rPr/>
        <w:t>计处理的，原计入其他综合收益的累计公允价值变动在改按成本法核算时转入当期损益。</w:t>
      </w:r>
    </w:p>
    <w:p>
      <w:pPr>
        <w:pStyle w:val="BodyText"/>
        <w:spacing w:line="386" w:lineRule="auto" w:before="65"/>
        <w:ind w:left="573" w:right="995"/>
        <w:jc w:val="left"/>
      </w:pPr>
      <w:r>
        <w:rPr>
          <w:rFonts w:ascii="Times New Roman" w:hAnsi="Times New Roman" w:cs="Times New Roman" w:eastAsia="Times New Roman" w:hint="default"/>
        </w:rPr>
        <w:t>3</w:t>
      </w:r>
      <w:r>
        <w:rPr/>
        <w:t>）权益法核算转公允价值计量</w:t>
      </w:r>
      <w:r>
        <w:rPr>
          <w:w w:val="100"/>
        </w:rPr>
        <w:t> </w:t>
      </w:r>
      <w:r>
        <w:rPr>
          <w:spacing w:val="-2"/>
        </w:rPr>
        <w:t>本公司因处置部分股权投资等原因丧失了对被投资单位的共同控制或重大影响的，处置后的剩余股权</w:t>
      </w:r>
    </w:p>
    <w:p>
      <w:pPr>
        <w:pStyle w:val="BodyText"/>
        <w:spacing w:line="386" w:lineRule="auto" w:before="65"/>
        <w:ind w:right="995"/>
        <w:jc w:val="left"/>
      </w:pPr>
      <w:r>
        <w:rPr>
          <w:spacing w:val="-2"/>
        </w:rPr>
        <w:t>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w:t>
      </w:r>
      <w:r>
        <w:rPr>
          <w:spacing w:val="-41"/>
        </w:rPr>
        <w:t> </w:t>
      </w:r>
      <w:r>
        <w:rPr>
          <w:spacing w:val="-41"/>
        </w:rPr>
      </w:r>
      <w:r>
        <w:rPr/>
        <w:t>值与账面价值之间的差额计入当期损益。</w:t>
      </w:r>
    </w:p>
    <w:p>
      <w:pPr>
        <w:pStyle w:val="BodyText"/>
        <w:spacing w:line="408" w:lineRule="auto" w:before="65"/>
        <w:ind w:right="1126" w:firstLine="420"/>
        <w:jc w:val="both"/>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386" w:lineRule="auto"/>
        <w:ind w:left="573" w:right="995"/>
        <w:jc w:val="left"/>
      </w:pPr>
      <w:r>
        <w:rPr>
          <w:rFonts w:ascii="Times New Roman" w:hAnsi="Times New Roman" w:cs="Times New Roman" w:eastAsia="Times New Roman" w:hint="default"/>
        </w:rPr>
        <w:t>4</w:t>
      </w:r>
      <w:r>
        <w:rPr/>
        <w:t>）成本法转权益法</w:t>
      </w:r>
      <w:r>
        <w:rPr>
          <w:w w:val="100"/>
        </w:rPr>
        <w:t> </w:t>
      </w:r>
      <w:r>
        <w:rPr>
          <w:spacing w:val="-2"/>
        </w:rPr>
        <w:t>本公司因处置部分权益性投资等原因丧失了对被投资单位的控制的，在编制个别财务报表时，处置后</w:t>
      </w:r>
    </w:p>
    <w:p>
      <w:pPr>
        <w:pStyle w:val="BodyText"/>
        <w:spacing w:line="408" w:lineRule="auto" w:before="65"/>
        <w:ind w:right="995"/>
        <w:jc w:val="left"/>
      </w:pPr>
      <w:r>
        <w:rPr>
          <w:spacing w:val="-2"/>
        </w:rPr>
        <w:t>的剩余股权能够对被投资单位实施共同控制或施加重大影响的，改按权益法核算，并对该剩余股权视同自</w:t>
      </w:r>
      <w:r>
        <w:rPr>
          <w:spacing w:val="-43"/>
        </w:rPr>
        <w:t> </w:t>
      </w:r>
      <w:r>
        <w:rPr>
          <w:spacing w:val="-43"/>
        </w:rPr>
      </w:r>
      <w:r>
        <w:rPr/>
        <w:t>取得时即采用权益法核算进行调整。</w:t>
      </w:r>
    </w:p>
    <w:p>
      <w:pPr>
        <w:pStyle w:val="BodyText"/>
        <w:spacing w:line="386" w:lineRule="auto"/>
        <w:ind w:left="573" w:right="995"/>
        <w:jc w:val="left"/>
      </w:pPr>
      <w:r>
        <w:rPr>
          <w:rFonts w:ascii="Times New Roman" w:hAnsi="Times New Roman" w:cs="Times New Roman" w:eastAsia="Times New Roman" w:hint="default"/>
        </w:rPr>
        <w:t>5</w:t>
      </w:r>
      <w:r>
        <w:rPr/>
        <w:t>）成本法转公允价值计量</w:t>
      </w:r>
      <w:r>
        <w:rPr>
          <w:w w:val="100"/>
        </w:rPr>
        <w:t> </w:t>
      </w:r>
      <w:r>
        <w:rPr>
          <w:spacing w:val="-2"/>
        </w:rPr>
        <w:t>本公司因处置部分权益性投资等原因丧失了对被投资单位的控制的，在编制个别财务报表时，处置后</w:t>
      </w:r>
    </w:p>
    <w:p>
      <w:pPr>
        <w:pStyle w:val="BodyText"/>
        <w:spacing w:line="386" w:lineRule="auto" w:before="65"/>
        <w:ind w:right="995"/>
        <w:jc w:val="left"/>
      </w:pPr>
      <w:r>
        <w:rPr>
          <w:spacing w:val="-2"/>
        </w:rPr>
        <w:t>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41"/>
        </w:rPr>
        <w:t> </w:t>
      </w:r>
      <w:r>
        <w:rPr>
          <w:spacing w:val="-41"/>
        </w:rPr>
      </w:r>
      <w:r>
        <w:rPr>
          <w:spacing w:val="-5"/>
        </w:rPr>
        <w:t>确认和计量》的有关规定进行会计处理，其在丧失控制之日的公允价值与账面价值间的差额计入当期损益。</w:t>
      </w:r>
    </w:p>
    <w:p>
      <w:pPr>
        <w:pStyle w:val="BodyText"/>
        <w:spacing w:line="386" w:lineRule="auto" w:before="65"/>
        <w:ind w:left="573" w:right="995"/>
        <w:jc w:val="left"/>
      </w:pPr>
      <w:r>
        <w:rPr/>
        <w:t>（</w:t>
      </w:r>
      <w:r>
        <w:rPr>
          <w:rFonts w:ascii="Times New Roman" w:hAnsi="Times New Roman" w:cs="Times New Roman" w:eastAsia="Times New Roman" w:hint="default"/>
        </w:rPr>
        <w:t>4</w:t>
      </w:r>
      <w:r>
        <w:rPr/>
        <w:t>）长期股权投资的处置</w:t>
      </w:r>
      <w:r>
        <w:rPr>
          <w:w w:val="100"/>
        </w:rPr>
        <w:t> </w:t>
      </w:r>
      <w:r>
        <w:rPr>
          <w:spacing w:val="-2"/>
        </w:rPr>
        <w:t>处置长期股权投资，其账面价值与实际取得价款之间的差额，应当计入当期损益。采用权益法核算的</w:t>
      </w:r>
    </w:p>
    <w:p>
      <w:pPr>
        <w:pStyle w:val="BodyText"/>
        <w:spacing w:line="408" w:lineRule="auto" w:before="65"/>
        <w:ind w:right="995"/>
        <w:jc w:val="left"/>
      </w:pPr>
      <w:r>
        <w:rPr>
          <w:spacing w:val="-2"/>
        </w:rPr>
        <w:t>长期股权投资，在处置该项投资时，采用与被投资单位直接处置相关资产或负债相同的基础，按相应比例</w:t>
      </w:r>
      <w:r>
        <w:rPr>
          <w:spacing w:val="-45"/>
        </w:rPr>
        <w:t> </w:t>
      </w:r>
      <w:r>
        <w:rPr>
          <w:spacing w:val="-45"/>
        </w:rPr>
      </w:r>
      <w:r>
        <w:rPr/>
        <w:t>对原计入其他综合收益的部分进行会计处理。</w:t>
      </w:r>
    </w:p>
    <w:p>
      <w:pPr>
        <w:pStyle w:val="BodyText"/>
        <w:spacing w:line="408" w:lineRule="auto"/>
        <w:ind w:right="1126" w:firstLine="420"/>
        <w:jc w:val="both"/>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ind w:left="573" w:right="995"/>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77"/>
        <w:ind w:left="573" w:right="995"/>
        <w:jc w:val="left"/>
      </w:pPr>
      <w:r>
        <w:rPr>
          <w:rFonts w:ascii="Times New Roman" w:hAnsi="Times New Roman" w:cs="Times New Roman" w:eastAsia="Times New Roman" w:hint="default"/>
        </w:rPr>
        <w:t>2</w:t>
      </w:r>
      <w:r>
        <w:rPr/>
        <w:t>）这些交易整体才能达成一项完整的商业结果；</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left="573" w:right="995"/>
        <w:jc w:val="left"/>
      </w:pPr>
      <w:r>
        <w:rPr>
          <w:rFonts w:ascii="Times New Roman" w:hAnsi="Times New Roman" w:cs="Times New Roman" w:eastAsia="Times New Roman" w:hint="default"/>
        </w:rPr>
        <w:t>3</w:t>
      </w:r>
      <w:r>
        <w:rPr/>
        <w:t>）一项交易的发生取决于其他至少一项交易的发生；</w:t>
      </w:r>
    </w:p>
    <w:p>
      <w:pPr>
        <w:pStyle w:val="BodyText"/>
        <w:spacing w:line="386" w:lineRule="auto" w:before="177"/>
        <w:ind w:left="573" w:right="995"/>
        <w:jc w:val="left"/>
      </w:pPr>
      <w:r>
        <w:rPr>
          <w:rFonts w:ascii="Times New Roman" w:hAnsi="Times New Roman" w:cs="Times New Roman" w:eastAsia="Times New Roman" w:hint="default"/>
        </w:rPr>
        <w:t>4</w:t>
      </w:r>
      <w:r>
        <w:rPr/>
        <w:t>）一项交易单独看是不经济的，但是和其他交易一并考虑时是经济的。</w:t>
      </w:r>
      <w:r>
        <w:rPr>
          <w:w w:val="100"/>
        </w:rPr>
        <w:t> </w:t>
      </w:r>
      <w:r>
        <w:rPr>
          <w:spacing w:val="-2"/>
        </w:rPr>
        <w:t>因处置部分股权投资或其他原因丧失了对原有子公司控制权的，不属于一揽子交易的，区分个别财务</w:t>
      </w:r>
    </w:p>
    <w:p>
      <w:pPr>
        <w:pStyle w:val="BodyText"/>
        <w:spacing w:line="240" w:lineRule="auto" w:before="65"/>
        <w:ind w:right="995"/>
        <w:jc w:val="left"/>
      </w:pPr>
      <w:r>
        <w:rPr/>
        <w:t>报表和合并财务报表进行相关会计处理：</w:t>
      </w:r>
    </w:p>
    <w:p>
      <w:pPr>
        <w:spacing w:line="240" w:lineRule="auto" w:before="10"/>
        <w:rPr>
          <w:rFonts w:ascii="宋体" w:hAnsi="宋体" w:cs="宋体" w:eastAsia="宋体" w:hint="default"/>
          <w:sz w:val="14"/>
          <w:szCs w:val="14"/>
        </w:rPr>
      </w:pPr>
    </w:p>
    <w:p>
      <w:pPr>
        <w:pStyle w:val="BodyText"/>
        <w:spacing w:line="398" w:lineRule="auto" w:before="0"/>
        <w:ind w:right="1126" w:firstLine="420"/>
        <w:jc w:val="both"/>
      </w:pPr>
      <w:r>
        <w:rPr>
          <w:rFonts w:ascii="Times New Roman" w:hAnsi="Times New Roman" w:cs="Times New Roman" w:eastAsia="Times New Roman" w:hint="default"/>
        </w:rPr>
        <w:t>1</w:t>
      </w:r>
      <w:r>
        <w:rPr/>
        <w:t>）在个别财务报表中，对于处置的股权，其账面价值与实际取得价款之间的差额计入当期损益。处</w:t>
      </w:r>
      <w:r>
        <w:rPr>
          <w:w w:val="100"/>
        </w:rPr>
        <w:t> </w:t>
      </w:r>
      <w:r>
        <w:rPr>
          <w:spacing w:val="-2"/>
        </w:rPr>
        <w:t>置后的剩余股权能够对被投资单位实施共同控制或施加重大影响的，改按权益法核算，并对该剩余股权视</w:t>
      </w:r>
      <w:r>
        <w:rPr>
          <w:spacing w:val="-43"/>
        </w:rPr>
        <w:t> </w:t>
      </w:r>
      <w:r>
        <w:rPr>
          <w:spacing w:val="-43"/>
        </w:rPr>
      </w:r>
      <w:r>
        <w:rPr>
          <w:spacing w:val="-2"/>
        </w:rPr>
        <w:t>同自取得时即采用权益法核算进行调整；处置后的剩余股权不能对被投资单位实施共同控制或施加重大影</w:t>
      </w:r>
      <w:r>
        <w:rPr>
          <w:spacing w:val="-43"/>
        </w:rPr>
        <w:t> </w:t>
      </w:r>
      <w:r>
        <w:rPr>
          <w:spacing w:val="-43"/>
        </w:rPr>
      </w:r>
      <w:r>
        <w:rPr>
          <w:spacing w:val="-2"/>
        </w:rPr>
        <w:t>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金融工具确认和计量》的有关规定进行会计处理，其在丧失控制之</w:t>
      </w:r>
      <w:r>
        <w:rPr>
          <w:spacing w:val="-45"/>
        </w:rPr>
        <w:t> </w:t>
      </w:r>
      <w:r>
        <w:rPr>
          <w:spacing w:val="-45"/>
        </w:rPr>
      </w:r>
      <w:r>
        <w:rPr/>
        <w:t>日的公允价值与账面价值间的差额计入当期损益。</w:t>
      </w:r>
    </w:p>
    <w:p>
      <w:pPr>
        <w:pStyle w:val="BodyText"/>
        <w:spacing w:line="403" w:lineRule="auto" w:before="54"/>
        <w:ind w:right="995" w:firstLine="420"/>
        <w:jc w:val="left"/>
      </w:pPr>
      <w:r>
        <w:rPr>
          <w:rFonts w:ascii="Times New Roman" w:hAnsi="Times New Roman" w:cs="Times New Roman" w:eastAsia="Times New Roman" w:hint="default"/>
        </w:rPr>
        <w:t>2</w:t>
      </w:r>
      <w:r>
        <w:rPr/>
        <w:t>）在合并财务报表中，对于在丧失对子公司控制权以前的各项交易，处置价款与处置长期股权投资</w:t>
      </w:r>
      <w:r>
        <w:rPr>
          <w:w w:val="100"/>
        </w:rPr>
        <w:t> </w:t>
      </w:r>
      <w:r>
        <w:rPr>
          <w:spacing w:val="-5"/>
        </w:rPr>
        <w:t>相应对享有子公司自购买日或合并日开始持续计算的净资产份额之间的差额，调整资本公积（股本溢价），</w:t>
      </w:r>
      <w:r>
        <w:rPr>
          <w:spacing w:val="-8"/>
        </w:rPr>
        <w:t> </w:t>
      </w:r>
      <w:r>
        <w:rPr>
          <w:spacing w:val="-8"/>
        </w:rPr>
      </w:r>
      <w:r>
        <w:rPr>
          <w:spacing w:val="-2"/>
        </w:rPr>
        <w:t>资本公积不足冲减的，调整留存收益；在丧失对子公司控制权时，对于剩余股权，按照其在丧失控制权日</w:t>
      </w:r>
      <w:r>
        <w:rPr>
          <w:spacing w:val="-50"/>
        </w:rPr>
        <w:t> </w:t>
      </w:r>
      <w:r>
        <w:rPr>
          <w:spacing w:val="-50"/>
        </w:rPr>
      </w:r>
      <w:r>
        <w:rPr>
          <w:spacing w:val="-2"/>
        </w:rPr>
        <w:t>的公允价值进行重新计量。处置股权取得的对价与剩余股权公允价值之和，减去按原持股比例计算应享有</w:t>
      </w:r>
      <w:r>
        <w:rPr>
          <w:spacing w:val="-43"/>
        </w:rPr>
        <w:t> </w:t>
      </w:r>
      <w:r>
        <w:rPr>
          <w:spacing w:val="-43"/>
        </w:rPr>
      </w:r>
      <w:r>
        <w:rPr>
          <w:spacing w:val="-2"/>
        </w:rPr>
        <w:t>原有子公司自购买日开始持续计算的净资产的份额之间的差额，计入丧失控制权当期的投资收益，同时冲</w:t>
      </w:r>
      <w:r>
        <w:rPr>
          <w:spacing w:val="-44"/>
        </w:rPr>
        <w:t> </w:t>
      </w:r>
      <w:r>
        <w:rPr>
          <w:spacing w:val="-44"/>
        </w:rPr>
      </w:r>
      <w:r>
        <w:rPr/>
        <w:t>减商誉。与原有子公司股权投资相关的其他综合收益等，在丧失控制权时转为当期投资收益。</w:t>
      </w:r>
    </w:p>
    <w:p>
      <w:pPr>
        <w:pStyle w:val="BodyText"/>
        <w:spacing w:line="408" w:lineRule="auto" w:before="50"/>
        <w:ind w:right="1126" w:firstLine="420"/>
        <w:jc w:val="both"/>
      </w:pPr>
      <w:r>
        <w:rPr>
          <w:spacing w:val="-2"/>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BodyText"/>
        <w:spacing w:line="386" w:lineRule="auto"/>
        <w:ind w:right="1136" w:firstLine="420"/>
        <w:jc w:val="both"/>
      </w:pPr>
      <w:r>
        <w:rPr>
          <w:rFonts w:ascii="Times New Roman" w:hAnsi="Times New Roman" w:cs="Times New Roman" w:eastAsia="Times New Roman" w:hint="default"/>
        </w:rPr>
        <w:t>1</w:t>
      </w:r>
      <w:r>
        <w:rPr/>
        <w:t>）在个别财务报表中，在丧失控制权之前每一次处置价款与处置的股权对应的长期股权投资账面价</w:t>
      </w:r>
      <w:r>
        <w:rPr>
          <w:w w:val="100"/>
        </w:rPr>
        <w:t> </w:t>
      </w:r>
      <w:r>
        <w:rPr/>
        <w:t>值之间的差额，确认为其他综合收益，在丧失控制权时一并转入丧失控制权当期的损益。</w:t>
      </w:r>
    </w:p>
    <w:p>
      <w:pPr>
        <w:pStyle w:val="BodyText"/>
        <w:spacing w:line="386" w:lineRule="auto" w:before="65"/>
        <w:ind w:right="1136" w:firstLine="420"/>
        <w:jc w:val="both"/>
      </w:pPr>
      <w:r>
        <w:rPr>
          <w:rFonts w:ascii="Times New Roman" w:hAnsi="Times New Roman" w:cs="Times New Roman" w:eastAsia="Times New Roman" w:hint="default"/>
        </w:rPr>
        <w:t>2</w:t>
      </w:r>
      <w:r>
        <w:rPr/>
        <w:t>）在合并财务报表中，在丧失控制权之前每一次处置价款与处置投资对应的享有该子公司净资产份</w:t>
      </w:r>
      <w:r>
        <w:rPr>
          <w:w w:val="100"/>
        </w:rPr>
        <w:t> </w:t>
      </w:r>
      <w:r>
        <w:rPr/>
        <w:t>额的差额，确认为其他综合收益，在丧失控制权时一并转入丧失控制权当期的损益。</w:t>
      </w:r>
    </w:p>
    <w:p>
      <w:pPr>
        <w:pStyle w:val="BodyText"/>
        <w:spacing w:line="386" w:lineRule="auto" w:before="65"/>
        <w:ind w:left="573" w:right="995"/>
        <w:jc w:val="left"/>
      </w:pPr>
      <w:r>
        <w:rPr/>
        <w:t>（</w:t>
      </w:r>
      <w:r>
        <w:rPr>
          <w:rFonts w:ascii="Times New Roman" w:hAnsi="Times New Roman" w:cs="Times New Roman" w:eastAsia="Times New Roman" w:hint="default"/>
        </w:rPr>
        <w:t>5</w:t>
      </w:r>
      <w:r>
        <w:rPr/>
        <w:t>）共同控制、重大影响的判断标准</w:t>
      </w:r>
      <w:r>
        <w:rPr>
          <w:w w:val="100"/>
        </w:rPr>
        <w:t> </w:t>
      </w:r>
      <w:r>
        <w:rPr>
          <w:spacing w:val="-2"/>
        </w:rPr>
        <w:t>如果本公司按照相关约定与其他参与方集体控制某项安排，并且对该安排回报具有重大影响的活动决</w:t>
      </w:r>
    </w:p>
    <w:p>
      <w:pPr>
        <w:pStyle w:val="BodyText"/>
        <w:spacing w:line="408" w:lineRule="auto" w:before="65"/>
        <w:ind w:right="995"/>
        <w:jc w:val="left"/>
      </w:pPr>
      <w:r>
        <w:rPr>
          <w:spacing w:val="-2"/>
        </w:rPr>
        <w:t>策，需要经过分享控制权的参与方一致同意时才存在，则视为本公司与其他参与方共同控制某项安排，该</w:t>
      </w:r>
      <w:r>
        <w:rPr>
          <w:spacing w:val="-42"/>
        </w:rPr>
        <w:t> </w:t>
      </w:r>
      <w:r>
        <w:rPr>
          <w:spacing w:val="-42"/>
        </w:rPr>
      </w:r>
      <w:r>
        <w:rPr/>
        <w:t>安排即属于合营安排。</w:t>
      </w:r>
    </w:p>
    <w:p>
      <w:pPr>
        <w:pStyle w:val="BodyText"/>
        <w:spacing w:line="408" w:lineRule="auto"/>
        <w:ind w:right="1126" w:firstLine="420"/>
        <w:jc w:val="both"/>
      </w:pPr>
      <w:r>
        <w:rPr>
          <w:spacing w:val="-2"/>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43"/>
        </w:rPr>
        <w:t> </w:t>
      </w:r>
      <w:r>
        <w:rPr>
          <w:spacing w:val="-43"/>
        </w:rPr>
      </w:r>
      <w:r>
        <w:rPr>
          <w:spacing w:val="-2"/>
        </w:rPr>
        <w:t>时，该单独主体作为共同经营，本公司确认与共同经营利益份额相关的项目，并按照相关企业会计准则的</w:t>
      </w:r>
      <w:r>
        <w:rPr>
          <w:spacing w:val="-44"/>
        </w:rPr>
        <w:t> </w:t>
      </w:r>
      <w:r>
        <w:rPr>
          <w:spacing w:val="-44"/>
        </w:rPr>
      </w:r>
      <w:r>
        <w:rPr/>
        <w:t>规定进行会计处理。</w:t>
      </w:r>
    </w:p>
    <w:p>
      <w:pPr>
        <w:pStyle w:val="BodyText"/>
        <w:spacing w:line="240" w:lineRule="auto"/>
        <w:ind w:left="573" w:right="995"/>
        <w:jc w:val="left"/>
      </w:pPr>
      <w:r>
        <w:rPr/>
        <w:t>重大影响，是指投资方对被投资单位的财务和经营政策有参与决策的权力，但并不能够控制或者与其</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393" w:lineRule="auto" w:before="36"/>
        <w:ind w:right="1126"/>
        <w:jc w:val="both"/>
      </w:pPr>
      <w:r>
        <w:rPr>
          <w:spacing w:val="-2"/>
        </w:rPr>
        <w:t>他方一起共同控制这些政策的制定。本公司通过以下一种或多种情形，并综合考虑所有事实和情况后，判</w:t>
      </w:r>
      <w:r>
        <w:rPr>
          <w:spacing w:val="-43"/>
        </w:rPr>
        <w:t> </w:t>
      </w:r>
      <w:r>
        <w:rPr>
          <w:spacing w:val="-43"/>
        </w:rPr>
      </w:r>
      <w:r>
        <w:rPr>
          <w:spacing w:val="-2"/>
        </w:rPr>
        <w:t>断对被投资单位具有重大影响。</w:t>
      </w:r>
      <w:r>
        <w:rPr>
          <w:rFonts w:ascii="Times New Roman" w:hAnsi="Times New Roman" w:cs="Times New Roman" w:eastAsia="Times New Roman" w:hint="default"/>
          <w:spacing w:val="-2"/>
        </w:rPr>
        <w:t>1</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w:t>
      </w:r>
      <w:r>
        <w:rPr>
          <w:spacing w:val="-44"/>
        </w:rPr>
        <w:t> </w:t>
      </w:r>
      <w:r>
        <w:rPr>
          <w:spacing w:val="-44"/>
        </w:rPr>
      </w:r>
      <w:r>
        <w:rPr/>
        <w:t>位财务和经营政策制定过程；</w:t>
      </w:r>
      <w:r>
        <w:rPr>
          <w:rFonts w:ascii="Times New Roman" w:hAnsi="Times New Roman" w:cs="Times New Roman" w:eastAsia="Times New Roman" w:hint="default"/>
        </w:rPr>
        <w:t>3</w:t>
      </w:r>
      <w:r>
        <w:rPr/>
        <w:t>）与被投资单位之间发生重要交易；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w:t>
      </w:r>
      <w:r>
        <w:rPr>
          <w:spacing w:val="-22"/>
        </w:rPr>
        <w:t> </w:t>
      </w:r>
      <w:r>
        <w:rPr/>
        <w:t>向被投资单位提供关键技术资料。</w:t>
      </w:r>
    </w:p>
    <w:p>
      <w:pPr>
        <w:spacing w:line="240" w:lineRule="auto" w:before="6"/>
        <w:rPr>
          <w:rFonts w:ascii="宋体" w:hAnsi="宋体" w:cs="宋体" w:eastAsia="宋体" w:hint="default"/>
          <w:sz w:val="16"/>
          <w:szCs w:val="16"/>
        </w:rPr>
      </w:pPr>
    </w:p>
    <w:p>
      <w:pPr>
        <w:pStyle w:val="Heading7"/>
        <w:spacing w:line="240" w:lineRule="auto"/>
        <w:ind w:right="0"/>
        <w:jc w:val="both"/>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3" w:right="895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5"/>
        <w:rPr>
          <w:rFonts w:ascii="宋体" w:hAnsi="宋体" w:cs="宋体" w:eastAsia="宋体" w:hint="default"/>
          <w:sz w:val="15"/>
          <w:szCs w:val="15"/>
        </w:rPr>
      </w:pPr>
    </w:p>
    <w:p>
      <w:pPr>
        <w:pStyle w:val="Heading7"/>
        <w:spacing w:line="240" w:lineRule="auto"/>
        <w:ind w:right="0"/>
        <w:jc w:val="both"/>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398" w:lineRule="auto" w:before="0"/>
        <w:ind w:right="1106" w:firstLine="420"/>
        <w:jc w:val="both"/>
      </w:pPr>
      <w:r>
        <w:rPr>
          <w:spacing w:val="-2"/>
        </w:rPr>
        <w:t>固定资产指为生产商品、提供劳务、出租或经营管理而持有，并且使用寿命超过一个会计年度的有形</w:t>
      </w:r>
      <w:r>
        <w:rPr>
          <w:w w:val="100"/>
        </w:rPr>
        <w:t> </w:t>
      </w:r>
      <w:r>
        <w:rPr>
          <w:spacing w:val="-2"/>
        </w:rPr>
        <w:t>资产。固定资产在同时满足下列条件时予以确认：</w:t>
      </w:r>
      <w:r>
        <w:rPr>
          <w:rFonts w:ascii="Times New Roman" w:hAnsi="Times New Roman" w:cs="Times New Roman" w:eastAsia="Times New Roman" w:hint="default"/>
          <w:spacing w:val="-2"/>
        </w:rPr>
        <w:t>1</w:t>
      </w:r>
      <w:r>
        <w:rPr>
          <w:spacing w:val="-2"/>
        </w:rPr>
        <w:t>）与该固定资产有关的经济利益很可能流入企业；</w:t>
      </w:r>
      <w:r>
        <w:rPr>
          <w:rFonts w:ascii="Times New Roman" w:hAnsi="Times New Roman" w:cs="Times New Roman" w:eastAsia="Times New Roman" w:hint="default"/>
          <w:spacing w:val="-2"/>
        </w:rPr>
        <w:t>2</w:t>
      </w:r>
      <w:r>
        <w:rPr>
          <w:spacing w:val="-2"/>
        </w:rPr>
        <w:t>）</w:t>
      </w:r>
      <w:r>
        <w:rPr>
          <w:spacing w:val="-22"/>
        </w:rPr>
        <w:t> </w:t>
      </w:r>
      <w:r>
        <w:rPr/>
        <w:t>该固定资产的成本能够可靠地计量。</w:t>
      </w:r>
    </w:p>
    <w:p>
      <w:pPr>
        <w:spacing w:line="240" w:lineRule="auto" w:before="2"/>
        <w:rPr>
          <w:rFonts w:ascii="宋体" w:hAnsi="宋体" w:cs="宋体" w:eastAsia="宋体" w:hint="default"/>
          <w:sz w:val="16"/>
          <w:szCs w:val="16"/>
        </w:rPr>
      </w:pPr>
    </w:p>
    <w:p>
      <w:pPr>
        <w:pStyle w:val="Heading7"/>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10"/>
        <w:rPr>
          <w:rFonts w:ascii="Microsoft JhengHei" w:hAnsi="Microsoft JhengHei" w:cs="Microsoft JhengHei" w:eastAsia="Microsoft JhengHei" w:hint="default"/>
          <w:b/>
          <w:bCs/>
          <w:sz w:val="14"/>
          <w:szCs w:val="14"/>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96" w:lineRule="auto" w:before="0"/>
        <w:ind w:right="1104" w:firstLine="420"/>
        <w:jc w:val="both"/>
      </w:pPr>
      <w:r>
        <w:rPr/>
        <w:t>当本公司租入的固定资产符合下列一项或数项标准时，确认为融资租入固定资产：</w:t>
      </w:r>
      <w:r>
        <w:rPr>
          <w:rFonts w:ascii="Times New Roman" w:hAnsi="Times New Roman" w:cs="Times New Roman" w:eastAsia="Times New Roman" w:hint="default"/>
        </w:rPr>
        <w:t>1</w:t>
      </w:r>
      <w:r>
        <w:rPr/>
        <w:t>）在租赁期届满</w:t>
      </w:r>
      <w:r>
        <w:rPr>
          <w:w w:val="100"/>
        </w:rPr>
        <w:t> </w:t>
      </w:r>
      <w:r>
        <w:rPr/>
        <w:t>时，租赁资产的所有权转移给本公司。</w:t>
      </w:r>
      <w:r>
        <w:rPr>
          <w:rFonts w:ascii="Times New Roman" w:hAnsi="Times New Roman" w:cs="Times New Roman" w:eastAsia="Times New Roman" w:hint="default"/>
        </w:rPr>
        <w:t>2</w:t>
      </w:r>
      <w:r>
        <w:rPr/>
        <w:t>）本公司有购买租赁资产的选择权，所订立的购买价款预计将远</w:t>
      </w:r>
      <w:r>
        <w:rPr>
          <w:spacing w:val="-24"/>
        </w:rPr>
        <w:t> </w:t>
      </w:r>
      <w:r>
        <w:rPr>
          <w:spacing w:val="-24"/>
        </w:rPr>
      </w:r>
      <w:r>
        <w:rPr>
          <w:spacing w:val="-2"/>
        </w:rPr>
        <w:t>低于行使选择权时租赁资产的公允价值，因而在租赁开始日就可以合理确定本公司将会行使这种选择权。</w:t>
      </w:r>
      <w:r>
        <w:rPr>
          <w:spacing w:val="-21"/>
        </w:rPr>
        <w:t> </w:t>
      </w:r>
      <w:r>
        <w:rPr>
          <w:spacing w:val="-21"/>
        </w:rPr>
      </w:r>
      <w:r>
        <w:rPr>
          <w:rFonts w:ascii="Times New Roman" w:hAnsi="Times New Roman" w:cs="Times New Roman" w:eastAsia="Times New Roman" w:hint="default"/>
          <w:spacing w:val="-2"/>
        </w:rPr>
        <w:t>3</w:t>
      </w:r>
      <w:r>
        <w:rPr>
          <w:spacing w:val="-2"/>
        </w:rPr>
        <w:t>）即使资产的所有权不转移，但租赁期占租赁资产使用寿命的大部分。</w:t>
      </w:r>
      <w:r>
        <w:rPr>
          <w:rFonts w:ascii="Times New Roman" w:hAnsi="Times New Roman" w:cs="Times New Roman" w:eastAsia="Times New Roman" w:hint="default"/>
          <w:spacing w:val="-2"/>
        </w:rPr>
        <w:t>4</w:t>
      </w:r>
      <w:r>
        <w:rPr>
          <w:spacing w:val="-2"/>
        </w:rPr>
        <w:t>）本公司在租赁开始日的最低租</w:t>
      </w:r>
      <w:r>
        <w:rPr>
          <w:spacing w:val="-45"/>
        </w:rPr>
        <w:t> </w:t>
      </w:r>
      <w:r>
        <w:rPr>
          <w:spacing w:val="-45"/>
        </w:rPr>
      </w:r>
      <w:r>
        <w:rPr/>
        <w:t>赁付款额现值，几乎相当于租赁开始日租赁资产公允价值。</w:t>
      </w:r>
      <w:r>
        <w:rPr>
          <w:rFonts w:ascii="Times New Roman" w:hAnsi="Times New Roman" w:cs="Times New Roman" w:eastAsia="Times New Roman" w:hint="default"/>
        </w:rPr>
        <w:t>5</w:t>
      </w:r>
      <w:r>
        <w:rPr/>
        <w:t>）租赁资产性质特殊，如果不作较大改造，</w:t>
      </w:r>
      <w:r>
        <w:rPr>
          <w:spacing w:val="-21"/>
        </w:rPr>
        <w:t> </w:t>
      </w:r>
      <w:r>
        <w:rPr>
          <w:spacing w:val="-21"/>
        </w:rPr>
      </w:r>
      <w:r>
        <w:rPr>
          <w:spacing w:val="-2"/>
        </w:rPr>
        <w:t>只有本公司才能使用。融资租赁租入的固定资产，按租赁开始日租赁资产公允价值与最低租赁付款额的现</w:t>
      </w:r>
      <w:r>
        <w:rPr>
          <w:spacing w:val="-43"/>
        </w:rPr>
        <w:t> </w:t>
      </w:r>
      <w:r>
        <w:rPr>
          <w:spacing w:val="-43"/>
        </w:rPr>
      </w:r>
      <w:r>
        <w:rPr>
          <w:spacing w:val="-2"/>
        </w:rPr>
        <w:t>值两者中较低者，作为入账价值。最低租赁付款额作为长期应付款的入账价值，其差额作为未确认融资费</w:t>
      </w:r>
      <w:r>
        <w:rPr>
          <w:spacing w:val="-43"/>
        </w:rPr>
        <w:t> </w:t>
      </w:r>
      <w:r>
        <w:rPr>
          <w:spacing w:val="-43"/>
        </w:rPr>
      </w:r>
      <w:r>
        <w:rPr>
          <w:spacing w:val="-2"/>
        </w:rPr>
        <w:t>用。在租赁谈判和签订租赁合同过程中发生的，可归属于租赁项目的手续费、律师费、差旅费、印花税等</w:t>
      </w:r>
    </w:p>
    <w:p>
      <w:pPr>
        <w:spacing w:after="0" w:line="396" w:lineRule="auto"/>
        <w:jc w:val="both"/>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6"/>
        <w:jc w:val="both"/>
      </w:pPr>
      <w:r>
        <w:rPr>
          <w:spacing w:val="-2"/>
        </w:rPr>
        <w:t>初始直接费用，计入租入资产价值。未确认融资费用在租赁期内各个期间采用实际利率法进行分摊。本公</w:t>
      </w:r>
      <w:r>
        <w:rPr>
          <w:spacing w:val="-44"/>
        </w:rPr>
        <w:t> </w:t>
      </w:r>
      <w:r>
        <w:rPr>
          <w:spacing w:val="-44"/>
        </w:rPr>
      </w:r>
      <w:r>
        <w:rPr>
          <w:spacing w:val="-2"/>
        </w:rPr>
        <w:t>司采用与自有固定资产相一致的折旧政策计提融资租入固定资产折旧。能够合理确定租赁期届满时取得租</w:t>
      </w:r>
      <w:r>
        <w:rPr>
          <w:spacing w:val="-43"/>
        </w:rPr>
        <w:t> </w:t>
      </w:r>
      <w:r>
        <w:rPr>
          <w:spacing w:val="-43"/>
        </w:rPr>
      </w:r>
      <w:r>
        <w:rPr>
          <w:spacing w:val="-2"/>
        </w:rPr>
        <w:t>赁资产所有权的，在租赁资产使用寿命内计提折旧。无法合理确定租赁期届满时能够取得租赁资产所有权</w:t>
      </w:r>
      <w:r>
        <w:rPr>
          <w:spacing w:val="-45"/>
        </w:rPr>
        <w:t> </w:t>
      </w:r>
      <w:r>
        <w:rPr>
          <w:spacing w:val="-45"/>
        </w:rPr>
      </w:r>
      <w:r>
        <w:rPr/>
        <w:t>的，在租赁期与租赁资产使用寿命两者中较短的期间内计提折旧。</w:t>
      </w:r>
    </w:p>
    <w:p>
      <w:pPr>
        <w:spacing w:line="240" w:lineRule="auto" w:before="6"/>
        <w:rPr>
          <w:rFonts w:ascii="宋体" w:hAnsi="宋体" w:cs="宋体" w:eastAsia="宋体" w:hint="default"/>
          <w:sz w:val="15"/>
          <w:szCs w:val="15"/>
        </w:rPr>
      </w:pPr>
    </w:p>
    <w:p>
      <w:pPr>
        <w:pStyle w:val="Heading7"/>
        <w:spacing w:line="240" w:lineRule="auto"/>
        <w:ind w:right="0"/>
        <w:jc w:val="both"/>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left="573" w:right="995"/>
        <w:jc w:val="left"/>
      </w:pPr>
      <w:r>
        <w:rPr/>
        <w:t>（</w:t>
      </w:r>
      <w:r>
        <w:rPr>
          <w:rFonts w:ascii="Times New Roman" w:hAnsi="Times New Roman" w:cs="Times New Roman" w:eastAsia="Times New Roman" w:hint="default"/>
        </w:rPr>
        <w:t>1</w:t>
      </w:r>
      <w:r>
        <w:rPr/>
        <w:t>）在建工程初始计量</w:t>
      </w:r>
      <w:r>
        <w:rPr>
          <w:w w:val="100"/>
        </w:rPr>
        <w:t> </w:t>
      </w:r>
      <w:r>
        <w:rPr>
          <w:spacing w:val="-2"/>
        </w:rPr>
        <w:t>本公司自行建造的在建工程按实际成本计价，实际成本由建造该项资产达到预定可使用状态前所发生</w:t>
      </w:r>
    </w:p>
    <w:p>
      <w:pPr>
        <w:pStyle w:val="BodyText"/>
        <w:spacing w:line="408" w:lineRule="auto" w:before="65"/>
        <w:ind w:right="1128"/>
        <w:jc w:val="both"/>
      </w:pPr>
      <w:r>
        <w:rPr>
          <w:spacing w:val="-2"/>
        </w:rPr>
        <w:t>的必要支出构成，包括工程用物资成本、人工成本、交纳的相关税费、应予资本化的借款费用以及应分摊</w:t>
      </w:r>
      <w:r>
        <w:rPr>
          <w:spacing w:val="-47"/>
        </w:rPr>
        <w:t> </w:t>
      </w:r>
      <w:r>
        <w:rPr>
          <w:spacing w:val="-47"/>
        </w:rPr>
      </w:r>
      <w:r>
        <w:rPr/>
        <w:t>的间接费用等。</w:t>
      </w:r>
    </w:p>
    <w:p>
      <w:pPr>
        <w:pStyle w:val="BodyText"/>
        <w:spacing w:line="386" w:lineRule="auto"/>
        <w:ind w:left="573" w:right="995"/>
        <w:jc w:val="left"/>
      </w:pPr>
      <w:r>
        <w:rPr/>
        <w:t>（</w:t>
      </w:r>
      <w:r>
        <w:rPr>
          <w:rFonts w:ascii="Times New Roman" w:hAnsi="Times New Roman" w:cs="Times New Roman" w:eastAsia="Times New Roman" w:hint="default"/>
        </w:rPr>
        <w:t>2</w:t>
      </w:r>
      <w:r>
        <w:rPr/>
        <w:t>）在建工程结转为固定资产的标准和时点</w:t>
      </w:r>
      <w:r>
        <w:rPr>
          <w:w w:val="100"/>
        </w:rPr>
        <w:t> </w:t>
      </w:r>
      <w:r>
        <w:rPr>
          <w:spacing w:val="-2"/>
        </w:rPr>
        <w:t>在建工程项目按建造该项资产达到预定可使用状态前所发生的全部支出，作为固定资产的入账价值。</w:t>
      </w:r>
    </w:p>
    <w:p>
      <w:pPr>
        <w:pStyle w:val="BodyText"/>
        <w:spacing w:line="408" w:lineRule="auto" w:before="65"/>
        <w:ind w:right="1126"/>
        <w:jc w:val="both"/>
      </w:pPr>
      <w:r>
        <w:rPr>
          <w:spacing w:val="-2"/>
        </w:rPr>
        <w:t>所建造的在建工程已达到预定可使用状态，但尚未办理竣工决算的，自达到预定可使用状态之日起，根据</w:t>
      </w:r>
      <w:r>
        <w:rPr>
          <w:spacing w:val="-44"/>
        </w:rPr>
        <w:t> </w:t>
      </w:r>
      <w:r>
        <w:rPr>
          <w:spacing w:val="-44"/>
        </w:rPr>
      </w:r>
      <w:r>
        <w:rPr>
          <w:spacing w:val="-2"/>
        </w:rPr>
        <w:t>工程预算、造价或者工程实际成本等，按估计的价值转入固定资产，并按本公司固定资产折旧政策计提固</w:t>
      </w:r>
      <w:r>
        <w:rPr>
          <w:spacing w:val="-44"/>
        </w:rPr>
        <w:t> </w:t>
      </w:r>
      <w:r>
        <w:rPr>
          <w:spacing w:val="-44"/>
        </w:rPr>
      </w:r>
      <w:r>
        <w:rPr/>
        <w:t>定资产的折旧，待办理竣工决算后，再按实际成本调整原来的暂估价值，但不调整原已计提的折旧额。</w:t>
      </w:r>
    </w:p>
    <w:p>
      <w:pPr>
        <w:spacing w:line="240" w:lineRule="auto" w:before="7"/>
        <w:rPr>
          <w:rFonts w:ascii="宋体" w:hAnsi="宋体" w:cs="宋体" w:eastAsia="宋体" w:hint="default"/>
          <w:sz w:val="15"/>
          <w:szCs w:val="15"/>
        </w:rPr>
      </w:pPr>
    </w:p>
    <w:p>
      <w:pPr>
        <w:pStyle w:val="Heading7"/>
        <w:spacing w:line="240" w:lineRule="auto"/>
        <w:ind w:right="0"/>
        <w:jc w:val="both"/>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386" w:lineRule="auto" w:before="0"/>
        <w:ind w:left="573" w:right="995"/>
        <w:jc w:val="left"/>
      </w:pPr>
      <w:r>
        <w:rPr/>
        <w:t>（</w:t>
      </w:r>
      <w:r>
        <w:rPr>
          <w:rFonts w:ascii="Times New Roman" w:hAnsi="Times New Roman" w:cs="Times New Roman" w:eastAsia="Times New Roman" w:hint="default"/>
        </w:rPr>
        <w:t>1</w:t>
      </w:r>
      <w:r>
        <w:rPr/>
        <w:t>）借款费用资本化的确认原则</w:t>
      </w:r>
      <w:r>
        <w:rPr>
          <w:w w:val="100"/>
        </w:rPr>
        <w:t> </w:t>
      </w:r>
      <w:r>
        <w:rPr>
          <w:spacing w:val="-2"/>
        </w:rPr>
        <w:t>本公司发生的借款费用，可直接归属于符合资本化条件的资产的购建或者生产的，在符合资本化条件</w:t>
      </w:r>
    </w:p>
    <w:p>
      <w:pPr>
        <w:pStyle w:val="BodyText"/>
        <w:spacing w:line="408" w:lineRule="auto" w:before="65"/>
        <w:ind w:right="1131"/>
        <w:jc w:val="both"/>
      </w:pPr>
      <w:r>
        <w:rPr>
          <w:spacing w:val="-2"/>
        </w:rPr>
        <w:t>的情况下开始资本化，计入相关资产成本；其他借款费用，在发生时根据其发生额确认为费用，计入当期</w:t>
      </w:r>
      <w:r>
        <w:rPr>
          <w:spacing w:val="-50"/>
        </w:rPr>
        <w:t> </w:t>
      </w:r>
      <w:r>
        <w:rPr>
          <w:spacing w:val="-50"/>
        </w:rPr>
      </w:r>
      <w:r>
        <w:rPr/>
        <w:t>损益。</w:t>
      </w:r>
    </w:p>
    <w:p>
      <w:pPr>
        <w:pStyle w:val="BodyText"/>
        <w:spacing w:line="408" w:lineRule="auto"/>
        <w:ind w:right="995" w:firstLine="420"/>
        <w:jc w:val="left"/>
      </w:pPr>
      <w:r>
        <w:rPr>
          <w:spacing w:val="-2"/>
        </w:rPr>
        <w:t>符合资本化条件的资产，是指需要经过相当长时间的购建或者生产活动才能达到预定可使用或者可销</w:t>
      </w:r>
      <w:r>
        <w:rPr>
          <w:w w:val="100"/>
        </w:rPr>
        <w:t> </w:t>
      </w:r>
      <w:r>
        <w:rPr/>
        <w:t>售状态的固定资产、投资性房地产和存货等资产。</w:t>
      </w:r>
    </w:p>
    <w:p>
      <w:pPr>
        <w:pStyle w:val="BodyText"/>
        <w:spacing w:line="240" w:lineRule="auto"/>
        <w:ind w:left="573" w:right="995"/>
        <w:jc w:val="left"/>
      </w:pPr>
      <w:r>
        <w:rPr/>
        <w:t>借款费用同时满足下列条件时开始资本化：</w:t>
      </w:r>
    </w:p>
    <w:p>
      <w:pPr>
        <w:spacing w:line="240" w:lineRule="auto" w:before="10"/>
        <w:rPr>
          <w:rFonts w:ascii="宋体" w:hAnsi="宋体" w:cs="宋体" w:eastAsia="宋体" w:hint="default"/>
          <w:sz w:val="14"/>
          <w:szCs w:val="14"/>
        </w:rPr>
      </w:pPr>
    </w:p>
    <w:p>
      <w:pPr>
        <w:pStyle w:val="BodyText"/>
        <w:spacing w:line="386" w:lineRule="auto" w:before="0"/>
        <w:ind w:right="995" w:firstLine="420"/>
        <w:jc w:val="left"/>
      </w:pPr>
      <w:r>
        <w:rPr>
          <w:rFonts w:ascii="Times New Roman" w:hAnsi="Times New Roman" w:cs="Times New Roman" w:eastAsia="Times New Roman" w:hint="default"/>
        </w:rPr>
        <w:t>1</w:t>
      </w:r>
      <w:r>
        <w:rPr/>
        <w:t>）资产支出已经发生，资产支出包括为购建或者生产符合资本化条件的资产而以支付现金、转移非</w:t>
      </w:r>
      <w:r>
        <w:rPr>
          <w:w w:val="100"/>
        </w:rPr>
        <w:t> </w:t>
      </w:r>
      <w:r>
        <w:rPr/>
        <w:t>现金资产或者承担带息债务形式发生的支出；</w:t>
      </w:r>
    </w:p>
    <w:p>
      <w:pPr>
        <w:pStyle w:val="BodyText"/>
        <w:spacing w:line="240" w:lineRule="auto" w:before="65"/>
        <w:ind w:left="573" w:right="995"/>
        <w:jc w:val="left"/>
      </w:pPr>
      <w:r>
        <w:rPr>
          <w:rFonts w:ascii="Times New Roman" w:hAnsi="Times New Roman" w:cs="Times New Roman" w:eastAsia="Times New Roman" w:hint="default"/>
        </w:rPr>
        <w:t>2</w:t>
      </w:r>
      <w:r>
        <w:rPr/>
        <w:t>）借款费用已经发生；</w:t>
      </w:r>
    </w:p>
    <w:p>
      <w:pPr>
        <w:pStyle w:val="BodyText"/>
        <w:spacing w:line="240" w:lineRule="auto" w:before="177"/>
        <w:ind w:left="573" w:right="995"/>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86" w:lineRule="auto" w:before="177"/>
        <w:ind w:left="573" w:right="995"/>
        <w:jc w:val="left"/>
      </w:pPr>
      <w:r>
        <w:rPr/>
        <w:t>（</w:t>
      </w:r>
      <w:r>
        <w:rPr>
          <w:rFonts w:ascii="Times New Roman" w:hAnsi="Times New Roman" w:cs="Times New Roman" w:eastAsia="Times New Roman" w:hint="default"/>
        </w:rPr>
        <w:t>2</w:t>
      </w:r>
      <w:r>
        <w:rPr/>
        <w:t>）借款费用资本化期间</w:t>
      </w:r>
      <w:r>
        <w:rPr>
          <w:w w:val="100"/>
        </w:rPr>
        <w:t> </w:t>
      </w:r>
      <w:r>
        <w:rPr>
          <w:spacing w:val="-2"/>
        </w:rPr>
        <w:t>资本化期间，指从借款费用开始资本化时点到停止资本化时点的期间，借款费用暂停资本化的期间不</w:t>
      </w:r>
    </w:p>
    <w:p>
      <w:pPr>
        <w:spacing w:after="0" w:line="386"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0"/>
        <w:jc w:val="both"/>
      </w:pPr>
      <w:r>
        <w:rPr/>
        <w:t>包括在内。</w:t>
      </w:r>
    </w:p>
    <w:p>
      <w:pPr>
        <w:spacing w:line="240" w:lineRule="auto" w:before="10"/>
        <w:rPr>
          <w:rFonts w:ascii="宋体" w:hAnsi="宋体" w:cs="宋体" w:eastAsia="宋体" w:hint="default"/>
          <w:sz w:val="14"/>
          <w:szCs w:val="14"/>
        </w:rPr>
      </w:pPr>
    </w:p>
    <w:p>
      <w:pPr>
        <w:pStyle w:val="BodyText"/>
        <w:spacing w:line="408" w:lineRule="auto" w:before="0"/>
        <w:ind w:left="573" w:right="995"/>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ind w:right="0"/>
        <w:jc w:val="both"/>
      </w:pPr>
      <w:r>
        <w:rPr/>
        <w:t>止资本化。</w:t>
      </w:r>
    </w:p>
    <w:p>
      <w:pPr>
        <w:spacing w:line="240" w:lineRule="auto" w:before="10"/>
        <w:rPr>
          <w:rFonts w:ascii="宋体" w:hAnsi="宋体" w:cs="宋体" w:eastAsia="宋体" w:hint="default"/>
          <w:sz w:val="14"/>
          <w:szCs w:val="14"/>
        </w:rPr>
      </w:pPr>
    </w:p>
    <w:p>
      <w:pPr>
        <w:pStyle w:val="BodyText"/>
        <w:spacing w:line="408" w:lineRule="auto" w:before="0"/>
        <w:ind w:right="995" w:firstLine="420"/>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BodyText"/>
        <w:spacing w:line="386" w:lineRule="auto"/>
        <w:ind w:left="573" w:right="995"/>
        <w:jc w:val="left"/>
      </w:pPr>
      <w:r>
        <w:rPr/>
        <w:t>（</w:t>
      </w:r>
      <w:r>
        <w:rPr>
          <w:rFonts w:ascii="Times New Roman" w:hAnsi="Times New Roman" w:cs="Times New Roman" w:eastAsia="Times New Roman" w:hint="default"/>
        </w:rPr>
        <w:t>3</w:t>
      </w:r>
      <w:r>
        <w:rPr/>
        <w:t>）暂停资本化期间</w:t>
      </w:r>
      <w:r>
        <w:rPr>
          <w:w w:val="100"/>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408" w:lineRule="auto" w:before="36"/>
        <w:ind w:right="112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pStyle w:val="BodyText"/>
        <w:spacing w:line="386" w:lineRule="auto"/>
        <w:ind w:left="573" w:right="995"/>
        <w:jc w:val="left"/>
      </w:pPr>
      <w:r>
        <w:rPr/>
        <w:t>（</w:t>
      </w:r>
      <w:r>
        <w:rPr>
          <w:rFonts w:ascii="Times New Roman" w:hAnsi="Times New Roman" w:cs="Times New Roman" w:eastAsia="Times New Roman" w:hint="default"/>
        </w:rPr>
        <w:t>4</w:t>
      </w:r>
      <w:r>
        <w:rPr/>
        <w:t>）借款费用资本化金额的计算方法</w:t>
      </w:r>
      <w:r>
        <w:rPr>
          <w:w w:val="100"/>
        </w:rPr>
        <w:t> </w:t>
      </w:r>
      <w:r>
        <w:rPr>
          <w:spacing w:val="-2"/>
        </w:rPr>
        <w:t>专门借款的利息费用（扣除尚未动用的借款资金存入银行取得的利息收入或者进行暂时性投资取得的</w:t>
      </w:r>
    </w:p>
    <w:p>
      <w:pPr>
        <w:pStyle w:val="BodyText"/>
        <w:spacing w:line="408" w:lineRule="auto" w:before="65"/>
        <w:ind w:right="995"/>
        <w:jc w:val="left"/>
      </w:pPr>
      <w:r>
        <w:rPr>
          <w:spacing w:val="-2"/>
        </w:rPr>
        <w:t>投资收益）及其辅助费用在所购建或者生产的符合资本化条件的资产达到预定可使用或者可销售状态前，</w:t>
      </w:r>
      <w:r>
        <w:rPr>
          <w:spacing w:val="-21"/>
        </w:rPr>
        <w:t> </w:t>
      </w:r>
      <w:r>
        <w:rPr>
          <w:spacing w:val="-21"/>
        </w:rPr>
      </w:r>
      <w:r>
        <w:rPr/>
        <w:t>予以资本化。</w:t>
      </w:r>
    </w:p>
    <w:p>
      <w:pPr>
        <w:pStyle w:val="BodyText"/>
        <w:spacing w:line="408" w:lineRule="auto"/>
        <w:ind w:right="995" w:firstLine="420"/>
        <w:jc w:val="left"/>
      </w:pPr>
      <w:r>
        <w:rPr>
          <w:spacing w:val="-2"/>
        </w:rPr>
        <w:t>根据累计资产支出超过专门借款部分的资产支出加权平均数以所占用一般借款的资本化率，计算确定</w:t>
      </w:r>
      <w:r>
        <w:rPr>
          <w:w w:val="100"/>
        </w:rPr>
        <w:t> </w:t>
      </w:r>
      <w:r>
        <w:rPr/>
        <w:t>一般借款应予资本化的利息金额。资本化率根据一般借款加权平均利率计算确定。</w:t>
      </w:r>
    </w:p>
    <w:p>
      <w:pPr>
        <w:pStyle w:val="BodyText"/>
        <w:spacing w:line="408" w:lineRule="auto"/>
        <w:ind w:right="995" w:firstLine="420"/>
        <w:jc w:val="left"/>
      </w:pPr>
      <w:r>
        <w:rPr>
          <w:spacing w:val="-2"/>
        </w:rPr>
        <w:t>借款存在折价或者溢价的，按照实际利率法确定每一会计期间应摊销的折价或者溢价金额，调整每期</w:t>
      </w:r>
      <w:r>
        <w:rPr>
          <w:w w:val="100"/>
        </w:rPr>
        <w:t> </w:t>
      </w:r>
      <w:r>
        <w:rPr/>
        <w:t>利息金额。</w:t>
      </w:r>
    </w:p>
    <w:p>
      <w:pPr>
        <w:spacing w:line="240" w:lineRule="auto" w:before="6"/>
        <w:rPr>
          <w:rFonts w:ascii="宋体" w:hAnsi="宋体" w:cs="宋体" w:eastAsia="宋体" w:hint="default"/>
          <w:sz w:val="15"/>
          <w:szCs w:val="15"/>
        </w:rPr>
      </w:pPr>
    </w:p>
    <w:p>
      <w:pPr>
        <w:pStyle w:val="Heading7"/>
        <w:spacing w:line="240" w:lineRule="auto"/>
        <w:ind w:right="0"/>
        <w:jc w:val="both"/>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0"/>
        <w:jc w:val="both"/>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0"/>
        <w:jc w:val="both"/>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0"/>
        <w:jc w:val="both"/>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96" w:lineRule="auto" w:before="0"/>
        <w:ind w:left="573" w:right="995"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）计价方法、使用寿命、减值测试</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无形资产是指本公司拥有或者控制的没有实物形态的可辨认非货币性资产，主要包括软件等。</w:t>
      </w:r>
    </w:p>
    <w:p>
      <w:pPr>
        <w:pStyle w:val="BodyText"/>
        <w:spacing w:line="259" w:lineRule="exact" w:before="0"/>
        <w:ind w:left="573" w:right="995"/>
        <w:jc w:val="left"/>
      </w:pPr>
      <w:r>
        <w:rPr/>
        <w:t>（</w:t>
      </w:r>
      <w:r>
        <w:rPr>
          <w:rFonts w:ascii="Times New Roman" w:hAnsi="Times New Roman" w:cs="Times New Roman" w:eastAsia="Times New Roman" w:hint="default"/>
        </w:rPr>
        <w:t>1</w:t>
      </w:r>
      <w:r>
        <w:rPr/>
        <w:t>）无形资产的初始计量</w:t>
      </w:r>
    </w:p>
    <w:p>
      <w:pPr>
        <w:pStyle w:val="BodyText"/>
        <w:spacing w:line="240" w:lineRule="auto" w:before="177"/>
        <w:ind w:left="573" w:right="995"/>
        <w:jc w:val="left"/>
      </w:pPr>
      <w:r>
        <w:rPr/>
        <w:t>外购无形资产的成本，包括购买价款、相关税费以及直接归属于使该项资产达到预定用途所发生的其</w:t>
      </w:r>
    </w:p>
    <w:p>
      <w:pPr>
        <w:spacing w:after="0" w:line="240" w:lineRule="auto"/>
        <w:jc w:val="left"/>
        <w:sectPr>
          <w:footerReference w:type="default" r:id="rId47"/>
          <w:pgSz w:w="11910" w:h="16840"/>
          <w:pgMar w:footer="979" w:header="880" w:top="1100" w:bottom="1160" w:left="980" w:right="0"/>
          <w:pgNumType w:start="120"/>
        </w:sectPr>
      </w:pPr>
    </w:p>
    <w:p>
      <w:pPr>
        <w:spacing w:line="240" w:lineRule="auto" w:before="12"/>
        <w:rPr>
          <w:rFonts w:ascii="宋体" w:hAnsi="宋体" w:cs="宋体" w:eastAsia="宋体" w:hint="default"/>
          <w:sz w:val="26"/>
          <w:szCs w:val="26"/>
        </w:rPr>
      </w:pPr>
    </w:p>
    <w:p>
      <w:pPr>
        <w:pStyle w:val="BodyText"/>
        <w:spacing w:line="408" w:lineRule="auto" w:before="36"/>
        <w:ind w:right="995"/>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408" w:lineRule="auto"/>
        <w:ind w:right="112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408" w:lineRule="auto"/>
        <w:ind w:right="112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408" w:lineRule="auto"/>
        <w:ind w:right="1126"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408" w:lineRule="auto"/>
        <w:ind w:right="1126"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pStyle w:val="BodyText"/>
        <w:spacing w:line="393" w:lineRule="auto"/>
        <w:ind w:left="573" w:right="995"/>
        <w:jc w:val="left"/>
      </w:pPr>
      <w:r>
        <w:rPr/>
        <w:t>（</w:t>
      </w:r>
      <w:r>
        <w:rPr>
          <w:rFonts w:ascii="Times New Roman" w:hAnsi="Times New Roman" w:cs="Times New Roman" w:eastAsia="Times New Roman" w:hint="default"/>
        </w:rPr>
        <w:t>2</w:t>
      </w:r>
      <w:r>
        <w:rPr/>
        <w:t>）无形资产的后续计量</w:t>
      </w:r>
      <w:r>
        <w:rPr>
          <w:w w:val="100"/>
        </w:rPr>
        <w:t> </w:t>
      </w:r>
      <w:r>
        <w:rPr>
          <w:spacing w:val="-2"/>
        </w:rPr>
        <w:t>本公司在取得无形资产时分析判断其使用寿命，划分为使用寿命有限和使用寿命不确定的无形资产。</w:t>
      </w:r>
      <w:r>
        <w:rPr>
          <w:spacing w:val="-24"/>
        </w:rPr>
        <w:t> </w:t>
      </w:r>
      <w:r>
        <w:rPr>
          <w:spacing w:val="-24"/>
        </w:rPr>
      </w:r>
      <w:r>
        <w:rPr>
          <w:rFonts w:ascii="Times New Roman" w:hAnsi="Times New Roman" w:cs="Times New Roman" w:eastAsia="Times New Roman" w:hint="default"/>
        </w:rPr>
        <w:t>1</w:t>
      </w:r>
      <w:r>
        <w:rPr/>
        <w:t>）使用寿命有限的无形资产</w:t>
      </w:r>
      <w:r>
        <w:rPr>
          <w:w w:val="100"/>
        </w:rPr>
        <w:t> </w:t>
      </w:r>
      <w:r>
        <w:rPr>
          <w:spacing w:val="-2"/>
        </w:rPr>
        <w:t>对于使用寿命有限的无形资产，在为企业带来经济利益的期限内按直线法摊销。使用寿命有限的无形</w:t>
      </w:r>
    </w:p>
    <w:p>
      <w:pPr>
        <w:pStyle w:val="BodyText"/>
        <w:spacing w:line="240" w:lineRule="auto" w:before="58"/>
        <w:ind w:right="995"/>
        <w:jc w:val="left"/>
      </w:pPr>
      <w:r>
        <w:rPr/>
        <w:t>资产预计寿命及依据如下：</w:t>
      </w:r>
    </w:p>
    <w:p>
      <w:pPr>
        <w:spacing w:line="240" w:lineRule="auto" w:before="9"/>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4467"/>
        <w:gridCol w:w="4467"/>
      </w:tblGrid>
      <w:tr>
        <w:trPr>
          <w:trHeight w:val="350" w:hRule="exact"/>
        </w:trPr>
        <w:tc>
          <w:tcPr>
            <w:tcW w:w="4467" w:type="dxa"/>
            <w:tcBorders>
              <w:top w:val="single" w:sz="6" w:space="0" w:color="000000"/>
              <w:left w:val="single" w:sz="6" w:space="0" w:color="000000"/>
              <w:bottom w:val="single" w:sz="8" w:space="0" w:color="000000"/>
              <w:right w:val="single" w:sz="6" w:space="0" w:color="000000"/>
            </w:tcBorders>
          </w:tcPr>
          <w:p>
            <w:pPr>
              <w:pStyle w:val="TableParagraph"/>
              <w:spacing w:line="288" w:lineRule="exact"/>
              <w:ind w:left="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4467" w:type="dxa"/>
            <w:tcBorders>
              <w:top w:val="single" w:sz="6" w:space="0" w:color="000000"/>
              <w:left w:val="single" w:sz="6" w:space="0" w:color="000000"/>
              <w:bottom w:val="single" w:sz="8" w:space="0" w:color="000000"/>
              <w:right w:val="nil" w:sz="6" w:space="0" w:color="auto"/>
            </w:tcBorders>
          </w:tcPr>
          <w:p>
            <w:pPr>
              <w:pStyle w:val="TableParagraph"/>
              <w:spacing w:line="288" w:lineRule="exact"/>
              <w:ind w:right="4"/>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预计使用寿命</w:t>
            </w:r>
            <w:r>
              <w:rPr>
                <w:rFonts w:ascii="Microsoft JhengHei" w:hAnsi="Microsoft JhengHei" w:cs="Microsoft JhengHei" w:eastAsia="Microsoft JhengHei" w:hint="default"/>
                <w:sz w:val="20"/>
                <w:szCs w:val="20"/>
              </w:rPr>
            </w:r>
          </w:p>
        </w:tc>
      </w:tr>
      <w:tr>
        <w:trPr>
          <w:trHeight w:val="346" w:hRule="exact"/>
        </w:trPr>
        <w:tc>
          <w:tcPr>
            <w:tcW w:w="446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146"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4467" w:type="dxa"/>
            <w:tcBorders>
              <w:top w:val="single" w:sz="8" w:space="0" w:color="000000"/>
              <w:left w:val="single" w:sz="6" w:space="0" w:color="000000"/>
              <w:bottom w:val="single" w:sz="8" w:space="0" w:color="000000"/>
              <w:right w:val="nil" w:sz="6" w:space="0" w:color="auto"/>
            </w:tcBorders>
          </w:tcPr>
          <w:p>
            <w:pPr>
              <w:pStyle w:val="TableParagraph"/>
              <w:spacing w:line="276"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年或</w:t>
            </w:r>
            <w:r>
              <w:rPr>
                <w:rFonts w:ascii="Times New Roman" w:hAnsi="Times New Roman" w:cs="Times New Roman" w:eastAsia="Times New Roman" w:hint="default"/>
                <w:sz w:val="20"/>
                <w:szCs w:val="20"/>
              </w:rPr>
              <w:t>6</w:t>
            </w:r>
            <w:r>
              <w:rPr>
                <w:rFonts w:ascii="宋体" w:hAnsi="宋体" w:cs="宋体" w:eastAsia="宋体" w:hint="default"/>
                <w:sz w:val="20"/>
                <w:szCs w:val="20"/>
              </w:rPr>
              <w:t>年</w:t>
            </w:r>
          </w:p>
        </w:tc>
      </w:tr>
    </w:tbl>
    <w:p>
      <w:pPr>
        <w:pStyle w:val="BodyText"/>
        <w:spacing w:line="408" w:lineRule="auto" w:before="66"/>
        <w:ind w:right="995" w:firstLine="420"/>
        <w:jc w:val="left"/>
      </w:pPr>
      <w:r>
        <w:rPr>
          <w:spacing w:val="-2"/>
        </w:rPr>
        <w:t>每期末，对使用寿命有限的无形资产的使用寿命及摊销方法进行复核，如与原先估计数存在差异的，</w:t>
      </w:r>
      <w:r>
        <w:rPr>
          <w:w w:val="100"/>
        </w:rPr>
        <w:t> </w:t>
      </w:r>
      <w:r>
        <w:rPr/>
        <w:t>进行相应的调整。</w:t>
      </w:r>
    </w:p>
    <w:p>
      <w:pPr>
        <w:pStyle w:val="BodyText"/>
        <w:spacing w:line="386" w:lineRule="auto"/>
        <w:ind w:left="573" w:right="995"/>
        <w:jc w:val="left"/>
      </w:pPr>
      <w:r>
        <w:rPr>
          <w:rFonts w:ascii="Times New Roman" w:hAnsi="Times New Roman" w:cs="Times New Roman" w:eastAsia="Times New Roman" w:hint="default"/>
        </w:rPr>
        <w:t>2</w:t>
      </w:r>
      <w:r>
        <w:rPr/>
        <w:t>）使用寿命不确定的无形资产</w:t>
      </w:r>
      <w:r>
        <w:rPr>
          <w:w w:val="100"/>
        </w:rPr>
        <w:t> </w:t>
      </w:r>
      <w:r>
        <w:rPr>
          <w:spacing w:val="-2"/>
        </w:rPr>
        <w:t>无法预见无形资产为企业带来经济利益期限的，视为使用寿命不确定的无形资产。对于使用寿命不确</w:t>
      </w:r>
    </w:p>
    <w:p>
      <w:pPr>
        <w:pStyle w:val="BodyText"/>
        <w:spacing w:line="408" w:lineRule="auto" w:before="65"/>
        <w:ind w:right="995"/>
        <w:jc w:val="left"/>
      </w:pPr>
      <w:r>
        <w:rPr>
          <w:spacing w:val="-2"/>
        </w:rPr>
        <w:t>定的无形资产，在持有期间内不摊销，每期末对无形资产的寿命进行复核。如果期末重新复核后仍为不确</w:t>
      </w:r>
      <w:r>
        <w:rPr>
          <w:spacing w:val="-43"/>
        </w:rPr>
        <w:t> </w:t>
      </w:r>
      <w:r>
        <w:rPr>
          <w:spacing w:val="-43"/>
        </w:rPr>
      </w:r>
      <w:r>
        <w:rPr/>
        <w:t>定的，在每个会计期间继续进行减值测试。</w:t>
      </w:r>
    </w:p>
    <w:p>
      <w:pPr>
        <w:pStyle w:val="BodyText"/>
        <w:spacing w:line="240" w:lineRule="auto"/>
        <w:ind w:left="573" w:right="995"/>
        <w:jc w:val="left"/>
      </w:pPr>
      <w:r>
        <w:rPr/>
        <w:t>本公司无使用寿命不确定的无形资产。</w:t>
      </w:r>
    </w:p>
    <w:p>
      <w:pPr>
        <w:spacing w:line="240" w:lineRule="auto" w:before="9"/>
        <w:rPr>
          <w:rFonts w:ascii="宋体" w:hAnsi="宋体" w:cs="宋体" w:eastAsia="宋体" w:hint="default"/>
          <w:sz w:val="26"/>
          <w:szCs w:val="26"/>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73" w:right="995"/>
        <w:jc w:val="left"/>
      </w:pPr>
      <w:r>
        <w:rPr>
          <w:rFonts w:ascii="Times New Roman" w:hAnsi="Times New Roman" w:cs="Times New Roman" w:eastAsia="Times New Roman" w:hint="default"/>
        </w:rPr>
        <w:t>1.</w:t>
      </w:r>
      <w:r>
        <w:rPr/>
        <w:t>划分公司内部研究开发项目的研究阶段和开发阶段具体标准</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left="573" w:right="995"/>
        <w:jc w:val="left"/>
      </w:pP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408" w:lineRule="auto"/>
        <w:ind w:left="573" w:right="995" w:hanging="420"/>
        <w:jc w:val="left"/>
      </w:pPr>
      <w:r>
        <w:rPr/>
        <w:t>的或具有实质性改进的材料、装置、产品等活动的阶段。</w:t>
      </w:r>
      <w:r>
        <w:rPr>
          <w:w w:val="100"/>
        </w:rPr>
        <w:t> </w:t>
      </w:r>
      <w:r>
        <w:rPr/>
        <w:t>内部研究开发项目研究阶段的支出，在发生时计入当期损益。</w:t>
      </w:r>
      <w:r>
        <w:rPr>
          <w:w w:val="100"/>
        </w:rPr>
        <w:t> </w:t>
      </w:r>
      <w:r>
        <w:rPr>
          <w:spacing w:val="-2"/>
        </w:rPr>
        <w:t>公司根据软件项目开发管理的流程，将开发项目划分研究阶段和开发阶段。其中，项目策划阶段与项</w:t>
      </w:r>
    </w:p>
    <w:p>
      <w:pPr>
        <w:pStyle w:val="BodyText"/>
        <w:spacing w:line="408" w:lineRule="auto"/>
        <w:ind w:left="573" w:right="995" w:hanging="420"/>
        <w:jc w:val="left"/>
      </w:pPr>
      <w:r>
        <w:rPr/>
        <w:t>目立项阶段作为研究阶段；项目计划阶段、项目实施与执行阶段和项目验收阶段作为开发阶段。</w:t>
      </w:r>
      <w:r>
        <w:rPr>
          <w:w w:val="100"/>
        </w:rPr>
        <w:t> </w:t>
      </w:r>
      <w:r>
        <w:rPr>
          <w:spacing w:val="-5"/>
        </w:rPr>
        <w:t>研究阶段起点为项目策划阶段，终点为立项评审通过，表明公司开发部、市场部判断该项目在技术上、</w:t>
      </w:r>
    </w:p>
    <w:p>
      <w:pPr>
        <w:pStyle w:val="BodyText"/>
        <w:spacing w:line="410" w:lineRule="auto"/>
        <w:ind w:right="995"/>
        <w:jc w:val="left"/>
      </w:pPr>
      <w:r>
        <w:rPr>
          <w:spacing w:val="-2"/>
        </w:rPr>
        <w:t>商业上等具有可行性；开发阶段的起点为项目开发立项，终点为项目相关测试完成后可进入商业运营。开</w:t>
      </w:r>
      <w:r>
        <w:rPr>
          <w:spacing w:val="-44"/>
        </w:rPr>
        <w:t> </w:t>
      </w:r>
      <w:r>
        <w:rPr>
          <w:spacing w:val="-44"/>
        </w:rPr>
      </w:r>
      <w:r>
        <w:rPr/>
        <w:t>发项目研究阶段的支出，在发生时计入当期损益。</w:t>
      </w:r>
    </w:p>
    <w:p>
      <w:pPr>
        <w:pStyle w:val="BodyText"/>
        <w:spacing w:line="386" w:lineRule="auto" w:before="44"/>
        <w:ind w:right="995" w:firstLine="420"/>
        <w:jc w:val="left"/>
      </w:pPr>
      <w:r>
        <w:rPr>
          <w:spacing w:val="-4"/>
        </w:rPr>
        <w:t>进入开发阶段的项目支出，则予以资本化，先在</w:t>
      </w:r>
      <w:r>
        <w:rPr>
          <w:rFonts w:ascii="Times New Roman" w:hAnsi="Times New Roman" w:cs="Times New Roman" w:eastAsia="Times New Roman" w:hint="default"/>
          <w:spacing w:val="-4"/>
        </w:rPr>
        <w:t>“</w:t>
      </w:r>
      <w:r>
        <w:rPr>
          <w:spacing w:val="-4"/>
        </w:rPr>
        <w:t>开发支出</w:t>
      </w:r>
      <w:r>
        <w:rPr>
          <w:rFonts w:ascii="Times New Roman" w:hAnsi="Times New Roman" w:cs="Times New Roman" w:eastAsia="Times New Roman" w:hint="default"/>
          <w:spacing w:val="-4"/>
        </w:rPr>
        <w:t>”</w:t>
      </w:r>
      <w:r>
        <w:rPr>
          <w:spacing w:val="-4"/>
        </w:rPr>
        <w:t>科目分项目进行明细核算，可商业运营时，</w:t>
      </w:r>
      <w:r>
        <w:rPr>
          <w:w w:val="100"/>
        </w:rPr>
        <w:t> </w:t>
      </w:r>
      <w:r>
        <w:rPr/>
        <w:t>再转入</w:t>
      </w:r>
      <w:r>
        <w:rPr>
          <w:rFonts w:ascii="Times New Roman" w:hAnsi="Times New Roman" w:cs="Times New Roman" w:eastAsia="Times New Roman" w:hint="default"/>
        </w:rPr>
        <w:t>“</w:t>
      </w:r>
      <w:r>
        <w:rPr/>
        <w:t>无形资产</w:t>
      </w:r>
      <w:r>
        <w:rPr>
          <w:rFonts w:ascii="Times New Roman" w:hAnsi="Times New Roman" w:cs="Times New Roman" w:eastAsia="Times New Roman" w:hint="default"/>
        </w:rPr>
        <w:t>”</w:t>
      </w:r>
      <w:r>
        <w:rPr/>
        <w:t>科目分项目进行明细核算。</w:t>
      </w:r>
    </w:p>
    <w:p>
      <w:pPr>
        <w:pStyle w:val="BodyText"/>
        <w:spacing w:line="398" w:lineRule="auto" w:before="35"/>
        <w:ind w:left="573" w:right="995"/>
        <w:jc w:val="left"/>
      </w:pPr>
      <w:r>
        <w:rPr>
          <w:rFonts w:ascii="Times New Roman" w:hAnsi="Times New Roman" w:cs="Times New Roman" w:eastAsia="Times New Roman" w:hint="default"/>
        </w:rPr>
        <w:t>2.</w:t>
      </w:r>
      <w:r>
        <w:rPr/>
        <w:t>开发阶段支出符合资本化的具体标准</w:t>
      </w:r>
      <w:r>
        <w:rPr>
          <w:w w:val="100"/>
        </w:rPr>
        <w:t> </w:t>
      </w:r>
      <w:r>
        <w:rPr>
          <w:spacing w:val="-2"/>
        </w:rPr>
        <w:t>内部研究开发项目开发阶段的支出，同时满足下列条件时确认为无形资产：</w:t>
      </w:r>
      <w:r>
        <w:rPr>
          <w:spacing w:val="-42"/>
        </w:rPr>
        <w:t> </w:t>
      </w:r>
      <w:r>
        <w:rPr>
          <w:spacing w:val="-42"/>
        </w:rPr>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4"/>
        <w:ind w:left="573" w:right="995"/>
        <w:jc w:val="left"/>
      </w:pP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right="995" w:firstLine="420"/>
        <w:jc w:val="left"/>
      </w:pPr>
      <w:r>
        <w:rPr>
          <w:rFonts w:ascii="Times New Roman" w:hAnsi="Times New Roman" w:cs="Times New Roman" w:eastAsia="Times New Roman" w:hint="default"/>
        </w:rPr>
        <w:t>3</w:t>
      </w:r>
      <w:r>
        <w:rPr/>
        <w:t>）无形资产产生经济利益的方式，包括能够证明运用该无形资产生产的产品存在市场或无形资产自</w:t>
      </w:r>
      <w:r>
        <w:rPr>
          <w:w w:val="100"/>
        </w:rPr>
        <w:t> </w:t>
      </w:r>
      <w:r>
        <w:rPr/>
        <w:t>身存在市场，无形资产将在内部使用的，能够证明其有用性；</w:t>
      </w:r>
    </w:p>
    <w:p>
      <w:pPr>
        <w:pStyle w:val="BodyText"/>
        <w:spacing w:line="386" w:lineRule="auto" w:before="65"/>
        <w:ind w:right="995" w:firstLine="420"/>
        <w:jc w:val="left"/>
      </w:pPr>
      <w:r>
        <w:rPr>
          <w:rFonts w:ascii="Times New Roman" w:hAnsi="Times New Roman" w:cs="Times New Roman" w:eastAsia="Times New Roman" w:hint="default"/>
        </w:rPr>
        <w:t>4</w:t>
      </w:r>
      <w:r>
        <w:rPr/>
        <w:t>）有足够的技术、财务资源和其他资源支持，以完成该无形资产的开发，并有能力使用或出售该无</w:t>
      </w:r>
      <w:r>
        <w:rPr>
          <w:w w:val="100"/>
        </w:rPr>
        <w:t> </w:t>
      </w:r>
      <w:r>
        <w:rPr/>
        <w:t>形资产；</w:t>
      </w:r>
    </w:p>
    <w:p>
      <w:pPr>
        <w:pStyle w:val="BodyText"/>
        <w:spacing w:line="386" w:lineRule="auto" w:before="65"/>
        <w:ind w:left="573" w:right="995"/>
        <w:jc w:val="left"/>
      </w:pP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不满足上述条件的开发阶段的支出，于发生时计入当期损益。以前期间已计入损益的开发支出不在以</w:t>
      </w:r>
    </w:p>
    <w:p>
      <w:pPr>
        <w:pStyle w:val="BodyText"/>
        <w:spacing w:line="408" w:lineRule="auto" w:before="65"/>
        <w:ind w:right="995"/>
        <w:jc w:val="left"/>
      </w:pPr>
      <w:r>
        <w:rPr>
          <w:spacing w:val="-2"/>
        </w:rPr>
        <w:t>后期间重新确认为资产。已资本化的开发阶段的支出在资产负债表上列示为开发支出，自该项目达到预定</w:t>
      </w:r>
      <w:r>
        <w:rPr>
          <w:spacing w:val="-42"/>
        </w:rPr>
        <w:t> </w:t>
      </w:r>
      <w:r>
        <w:rPr>
          <w:spacing w:val="-42"/>
        </w:rPr>
      </w:r>
      <w:r>
        <w:rPr/>
        <w:t>用途之日起转为无形资产。</w:t>
      </w:r>
    </w:p>
    <w:p>
      <w:pPr>
        <w:spacing w:line="240" w:lineRule="auto" w:before="7"/>
        <w:rPr>
          <w:rFonts w:ascii="宋体" w:hAnsi="宋体" w:cs="宋体" w:eastAsia="宋体" w:hint="default"/>
          <w:sz w:val="15"/>
          <w:szCs w:val="15"/>
        </w:rPr>
      </w:pPr>
    </w:p>
    <w:p>
      <w:pPr>
        <w:pStyle w:val="BodyText"/>
        <w:spacing w:line="496" w:lineRule="auto" w:before="0"/>
        <w:ind w:left="573" w:right="995" w:hanging="420"/>
        <w:jc w:val="left"/>
      </w:pPr>
      <w:r>
        <w:rPr>
          <w:rFonts w:ascii="Times New Roman" w:hAnsi="Times New Roman" w:cs="Times New Roman" w:eastAsia="Times New Roman" w:hint="default"/>
          <w:b/>
          <w:bCs/>
        </w:rPr>
        <w:t>31</w:t>
      </w:r>
      <w:r>
        <w:rPr>
          <w:rFonts w:ascii="Microsoft JhengHei" w:hAnsi="Microsoft JhengHei" w:cs="Microsoft JhengHei" w:eastAsia="Microsoft JhengHei" w:hint="default"/>
          <w:b/>
          <w:bCs/>
        </w:rPr>
        <w:t>、长期资产减值</w:t>
      </w:r>
      <w:r>
        <w:rPr>
          <w:rFonts w:ascii="Microsoft JhengHei" w:hAnsi="Microsoft JhengHei" w:cs="Microsoft JhengHei" w:eastAsia="Microsoft JhengHei" w:hint="default"/>
          <w:b/>
          <w:bCs/>
          <w:spacing w:val="-46"/>
        </w:rPr>
        <w:t> </w:t>
      </w:r>
      <w:r>
        <w:rPr>
          <w:spacing w:val="-2"/>
        </w:rPr>
        <w:t>本公司在资产负债表日判断长期资产是否存在可能发生减值的迹象。如果长期资产存在减值迹象的，</w:t>
      </w:r>
    </w:p>
    <w:p>
      <w:pPr>
        <w:pStyle w:val="BodyText"/>
        <w:spacing w:line="243" w:lineRule="exact" w:before="0"/>
        <w:ind w:right="995"/>
        <w:jc w:val="left"/>
      </w:pPr>
      <w:r>
        <w:rPr/>
        <w:t>以单项资产为基础估计其可收回金额；难以对单项资产的可收回金额进行估计的，以该资产所属的资产组</w:t>
      </w:r>
    </w:p>
    <w:p>
      <w:pPr>
        <w:spacing w:line="240" w:lineRule="auto" w:before="10"/>
        <w:rPr>
          <w:rFonts w:ascii="宋体" w:hAnsi="宋体" w:cs="宋体" w:eastAsia="宋体" w:hint="default"/>
          <w:sz w:val="14"/>
          <w:szCs w:val="14"/>
        </w:rPr>
      </w:pPr>
    </w:p>
    <w:p>
      <w:pPr>
        <w:pStyle w:val="BodyText"/>
        <w:spacing w:line="408" w:lineRule="auto" w:before="0"/>
        <w:ind w:left="573" w:right="995" w:hanging="420"/>
        <w:jc w:val="left"/>
      </w:pPr>
      <w:r>
        <w:rPr/>
        <w:t>为基础确定资产组的可收回金额。</w:t>
      </w:r>
      <w:r>
        <w:rPr>
          <w:w w:val="100"/>
        </w:rPr>
        <w:t> </w:t>
      </w:r>
      <w:r>
        <w:rPr>
          <w:spacing w:val="-2"/>
        </w:rPr>
        <w:t>资产可收回金额的估计，根据其公允价值减去处置费用后的净额与资产预计未来现金流量的现值两者</w:t>
      </w:r>
    </w:p>
    <w:p>
      <w:pPr>
        <w:pStyle w:val="BodyText"/>
        <w:spacing w:line="240" w:lineRule="auto"/>
        <w:ind w:right="995"/>
        <w:jc w:val="left"/>
      </w:pPr>
      <w:r>
        <w:rPr/>
        <w:t>之间较高者确定。</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6" w:firstLine="420"/>
        <w:jc w:val="both"/>
      </w:pPr>
      <w:r>
        <w:rPr>
          <w:spacing w:val="-2"/>
        </w:rPr>
        <w:t>可收回金额的计量结果表明，长期资产的可收回金额低于其账面价值的，将长期资产的账面价值减记</w:t>
      </w:r>
      <w:r>
        <w:rPr>
          <w:w w:val="100"/>
        </w:rPr>
        <w:t> </w:t>
      </w:r>
      <w:r>
        <w:rPr>
          <w:spacing w:val="-2"/>
        </w:rPr>
        <w:t>至可收回金额，减记的金额确认为资产减值损失，计入当期损益，同时计提相应的资产减值准备。资产减</w:t>
      </w:r>
      <w:r>
        <w:rPr>
          <w:spacing w:val="-50"/>
        </w:rPr>
        <w:t> </w:t>
      </w:r>
      <w:r>
        <w:rPr>
          <w:spacing w:val="-50"/>
        </w:rPr>
      </w:r>
      <w:r>
        <w:rPr/>
        <w:t>值损失一经确认，在以后会计期间不得转回。</w:t>
      </w:r>
    </w:p>
    <w:p>
      <w:pPr>
        <w:pStyle w:val="BodyText"/>
        <w:spacing w:line="408" w:lineRule="auto"/>
        <w:ind w:right="1126" w:firstLine="420"/>
        <w:jc w:val="both"/>
      </w:pPr>
      <w:r>
        <w:rPr>
          <w:spacing w:val="-2"/>
        </w:rPr>
        <w:t>资产减值损失确认后，减值资产的折旧或者摊销费用在未来期间作相应调整，以使该资产在剩余使用</w:t>
      </w:r>
      <w:r>
        <w:rPr>
          <w:w w:val="100"/>
        </w:rPr>
        <w:t> </w:t>
      </w:r>
      <w:r>
        <w:rPr/>
        <w:t>寿命内，系统地分摊调整后的资产账面价值（扣除预计净残值）。</w:t>
      </w:r>
    </w:p>
    <w:p>
      <w:pPr>
        <w:pStyle w:val="BodyText"/>
        <w:spacing w:line="408" w:lineRule="auto"/>
        <w:ind w:right="1126" w:firstLine="420"/>
        <w:jc w:val="both"/>
      </w:pPr>
      <w:r>
        <w:rPr>
          <w:spacing w:val="-2"/>
        </w:rPr>
        <w:t>因企业合并所形成的商誉和使用寿命不确定的无形资产，无论是否存在减值迹象，每年都进行减值测</w:t>
      </w:r>
      <w:r>
        <w:rPr>
          <w:w w:val="100"/>
        </w:rPr>
        <w:t> </w:t>
      </w:r>
      <w:r>
        <w:rPr/>
        <w:t>试。</w:t>
      </w:r>
    </w:p>
    <w:p>
      <w:pPr>
        <w:pStyle w:val="BodyText"/>
        <w:spacing w:line="408" w:lineRule="auto"/>
        <w:ind w:right="1126" w:firstLine="420"/>
        <w:jc w:val="both"/>
      </w:pPr>
      <w:r>
        <w:rPr>
          <w:spacing w:val="-2"/>
        </w:rPr>
        <w:t>在对商誉进行减值测试时，将商誉的账面价值分摊至预期从企业合并的协同效应中受益的资产组或资</w:t>
      </w:r>
      <w:r>
        <w:rPr>
          <w:w w:val="100"/>
        </w:rPr>
        <w:t> </w:t>
      </w:r>
      <w:r>
        <w:rPr>
          <w:spacing w:val="-2"/>
        </w:rPr>
        <w:t>产组组合。在对包含商誉的相关资产组或者资产组组合进行减值测试时，如与商誉相关的资产组或者资产</w:t>
      </w:r>
      <w:r>
        <w:rPr>
          <w:spacing w:val="-43"/>
        </w:rPr>
        <w:t> </w:t>
      </w:r>
      <w:r>
        <w:rPr>
          <w:spacing w:val="-43"/>
        </w:rPr>
      </w:r>
      <w:r>
        <w:rPr>
          <w:spacing w:val="-2"/>
        </w:rPr>
        <w:t>组组合存在减值迹象的，先对不包含商誉的资产组或者资产组组合进行减值测试，计算可收回金额，并与</w:t>
      </w:r>
      <w:r>
        <w:rPr>
          <w:spacing w:val="-43"/>
        </w:rPr>
        <w:t> </w:t>
      </w:r>
      <w:r>
        <w:rPr>
          <w:spacing w:val="-43"/>
        </w:rPr>
      </w:r>
      <w:r>
        <w:rPr>
          <w:spacing w:val="-2"/>
        </w:rPr>
        <w:t>相关账面价值相比较，确认相应的减值损失。再对包含商誉的资产组或者资产组组合进行减值测试，比较</w:t>
      </w:r>
      <w:r>
        <w:rPr>
          <w:spacing w:val="-43"/>
        </w:rPr>
        <w:t> </w:t>
      </w:r>
      <w:r>
        <w:rPr>
          <w:spacing w:val="-43"/>
        </w:rPr>
      </w:r>
      <w:r>
        <w:rPr>
          <w:spacing w:val="-2"/>
        </w:rPr>
        <w:t>这些相关资产组或者资产组组合的账面价值（包括所分摊的商誉的账面价值部分）与其可收回金额，如相</w:t>
      </w:r>
      <w:r>
        <w:rPr>
          <w:spacing w:val="-44"/>
        </w:rPr>
        <w:t> </w:t>
      </w:r>
      <w:r>
        <w:rPr>
          <w:spacing w:val="-44"/>
        </w:rPr>
      </w:r>
      <w:r>
        <w:rPr/>
        <w:t>关资产组或者资产组组合的可收回金额低于其账面价值的，确认商誉的减值损失。</w:t>
      </w:r>
    </w:p>
    <w:p>
      <w:pPr>
        <w:spacing w:line="240" w:lineRule="auto" w:before="6"/>
        <w:rPr>
          <w:rFonts w:ascii="宋体" w:hAnsi="宋体" w:cs="宋体" w:eastAsia="宋体" w:hint="default"/>
          <w:sz w:val="15"/>
          <w:szCs w:val="15"/>
        </w:rPr>
      </w:pPr>
    </w:p>
    <w:p>
      <w:pPr>
        <w:pStyle w:val="Heading7"/>
        <w:spacing w:line="240" w:lineRule="auto"/>
        <w:ind w:right="995"/>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left="573" w:right="995"/>
        <w:jc w:val="left"/>
      </w:pPr>
      <w:r>
        <w:rPr/>
        <w:t>（</w:t>
      </w:r>
      <w:r>
        <w:rPr>
          <w:rFonts w:ascii="Times New Roman" w:hAnsi="Times New Roman" w:cs="Times New Roman" w:eastAsia="Times New Roman" w:hint="default"/>
        </w:rPr>
        <w:t>1</w:t>
      </w:r>
      <w:r>
        <w:rPr/>
        <w:t>）摊销方法</w:t>
      </w:r>
      <w:r>
        <w:rPr>
          <w:w w:val="100"/>
        </w:rPr>
        <w:t> </w:t>
      </w: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w:t>
      </w:r>
    </w:p>
    <w:p>
      <w:pPr>
        <w:pStyle w:val="BodyText"/>
        <w:spacing w:line="240" w:lineRule="auto" w:before="33"/>
        <w:ind w:right="995"/>
        <w:jc w:val="left"/>
      </w:pPr>
      <w:r>
        <w:rPr/>
        <w:t>长期待摊费用在受益期内按直线法分期摊销。</w:t>
      </w:r>
    </w:p>
    <w:p>
      <w:pPr>
        <w:spacing w:line="240" w:lineRule="auto" w:before="10"/>
        <w:rPr>
          <w:rFonts w:ascii="宋体" w:hAnsi="宋体" w:cs="宋体" w:eastAsia="宋体" w:hint="default"/>
          <w:sz w:val="14"/>
          <w:szCs w:val="14"/>
        </w:rPr>
      </w:pPr>
    </w:p>
    <w:p>
      <w:pPr>
        <w:pStyle w:val="BodyText"/>
        <w:spacing w:line="240" w:lineRule="auto" w:before="0"/>
        <w:ind w:left="573" w:right="995"/>
        <w:jc w:val="left"/>
      </w:pPr>
      <w:r>
        <w:rPr/>
        <w:t>（</w:t>
      </w:r>
      <w:r>
        <w:rPr>
          <w:rFonts w:ascii="Times New Roman" w:hAnsi="Times New Roman" w:cs="Times New Roman" w:eastAsia="Times New Roman" w:hint="default"/>
        </w:rPr>
        <w:t>2</w:t>
      </w:r>
      <w:r>
        <w:rPr/>
        <w:t>）摊销年限</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061"/>
        <w:gridCol w:w="3063"/>
        <w:gridCol w:w="3063"/>
      </w:tblGrid>
      <w:tr>
        <w:trPr>
          <w:trHeight w:val="350" w:hRule="exact"/>
        </w:trPr>
        <w:tc>
          <w:tcPr>
            <w:tcW w:w="3061" w:type="dxa"/>
            <w:tcBorders>
              <w:top w:val="single" w:sz="6" w:space="0" w:color="000000"/>
              <w:left w:val="single" w:sz="6" w:space="0" w:color="000000"/>
              <w:bottom w:val="single" w:sz="8" w:space="0" w:color="000000"/>
              <w:right w:val="single" w:sz="6" w:space="0" w:color="000000"/>
            </w:tcBorders>
          </w:tcPr>
          <w:p>
            <w:pPr>
              <w:pStyle w:val="TableParagraph"/>
              <w:spacing w:line="291" w:lineRule="exact"/>
              <w:ind w:left="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类别</w:t>
            </w:r>
            <w:r>
              <w:rPr>
                <w:rFonts w:ascii="Microsoft JhengHei" w:hAnsi="Microsoft JhengHei" w:cs="Microsoft JhengHei" w:eastAsia="Microsoft JhengHei" w:hint="default"/>
                <w:sz w:val="20"/>
                <w:szCs w:val="20"/>
              </w:rPr>
            </w:r>
          </w:p>
        </w:tc>
        <w:tc>
          <w:tcPr>
            <w:tcW w:w="3063" w:type="dxa"/>
            <w:tcBorders>
              <w:top w:val="single" w:sz="6" w:space="0" w:color="000000"/>
              <w:left w:val="single" w:sz="6" w:space="0" w:color="000000"/>
              <w:bottom w:val="single" w:sz="8" w:space="0" w:color="000000"/>
              <w:right w:val="single" w:sz="6" w:space="0" w:color="000000"/>
            </w:tcBorders>
          </w:tcPr>
          <w:p>
            <w:pPr>
              <w:pStyle w:val="TableParagraph"/>
              <w:spacing w:line="291"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摊销年限</w:t>
            </w:r>
            <w:r>
              <w:rPr>
                <w:rFonts w:ascii="Microsoft JhengHei" w:hAnsi="Microsoft JhengHei" w:cs="Microsoft JhengHei" w:eastAsia="Microsoft JhengHei" w:hint="default"/>
                <w:sz w:val="20"/>
                <w:szCs w:val="20"/>
              </w:rPr>
            </w:r>
          </w:p>
        </w:tc>
        <w:tc>
          <w:tcPr>
            <w:tcW w:w="3063" w:type="dxa"/>
            <w:tcBorders>
              <w:top w:val="single" w:sz="6" w:space="0" w:color="000000"/>
              <w:left w:val="single" w:sz="6" w:space="0" w:color="000000"/>
              <w:bottom w:val="single" w:sz="8" w:space="0" w:color="000000"/>
              <w:right w:val="nil" w:sz="6" w:space="0" w:color="auto"/>
            </w:tcBorders>
          </w:tcPr>
          <w:p>
            <w:pPr>
              <w:pStyle w:val="TableParagraph"/>
              <w:spacing w:line="291"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备注</w:t>
            </w:r>
            <w:r>
              <w:rPr>
                <w:rFonts w:ascii="Microsoft JhengHei" w:hAnsi="Microsoft JhengHei" w:cs="Microsoft JhengHei" w:eastAsia="Microsoft JhengHei" w:hint="default"/>
                <w:sz w:val="20"/>
                <w:szCs w:val="20"/>
              </w:rPr>
            </w:r>
          </w:p>
        </w:tc>
      </w:tr>
      <w:tr>
        <w:trPr>
          <w:trHeight w:val="348" w:hRule="exact"/>
        </w:trPr>
        <w:tc>
          <w:tcPr>
            <w:tcW w:w="3061"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仓库装修费</w:t>
            </w:r>
          </w:p>
        </w:tc>
        <w:tc>
          <w:tcPr>
            <w:tcW w:w="3063"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60</w:t>
            </w:r>
            <w:r>
              <w:rPr>
                <w:rFonts w:ascii="宋体" w:hAnsi="宋体" w:cs="宋体" w:eastAsia="宋体" w:hint="default"/>
                <w:sz w:val="20"/>
                <w:szCs w:val="20"/>
              </w:rPr>
              <w:t>个月</w:t>
            </w:r>
          </w:p>
        </w:tc>
        <w:tc>
          <w:tcPr>
            <w:tcW w:w="3063"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3061"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布鲁精灵系列商品使用权</w:t>
            </w:r>
          </w:p>
        </w:tc>
        <w:tc>
          <w:tcPr>
            <w:tcW w:w="3063"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60</w:t>
            </w:r>
            <w:r>
              <w:rPr>
                <w:rFonts w:ascii="宋体" w:hAnsi="宋体" w:cs="宋体" w:eastAsia="宋体" w:hint="default"/>
                <w:sz w:val="20"/>
                <w:szCs w:val="20"/>
              </w:rPr>
              <w:t>个月</w:t>
            </w:r>
          </w:p>
        </w:tc>
        <w:tc>
          <w:tcPr>
            <w:tcW w:w="3063"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0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柳州</w:t>
            </w:r>
            <w:r>
              <w:rPr>
                <w:rFonts w:ascii="Times New Roman" w:hAnsi="Times New Roman" w:cs="Times New Roman" w:eastAsia="Times New Roman" w:hint="default"/>
                <w:sz w:val="20"/>
                <w:szCs w:val="20"/>
              </w:rPr>
              <w:t>SA</w:t>
            </w:r>
            <w:r>
              <w:rPr>
                <w:rFonts w:ascii="宋体" w:hAnsi="宋体" w:cs="宋体" w:eastAsia="宋体" w:hint="default"/>
                <w:sz w:val="20"/>
                <w:szCs w:val="20"/>
              </w:rPr>
              <w:t>业务</w:t>
            </w:r>
          </w:p>
        </w:tc>
        <w:tc>
          <w:tcPr>
            <w:tcW w:w="306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36</w:t>
            </w:r>
            <w:r>
              <w:rPr>
                <w:rFonts w:ascii="宋体" w:hAnsi="宋体" w:cs="宋体" w:eastAsia="宋体" w:hint="default"/>
                <w:sz w:val="20"/>
                <w:szCs w:val="20"/>
              </w:rPr>
              <w:t>个月</w:t>
            </w:r>
          </w:p>
        </w:tc>
        <w:tc>
          <w:tcPr>
            <w:tcW w:w="3063" w:type="dxa"/>
            <w:tcBorders>
              <w:top w:val="single" w:sz="8" w:space="0" w:color="000000"/>
              <w:left w:val="single" w:sz="6" w:space="0" w:color="000000"/>
              <w:bottom w:val="single" w:sz="8" w:space="0" w:color="000000"/>
              <w:right w:val="nil" w:sz="6" w:space="0" w:color="auto"/>
            </w:tcBorders>
          </w:tcPr>
          <w:p>
            <w:pPr/>
          </w:p>
        </w:tc>
      </w:tr>
    </w:tbl>
    <w:p>
      <w:pPr>
        <w:spacing w:line="240" w:lineRule="auto" w:before="6"/>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96" w:lineRule="auto" w:before="0"/>
        <w:ind w:left="573" w:right="995"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短期薪酬是指本公司在职工提供相关服务的年度报告期间结束后十二个月内需要全部予以支付的职</w:t>
      </w:r>
    </w:p>
    <w:p>
      <w:pPr>
        <w:pStyle w:val="BodyText"/>
        <w:spacing w:line="243" w:lineRule="exact" w:before="0"/>
        <w:ind w:right="995"/>
        <w:jc w:val="left"/>
      </w:pPr>
      <w:r>
        <w:rPr>
          <w:spacing w:val="-5"/>
        </w:rPr>
        <w:t>工薪酬，离职后福利和辞退福利除外。本公司在职工提供服务的会计期间，将应付的短期薪酬确认为负债，</w:t>
      </w:r>
    </w:p>
    <w:p>
      <w:pPr>
        <w:spacing w:line="240" w:lineRule="auto" w:before="10"/>
        <w:rPr>
          <w:rFonts w:ascii="宋体" w:hAnsi="宋体" w:cs="宋体" w:eastAsia="宋体" w:hint="default"/>
          <w:sz w:val="14"/>
          <w:szCs w:val="14"/>
        </w:rPr>
      </w:pPr>
    </w:p>
    <w:p>
      <w:pPr>
        <w:pStyle w:val="BodyText"/>
        <w:spacing w:line="240" w:lineRule="auto" w:before="0"/>
        <w:ind w:right="995"/>
        <w:jc w:val="left"/>
      </w:pPr>
      <w:r>
        <w:rPr/>
        <w:t>并根据职工提供服务的受益对象计入相关资产成本和费用。</w:t>
      </w:r>
    </w:p>
    <w:p>
      <w:pPr>
        <w:spacing w:after="0" w:line="240" w:lineRule="auto"/>
        <w:jc w:val="left"/>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right="1126" w:firstLine="420"/>
        <w:jc w:val="both"/>
      </w:pPr>
      <w:r>
        <w:rPr>
          <w:spacing w:val="-2"/>
        </w:rPr>
        <w:t>离职后福利是指本公司为获得职工提供的服务而在职工退休或与企业解除劳动关系后，提供的各种形</w:t>
      </w:r>
      <w:r>
        <w:rPr>
          <w:w w:val="100"/>
        </w:rPr>
        <w:t> </w:t>
      </w:r>
      <w:r>
        <w:rPr/>
        <w:t>式的报酬和福利，短期薪酬和辞退福利除外。</w:t>
      </w:r>
    </w:p>
    <w:p>
      <w:pPr>
        <w:pStyle w:val="BodyText"/>
        <w:spacing w:line="408" w:lineRule="auto"/>
        <w:ind w:left="573" w:right="995"/>
        <w:jc w:val="left"/>
      </w:pPr>
      <w:r>
        <w:rPr/>
        <w:t>本公司的离职后福利计划全部为设定提存计划。</w:t>
      </w:r>
      <w:r>
        <w:rPr>
          <w:w w:val="100"/>
        </w:rPr>
        <w:t> </w:t>
      </w:r>
      <w:r>
        <w:rPr>
          <w:spacing w:val="-2"/>
        </w:rPr>
        <w:t>离职后福利设定提存计划主要为参加由各地劳动及社会保障机构组织实施的社会基本养老保险、失业</w:t>
      </w:r>
    </w:p>
    <w:p>
      <w:pPr>
        <w:pStyle w:val="BodyText"/>
        <w:spacing w:line="408" w:lineRule="auto"/>
        <w:ind w:right="995"/>
        <w:jc w:val="left"/>
      </w:pPr>
      <w:r>
        <w:rPr>
          <w:spacing w:val="-2"/>
        </w:rPr>
        <w:t>保险等；在职工为本公司提供服务的会计期间，将根据设定提存计划计算的应缴存金额确认为负债，并计</w:t>
      </w:r>
      <w:r>
        <w:rPr>
          <w:spacing w:val="-43"/>
        </w:rPr>
        <w:t> </w:t>
      </w:r>
      <w:r>
        <w:rPr>
          <w:spacing w:val="-43"/>
        </w:rPr>
      </w:r>
      <w:r>
        <w:rPr/>
        <w:t>入当期损益或相关资产成本。</w:t>
      </w:r>
    </w:p>
    <w:p>
      <w:pPr>
        <w:pStyle w:val="BodyText"/>
        <w:spacing w:line="240" w:lineRule="auto"/>
        <w:ind w:left="573" w:right="995"/>
        <w:jc w:val="left"/>
      </w:pPr>
      <w:r>
        <w:rPr/>
        <w:t>本公司按照国家规定的标准定期缴付上述款项后，不再有其他的支付义务。</w:t>
      </w:r>
    </w:p>
    <w:p>
      <w:pPr>
        <w:spacing w:line="240" w:lineRule="auto" w:before="10"/>
        <w:rPr>
          <w:rFonts w:ascii="宋体" w:hAnsi="宋体" w:cs="宋体" w:eastAsia="宋体" w:hint="default"/>
          <w:sz w:val="26"/>
          <w:szCs w:val="26"/>
        </w:rPr>
      </w:pPr>
    </w:p>
    <w:p>
      <w:pPr>
        <w:spacing w:line="496" w:lineRule="auto" w:before="0"/>
        <w:ind w:left="573" w:right="995"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）辞退福利的会计处理方法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辞退福利是指本公司在职工劳动合同到期之前解除与职工的劳动关系，或者为鼓励职工自愿接受裁减</w:t>
      </w:r>
    </w:p>
    <w:p>
      <w:pPr>
        <w:pStyle w:val="BodyText"/>
        <w:spacing w:line="243" w:lineRule="exact" w:before="0"/>
        <w:ind w:right="995"/>
        <w:jc w:val="left"/>
      </w:pPr>
      <w:r>
        <w:rPr/>
        <w:t>而给予职工的补偿，在本公司不能单方面撤回解除劳动关系计划或裁减建议时和确认与涉及支付辞退福利</w:t>
      </w:r>
    </w:p>
    <w:p>
      <w:pPr>
        <w:spacing w:line="240" w:lineRule="auto" w:before="10"/>
        <w:rPr>
          <w:rFonts w:ascii="宋体" w:hAnsi="宋体" w:cs="宋体" w:eastAsia="宋体" w:hint="default"/>
          <w:sz w:val="14"/>
          <w:szCs w:val="14"/>
        </w:rPr>
      </w:pPr>
    </w:p>
    <w:p>
      <w:pPr>
        <w:pStyle w:val="BodyText"/>
        <w:spacing w:line="408" w:lineRule="auto" w:before="0"/>
        <w:ind w:right="995"/>
        <w:jc w:val="left"/>
      </w:pPr>
      <w:r>
        <w:rPr>
          <w:spacing w:val="-2"/>
        </w:rPr>
        <w:t>的重组相关的成本费用时两者孰早日，确认因解除与职工的劳动关系给予补偿而产生的负债，同时计入当</w:t>
      </w:r>
      <w:r>
        <w:rPr>
          <w:spacing w:val="-44"/>
        </w:rPr>
        <w:t> </w:t>
      </w:r>
      <w:r>
        <w:rPr>
          <w:spacing w:val="-44"/>
        </w:rPr>
      </w:r>
      <w:r>
        <w:rPr/>
        <w:t>期损益。</w:t>
      </w:r>
    </w:p>
    <w:p>
      <w:pPr>
        <w:pStyle w:val="BodyText"/>
        <w:spacing w:line="408" w:lineRule="auto"/>
        <w:ind w:right="1126" w:firstLine="420"/>
        <w:jc w:val="both"/>
      </w:pPr>
      <w:r>
        <w:rPr>
          <w:spacing w:val="-2"/>
        </w:rPr>
        <w:t>本公司向接受内部退休安排的职工提供内退福利。内退福利是指，向未达到国家规定的退休年龄、经</w:t>
      </w:r>
      <w:r>
        <w:rPr>
          <w:w w:val="100"/>
        </w:rPr>
        <w:t> </w:t>
      </w:r>
      <w:r>
        <w:rPr>
          <w:spacing w:val="-2"/>
        </w:rPr>
        <w:t>本公司管理层批准自愿退出工作岗位的职工支付的工资及为其缴纳的社会保险费等。本公司自内部退休安</w:t>
      </w:r>
      <w:r>
        <w:rPr>
          <w:spacing w:val="-43"/>
        </w:rPr>
        <w:t> </w:t>
      </w:r>
      <w:r>
        <w:rPr>
          <w:spacing w:val="-43"/>
        </w:rPr>
      </w:r>
      <w:r>
        <w:rPr>
          <w:spacing w:val="-2"/>
        </w:rPr>
        <w:t>排开始之日起至职工达到正常退休年龄止，向内退职工支付内部退养福利。对于内退福利，本公司比照辞</w:t>
      </w:r>
      <w:r>
        <w:rPr>
          <w:spacing w:val="-46"/>
        </w:rPr>
        <w:t> </w:t>
      </w:r>
      <w:r>
        <w:rPr>
          <w:spacing w:val="-46"/>
        </w:rPr>
      </w:r>
      <w:r>
        <w:rPr>
          <w:spacing w:val="-2"/>
        </w:rPr>
        <w:t>退福利进行会计处理，在符合辞退福利相关确认条件时，将自职工停止提供服务日至正常退休日期间拟支</w:t>
      </w:r>
      <w:r>
        <w:rPr>
          <w:spacing w:val="-43"/>
        </w:rPr>
        <w:t> </w:t>
      </w:r>
      <w:r>
        <w:rPr>
          <w:spacing w:val="-43"/>
        </w:rPr>
      </w:r>
      <w:r>
        <w:rPr>
          <w:spacing w:val="-2"/>
        </w:rPr>
        <w:t>付的内退职工工资和缴纳的社会保险费等，确认为负债，一次性计入当期损益。内退福利的精算假设变化</w:t>
      </w:r>
      <w:r>
        <w:rPr>
          <w:spacing w:val="-44"/>
        </w:rPr>
        <w:t> </w:t>
      </w:r>
      <w:r>
        <w:rPr>
          <w:spacing w:val="-44"/>
        </w:rPr>
      </w:r>
      <w:r>
        <w:rPr/>
        <w:t>及福利标准调整引起的差异于发生时计入当期损益。</w:t>
      </w:r>
    </w:p>
    <w:p>
      <w:pPr>
        <w:spacing w:line="240" w:lineRule="auto" w:before="6"/>
        <w:rPr>
          <w:rFonts w:ascii="宋体" w:hAnsi="宋体" w:cs="宋体" w:eastAsia="宋体" w:hint="default"/>
          <w:sz w:val="15"/>
          <w:szCs w:val="15"/>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before="0"/>
        <w:ind w:left="573" w:right="995"/>
        <w:jc w:val="left"/>
      </w:pPr>
      <w:r>
        <w:rPr/>
        <w:t>其他长期职工福利是指除短期薪酬、离职后福利、辞退福利之外的其他所有职工福利。</w:t>
      </w:r>
      <w:r>
        <w:rPr>
          <w:w w:val="100"/>
        </w:rPr>
        <w:t> </w:t>
      </w:r>
      <w:r>
        <w:rPr>
          <w:spacing w:val="-2"/>
        </w:rPr>
        <w:t>对符合设定提存计划条件的其他长期职工福利，在职工为本公司提供服务的会计期间，将应缴存金额</w:t>
      </w:r>
    </w:p>
    <w:p>
      <w:pPr>
        <w:pStyle w:val="BodyText"/>
        <w:spacing w:line="240" w:lineRule="auto" w:before="44"/>
        <w:ind w:right="995"/>
        <w:jc w:val="left"/>
      </w:pPr>
      <w:r>
        <w:rPr/>
        <w:t>确认为负债，并计入当期损益或相关资产成本。</w:t>
      </w:r>
    </w:p>
    <w:p>
      <w:pPr>
        <w:spacing w:line="240" w:lineRule="auto" w:before="9"/>
        <w:rPr>
          <w:rFonts w:ascii="宋体" w:hAnsi="宋体" w:cs="宋体" w:eastAsia="宋体" w:hint="default"/>
          <w:sz w:val="26"/>
          <w:szCs w:val="26"/>
        </w:rPr>
      </w:pPr>
    </w:p>
    <w:p>
      <w:pPr>
        <w:pStyle w:val="Heading7"/>
        <w:spacing w:line="240" w:lineRule="auto"/>
        <w:ind w:right="995"/>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73" w:right="995"/>
        <w:jc w:val="left"/>
      </w:pPr>
      <w:r>
        <w:rPr/>
        <w:t>（</w:t>
      </w:r>
      <w:r>
        <w:rPr>
          <w:rFonts w:ascii="Times New Roman" w:hAnsi="Times New Roman" w:cs="Times New Roman" w:eastAsia="Times New Roman" w:hint="default"/>
        </w:rPr>
        <w:t>1</w:t>
      </w:r>
      <w:r>
        <w:rPr/>
        <w:t>）预计负债的确认标准</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240" w:lineRule="auto" w:before="36"/>
        <w:ind w:left="573" w:right="995"/>
        <w:jc w:val="left"/>
      </w:pPr>
      <w:r>
        <w:rPr/>
        <w:t>与或有事项相关的义务同时满足下列条件时，本公司确认为预计负债：</w:t>
      </w:r>
    </w:p>
    <w:p>
      <w:pPr>
        <w:spacing w:line="240" w:lineRule="auto" w:before="10"/>
        <w:rPr>
          <w:rFonts w:ascii="宋体" w:hAnsi="宋体" w:cs="宋体" w:eastAsia="宋体" w:hint="default"/>
          <w:sz w:val="14"/>
          <w:szCs w:val="14"/>
        </w:rPr>
      </w:pPr>
    </w:p>
    <w:p>
      <w:pPr>
        <w:pStyle w:val="BodyText"/>
        <w:spacing w:line="240" w:lineRule="auto" w:before="0"/>
        <w:ind w:left="573" w:right="995"/>
        <w:jc w:val="left"/>
      </w:pPr>
      <w:r>
        <w:rPr>
          <w:rFonts w:ascii="Times New Roman" w:hAnsi="Times New Roman" w:cs="Times New Roman" w:eastAsia="Times New Roman" w:hint="default"/>
        </w:rPr>
        <w:t>1</w:t>
      </w:r>
      <w:r>
        <w:rPr/>
        <w:t>）该义务是本公司承担的现时义务；</w:t>
      </w:r>
    </w:p>
    <w:p>
      <w:pPr>
        <w:pStyle w:val="BodyText"/>
        <w:spacing w:line="240" w:lineRule="auto" w:before="177"/>
        <w:ind w:left="573" w:right="995"/>
        <w:jc w:val="left"/>
      </w:pPr>
      <w:r>
        <w:rPr>
          <w:rFonts w:ascii="Times New Roman" w:hAnsi="Times New Roman" w:cs="Times New Roman" w:eastAsia="Times New Roman" w:hint="default"/>
        </w:rPr>
        <w:t>2</w:t>
      </w:r>
      <w:r>
        <w:rPr/>
        <w:t>）履行该义务很可能导致经济利益流出本公司；</w:t>
      </w:r>
    </w:p>
    <w:p>
      <w:pPr>
        <w:pStyle w:val="BodyText"/>
        <w:spacing w:line="240" w:lineRule="auto" w:before="177"/>
        <w:ind w:left="573" w:right="995"/>
        <w:jc w:val="left"/>
      </w:pPr>
      <w:r>
        <w:rPr>
          <w:rFonts w:ascii="Times New Roman" w:hAnsi="Times New Roman" w:cs="Times New Roman" w:eastAsia="Times New Roman" w:hint="default"/>
        </w:rPr>
        <w:t>3</w:t>
      </w:r>
      <w:r>
        <w:rPr/>
        <w:t>）该义务的金额能够可靠地计量。</w:t>
      </w:r>
    </w:p>
    <w:p>
      <w:pPr>
        <w:pStyle w:val="BodyText"/>
        <w:spacing w:line="398" w:lineRule="auto" w:before="177"/>
        <w:ind w:left="573" w:right="995"/>
        <w:jc w:val="left"/>
      </w:pPr>
      <w:r>
        <w:rPr/>
        <w:t>（</w:t>
      </w:r>
      <w:r>
        <w:rPr>
          <w:rFonts w:ascii="Times New Roman" w:hAnsi="Times New Roman" w:cs="Times New Roman" w:eastAsia="Times New Roman" w:hint="default"/>
        </w:rPr>
        <w:t>2</w:t>
      </w:r>
      <w:r>
        <w:rPr/>
        <w:t>）预计负债的计量方法</w:t>
      </w:r>
      <w:r>
        <w:rPr>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408" w:lineRule="auto" w:before="54"/>
        <w:ind w:left="573" w:right="995" w:hanging="420"/>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408" w:lineRule="auto"/>
        <w:ind w:left="573" w:right="995" w:hanging="420"/>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408" w:lineRule="auto"/>
        <w:ind w:right="995"/>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408" w:lineRule="auto"/>
        <w:ind w:right="995"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6"/>
        <w:rPr>
          <w:rFonts w:ascii="宋体" w:hAnsi="宋体" w:cs="宋体" w:eastAsia="宋体" w:hint="default"/>
          <w:sz w:val="15"/>
          <w:szCs w:val="15"/>
        </w:rPr>
      </w:pPr>
    </w:p>
    <w:p>
      <w:pPr>
        <w:pStyle w:val="Heading7"/>
        <w:spacing w:line="240" w:lineRule="auto"/>
        <w:ind w:right="995"/>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159"/>
        <w:ind w:left="573" w:right="995"/>
        <w:jc w:val="left"/>
      </w:pPr>
      <w:r>
        <w:rPr/>
        <w:t>本公司的营业收入主要包括销售商品收入及提供劳务收入，收入确认政策如下：</w:t>
      </w:r>
    </w:p>
    <w:p>
      <w:pPr>
        <w:spacing w:line="240" w:lineRule="auto" w:before="11"/>
        <w:rPr>
          <w:rFonts w:ascii="宋体" w:hAnsi="宋体" w:cs="宋体" w:eastAsia="宋体" w:hint="default"/>
          <w:sz w:val="14"/>
          <w:szCs w:val="14"/>
        </w:rPr>
      </w:pPr>
    </w:p>
    <w:p>
      <w:pPr>
        <w:pStyle w:val="BodyText"/>
        <w:spacing w:line="386" w:lineRule="auto" w:before="0"/>
        <w:ind w:left="573" w:right="995"/>
        <w:jc w:val="left"/>
      </w:pPr>
      <w:r>
        <w:rPr/>
        <w:t>（</w:t>
      </w:r>
      <w:r>
        <w:rPr>
          <w:rFonts w:ascii="Times New Roman" w:hAnsi="Times New Roman" w:cs="Times New Roman" w:eastAsia="Times New Roman" w:hint="default"/>
        </w:rPr>
        <w:t>1</w:t>
      </w:r>
      <w:r>
        <w:rPr/>
        <w:t>）销售商品收入确认时间的具体判断标准</w:t>
      </w:r>
      <w:r>
        <w:rPr>
          <w:w w:val="100"/>
        </w:rPr>
        <w:t> </w:t>
      </w:r>
      <w:r>
        <w:rPr>
          <w:spacing w:val="-2"/>
        </w:rPr>
        <w:t>本公司已将商品所有权上的主要风险和报酬转移给购买方；本公司既没有保留与所有权相联系的继续</w:t>
      </w:r>
    </w:p>
    <w:p>
      <w:pPr>
        <w:pStyle w:val="BodyText"/>
        <w:spacing w:line="408" w:lineRule="auto" w:before="65"/>
        <w:ind w:right="995"/>
        <w:jc w:val="left"/>
      </w:pPr>
      <w:r>
        <w:rPr>
          <w:spacing w:val="-2"/>
        </w:rPr>
        <w:t>管理权，也没有对已售出的商品实施有效控制；收入的金额能够可靠地计量；相关的经济利益很可能流入</w:t>
      </w:r>
      <w:r>
        <w:rPr>
          <w:spacing w:val="-44"/>
        </w:rPr>
        <w:t> </w:t>
      </w:r>
      <w:r>
        <w:rPr>
          <w:spacing w:val="-44"/>
        </w:rPr>
      </w:r>
      <w:r>
        <w:rPr/>
        <w:t>本公司；相关的已发生或将发生的成本能够可靠地计量时，确认商品销售收入实现。</w:t>
      </w:r>
    </w:p>
    <w:p>
      <w:pPr>
        <w:pStyle w:val="BodyText"/>
        <w:spacing w:line="240" w:lineRule="auto"/>
        <w:ind w:left="573" w:right="995"/>
        <w:jc w:val="left"/>
      </w:pPr>
      <w:r>
        <w:rPr/>
        <w:t>结合本公司产品销售的实际情况，制定的具体收入确认方法如下：</w:t>
      </w:r>
    </w:p>
    <w:p>
      <w:pPr>
        <w:spacing w:line="240" w:lineRule="auto" w:before="10"/>
        <w:rPr>
          <w:rFonts w:ascii="宋体" w:hAnsi="宋体" w:cs="宋体" w:eastAsia="宋体" w:hint="default"/>
          <w:sz w:val="14"/>
          <w:szCs w:val="14"/>
        </w:rPr>
      </w:pPr>
    </w:p>
    <w:p>
      <w:pPr>
        <w:pStyle w:val="BodyText"/>
        <w:spacing w:line="240" w:lineRule="auto" w:before="0"/>
        <w:ind w:left="573" w:right="995"/>
        <w:jc w:val="left"/>
      </w:pPr>
      <w:r>
        <w:rPr>
          <w:rFonts w:ascii="Times New Roman" w:hAnsi="Times New Roman" w:cs="Times New Roman" w:eastAsia="Times New Roman" w:hint="default"/>
        </w:rPr>
        <w:t>1</w:t>
      </w:r>
      <w:r>
        <w:rPr/>
        <w:t>）直接销售收入确认</w:t>
      </w:r>
    </w:p>
    <w:p>
      <w:pPr>
        <w:spacing w:after="0" w:line="240"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995" w:firstLine="420"/>
        <w:jc w:val="left"/>
      </w:pPr>
      <w:r>
        <w:rPr>
          <w:spacing w:val="-2"/>
        </w:rPr>
        <w:t>公司根据学生或家长的订单情况，通过第三方物流进行配送，由公司当地营销人员负责向中小学生或</w:t>
      </w:r>
      <w:r>
        <w:rPr>
          <w:w w:val="100"/>
        </w:rPr>
        <w:t> </w:t>
      </w:r>
      <w:r>
        <w:rPr/>
        <w:t>其家长发放，在与中小学生或其家长进行确认并收款后，直接确认销售收入。</w:t>
      </w:r>
    </w:p>
    <w:p>
      <w:pPr>
        <w:pStyle w:val="BodyText"/>
        <w:spacing w:line="386" w:lineRule="auto"/>
        <w:ind w:left="573" w:right="995"/>
        <w:jc w:val="left"/>
      </w:pPr>
      <w:r>
        <w:rPr>
          <w:rFonts w:ascii="Times New Roman" w:hAnsi="Times New Roman" w:cs="Times New Roman" w:eastAsia="Times New Roman" w:hint="default"/>
        </w:rPr>
        <w:t>2</w:t>
      </w:r>
      <w:r>
        <w:rPr/>
        <w:t>）教育系统征订销售渠道收入确认</w:t>
      </w:r>
      <w:r>
        <w:rPr>
          <w:w w:val="100"/>
        </w:rPr>
        <w:t> </w:t>
      </w:r>
      <w:r>
        <w:rPr>
          <w:spacing w:val="-2"/>
        </w:rPr>
        <w:t>根据订单规定的交货时间及送货地址由仓库根据商务开具的发货单明细配送发货；成品送至客户指定</w:t>
      </w:r>
    </w:p>
    <w:p>
      <w:pPr>
        <w:pStyle w:val="BodyText"/>
        <w:spacing w:line="408" w:lineRule="auto" w:before="65"/>
        <w:ind w:right="1126"/>
        <w:jc w:val="both"/>
      </w:pPr>
      <w:r>
        <w:rPr>
          <w:spacing w:val="-2"/>
        </w:rPr>
        <w:t>收货点后，由收货单位于送货单上盖章签字确认；相关送货人员将客户盖章签字确认的送货单交财务部门</w:t>
      </w:r>
      <w:r>
        <w:rPr>
          <w:spacing w:val="-42"/>
        </w:rPr>
        <w:t> </w:t>
      </w:r>
      <w:r>
        <w:rPr>
          <w:spacing w:val="-42"/>
        </w:rPr>
      </w:r>
      <w:r>
        <w:rPr>
          <w:spacing w:val="-2"/>
        </w:rPr>
        <w:t>和销售部门各一联；由公司商务部根据客户确认的送货单与客户核对产品品种、数量，根据合同单价制作</w:t>
      </w:r>
      <w:r>
        <w:rPr>
          <w:spacing w:val="-43"/>
        </w:rPr>
        <w:t> </w:t>
      </w:r>
      <w:r>
        <w:rPr>
          <w:spacing w:val="-43"/>
        </w:rPr>
      </w:r>
      <w:r>
        <w:rPr/>
        <w:t>对账结算单并邮寄至客户，由其盖章确认后回传至公司；根据客户回传确认的对账结算单确认收入。</w:t>
      </w:r>
    </w:p>
    <w:p>
      <w:pPr>
        <w:pStyle w:val="BodyText"/>
        <w:spacing w:line="386" w:lineRule="auto"/>
        <w:ind w:left="573" w:right="995"/>
        <w:jc w:val="left"/>
      </w:pPr>
      <w:r>
        <w:rPr>
          <w:rFonts w:ascii="Times New Roman" w:hAnsi="Times New Roman" w:cs="Times New Roman" w:eastAsia="Times New Roman" w:hint="default"/>
        </w:rPr>
        <w:t>3</w:t>
      </w:r>
      <w:r>
        <w:rPr/>
        <w:t>）系统销售一般收入确认</w:t>
      </w:r>
      <w:r>
        <w:rPr>
          <w:w w:val="100"/>
        </w:rPr>
        <w:t> </w:t>
      </w:r>
      <w:r>
        <w:rPr>
          <w:spacing w:val="-2"/>
        </w:rPr>
        <w:t>在客户信用额度内的订货，由商务部门开具发货单通知库房配送产品；本地客户由相关送货人员送至</w:t>
      </w:r>
    </w:p>
    <w:p>
      <w:pPr>
        <w:pStyle w:val="BodyText"/>
        <w:spacing w:line="408" w:lineRule="auto" w:before="65"/>
        <w:ind w:right="1126"/>
        <w:jc w:val="both"/>
      </w:pPr>
      <w:r>
        <w:rPr>
          <w:spacing w:val="-2"/>
        </w:rPr>
        <w:t>客户仓库，将客户盖章签字确认的送货单交财务部门和销售部门各一联。异地客户由客户收货员盖章签字</w:t>
      </w:r>
      <w:r>
        <w:rPr>
          <w:spacing w:val="-43"/>
        </w:rPr>
        <w:t> </w:t>
      </w:r>
      <w:r>
        <w:rPr>
          <w:spacing w:val="-43"/>
        </w:rPr>
      </w:r>
      <w:r>
        <w:rPr>
          <w:spacing w:val="-2"/>
        </w:rPr>
        <w:t>后传真给公司商务部门和财务部门留存；每月公司商务部门与书店系统代理进行对账确认。书店系统代理</w:t>
      </w:r>
      <w:r>
        <w:rPr>
          <w:spacing w:val="-42"/>
        </w:rPr>
        <w:t> </w:t>
      </w:r>
      <w:r>
        <w:rPr>
          <w:spacing w:val="-42"/>
        </w:rPr>
      </w:r>
      <w:r>
        <w:rPr/>
        <w:t>销售根据双方确认的对账结算单确认收入。</w:t>
      </w:r>
    </w:p>
    <w:p>
      <w:pPr>
        <w:pStyle w:val="BodyText"/>
        <w:spacing w:line="386" w:lineRule="auto"/>
        <w:ind w:left="573" w:right="995"/>
        <w:jc w:val="left"/>
      </w:pPr>
      <w:r>
        <w:rPr>
          <w:rFonts w:ascii="Times New Roman" w:hAnsi="Times New Roman" w:cs="Times New Roman" w:eastAsia="Times New Roman" w:hint="default"/>
        </w:rPr>
        <w:t>4</w:t>
      </w:r>
      <w:r>
        <w:rPr/>
        <w:t>）邮件系统、其他产品销售收入确认</w:t>
      </w:r>
      <w:r>
        <w:rPr>
          <w:w w:val="100"/>
        </w:rPr>
        <w:t> </w:t>
      </w:r>
      <w:r>
        <w:rPr>
          <w:spacing w:val="-2"/>
        </w:rPr>
        <w:t>邮件系统销售分产品销售与解决方案实施。大部分需进行二次开发、设备安装、上线试运行及验收等</w:t>
      </w:r>
    </w:p>
    <w:p>
      <w:pPr>
        <w:pStyle w:val="BodyText"/>
        <w:spacing w:line="408" w:lineRule="auto" w:before="65"/>
        <w:ind w:right="995"/>
        <w:jc w:val="left"/>
      </w:pPr>
      <w:r>
        <w:rPr>
          <w:spacing w:val="-5"/>
        </w:rPr>
        <w:t>程序；与货物相关的风险、所有权和责任，在验收合格后方转移到买方。公司在取得用户验收合格确认书、</w:t>
      </w:r>
      <w:r>
        <w:rPr>
          <w:spacing w:val="-9"/>
        </w:rPr>
        <w:t> </w:t>
      </w:r>
      <w:r>
        <w:rPr>
          <w:spacing w:val="-9"/>
        </w:rPr>
      </w:r>
      <w:r>
        <w:rPr/>
        <w:t>货物签收单时根据合同约定确认销售收入。</w:t>
      </w:r>
    </w:p>
    <w:p>
      <w:pPr>
        <w:pStyle w:val="BodyText"/>
        <w:spacing w:line="386" w:lineRule="auto"/>
        <w:ind w:left="573" w:right="995"/>
        <w:jc w:val="left"/>
      </w:pPr>
      <w:r>
        <w:rPr/>
        <w:t>（</w:t>
      </w:r>
      <w:r>
        <w:rPr>
          <w:rFonts w:ascii="Times New Roman" w:hAnsi="Times New Roman" w:cs="Times New Roman" w:eastAsia="Times New Roman" w:hint="default"/>
        </w:rPr>
        <w:t>2</w:t>
      </w:r>
      <w:r>
        <w:rPr/>
        <w:t>）确认让渡资产使用权收入的依据</w:t>
      </w:r>
      <w:r>
        <w:rPr>
          <w:w w:val="100"/>
        </w:rPr>
        <w:t> </w:t>
      </w:r>
      <w:r>
        <w:rPr>
          <w:spacing w:val="-2"/>
        </w:rPr>
        <w:t>与交易相关的经济利益很可能流入企业，收入的金额能够可靠地计量时，分别下列情况确定让渡资产</w:t>
      </w:r>
    </w:p>
    <w:p>
      <w:pPr>
        <w:pStyle w:val="BodyText"/>
        <w:spacing w:line="240" w:lineRule="auto" w:before="65"/>
        <w:ind w:right="0"/>
        <w:jc w:val="both"/>
      </w:pPr>
      <w:r>
        <w:rPr/>
        <w:t>使用权收入金额：</w:t>
      </w:r>
    </w:p>
    <w:p>
      <w:pPr>
        <w:spacing w:line="240" w:lineRule="auto" w:before="10"/>
        <w:rPr>
          <w:rFonts w:ascii="宋体" w:hAnsi="宋体" w:cs="宋体" w:eastAsia="宋体" w:hint="default"/>
          <w:sz w:val="14"/>
          <w:szCs w:val="14"/>
        </w:rPr>
      </w:pPr>
    </w:p>
    <w:p>
      <w:pPr>
        <w:pStyle w:val="BodyText"/>
        <w:spacing w:line="240" w:lineRule="auto" w:before="0"/>
        <w:ind w:left="573" w:right="995"/>
        <w:jc w:val="left"/>
      </w:pP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77"/>
        <w:ind w:left="573" w:right="995"/>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7"/>
        <w:rPr>
          <w:rFonts w:ascii="宋体" w:hAnsi="宋体" w:cs="宋体" w:eastAsia="宋体" w:hint="default"/>
          <w:sz w:val="25"/>
          <w:szCs w:val="25"/>
        </w:rPr>
      </w:pPr>
    </w:p>
    <w:p>
      <w:pPr>
        <w:pStyle w:val="Heading7"/>
        <w:spacing w:line="240" w:lineRule="auto"/>
        <w:ind w:right="0"/>
        <w:jc w:val="both"/>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8"/>
        <w:rPr>
          <w:rFonts w:ascii="Microsoft JhengHei" w:hAnsi="Microsoft JhengHei" w:cs="Microsoft JhengHei" w:eastAsia="Microsoft JhengHei" w:hint="default"/>
          <w:b/>
          <w:bCs/>
          <w:sz w:val="22"/>
          <w:szCs w:val="22"/>
        </w:rPr>
      </w:pPr>
    </w:p>
    <w:p>
      <w:pPr>
        <w:pStyle w:val="BodyText"/>
        <w:spacing w:line="408" w:lineRule="auto" w:before="0"/>
        <w:ind w:right="995" w:firstLine="420"/>
        <w:jc w:val="left"/>
      </w:pPr>
      <w:r>
        <w:rPr>
          <w:spacing w:val="-2"/>
        </w:rPr>
        <w:t>政府补助是本公司从政府无偿取得的货币性资产或非货币性资产，但不包括政府以投资者身份向本公</w:t>
      </w:r>
      <w:r>
        <w:rPr>
          <w:w w:val="100"/>
        </w:rPr>
        <w:t> </w:t>
      </w:r>
      <w:r>
        <w:rPr/>
        <w:t>司投入的资本。</w:t>
      </w:r>
    </w:p>
    <w:p>
      <w:pPr>
        <w:pStyle w:val="BodyText"/>
        <w:spacing w:line="408" w:lineRule="auto"/>
        <w:ind w:left="573" w:right="995"/>
        <w:jc w:val="left"/>
      </w:pPr>
      <w:r>
        <w:rPr/>
        <w:t>政府补助在能够满足政府补助所附条件，并能够收到时，予以确认。</w:t>
      </w:r>
      <w:r>
        <w:rPr>
          <w:w w:val="100"/>
        </w:rPr>
        <w:t> </w:t>
      </w:r>
      <w:r>
        <w:rPr>
          <w:spacing w:val="-2"/>
        </w:rPr>
        <w:t>政府补助为货币性资产的，按照收到或应收的金额计量。政府补助为非货币性资产的，按照公允价值</w:t>
      </w:r>
    </w:p>
    <w:p>
      <w:pPr>
        <w:pStyle w:val="BodyText"/>
        <w:spacing w:line="240" w:lineRule="auto"/>
        <w:ind w:right="0"/>
        <w:jc w:val="both"/>
      </w:pPr>
      <w:r>
        <w:rPr/>
        <w:t>计量。</w:t>
      </w:r>
    </w:p>
    <w:p>
      <w:pPr>
        <w:spacing w:line="240" w:lineRule="auto" w:before="10"/>
        <w:rPr>
          <w:rFonts w:ascii="宋体" w:hAnsi="宋体" w:cs="宋体" w:eastAsia="宋体" w:hint="default"/>
          <w:sz w:val="14"/>
          <w:szCs w:val="14"/>
        </w:rPr>
      </w:pPr>
    </w:p>
    <w:p>
      <w:pPr>
        <w:pStyle w:val="BodyText"/>
        <w:spacing w:line="408" w:lineRule="auto" w:before="0"/>
        <w:ind w:right="995" w:firstLine="420"/>
        <w:jc w:val="left"/>
      </w:pPr>
      <w:r>
        <w:rPr>
          <w:spacing w:val="-2"/>
        </w:rPr>
        <w:t>本公司取得的、用于购建或以其他方式形成长期资产的政府补助作为与资产相关的政府补助。本公司</w:t>
      </w:r>
      <w:r>
        <w:rPr>
          <w:w w:val="100"/>
        </w:rPr>
        <w:t> </w:t>
      </w:r>
      <w:r>
        <w:rPr>
          <w:spacing w:val="-2"/>
        </w:rPr>
        <w:t>取得的与资产相关之外的其他政府补助作为与收益相关的政府补助。与资产相关的政府补助，本公司将其</w:t>
      </w:r>
    </w:p>
    <w:p>
      <w:pPr>
        <w:spacing w:after="0" w:line="408" w:lineRule="auto"/>
        <w:jc w:val="left"/>
        <w:sectPr>
          <w:pgSz w:w="11910" w:h="16840"/>
          <w:pgMar w:header="880" w:footer="979" w:top="1100" w:bottom="116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995"/>
        <w:jc w:val="left"/>
      </w:pPr>
      <w:r>
        <w:rPr>
          <w:spacing w:val="-2"/>
        </w:rPr>
        <w:t>确认为递延收益，并在相关资产使用寿命内按照合理、系统的方法分期计入其他收益或营业外收入。与收</w:t>
      </w:r>
      <w:r>
        <w:rPr>
          <w:spacing w:val="-43"/>
        </w:rPr>
        <w:t> </w:t>
      </w:r>
      <w:r>
        <w:rPr>
          <w:spacing w:val="-43"/>
        </w:rPr>
      </w:r>
      <w:r>
        <w:rPr>
          <w:spacing w:val="-5"/>
        </w:rPr>
        <w:t>益相关的政府补助，如果用于补偿本公司以后期间的相关成本费用或损失的，本公司将其确认为递延收益，</w:t>
      </w:r>
      <w:r>
        <w:rPr>
          <w:spacing w:val="-7"/>
        </w:rPr>
        <w:t> </w:t>
      </w:r>
      <w:r>
        <w:rPr>
          <w:spacing w:val="-7"/>
        </w:rPr>
      </w:r>
      <w:r>
        <w:rPr>
          <w:spacing w:val="-2"/>
        </w:rPr>
        <w:t>并在确认相关成本费用或损失的期间，计入其他收益或营业外收入；如果用于补偿本公司已发生的相关成</w:t>
      </w:r>
      <w:r>
        <w:rPr>
          <w:spacing w:val="-44"/>
        </w:rPr>
        <w:t> </w:t>
      </w:r>
      <w:r>
        <w:rPr>
          <w:spacing w:val="-44"/>
        </w:rPr>
      </w:r>
      <w:r>
        <w:rPr/>
        <w:t>本费用或损失的，则直接计入其他收益或营业外收入。</w:t>
      </w:r>
    </w:p>
    <w:p>
      <w:pPr>
        <w:spacing w:line="240" w:lineRule="auto" w:before="6"/>
        <w:rPr>
          <w:rFonts w:ascii="宋体" w:hAnsi="宋体" w:cs="宋体" w:eastAsia="宋体" w:hint="default"/>
          <w:sz w:val="15"/>
          <w:szCs w:val="15"/>
        </w:rPr>
      </w:pPr>
    </w:p>
    <w:p>
      <w:pPr>
        <w:pStyle w:val="Heading7"/>
        <w:spacing w:line="240" w:lineRule="auto"/>
        <w:ind w:right="995"/>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98" w:lineRule="auto" w:before="0"/>
        <w:ind w:right="1126" w:firstLine="420"/>
        <w:jc w:val="both"/>
      </w:pPr>
      <w:r>
        <w:rPr/>
        <w:t>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w:t>
      </w:r>
      <w:r>
        <w:rPr>
          <w:w w:val="100"/>
        </w:rPr>
        <w:t> </w:t>
      </w:r>
      <w:r>
        <w:rPr>
          <w:spacing w:val="-2"/>
        </w:rPr>
        <w:t>确认。于资产负债表日，递延所得税资产和递延所得税负债，按照预期收回该资产或清偿该负债期间的适</w:t>
      </w:r>
      <w:r>
        <w:rPr>
          <w:spacing w:val="-44"/>
        </w:rPr>
        <w:t> </w:t>
      </w:r>
      <w:r>
        <w:rPr>
          <w:spacing w:val="-44"/>
        </w:rPr>
      </w:r>
      <w:r>
        <w:rPr/>
        <w:t>用税率计量。</w:t>
      </w:r>
    </w:p>
    <w:p>
      <w:pPr>
        <w:pStyle w:val="BodyText"/>
        <w:spacing w:line="386" w:lineRule="auto" w:before="54"/>
        <w:ind w:left="573" w:right="995"/>
        <w:jc w:val="left"/>
      </w:pPr>
      <w:r>
        <w:rPr/>
        <w:t>（</w:t>
      </w:r>
      <w:r>
        <w:rPr>
          <w:rFonts w:ascii="Times New Roman" w:hAnsi="Times New Roman" w:cs="Times New Roman" w:eastAsia="Times New Roman" w:hint="default"/>
        </w:rPr>
        <w:t>1</w:t>
      </w:r>
      <w:r>
        <w:rPr/>
        <w:t>）确认递延所得税资产的依据</w:t>
      </w:r>
      <w:r>
        <w:rPr>
          <w:w w:val="100"/>
        </w:rPr>
        <w:t> </w:t>
      </w:r>
      <w:r>
        <w:rPr>
          <w:spacing w:val="-2"/>
        </w:rPr>
        <w:t>本公司以很可能取得用来抵扣可抵扣暂时性差异、能够结转以后年度的可抵扣亏损和税款抵减的应纳</w:t>
      </w:r>
    </w:p>
    <w:p>
      <w:pPr>
        <w:pStyle w:val="BodyText"/>
        <w:spacing w:line="398" w:lineRule="auto" w:before="65"/>
        <w:ind w:right="1126"/>
        <w:jc w:val="both"/>
      </w:pPr>
      <w:r>
        <w:rPr>
          <w:spacing w:val="-2"/>
        </w:rPr>
        <w:t>税所得额为限，确认由可抵扣暂时性差异产生的递延所得税资产。但是，同时具有下列特征的交易中因资</w:t>
      </w:r>
      <w:r>
        <w:rPr>
          <w:spacing w:val="-44"/>
        </w:rPr>
        <w:t> </w:t>
      </w:r>
      <w:r>
        <w:rPr>
          <w:spacing w:val="-44"/>
        </w:rPr>
      </w:r>
      <w:r>
        <w:rPr>
          <w:spacing w:val="-2"/>
        </w:rPr>
        <w:t>产或负债的初始确认所产生的递延所得税资产不予确认：（</w:t>
      </w:r>
      <w:r>
        <w:rPr>
          <w:rFonts w:ascii="Times New Roman" w:hAnsi="Times New Roman" w:cs="Times New Roman" w:eastAsia="Times New Roman" w:hint="default"/>
          <w:spacing w:val="-2"/>
        </w:rPr>
        <w:t>1</w:t>
      </w:r>
      <w:r>
        <w:rPr>
          <w:spacing w:val="-2"/>
        </w:rPr>
        <w:t>）该交易不是企业合并；（</w:t>
      </w:r>
      <w:r>
        <w:rPr>
          <w:rFonts w:ascii="Times New Roman" w:hAnsi="Times New Roman" w:cs="Times New Roman" w:eastAsia="Times New Roman" w:hint="default"/>
          <w:spacing w:val="-2"/>
        </w:rPr>
        <w:t>2</w:t>
      </w:r>
      <w:r>
        <w:rPr>
          <w:spacing w:val="-2"/>
        </w:rPr>
        <w:t>）交易发生时既</w:t>
      </w:r>
      <w:r>
        <w:rPr>
          <w:spacing w:val="-42"/>
        </w:rPr>
        <w:t> </w:t>
      </w:r>
      <w:r>
        <w:rPr>
          <w:spacing w:val="-42"/>
        </w:rPr>
      </w:r>
      <w:r>
        <w:rPr/>
        <w:t>不影响会计利润也不影响应纳税所得额或可抵扣亏损。</w:t>
      </w:r>
    </w:p>
    <w:p>
      <w:pPr>
        <w:spacing w:line="396" w:lineRule="auto" w:before="54"/>
        <w:ind w:left="153" w:right="1104" w:firstLine="420"/>
        <w:jc w:val="both"/>
        <w:rPr>
          <w:rFonts w:ascii="宋体" w:hAnsi="宋体" w:cs="宋体" w:eastAsia="宋体" w:hint="default"/>
          <w:sz w:val="22"/>
          <w:szCs w:val="22"/>
        </w:rPr>
      </w:pPr>
      <w:r>
        <w:rPr>
          <w:rFonts w:ascii="宋体" w:hAnsi="宋体" w:cs="宋体" w:eastAsia="宋体" w:hint="default"/>
          <w:spacing w:val="-2"/>
          <w:sz w:val="21"/>
          <w:szCs w:val="21"/>
        </w:rPr>
        <w:t>对于与联营企业投资相关的可抵扣暂时性差异，同时满足下列条件的，确认相应的递延所得税资产：</w:t>
      </w:r>
      <w:r>
        <w:rPr>
          <w:rFonts w:ascii="宋体" w:hAnsi="宋体" w:cs="宋体" w:eastAsia="宋体" w:hint="default"/>
          <w:w w:val="100"/>
          <w:sz w:val="21"/>
          <w:szCs w:val="21"/>
        </w:rPr>
        <w:t> </w:t>
      </w:r>
      <w:r>
        <w:rPr>
          <w:rFonts w:ascii="宋体" w:hAnsi="宋体" w:cs="宋体" w:eastAsia="宋体" w:hint="default"/>
          <w:spacing w:val="-2"/>
          <w:sz w:val="21"/>
          <w:szCs w:val="21"/>
        </w:rPr>
        <w:t>暂时性差</w:t>
      </w:r>
      <w:r>
        <w:rPr>
          <w:rFonts w:ascii="宋体" w:hAnsi="宋体" w:cs="宋体" w:eastAsia="宋体" w:hint="default"/>
          <w:spacing w:val="-2"/>
          <w:sz w:val="22"/>
          <w:szCs w:val="22"/>
        </w:rPr>
        <w:t>异在可预见的未来很可能转回，且未来很可能获得用来抵扣可抵扣暂时性差异的应纳税所得</w:t>
      </w:r>
      <w:r>
        <w:rPr>
          <w:rFonts w:ascii="宋体" w:hAnsi="宋体" w:cs="宋体" w:eastAsia="宋体" w:hint="default"/>
          <w:spacing w:val="-32"/>
          <w:sz w:val="22"/>
          <w:szCs w:val="22"/>
        </w:rPr>
        <w:t> </w:t>
      </w:r>
      <w:r>
        <w:rPr>
          <w:rFonts w:ascii="宋体" w:hAnsi="宋体" w:cs="宋体" w:eastAsia="宋体" w:hint="default"/>
          <w:spacing w:val="-32"/>
          <w:sz w:val="22"/>
          <w:szCs w:val="22"/>
        </w:rPr>
      </w:r>
      <w:r>
        <w:rPr>
          <w:rFonts w:ascii="宋体" w:hAnsi="宋体" w:cs="宋体" w:eastAsia="宋体" w:hint="default"/>
          <w:sz w:val="22"/>
          <w:szCs w:val="22"/>
        </w:rPr>
        <w:t>额。</w:t>
      </w:r>
    </w:p>
    <w:p>
      <w:pPr>
        <w:pStyle w:val="BodyText"/>
        <w:spacing w:line="398" w:lineRule="auto" w:before="44"/>
        <w:ind w:left="573" w:right="995"/>
        <w:jc w:val="left"/>
      </w:pPr>
      <w:r>
        <w:rPr/>
        <w:t>（</w:t>
      </w:r>
      <w:r>
        <w:rPr>
          <w:rFonts w:ascii="Times New Roman" w:hAnsi="Times New Roman" w:cs="Times New Roman" w:eastAsia="Times New Roman" w:hint="default"/>
        </w:rPr>
        <w:t>2</w:t>
      </w:r>
      <w:r>
        <w:rPr/>
        <w:t>）确认递延所得税负债的依据</w:t>
      </w:r>
      <w:r>
        <w:rPr>
          <w:w w:val="100"/>
        </w:rPr>
        <w:t> </w:t>
      </w:r>
      <w:r>
        <w:rPr>
          <w:spacing w:val="-2"/>
        </w:rPr>
        <w:t>本公司将当期与以前期间应交未交的应纳税暂时性差异确认为递延所得税负债。但不包括：</w:t>
      </w:r>
      <w:r>
        <w:rPr>
          <w:spacing w:val="-28"/>
        </w:rPr>
        <w:t> </w:t>
      </w:r>
      <w:r>
        <w:rPr>
          <w:spacing w:val="-28"/>
        </w:rPr>
      </w:r>
      <w:r>
        <w:rPr>
          <w:rFonts w:ascii="Times New Roman" w:hAnsi="Times New Roman" w:cs="Times New Roman" w:eastAsia="Times New Roman" w:hint="default"/>
        </w:rPr>
        <w:t>1</w:t>
      </w:r>
      <w:r>
        <w:rPr/>
        <w:t>）商誉的初始确认所形成的暂时性差异；</w:t>
      </w:r>
    </w:p>
    <w:p>
      <w:pPr>
        <w:pStyle w:val="BodyText"/>
        <w:spacing w:line="386" w:lineRule="auto" w:before="24"/>
        <w:ind w:right="1136" w:firstLine="420"/>
        <w:jc w:val="both"/>
      </w:pPr>
      <w:r>
        <w:rPr>
          <w:rFonts w:ascii="Times New Roman" w:hAnsi="Times New Roman" w:cs="Times New Roman" w:eastAsia="Times New Roman" w:hint="default"/>
        </w:rPr>
        <w:t>2</w:t>
      </w:r>
      <w:r>
        <w:rPr/>
        <w:t>）非企业合并形成的交易或事项，且该交易或事项发生时既不影响会计利润，也不影响应纳税所得</w:t>
      </w:r>
      <w:r>
        <w:rPr>
          <w:w w:val="100"/>
        </w:rPr>
        <w:t> </w:t>
      </w:r>
      <w:r>
        <w:rPr/>
        <w:t>额（或可抵扣亏损）所形成的暂时性差异；</w:t>
      </w:r>
    </w:p>
    <w:p>
      <w:pPr>
        <w:pStyle w:val="BodyText"/>
        <w:spacing w:line="386" w:lineRule="auto" w:before="65"/>
        <w:ind w:right="1136" w:firstLine="420"/>
        <w:jc w:val="both"/>
      </w:pPr>
      <w:r>
        <w:rPr>
          <w:rFonts w:ascii="Times New Roman" w:hAnsi="Times New Roman" w:cs="Times New Roman" w:eastAsia="Times New Roman" w:hint="default"/>
        </w:rPr>
        <w:t>3</w:t>
      </w:r>
      <w:r>
        <w:rPr/>
        <w:t>）对于与子公司、联营企业投资相关的应纳税暂时性差异，该暂时性差异转回的时间能够控制并且</w:t>
      </w:r>
      <w:r>
        <w:rPr>
          <w:w w:val="100"/>
        </w:rPr>
        <w:t> </w:t>
      </w:r>
      <w:r>
        <w:rPr/>
        <w:t>该暂时性差异在可预见的未来很可能不会转回。</w:t>
      </w:r>
    </w:p>
    <w:p>
      <w:pPr>
        <w:pStyle w:val="BodyText"/>
        <w:spacing w:line="240" w:lineRule="auto" w:before="65"/>
        <w:ind w:left="573" w:right="995"/>
        <w:jc w:val="left"/>
      </w:pPr>
      <w:r>
        <w:rPr/>
        <w:t>（</w:t>
      </w:r>
      <w:r>
        <w:rPr>
          <w:rFonts w:ascii="Times New Roman" w:hAnsi="Times New Roman" w:cs="Times New Roman" w:eastAsia="Times New Roman" w:hint="default"/>
        </w:rPr>
        <w:t>3</w:t>
      </w:r>
      <w:r>
        <w:rPr/>
        <w:t>）同时满足下列条件时，将递延所得税资产及递延所得税负债以抵销后的净额列示</w:t>
      </w:r>
    </w:p>
    <w:p>
      <w:pPr>
        <w:pStyle w:val="BodyText"/>
        <w:spacing w:line="240" w:lineRule="auto" w:before="177"/>
        <w:ind w:left="573" w:right="995"/>
        <w:jc w:val="left"/>
      </w:pP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98" w:lineRule="auto" w:before="177"/>
        <w:ind w:right="1126" w:firstLine="420"/>
        <w:jc w:val="both"/>
      </w:pPr>
      <w:r>
        <w:rPr>
          <w:rFonts w:ascii="Times New Roman" w:hAnsi="Times New Roman" w:cs="Times New Roman" w:eastAsia="Times New Roman" w:hint="default"/>
        </w:rPr>
        <w:t>2</w:t>
      </w:r>
      <w:r>
        <w:rPr/>
        <w:t>）递延所得税资产和递延所得税负债是与同一税收征管部门对同一纳税主体征收的所得税相关或者</w:t>
      </w:r>
      <w:r>
        <w:rPr>
          <w:w w:val="100"/>
        </w:rPr>
        <w:t> </w:t>
      </w:r>
      <w:r>
        <w:rPr>
          <w:spacing w:val="-2"/>
        </w:rPr>
        <w:t>对不同的纳税主体相关，但在未来每一具有重要性的递延所得税资产和递延所得税负债转回的期间内，涉</w:t>
      </w:r>
      <w:r>
        <w:rPr>
          <w:spacing w:val="-43"/>
        </w:rPr>
        <w:t> </w:t>
      </w:r>
      <w:r>
        <w:rPr>
          <w:spacing w:val="-43"/>
        </w:rPr>
      </w:r>
      <w:r>
        <w:rPr/>
        <w:t>及的纳税主体体意图以净额结算当期所得税资产及当期所得税负债或是同时取得资产、清偿债务。</w:t>
      </w:r>
    </w:p>
    <w:p>
      <w:pPr>
        <w:spacing w:after="0" w:line="398" w:lineRule="auto"/>
        <w:jc w:val="both"/>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7"/>
        <w:spacing w:line="335" w:lineRule="exact"/>
        <w:ind w:right="995"/>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386" w:lineRule="auto" w:before="0"/>
        <w:ind w:right="995" w:firstLine="420"/>
        <w:jc w:val="left"/>
      </w:pPr>
      <w:r>
        <w:rPr>
          <w:rFonts w:ascii="Times New Roman" w:hAnsi="Times New Roman" w:cs="Times New Roman" w:eastAsia="Times New Roman" w:hint="default"/>
        </w:rPr>
        <w:t>1</w:t>
      </w:r>
      <w:r>
        <w:rPr/>
        <w:t>）本公司租入资产所支付的租赁费，在不扣除免租期的整个租赁期内，按直线法进行分摊，计入当</w:t>
      </w:r>
      <w:r>
        <w:rPr>
          <w:w w:val="100"/>
        </w:rPr>
        <w:t> </w:t>
      </w:r>
      <w:r>
        <w:rPr/>
        <w:t>期费用。本公司支付的与租赁交易相关的初始直接费用，计入当期费用。</w:t>
      </w:r>
    </w:p>
    <w:p>
      <w:pPr>
        <w:pStyle w:val="BodyText"/>
        <w:spacing w:line="408" w:lineRule="auto" w:before="65"/>
        <w:ind w:right="995" w:firstLine="420"/>
        <w:jc w:val="left"/>
      </w:pPr>
      <w:r>
        <w:rPr>
          <w:spacing w:val="-2"/>
        </w:rPr>
        <w:t>资产出租方承担了应由本公司承担的与租赁相关的费用时，本公司将该部分费用从租金总额中扣除，</w:t>
      </w:r>
      <w:r>
        <w:rPr>
          <w:w w:val="100"/>
        </w:rPr>
        <w:t> </w:t>
      </w:r>
      <w:r>
        <w:rPr/>
        <w:t>按扣除后的租金费用在租赁期内分摊，计入当期费用。</w:t>
      </w:r>
    </w:p>
    <w:p>
      <w:pPr>
        <w:pStyle w:val="BodyText"/>
        <w:spacing w:line="398" w:lineRule="auto"/>
        <w:ind w:right="995" w:firstLine="420"/>
        <w:jc w:val="left"/>
      </w:pPr>
      <w:r>
        <w:rPr>
          <w:rFonts w:ascii="Times New Roman" w:hAnsi="Times New Roman" w:cs="Times New Roman" w:eastAsia="Times New Roman" w:hint="default"/>
        </w:rPr>
        <w:t>2</w:t>
      </w:r>
      <w:r>
        <w:rPr/>
        <w:t>）本公司出租资产所收取的租赁费，在不扣除免租期的整个租赁期内，按直线法进行分摊，确认为</w:t>
      </w:r>
      <w:r>
        <w:rPr>
          <w:w w:val="100"/>
        </w:rPr>
        <w:t> </w:t>
      </w:r>
      <w:r>
        <w:rPr>
          <w:spacing w:val="-5"/>
        </w:rPr>
        <w:t>租赁收入。本公司支付的与租赁交易相关的初始直接费用，计入当期费用；如金额较大的，则予以资本化，</w:t>
      </w:r>
      <w:r>
        <w:rPr>
          <w:spacing w:val="-9"/>
        </w:rPr>
        <w:t> </w:t>
      </w:r>
      <w:r>
        <w:rPr>
          <w:spacing w:val="-9"/>
        </w:rPr>
      </w:r>
      <w:r>
        <w:rPr/>
        <w:t>在整个租赁期间内按照与租赁收入确认相同的基础分期计入当期收益。</w:t>
      </w:r>
    </w:p>
    <w:p>
      <w:pPr>
        <w:pStyle w:val="BodyText"/>
        <w:spacing w:line="408" w:lineRule="auto" w:before="54"/>
        <w:ind w:right="995" w:firstLine="420"/>
        <w:jc w:val="left"/>
      </w:pPr>
      <w:r>
        <w:rPr>
          <w:spacing w:val="-2"/>
        </w:rPr>
        <w:t>本公司承担了应由承租方承担的与租赁相关的费用时，本公司将该部分费用从租金收入总额中扣除，</w:t>
      </w:r>
      <w:r>
        <w:rPr>
          <w:w w:val="100"/>
        </w:rPr>
        <w:t> </w:t>
      </w:r>
      <w:r>
        <w:rPr/>
        <w:t>按扣除后的租金费用在租赁期内分配。</w:t>
      </w:r>
    </w:p>
    <w:p>
      <w:pPr>
        <w:spacing w:line="240" w:lineRule="auto" w:before="6"/>
        <w:rPr>
          <w:rFonts w:ascii="宋体" w:hAnsi="宋体" w:cs="宋体" w:eastAsia="宋体" w:hint="default"/>
          <w:sz w:val="15"/>
          <w:szCs w:val="15"/>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234"/>
        <w:gridCol w:w="3233"/>
        <w:gridCol w:w="3231"/>
      </w:tblGrid>
      <w:tr>
        <w:trPr>
          <w:trHeight w:val="401"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4"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日修订发布</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7"/>
                <w:sz w:val="18"/>
                <w:szCs w:val="18"/>
              </w:rPr>
              <w:t>了《企业会计准则第 </w:t>
            </w:r>
            <w:r>
              <w:rPr>
                <w:rFonts w:ascii="Times New Roman" w:hAnsi="Times New Roman" w:cs="Times New Roman" w:eastAsia="Times New Roman" w:hint="default"/>
                <w:sz w:val="18"/>
                <w:szCs w:val="18"/>
              </w:rPr>
              <w:t>22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确认和计量</w:t>
            </w:r>
            <w:r>
              <w:rPr>
                <w:rFonts w:ascii="宋体" w:hAnsi="宋体" w:cs="宋体" w:eastAsia="宋体" w:hint="default"/>
                <w:spacing w:val="-92"/>
                <w:sz w:val="18"/>
                <w:szCs w:val="18"/>
              </w:rPr>
              <w:t>》、</w:t>
            </w:r>
            <w:r>
              <w:rPr>
                <w:rFonts w:ascii="宋体" w:hAnsi="宋体" w:cs="宋体" w:eastAsia="宋体" w:hint="default"/>
                <w:sz w:val="18"/>
                <w:szCs w:val="18"/>
              </w:rPr>
              <w:t>《企业会计准</w:t>
            </w:r>
            <w:r>
              <w:rPr>
                <w:rFonts w:ascii="宋体" w:hAnsi="宋体" w:cs="宋体" w:eastAsia="宋体" w:hint="default"/>
                <w:spacing w:val="2"/>
                <w:sz w:val="18"/>
                <w:szCs w:val="18"/>
              </w:rPr>
              <w:t>则</w:t>
            </w:r>
            <w:r>
              <w:rPr>
                <w:rFonts w:ascii="宋体" w:hAnsi="宋体" w:cs="宋体" w:eastAsia="宋体" w:hint="default"/>
                <w:sz w:val="18"/>
                <w:szCs w:val="18"/>
              </w:rPr>
              <w:t>第</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p>
          <w:p>
            <w:pPr>
              <w:pStyle w:val="TableParagraph"/>
              <w:spacing w:line="300"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r>
              <w:rPr>
                <w:rFonts w:ascii="宋体" w:hAnsi="宋体" w:cs="宋体" w:eastAsia="宋体" w:hint="default"/>
                <w:spacing w:val="-92"/>
                <w:sz w:val="18"/>
                <w:szCs w:val="18"/>
              </w:rPr>
              <w:t>》、</w:t>
            </w:r>
            <w:r>
              <w:rPr>
                <w:rFonts w:ascii="宋体" w:hAnsi="宋体" w:cs="宋体" w:eastAsia="宋体" w:hint="default"/>
                <w:sz w:val="18"/>
                <w:szCs w:val="18"/>
              </w:rPr>
              <w:t>《企业</w:t>
            </w:r>
            <w:r>
              <w:rPr>
                <w:rFonts w:ascii="宋体" w:hAnsi="宋体" w:cs="宋体" w:eastAsia="宋体" w:hint="default"/>
                <w:spacing w:val="2"/>
                <w:sz w:val="18"/>
                <w:szCs w:val="18"/>
              </w:rPr>
              <w:t>会</w:t>
            </w:r>
            <w:r>
              <w:rPr>
                <w:rFonts w:ascii="宋体" w:hAnsi="宋体" w:cs="宋体" w:eastAsia="宋体" w:hint="default"/>
                <w:sz w:val="18"/>
                <w:szCs w:val="18"/>
              </w:rPr>
              <w:t>计准则第</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财政</w:t>
            </w:r>
            <w:r>
              <w:rPr>
                <w:rFonts w:ascii="宋体" w:hAnsi="宋体" w:cs="宋体" w:eastAsia="宋体" w:hint="default"/>
                <w:spacing w:val="-3"/>
                <w:sz w:val="18"/>
                <w:szCs w:val="18"/>
              </w:rPr>
              <w:t>部</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  </w:t>
            </w:r>
            <w:r>
              <w:rPr>
                <w:rFonts w:ascii="宋体" w:hAnsi="宋体" w:cs="宋体" w:eastAsia="宋体" w:hint="default"/>
                <w:sz w:val="18"/>
                <w:szCs w:val="18"/>
              </w:rPr>
              <w:t>年</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日修订发布了《企业会计准则第</w:t>
            </w:r>
          </w:p>
          <w:p>
            <w:pPr>
              <w:pStyle w:val="TableParagraph"/>
              <w:spacing w:line="304" w:lineRule="auto" w:before="63"/>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4"/>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金融工具列报》（以上四项准则</w:t>
            </w:r>
            <w:r>
              <w:rPr>
                <w:rFonts w:ascii="宋体" w:hAnsi="宋体" w:cs="宋体" w:eastAsia="宋体" w:hint="default"/>
                <w:sz w:val="18"/>
                <w:szCs w:val="18"/>
              </w:rPr>
              <w:t> </w:t>
            </w:r>
            <w:r>
              <w:rPr>
                <w:rFonts w:ascii="宋体" w:hAnsi="宋体" w:cs="宋体" w:eastAsia="宋体" w:hint="default"/>
                <w:spacing w:val="-5"/>
                <w:w w:val="100"/>
                <w:sz w:val="18"/>
                <w:szCs w:val="18"/>
              </w:rPr>
              <w:t>统称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新金融工具准则</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），本公司在编制</w:t>
            </w:r>
            <w:r>
              <w:rPr>
                <w:rFonts w:ascii="宋体" w:hAnsi="宋体" w:cs="宋体" w:eastAsia="宋体" w:hint="default"/>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年度财务报表时，执行了相关会计 准则，并按照有关的衔接规定进行了处 理。</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公司第四届董事会第四次会议批准。</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4" w:right="19"/>
              <w:jc w:val="both"/>
              <w:rPr>
                <w:rFonts w:ascii="宋体" w:hAnsi="宋体" w:cs="宋体" w:eastAsia="宋体" w:hint="default"/>
                <w:sz w:val="18"/>
                <w:szCs w:val="18"/>
              </w:rPr>
            </w:pPr>
            <w:r>
              <w:rPr>
                <w:rFonts w:ascii="宋体" w:hAnsi="宋体" w:cs="宋体" w:eastAsia="宋体" w:hint="default"/>
                <w:sz w:val="18"/>
                <w:szCs w:val="18"/>
              </w:rPr>
              <w:t>具体详见本公司于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日在巨 </w:t>
            </w:r>
            <w:r>
              <w:rPr>
                <w:rFonts w:ascii="宋体" w:hAnsi="宋体" w:cs="宋体" w:eastAsia="宋体" w:hint="default"/>
                <w:spacing w:val="-4"/>
                <w:sz w:val="18"/>
                <w:szCs w:val="18"/>
              </w:rPr>
              <w:t>潮资讯网中披露的《关于会计政策变更的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公告》（公告编号：</w:t>
            </w:r>
            <w:r>
              <w:rPr>
                <w:rFonts w:ascii="Times New Roman" w:hAnsi="Times New Roman" w:cs="Times New Roman" w:eastAsia="Times New Roman" w:hint="default"/>
                <w:spacing w:val="-6"/>
                <w:sz w:val="18"/>
                <w:szCs w:val="18"/>
              </w:rPr>
              <w:t>2019-016</w:t>
            </w:r>
            <w:r>
              <w:rPr>
                <w:rFonts w:ascii="宋体" w:hAnsi="宋体" w:cs="宋体" w:eastAsia="宋体" w:hint="default"/>
                <w:spacing w:val="-6"/>
                <w:sz w:val="18"/>
                <w:szCs w:val="18"/>
              </w:rPr>
              <w:t>）</w:t>
            </w:r>
          </w:p>
        </w:tc>
      </w:tr>
    </w:tbl>
    <w:p>
      <w:pPr>
        <w:spacing w:after="0" w:line="307" w:lineRule="auto"/>
        <w:jc w:val="both"/>
        <w:rPr>
          <w:rFonts w:ascii="宋体" w:hAnsi="宋体" w:cs="宋体" w:eastAsia="宋体" w:hint="default"/>
          <w:sz w:val="18"/>
          <w:szCs w:val="18"/>
        </w:rPr>
        <w:sectPr>
          <w:pgSz w:w="11910" w:h="16840"/>
          <w:pgMar w:header="88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234"/>
        <w:gridCol w:w="3233"/>
        <w:gridCol w:w="3231"/>
      </w:tblGrid>
      <w:tr>
        <w:trPr>
          <w:trHeight w:val="2588"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财政部分别于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日颁布了《关于修定印</w:t>
            </w:r>
          </w:p>
          <w:p>
            <w:pPr>
              <w:pStyle w:val="TableParagraph"/>
              <w:spacing w:line="304"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发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年度一般企业财务报表格式的 </w:t>
            </w:r>
            <w:r>
              <w:rPr>
                <w:rFonts w:ascii="宋体" w:hAnsi="宋体" w:cs="宋体" w:eastAsia="宋体" w:hint="default"/>
                <w:spacing w:val="-8"/>
                <w:sz w:val="18"/>
                <w:szCs w:val="18"/>
              </w:rPr>
              <w:t>通知》（财会〔</w:t>
            </w:r>
            <w:r>
              <w:rPr>
                <w:rFonts w:ascii="Times New Roman" w:hAnsi="Times New Roman" w:cs="Times New Roman" w:eastAsia="Times New Roman" w:hint="default"/>
                <w:spacing w:val="-8"/>
                <w:sz w:val="18"/>
                <w:szCs w:val="18"/>
              </w:rPr>
              <w:t>2019</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pacing w:val="-23"/>
                <w:sz w:val="18"/>
                <w:szCs w:val="18"/>
              </w:rPr>
              <w:t>号）、《关于修定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印发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年度合并财务报表（</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的通知》（财会〔</w:t>
            </w: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16</w:t>
            </w:r>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号）。公司按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照《修订通知》的规定和要求，对财务报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表格式进行相应变更。</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left="2" w:right="-51"/>
              <w:jc w:val="left"/>
              <w:rPr>
                <w:rFonts w:ascii="宋体" w:hAnsi="宋体" w:cs="宋体" w:eastAsia="宋体" w:hint="default"/>
                <w:sz w:val="20"/>
                <w:szCs w:val="20"/>
              </w:rPr>
            </w:pPr>
            <w:r>
              <w:rPr>
                <w:rFonts w:ascii="宋体" w:hAnsi="宋体" w:cs="宋体" w:eastAsia="宋体" w:hint="default"/>
                <w:position w:val="-21"/>
                <w:sz w:val="20"/>
                <w:szCs w:val="20"/>
              </w:rPr>
              <w:pict>
                <v:group style="width:161.1pt;height:54.65pt;mso-position-horizontal-relative:char;mso-position-vertical-relative:line" coordorigin="0,0" coordsize="3222,1093">
                  <v:group style="position:absolute;left:0;top:0;width:3222;height:1093" coordorigin="0,0" coordsize="3222,1093">
                    <v:shape style="position:absolute;left:0;top:0;width:3222;height:1093" coordorigin="0,0" coordsize="3222,1093" path="m0,1092l3221,1092,3221,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公司第四届董事会第七次会议</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4" w:right="20"/>
              <w:jc w:val="both"/>
              <w:rPr>
                <w:rFonts w:ascii="宋体" w:hAnsi="宋体" w:cs="宋体" w:eastAsia="宋体" w:hint="default"/>
                <w:sz w:val="18"/>
                <w:szCs w:val="18"/>
              </w:rPr>
            </w:pPr>
            <w:r>
              <w:rPr>
                <w:rFonts w:ascii="宋体" w:hAnsi="宋体" w:cs="宋体" w:eastAsia="宋体" w:hint="default"/>
                <w:sz w:val="18"/>
                <w:szCs w:val="18"/>
              </w:rPr>
              <w:t>具体详见本公司于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日在 </w:t>
            </w:r>
            <w:r>
              <w:rPr>
                <w:rFonts w:ascii="宋体" w:hAnsi="宋体" w:cs="宋体" w:eastAsia="宋体" w:hint="default"/>
                <w:spacing w:val="-4"/>
                <w:sz w:val="18"/>
                <w:szCs w:val="18"/>
              </w:rPr>
              <w:t>巨潮资讯网中披露的《关于会计政策变更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的公告》（公告编号：</w:t>
            </w:r>
            <w:r>
              <w:rPr>
                <w:rFonts w:ascii="Times New Roman" w:hAnsi="Times New Roman" w:cs="Times New Roman" w:eastAsia="Times New Roman" w:hint="default"/>
                <w:spacing w:val="-5"/>
                <w:sz w:val="18"/>
                <w:szCs w:val="18"/>
              </w:rPr>
              <w:t>2019-049</w:t>
            </w:r>
            <w:r>
              <w:rPr>
                <w:rFonts w:ascii="宋体" w:hAnsi="宋体" w:cs="宋体" w:eastAsia="宋体" w:hint="default"/>
                <w:spacing w:val="-5"/>
                <w:sz w:val="18"/>
                <w:szCs w:val="18"/>
              </w:rPr>
              <w:t>）</w:t>
            </w:r>
          </w:p>
        </w:tc>
      </w:tr>
    </w:tbl>
    <w:p>
      <w:pPr>
        <w:pStyle w:val="BodyText"/>
        <w:spacing w:line="386" w:lineRule="auto" w:before="66"/>
        <w:ind w:left="573" w:right="995"/>
        <w:jc w:val="left"/>
      </w:pPr>
      <w:r>
        <w:rPr/>
        <w:pict>
          <v:shape style="position:absolute;margin-left:202.130005pt;margin-top:-129.416306pt;width:176.2pt;height:128.8pt;mso-position-horizontal-relative:page;mso-position-vertical-relative:paragraph;z-index:-8632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版）</w:t>
                  </w:r>
                </w:p>
              </w:txbxContent>
            </v:textbox>
            <w10:wrap type="none"/>
          </v:shape>
        </w:pict>
      </w:r>
      <w:r>
        <w:rPr/>
        <w:pict>
          <v:group style="position:absolute;margin-left:217.25pt;margin-top:-55.236305pt;width:161.1pt;height:54.6pt;mso-position-horizontal-relative:page;mso-position-vertical-relative:paragraph;z-index:-863272" coordorigin="4345,-1105" coordsize="3222,1092">
            <v:shape style="position:absolute;left:4345;top:-1105;width:3222;height:1092" coordorigin="4345,-1105" coordsize="3222,1092" path="m4345,-13l7566,-13,7566,-1105,4345,-1105,4345,-13xe" filled="true" fillcolor="#ffffff" stroked="false">
              <v:path arrowok="t"/>
              <v:fill type="solid"/>
            </v:shape>
            <w10:wrap type="none"/>
          </v:group>
        </w:pict>
      </w:r>
      <w:r>
        <w:rPr>
          <w:rFonts w:ascii="Times New Roman" w:hAnsi="Times New Roman" w:cs="Times New Roman" w:eastAsia="Times New Roman" w:hint="default"/>
        </w:rPr>
        <w:t>1</w:t>
      </w:r>
      <w:r>
        <w:rPr/>
        <w:t>）新金融工具准则变更说明：</w:t>
      </w:r>
      <w:r>
        <w:rPr>
          <w:w w:val="100"/>
        </w:rPr>
        <w:t> </w:t>
      </w:r>
      <w:r>
        <w:rPr>
          <w:spacing w:val="-2"/>
        </w:rPr>
        <w:t>金融资产分类与计量方面，新金融工具准则要求金融资产基于其合同现金流量特征及企业管理该等资</w:t>
      </w:r>
    </w:p>
    <w:p>
      <w:pPr>
        <w:pStyle w:val="BodyText"/>
        <w:spacing w:line="398" w:lineRule="auto" w:before="65"/>
        <w:ind w:right="1020"/>
        <w:jc w:val="both"/>
      </w:pPr>
      <w:r>
        <w:rPr>
          <w:spacing w:val="-4"/>
          <w:w w:val="100"/>
        </w:rPr>
        <w:t>产的业务模式分类为</w:t>
      </w:r>
      <w:r>
        <w:rPr>
          <w:rFonts w:ascii="Times New Roman" w:hAnsi="Times New Roman" w:cs="Times New Roman" w:eastAsia="Times New Roman" w:hint="default"/>
          <w:spacing w:val="-4"/>
          <w:w w:val="100"/>
        </w:rPr>
        <w:t>“</w:t>
      </w:r>
      <w:r>
        <w:rPr>
          <w:spacing w:val="-4"/>
          <w:w w:val="100"/>
        </w:rPr>
        <w:t>以摊余成本计量的金融资产</w:t>
      </w:r>
      <w:r>
        <w:rPr>
          <w:rFonts w:ascii="Times New Roman" w:hAnsi="Times New Roman" w:cs="Times New Roman" w:eastAsia="Times New Roman" w:hint="default"/>
          <w:spacing w:val="-4"/>
          <w:w w:val="100"/>
        </w:rPr>
        <w:t>”</w:t>
      </w:r>
      <w:r>
        <w:rPr>
          <w:spacing w:val="-4"/>
          <w:w w:val="100"/>
        </w:rPr>
        <w:t>、</w:t>
      </w:r>
      <w:r>
        <w:rPr>
          <w:rFonts w:ascii="Times New Roman" w:hAnsi="Times New Roman" w:cs="Times New Roman" w:eastAsia="Times New Roman" w:hint="default"/>
          <w:spacing w:val="-4"/>
          <w:w w:val="100"/>
        </w:rPr>
        <w:t>“</w:t>
      </w:r>
      <w:r>
        <w:rPr>
          <w:spacing w:val="-4"/>
          <w:w w:val="100"/>
        </w:rPr>
        <w:t>以公允价值计量且其变动计入其他综合收益的金融资</w:t>
      </w:r>
      <w:r>
        <w:rPr>
          <w:spacing w:val="-73"/>
          <w:w w:val="100"/>
        </w:rPr>
        <w:t> </w:t>
      </w:r>
      <w:r>
        <w:rPr>
          <w:spacing w:val="-73"/>
          <w:w w:val="100"/>
        </w:rPr>
      </w:r>
      <w:r>
        <w:rPr>
          <w:spacing w:val="-4"/>
        </w:rPr>
        <w:t>产</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以公允价值计量且其变动计入当期损益的金融资产</w:t>
      </w:r>
      <w:r>
        <w:rPr>
          <w:rFonts w:ascii="Times New Roman" w:hAnsi="Times New Roman" w:cs="Times New Roman" w:eastAsia="Times New Roman" w:hint="default"/>
          <w:spacing w:val="-4"/>
        </w:rPr>
        <w:t>”</w:t>
      </w:r>
      <w:r>
        <w:rPr>
          <w:spacing w:val="-4"/>
        </w:rPr>
        <w:t>三大类别。取消了贷款和应收款项、持有至到期</w:t>
      </w:r>
      <w:r>
        <w:rPr>
          <w:spacing w:val="-16"/>
        </w:rPr>
        <w:t> </w:t>
      </w:r>
      <w:r>
        <w:rPr>
          <w:spacing w:val="-16"/>
        </w:rPr>
      </w:r>
      <w:r>
        <w:rPr>
          <w:spacing w:val="-2"/>
        </w:rPr>
        <w:t>投资和可供出售金融资产等原分类。权益工具投资一般分类为以公允价值计量且其变动计入当期损益的金</w:t>
      </w:r>
      <w:r>
        <w:rPr>
          <w:spacing w:val="-43"/>
        </w:rPr>
        <w:t> </w:t>
      </w:r>
      <w:r>
        <w:rPr>
          <w:spacing w:val="-43"/>
        </w:rPr>
      </w:r>
      <w:r>
        <w:rPr>
          <w:spacing w:val="-2"/>
        </w:rPr>
        <w:t>融资产，也允许企业将非交易性权益工具投资指定为以公允价值计量且其变动计入其他综合收益的金融资</w:t>
      </w:r>
      <w:r>
        <w:rPr>
          <w:spacing w:val="-43"/>
        </w:rPr>
        <w:t> </w:t>
      </w:r>
      <w:r>
        <w:rPr>
          <w:spacing w:val="-43"/>
        </w:rPr>
      </w:r>
      <w:r>
        <w:rPr>
          <w:spacing w:val="-5"/>
        </w:rPr>
        <w:t>产，但该指定不可撤销，且在处置时不得将原计入其他综合收益的累计公允价值变动额结转计入当期损益。</w:t>
      </w:r>
    </w:p>
    <w:p>
      <w:pPr>
        <w:pStyle w:val="BodyText"/>
        <w:spacing w:line="403" w:lineRule="auto" w:before="54"/>
        <w:ind w:right="1126" w:firstLine="420"/>
        <w:jc w:val="both"/>
      </w:pPr>
      <w:r>
        <w:rPr>
          <w:spacing w:val="-2"/>
        </w:rPr>
        <w:t>金融资产减值方面，新金融工具准则有关减值的要求适用于以摊余成本计量以及以公允价值计量且其</w:t>
      </w:r>
      <w:r>
        <w:rPr>
          <w:w w:val="100"/>
        </w:rPr>
        <w:t> </w:t>
      </w:r>
      <w:r>
        <w:rPr>
          <w:spacing w:val="-2"/>
        </w:rPr>
        <w:t>变动计入其他综合收益的金融资产、租赁应收款、应收账款、合同资产以及特定未提用的贷款承诺。新金</w:t>
      </w:r>
      <w:r>
        <w:rPr>
          <w:spacing w:val="-47"/>
        </w:rPr>
        <w:t> </w:t>
      </w:r>
      <w:r>
        <w:rPr>
          <w:spacing w:val="-47"/>
        </w:rPr>
      </w:r>
      <w:r>
        <w:rPr>
          <w:spacing w:val="-2"/>
        </w:rPr>
        <w:t>融工具准则要求采用预期信用损失模型以替代原先的已发生信用损失模型。新减值模型要求采用三阶段模</w:t>
      </w:r>
      <w:r>
        <w:rPr>
          <w:spacing w:val="-43"/>
        </w:rPr>
        <w:t> </w:t>
      </w:r>
      <w:r>
        <w:rPr>
          <w:spacing w:val="-43"/>
        </w:rPr>
      </w:r>
      <w:r>
        <w:rPr>
          <w:spacing w:val="-2"/>
        </w:rPr>
        <w:t>型，依据相关项目自初始确认后信用风险是否发生显著增加，信用损失准备按</w:t>
      </w:r>
      <w:r>
        <w:rPr>
          <w:rFonts w:ascii="Times New Roman" w:hAnsi="Times New Roman" w:cs="Times New Roman" w:eastAsia="Times New Roman" w:hint="default"/>
          <w:spacing w:val="-2"/>
        </w:rPr>
        <w:t>12</w:t>
      </w:r>
      <w:r>
        <w:rPr>
          <w:spacing w:val="-2"/>
        </w:rPr>
        <w:t>个月内预期信用损失或者</w:t>
      </w:r>
      <w:r>
        <w:rPr>
          <w:spacing w:val="-41"/>
        </w:rPr>
        <w:t> </w:t>
      </w:r>
      <w:r>
        <w:rPr>
          <w:spacing w:val="-41"/>
        </w:rPr>
      </w:r>
      <w:r>
        <w:rPr>
          <w:spacing w:val="-2"/>
        </w:rPr>
        <w:t>整个存续期的预期信用损失进行计提。对于应收账款、合同资产及租赁应收款存在简化方法，允许始终按</w:t>
      </w:r>
      <w:r>
        <w:rPr>
          <w:spacing w:val="-43"/>
        </w:rPr>
        <w:t> </w:t>
      </w:r>
      <w:r>
        <w:rPr>
          <w:spacing w:val="-43"/>
        </w:rPr>
      </w:r>
      <w:r>
        <w:rPr/>
        <w:t>照整个存续期预期信用损失确认减值准备。</w:t>
      </w:r>
    </w:p>
    <w:p>
      <w:pPr>
        <w:pStyle w:val="BodyText"/>
        <w:spacing w:line="393" w:lineRule="auto" w:before="50"/>
        <w:ind w:right="1125" w:firstLine="420"/>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w:t>
      </w:r>
      <w:r>
        <w:rPr>
          <w:w w:val="100"/>
        </w:rPr>
        <w:t> </w:t>
      </w:r>
      <w:r>
        <w:rPr>
          <w:spacing w:val="-2"/>
        </w:rPr>
        <w:t>准则的要求进行衔接调整。涉及前期比较财务报表数据与新金融工具准则要求不一致的，本公司不进行调</w:t>
      </w:r>
      <w:r>
        <w:rPr>
          <w:spacing w:val="-44"/>
        </w:rPr>
        <w:t> </w:t>
      </w:r>
      <w:r>
        <w:rPr>
          <w:spacing w:val="-44"/>
        </w:rPr>
      </w:r>
      <w:r>
        <w:rPr>
          <w:spacing w:val="-2"/>
        </w:rPr>
        <w:t>整。金融工具原账面价值和在新金融工具准则施行日的新账面价值之间的差额，计入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日的留存</w:t>
      </w:r>
      <w:r>
        <w:rPr>
          <w:spacing w:val="-38"/>
        </w:rPr>
        <w:t> </w:t>
      </w:r>
      <w:r>
        <w:rPr>
          <w:spacing w:val="-38"/>
        </w:rPr>
      </w:r>
      <w:r>
        <w:rPr/>
        <w:t>收益或其他综合收益。于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日本公司采用新金融工具准则的影响详见下表。</w:t>
      </w:r>
    </w:p>
    <w:p>
      <w:pPr>
        <w:pStyle w:val="BodyText"/>
        <w:spacing w:line="240" w:lineRule="auto" w:before="29"/>
        <w:ind w:left="573" w:right="995"/>
        <w:jc w:val="left"/>
      </w:pPr>
      <w:r>
        <w:rPr>
          <w:rFonts w:ascii="Times New Roman" w:hAnsi="Times New Roman" w:cs="Times New Roman" w:eastAsia="Times New Roman" w:hint="default"/>
        </w:rPr>
        <w:t>a.</w:t>
      </w:r>
      <w:r>
        <w:rPr/>
        <w:t>合并资产负债表影响</w:t>
      </w:r>
    </w:p>
    <w:p>
      <w:pPr>
        <w:pStyle w:val="BodyText"/>
        <w:spacing w:line="240" w:lineRule="auto" w:before="100"/>
        <w:ind w:left="0" w:right="1128"/>
        <w:jc w:val="right"/>
      </w:pPr>
      <w:r>
        <w:rPr>
          <w:spacing w:val="-1"/>
        </w:rPr>
        <w:t>单位：元</w:t>
      </w:r>
    </w:p>
    <w:p>
      <w:pPr>
        <w:spacing w:line="240" w:lineRule="auto" w:before="8"/>
        <w:rPr>
          <w:rFonts w:ascii="宋体" w:hAnsi="宋体" w:cs="宋体" w:eastAsia="宋体" w:hint="default"/>
          <w:sz w:val="3"/>
          <w:szCs w:val="3"/>
        </w:rPr>
      </w:pPr>
    </w:p>
    <w:tbl>
      <w:tblPr>
        <w:tblW w:w="0" w:type="auto"/>
        <w:jc w:val="left"/>
        <w:tblInd w:w="345" w:type="dxa"/>
        <w:tblLayout w:type="fixed"/>
        <w:tblCellMar>
          <w:top w:w="0" w:type="dxa"/>
          <w:left w:w="0" w:type="dxa"/>
          <w:bottom w:w="0" w:type="dxa"/>
          <w:right w:w="0" w:type="dxa"/>
        </w:tblCellMar>
        <w:tblLook w:val="01E0"/>
      </w:tblPr>
      <w:tblGrid>
        <w:gridCol w:w="1922"/>
        <w:gridCol w:w="2014"/>
        <w:gridCol w:w="1983"/>
        <w:gridCol w:w="1501"/>
        <w:gridCol w:w="1827"/>
      </w:tblGrid>
      <w:tr>
        <w:trPr>
          <w:trHeight w:val="341" w:hRule="exact"/>
        </w:trPr>
        <w:tc>
          <w:tcPr>
            <w:tcW w:w="1922" w:type="dxa"/>
            <w:vMerge w:val="restart"/>
            <w:tcBorders>
              <w:top w:val="single" w:sz="4" w:space="0" w:color="000000"/>
              <w:left w:val="single" w:sz="4" w:space="0" w:color="000000"/>
              <w:right w:val="single" w:sz="4" w:space="0" w:color="000000"/>
            </w:tcBorders>
          </w:tcPr>
          <w:p>
            <w:pPr>
              <w:pStyle w:val="TableParagraph"/>
              <w:spacing w:line="240" w:lineRule="auto" w:before="13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014" w:type="dxa"/>
            <w:vMerge w:val="restart"/>
            <w:tcBorders>
              <w:top w:val="single" w:sz="4" w:space="0" w:color="000000"/>
              <w:left w:val="single" w:sz="4" w:space="0" w:color="000000"/>
              <w:right w:val="single" w:sz="4" w:space="0" w:color="000000"/>
            </w:tcBorders>
          </w:tcPr>
          <w:p>
            <w:pPr>
              <w:pStyle w:val="TableParagraph"/>
              <w:spacing w:line="240" w:lineRule="auto" w:before="133"/>
              <w:ind w:left="37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3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调整数</w:t>
            </w:r>
            <w:r>
              <w:rPr>
                <w:rFonts w:ascii="Microsoft JhengHei" w:hAnsi="Microsoft JhengHei" w:cs="Microsoft JhengHei" w:eastAsia="Microsoft JhengHei" w:hint="default"/>
                <w:sz w:val="18"/>
                <w:szCs w:val="18"/>
              </w:rPr>
            </w:r>
          </w:p>
        </w:tc>
        <w:tc>
          <w:tcPr>
            <w:tcW w:w="1827" w:type="dxa"/>
            <w:vMerge w:val="restart"/>
            <w:tcBorders>
              <w:top w:val="single" w:sz="4" w:space="0" w:color="000000"/>
              <w:left w:val="single" w:sz="4" w:space="0" w:color="000000"/>
              <w:right w:val="single" w:sz="4" w:space="0" w:color="000000"/>
            </w:tcBorders>
          </w:tcPr>
          <w:p>
            <w:pPr>
              <w:pStyle w:val="TableParagraph"/>
              <w:spacing w:line="240" w:lineRule="auto" w:before="133"/>
              <w:ind w:left="36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343" w:hRule="exact"/>
        </w:trPr>
        <w:tc>
          <w:tcPr>
            <w:tcW w:w="1922" w:type="dxa"/>
            <w:vMerge/>
            <w:tcBorders>
              <w:left w:val="single" w:sz="4" w:space="0" w:color="000000"/>
              <w:bottom w:val="single" w:sz="4" w:space="0" w:color="000000"/>
              <w:right w:val="single" w:sz="4" w:space="0" w:color="000000"/>
            </w:tcBorders>
          </w:tcPr>
          <w:p>
            <w:pPr/>
          </w:p>
        </w:tc>
        <w:tc>
          <w:tcPr>
            <w:tcW w:w="2014" w:type="dxa"/>
            <w:vMerge/>
            <w:tcBorders>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重分类调整</w:t>
            </w:r>
            <w:r>
              <w:rPr>
                <w:rFonts w:ascii="Microsoft JhengHei" w:hAnsi="Microsoft JhengHei" w:cs="Microsoft JhengHei" w:eastAsia="Microsoft JhengHei"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重新计量调整</w:t>
            </w:r>
            <w:r>
              <w:rPr>
                <w:rFonts w:ascii="Microsoft JhengHei" w:hAnsi="Microsoft JhengHei" w:cs="Microsoft JhengHei" w:eastAsia="Microsoft JhengHei" w:hint="default"/>
                <w:sz w:val="18"/>
                <w:szCs w:val="18"/>
              </w:rPr>
            </w:r>
          </w:p>
        </w:tc>
        <w:tc>
          <w:tcPr>
            <w:tcW w:w="1827" w:type="dxa"/>
            <w:vMerge/>
            <w:tcBorders>
              <w:left w:val="single" w:sz="4" w:space="0" w:color="000000"/>
              <w:bottom w:val="single" w:sz="4" w:space="0" w:color="000000"/>
              <w:right w:val="single" w:sz="4" w:space="0" w:color="000000"/>
            </w:tcBorders>
          </w:tcPr>
          <w:p>
            <w:pPr/>
          </w:p>
        </w:tc>
      </w:tr>
      <w:tr>
        <w:trPr>
          <w:trHeight w:val="34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130,000,000.00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34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131,317,855.84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-130,000,000.00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1,317,855.84</w:t>
            </w:r>
          </w:p>
        </w:tc>
      </w:tr>
    </w:tbl>
    <w:p>
      <w:pPr>
        <w:spacing w:line="240" w:lineRule="auto" w:before="10"/>
        <w:rPr>
          <w:rFonts w:ascii="宋体" w:hAnsi="宋体" w:cs="宋体" w:eastAsia="宋体" w:hint="default"/>
          <w:sz w:val="14"/>
          <w:szCs w:val="14"/>
        </w:rPr>
      </w:pPr>
    </w:p>
    <w:p>
      <w:pPr>
        <w:pStyle w:val="BodyText"/>
        <w:spacing w:line="240" w:lineRule="auto" w:before="36"/>
        <w:ind w:left="592" w:right="995"/>
        <w:jc w:val="left"/>
      </w:pPr>
      <w:r>
        <w:rPr>
          <w:rFonts w:ascii="Times New Roman" w:hAnsi="Times New Roman" w:cs="Times New Roman" w:eastAsia="Times New Roman" w:hint="default"/>
        </w:rPr>
        <w:t>b.</w:t>
      </w:r>
      <w:r>
        <w:rPr/>
        <w:t>母公司资产负债表</w:t>
      </w:r>
    </w:p>
    <w:p>
      <w:pPr>
        <w:pStyle w:val="BodyText"/>
        <w:spacing w:line="240" w:lineRule="auto" w:before="21"/>
        <w:ind w:left="0" w:right="1128"/>
        <w:jc w:val="right"/>
      </w:pPr>
      <w:r>
        <w:rPr>
          <w:spacing w:val="-1"/>
        </w:rPr>
        <w:t>单位：元</w:t>
      </w:r>
    </w:p>
    <w:p>
      <w:pPr>
        <w:spacing w:line="240" w:lineRule="auto" w:before="8"/>
        <w:rPr>
          <w:rFonts w:ascii="宋体" w:hAnsi="宋体" w:cs="宋体" w:eastAsia="宋体" w:hint="default"/>
          <w:sz w:val="3"/>
          <w:szCs w:val="3"/>
        </w:rPr>
      </w:pPr>
    </w:p>
    <w:tbl>
      <w:tblPr>
        <w:tblW w:w="0" w:type="auto"/>
        <w:jc w:val="left"/>
        <w:tblInd w:w="345" w:type="dxa"/>
        <w:tblLayout w:type="fixed"/>
        <w:tblCellMar>
          <w:top w:w="0" w:type="dxa"/>
          <w:left w:w="0" w:type="dxa"/>
          <w:bottom w:w="0" w:type="dxa"/>
          <w:right w:w="0" w:type="dxa"/>
        </w:tblCellMar>
        <w:tblLook w:val="01E0"/>
      </w:tblPr>
      <w:tblGrid>
        <w:gridCol w:w="1922"/>
        <w:gridCol w:w="2014"/>
        <w:gridCol w:w="3483"/>
        <w:gridCol w:w="1827"/>
      </w:tblGrid>
      <w:tr>
        <w:trPr>
          <w:trHeight w:val="34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7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调整数</w:t>
            </w:r>
            <w:r>
              <w:rPr>
                <w:rFonts w:ascii="Microsoft JhengHei" w:hAnsi="Microsoft JhengHei" w:cs="Microsoft JhengHei" w:eastAsia="Microsoft JhengHei" w:hint="default"/>
                <w:sz w:val="18"/>
                <w:szCs w:val="18"/>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6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bl>
    <w:p>
      <w:pPr>
        <w:spacing w:after="0" w:line="276" w:lineRule="exact"/>
        <w:jc w:val="left"/>
        <w:rPr>
          <w:rFonts w:ascii="Microsoft JhengHei" w:hAnsi="Microsoft JhengHei" w:cs="Microsoft JhengHei" w:eastAsia="Microsoft JhengHei" w:hint="default"/>
          <w:sz w:val="18"/>
          <w:szCs w:val="18"/>
        </w:rPr>
        <w:sectPr>
          <w:pgSz w:w="11910" w:h="16840"/>
          <w:pgMar w:header="88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345" w:type="dxa"/>
        <w:tblLayout w:type="fixed"/>
        <w:tblCellMar>
          <w:top w:w="0" w:type="dxa"/>
          <w:left w:w="0" w:type="dxa"/>
          <w:bottom w:w="0" w:type="dxa"/>
          <w:right w:w="0" w:type="dxa"/>
        </w:tblCellMar>
        <w:tblLook w:val="01E0"/>
      </w:tblPr>
      <w:tblGrid>
        <w:gridCol w:w="1922"/>
        <w:gridCol w:w="2014"/>
        <w:gridCol w:w="1983"/>
        <w:gridCol w:w="1501"/>
        <w:gridCol w:w="1827"/>
      </w:tblGrid>
      <w:tr>
        <w:trPr>
          <w:trHeight w:val="344" w:hRule="exact"/>
        </w:trPr>
        <w:tc>
          <w:tcPr>
            <w:tcW w:w="1922"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重分类调整</w:t>
            </w:r>
            <w:r>
              <w:rPr>
                <w:rFonts w:ascii="Microsoft JhengHei" w:hAnsi="Microsoft JhengHei" w:cs="Microsoft JhengHei" w:eastAsia="Microsoft JhengHei"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重新计量调整</w:t>
            </w:r>
            <w:r>
              <w:rPr>
                <w:rFonts w:ascii="Microsoft JhengHei" w:hAnsi="Microsoft JhengHei" w:cs="Microsoft JhengHei" w:eastAsia="Microsoft JhengHei" w:hint="default"/>
                <w:sz w:val="18"/>
                <w:szCs w:val="18"/>
              </w:rPr>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130,000,000.00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34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131,273,247.25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-130,000,000.00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1,273,247.25</w:t>
            </w:r>
          </w:p>
        </w:tc>
      </w:tr>
    </w:tbl>
    <w:p>
      <w:pPr>
        <w:pStyle w:val="BodyText"/>
        <w:spacing w:line="386" w:lineRule="auto" w:before="66"/>
        <w:ind w:right="1128" w:firstLine="420"/>
        <w:jc w:val="both"/>
      </w:pPr>
      <w:r>
        <w:rPr>
          <w:spacing w:val="2"/>
        </w:rPr>
        <w:t>本公司于</w:t>
      </w:r>
      <w:r>
        <w:rPr>
          <w:rFonts w:ascii="Times New Roman" w:hAnsi="Times New Roman" w:cs="Times New Roman" w:eastAsia="Times New Roman" w:hint="default"/>
          <w:spacing w:val="2"/>
        </w:rPr>
        <w:t>2019</w:t>
      </w:r>
      <w:r>
        <w:rPr>
          <w:spacing w:val="2"/>
        </w:rPr>
        <w:t>年持有的理财产品按照合同现金流量特征及本公司管理该等资产的业务模式重分类至</w:t>
      </w:r>
      <w:r>
        <w:rPr>
          <w:w w:val="100"/>
        </w:rPr>
        <w:t> </w:t>
      </w:r>
      <w:r>
        <w:rPr>
          <w:spacing w:val="-2"/>
        </w:rPr>
        <w:t>交易性金融资产，并按照公允价值持续计量，导致合并资产负债表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日交易性金融资产增加人民</w:t>
      </w:r>
      <w:r>
        <w:rPr>
          <w:spacing w:val="-43"/>
        </w:rPr>
        <w:t> </w:t>
      </w:r>
      <w:r>
        <w:rPr>
          <w:spacing w:val="-43"/>
        </w:rPr>
      </w:r>
      <w:r>
        <w:rPr/>
        <w:t>币</w:t>
      </w:r>
      <w:r>
        <w:rPr>
          <w:rFonts w:ascii="Times New Roman" w:hAnsi="Times New Roman" w:cs="Times New Roman" w:eastAsia="Times New Roman" w:hint="default"/>
        </w:rPr>
        <w:t>130,000,000.00</w:t>
      </w:r>
      <w:r>
        <w:rPr/>
        <w:t>元，其他流动资产减少人民币</w:t>
      </w:r>
      <w:r>
        <w:rPr>
          <w:rFonts w:ascii="Times New Roman" w:hAnsi="Times New Roman" w:cs="Times New Roman" w:eastAsia="Times New Roman" w:hint="default"/>
        </w:rPr>
        <w:t>130,000,000.00</w:t>
      </w:r>
      <w:r>
        <w:rPr/>
        <w:t>元；母公司资产负债表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日交易性</w:t>
      </w:r>
      <w:r>
        <w:rPr>
          <w:spacing w:val="-27"/>
        </w:rPr>
        <w:t> </w:t>
      </w:r>
      <w:r>
        <w:rPr>
          <w:spacing w:val="-27"/>
        </w:rPr>
      </w:r>
      <w:r>
        <w:rPr/>
        <w:t>金融资产增加人民币</w:t>
      </w:r>
      <w:r>
        <w:rPr>
          <w:rFonts w:ascii="Times New Roman" w:hAnsi="Times New Roman" w:cs="Times New Roman" w:eastAsia="Times New Roman" w:hint="default"/>
        </w:rPr>
        <w:t>130,000,000.00</w:t>
      </w:r>
      <w:r>
        <w:rPr/>
        <w:t>元，其他流动资产减少人民币</w:t>
      </w:r>
      <w:r>
        <w:rPr>
          <w:rFonts w:ascii="Times New Roman" w:hAnsi="Times New Roman" w:cs="Times New Roman" w:eastAsia="Times New Roman" w:hint="default"/>
        </w:rPr>
        <w:t>130,000,000.00</w:t>
      </w:r>
      <w:r>
        <w:rPr/>
        <w:t>元。</w:t>
      </w:r>
    </w:p>
    <w:p>
      <w:pPr>
        <w:pStyle w:val="BodyText"/>
        <w:spacing w:line="240" w:lineRule="auto" w:before="35"/>
        <w:ind w:left="573" w:right="995"/>
        <w:jc w:val="left"/>
      </w:pPr>
      <w:r>
        <w:rPr>
          <w:rFonts w:ascii="Times New Roman" w:hAnsi="Times New Roman" w:cs="Times New Roman" w:eastAsia="Times New Roman" w:hint="default"/>
        </w:rPr>
        <w:t>2</w:t>
      </w:r>
      <w:r>
        <w:rPr/>
        <w:t>）财务报表格式变更的影响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869"/>
        <w:gridCol w:w="2264"/>
        <w:gridCol w:w="2113"/>
        <w:gridCol w:w="2415"/>
      </w:tblGrid>
      <w:tr>
        <w:trPr>
          <w:trHeight w:val="341" w:hRule="exact"/>
        </w:trPr>
        <w:tc>
          <w:tcPr>
            <w:tcW w:w="2869" w:type="dxa"/>
            <w:vMerge w:val="restart"/>
            <w:tcBorders>
              <w:top w:val="single" w:sz="4" w:space="0" w:color="000000"/>
              <w:left w:val="single" w:sz="4" w:space="0" w:color="000000"/>
              <w:right w:val="single" w:sz="4" w:space="0" w:color="000000"/>
            </w:tcBorders>
          </w:tcPr>
          <w:p>
            <w:pPr>
              <w:pStyle w:val="TableParagraph"/>
              <w:spacing w:line="289" w:lineRule="exact"/>
              <w:ind w:left="22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会计政策变更的内容和原因</w:t>
            </w:r>
            <w:r>
              <w:rPr>
                <w:rFonts w:ascii="Microsoft JhengHei" w:hAnsi="Microsoft JhengHei" w:cs="Microsoft JhengHei" w:eastAsia="Microsoft JhengHei" w:hint="default"/>
                <w:sz w:val="20"/>
                <w:szCs w:val="20"/>
              </w:rPr>
            </w:r>
          </w:p>
        </w:tc>
        <w:tc>
          <w:tcPr>
            <w:tcW w:w="2264" w:type="dxa"/>
            <w:vMerge w:val="restart"/>
            <w:tcBorders>
              <w:top w:val="single" w:sz="4" w:space="0" w:color="000000"/>
              <w:left w:val="single" w:sz="4" w:space="0" w:color="000000"/>
              <w:right w:val="single" w:sz="4" w:space="0" w:color="000000"/>
            </w:tcBorders>
          </w:tcPr>
          <w:p>
            <w:pPr>
              <w:pStyle w:val="TableParagraph"/>
              <w:spacing w:line="289"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受影响的报表项目名称</w:t>
            </w:r>
            <w:r>
              <w:rPr>
                <w:rFonts w:ascii="Microsoft JhengHei" w:hAnsi="Microsoft JhengHei" w:cs="Microsoft JhengHei" w:eastAsia="Microsoft JhengHei" w:hint="default"/>
                <w:sz w:val="20"/>
                <w:szCs w:val="20"/>
              </w:rPr>
            </w:r>
          </w:p>
        </w:tc>
        <w:tc>
          <w:tcPr>
            <w:tcW w:w="4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影响金额</w:t>
            </w:r>
            <w:r>
              <w:rPr>
                <w:rFonts w:ascii="Microsoft JhengHei" w:hAnsi="Microsoft JhengHei" w:cs="Microsoft JhengHei" w:eastAsia="Microsoft JhengHei" w:hint="default"/>
                <w:sz w:val="20"/>
                <w:szCs w:val="20"/>
              </w:rPr>
            </w:r>
          </w:p>
        </w:tc>
      </w:tr>
      <w:tr>
        <w:trPr>
          <w:trHeight w:val="343" w:hRule="exact"/>
        </w:trPr>
        <w:tc>
          <w:tcPr>
            <w:tcW w:w="2869" w:type="dxa"/>
            <w:vMerge/>
            <w:tcBorders>
              <w:left w:val="single" w:sz="4" w:space="0" w:color="000000"/>
              <w:right w:val="single" w:sz="4" w:space="0" w:color="000000"/>
            </w:tcBorders>
          </w:tcPr>
          <w:p>
            <w:pPr/>
          </w:p>
        </w:tc>
        <w:tc>
          <w:tcPr>
            <w:tcW w:w="2264" w:type="dxa"/>
            <w:vMerge/>
            <w:tcBorders>
              <w:left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65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合并报表</w:t>
            </w:r>
            <w:r>
              <w:rPr>
                <w:rFonts w:ascii="Microsoft JhengHei" w:hAnsi="Microsoft JhengHei" w:cs="Microsoft JhengHei" w:eastAsia="Microsoft JhengHei" w:hint="default"/>
                <w:sz w:val="20"/>
                <w:szCs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母公司报表</w:t>
            </w:r>
            <w:r>
              <w:rPr>
                <w:rFonts w:ascii="Microsoft JhengHei" w:hAnsi="Microsoft JhengHei" w:cs="Microsoft JhengHei" w:eastAsia="Microsoft JhengHei" w:hint="default"/>
                <w:sz w:val="20"/>
                <w:szCs w:val="20"/>
              </w:rPr>
            </w:r>
          </w:p>
        </w:tc>
      </w:tr>
      <w:tr>
        <w:trPr>
          <w:trHeight w:val="341" w:hRule="exact"/>
        </w:trPr>
        <w:tc>
          <w:tcPr>
            <w:tcW w:w="2869" w:type="dxa"/>
            <w:vMerge/>
            <w:tcBorders>
              <w:left w:val="single" w:sz="4" w:space="0" w:color="000000"/>
              <w:bottom w:val="single" w:sz="4" w:space="0" w:color="000000"/>
              <w:right w:val="single" w:sz="4" w:space="0" w:color="000000"/>
            </w:tcBorders>
          </w:tcPr>
          <w:p>
            <w:pPr/>
          </w:p>
        </w:tc>
        <w:tc>
          <w:tcPr>
            <w:tcW w:w="2264" w:type="dxa"/>
            <w:vMerge/>
            <w:tcBorders>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51"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2019</w:t>
            </w:r>
            <w:r>
              <w:rPr>
                <w:rFonts w:ascii="Microsoft JhengHei" w:hAnsi="Microsoft JhengHei" w:cs="Microsoft JhengHei" w:eastAsia="Microsoft JhengHei" w:hint="default"/>
                <w:b/>
                <w:bCs/>
                <w:sz w:val="20"/>
                <w:szCs w:val="20"/>
              </w:rPr>
              <w:t>年</w:t>
            </w:r>
            <w:r>
              <w:rPr>
                <w:rFonts w:ascii="Times New Roman" w:hAnsi="Times New Roman" w:cs="Times New Roman" w:eastAsia="Times New Roman" w:hint="default"/>
                <w:b/>
                <w:bCs/>
                <w:sz w:val="20"/>
                <w:szCs w:val="20"/>
              </w:rPr>
              <w:t>1</w:t>
            </w:r>
            <w:r>
              <w:rPr>
                <w:rFonts w:ascii="Microsoft JhengHei" w:hAnsi="Microsoft JhengHei" w:cs="Microsoft JhengHei" w:eastAsia="Microsoft JhengHei" w:hint="default"/>
                <w:b/>
                <w:bCs/>
                <w:sz w:val="20"/>
                <w:szCs w:val="20"/>
              </w:rPr>
              <w:t>月</w:t>
            </w:r>
            <w:r>
              <w:rPr>
                <w:rFonts w:ascii="Times New Roman" w:hAnsi="Times New Roman" w:cs="Times New Roman" w:eastAsia="Times New Roman" w:hint="default"/>
                <w:b/>
                <w:bCs/>
                <w:sz w:val="20"/>
                <w:szCs w:val="20"/>
              </w:rPr>
              <w:t>1</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599" w:right="0"/>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b/>
                <w:bCs/>
                <w:sz w:val="20"/>
                <w:szCs w:val="20"/>
              </w:rPr>
              <w:t>2019</w:t>
            </w:r>
            <w:r>
              <w:rPr>
                <w:rFonts w:ascii="Microsoft JhengHei" w:hAnsi="Microsoft JhengHei" w:cs="Microsoft JhengHei" w:eastAsia="Microsoft JhengHei" w:hint="default"/>
                <w:b/>
                <w:bCs/>
                <w:sz w:val="20"/>
                <w:szCs w:val="20"/>
              </w:rPr>
              <w:t>年</w:t>
            </w:r>
            <w:r>
              <w:rPr>
                <w:rFonts w:ascii="Times New Roman" w:hAnsi="Times New Roman" w:cs="Times New Roman" w:eastAsia="Times New Roman" w:hint="default"/>
                <w:b/>
                <w:bCs/>
                <w:sz w:val="20"/>
                <w:szCs w:val="20"/>
              </w:rPr>
              <w:t>1</w:t>
            </w:r>
            <w:r>
              <w:rPr>
                <w:rFonts w:ascii="Microsoft JhengHei" w:hAnsi="Microsoft JhengHei" w:cs="Microsoft JhengHei" w:eastAsia="Microsoft JhengHei" w:hint="default"/>
                <w:b/>
                <w:bCs/>
                <w:sz w:val="20"/>
                <w:szCs w:val="20"/>
              </w:rPr>
              <w:t>月</w:t>
            </w:r>
            <w:r>
              <w:rPr>
                <w:rFonts w:ascii="Times New Roman" w:hAnsi="Times New Roman" w:cs="Times New Roman" w:eastAsia="Times New Roman" w:hint="default"/>
                <w:b/>
                <w:bCs/>
                <w:sz w:val="20"/>
                <w:szCs w:val="20"/>
              </w:rPr>
              <w:t>1</w:t>
            </w:r>
            <w:r>
              <w:rPr>
                <w:rFonts w:ascii="Microsoft JhengHei" w:hAnsi="Microsoft JhengHei" w:cs="Microsoft JhengHei" w:eastAsia="Microsoft JhengHei" w:hint="default"/>
                <w:b/>
                <w:bCs/>
                <w:sz w:val="20"/>
                <w:szCs w:val="20"/>
              </w:rPr>
              <w:t>日</w:t>
            </w:r>
            <w:r>
              <w:rPr>
                <w:rFonts w:ascii="Microsoft JhengHei" w:hAnsi="Microsoft JhengHei" w:cs="Microsoft JhengHei" w:eastAsia="Microsoft JhengHei" w:hint="default"/>
                <w:sz w:val="20"/>
                <w:szCs w:val="20"/>
              </w:rPr>
            </w:r>
          </w:p>
        </w:tc>
      </w:tr>
      <w:tr>
        <w:trPr>
          <w:trHeight w:val="343" w:hRule="exact"/>
        </w:trPr>
        <w:tc>
          <w:tcPr>
            <w:tcW w:w="2869" w:type="dxa"/>
            <w:vMerge w:val="restart"/>
            <w:tcBorders>
              <w:top w:val="single" w:sz="4" w:space="0" w:color="000000"/>
              <w:left w:val="single" w:sz="4" w:space="0" w:color="000000"/>
              <w:right w:val="single" w:sz="4" w:space="0" w:color="000000"/>
            </w:tcBorders>
          </w:tcPr>
          <w:p>
            <w:pPr>
              <w:pStyle w:val="TableParagraph"/>
              <w:spacing w:line="285" w:lineRule="auto" w:before="4"/>
              <w:ind w:left="4" w:right="54"/>
              <w:jc w:val="both"/>
              <w:rPr>
                <w:rFonts w:ascii="宋体" w:hAnsi="宋体" w:cs="宋体" w:eastAsia="宋体" w:hint="default"/>
                <w:sz w:val="20"/>
                <w:szCs w:val="20"/>
              </w:rPr>
            </w:pPr>
            <w:r>
              <w:rPr>
                <w:rFonts w:ascii="宋体" w:hAnsi="宋体" w:cs="宋体" w:eastAsia="宋体" w:hint="default"/>
                <w:sz w:val="20"/>
                <w:szCs w:val="20"/>
              </w:rPr>
              <w:t>本公司将应收票据及应收账款项</w:t>
            </w:r>
            <w:r>
              <w:rPr>
                <w:rFonts w:ascii="宋体" w:hAnsi="宋体" w:cs="宋体" w:eastAsia="宋体" w:hint="default"/>
                <w:w w:val="99"/>
                <w:sz w:val="20"/>
                <w:szCs w:val="20"/>
              </w:rPr>
              <w:t> </w:t>
            </w:r>
            <w:r>
              <w:rPr>
                <w:rFonts w:ascii="宋体" w:hAnsi="宋体" w:cs="宋体" w:eastAsia="宋体" w:hint="default"/>
                <w:sz w:val="20"/>
                <w:szCs w:val="20"/>
              </w:rPr>
              <w:t>目分拆为应收账款和应收票据项</w:t>
            </w:r>
            <w:r>
              <w:rPr>
                <w:rFonts w:ascii="宋体" w:hAnsi="宋体" w:cs="宋体" w:eastAsia="宋体" w:hint="default"/>
                <w:w w:val="99"/>
                <w:sz w:val="20"/>
                <w:szCs w:val="20"/>
              </w:rPr>
              <w:t> </w:t>
            </w:r>
            <w:r>
              <w:rPr>
                <w:rFonts w:ascii="宋体" w:hAnsi="宋体" w:cs="宋体" w:eastAsia="宋体" w:hint="default"/>
                <w:sz w:val="20"/>
                <w:szCs w:val="20"/>
              </w:rPr>
              <w:t>目</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36,573,625.49</w:t>
            </w:r>
            <w:r>
              <w:rPr>
                <w:rFonts w:ascii="Times New Roman"/>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36,573,625.49</w:t>
            </w:r>
            <w:r>
              <w:rPr>
                <w:rFonts w:ascii="Times New Roman"/>
                <w:sz w:val="20"/>
              </w:rPr>
            </w:r>
          </w:p>
        </w:tc>
      </w:tr>
      <w:tr>
        <w:trPr>
          <w:trHeight w:val="341" w:hRule="exact"/>
        </w:trPr>
        <w:tc>
          <w:tcPr>
            <w:tcW w:w="2869" w:type="dxa"/>
            <w:vMerge/>
            <w:tcBorders>
              <w:left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113"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869" w:type="dxa"/>
            <w:vMerge/>
            <w:tcBorders>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应收票据及应收账款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-36,573,625.49</w:t>
            </w:r>
            <w:r>
              <w:rPr>
                <w:rFonts w:ascii="Times New Roman"/>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-36,573,625.49</w:t>
            </w:r>
            <w:r>
              <w:rPr>
                <w:rFonts w:ascii="Times New Roman"/>
                <w:sz w:val="20"/>
              </w:rPr>
            </w:r>
          </w:p>
        </w:tc>
      </w:tr>
      <w:tr>
        <w:trPr>
          <w:trHeight w:val="341" w:hRule="exact"/>
        </w:trPr>
        <w:tc>
          <w:tcPr>
            <w:tcW w:w="2869" w:type="dxa"/>
            <w:vMerge w:val="restart"/>
            <w:tcBorders>
              <w:top w:val="single" w:sz="4" w:space="0" w:color="000000"/>
              <w:left w:val="single" w:sz="4" w:space="0" w:color="000000"/>
              <w:right w:val="single" w:sz="4" w:space="0" w:color="000000"/>
            </w:tcBorders>
          </w:tcPr>
          <w:p>
            <w:pPr>
              <w:pStyle w:val="TableParagraph"/>
              <w:spacing w:line="285" w:lineRule="auto" w:before="4"/>
              <w:ind w:left="4" w:right="54"/>
              <w:jc w:val="both"/>
              <w:rPr>
                <w:rFonts w:ascii="宋体" w:hAnsi="宋体" w:cs="宋体" w:eastAsia="宋体" w:hint="default"/>
                <w:sz w:val="20"/>
                <w:szCs w:val="20"/>
              </w:rPr>
            </w:pPr>
            <w:r>
              <w:rPr>
                <w:rFonts w:ascii="宋体" w:hAnsi="宋体" w:cs="宋体" w:eastAsia="宋体" w:hint="default"/>
                <w:sz w:val="20"/>
                <w:szCs w:val="20"/>
              </w:rPr>
              <w:t>本公司将应付票据及应付账款项</w:t>
            </w:r>
            <w:r>
              <w:rPr>
                <w:rFonts w:ascii="宋体" w:hAnsi="宋体" w:cs="宋体" w:eastAsia="宋体" w:hint="default"/>
                <w:w w:val="99"/>
                <w:sz w:val="20"/>
                <w:szCs w:val="20"/>
              </w:rPr>
              <w:t> </w:t>
            </w:r>
            <w:r>
              <w:rPr>
                <w:rFonts w:ascii="宋体" w:hAnsi="宋体" w:cs="宋体" w:eastAsia="宋体" w:hint="default"/>
                <w:sz w:val="20"/>
                <w:szCs w:val="20"/>
              </w:rPr>
              <w:t>目分拆为应付账款和应付票据项</w:t>
            </w:r>
            <w:r>
              <w:rPr>
                <w:rFonts w:ascii="宋体" w:hAnsi="宋体" w:cs="宋体" w:eastAsia="宋体" w:hint="default"/>
                <w:w w:val="99"/>
                <w:sz w:val="20"/>
                <w:szCs w:val="20"/>
              </w:rPr>
              <w:t> </w:t>
            </w:r>
            <w:r>
              <w:rPr>
                <w:rFonts w:ascii="宋体" w:hAnsi="宋体" w:cs="宋体" w:eastAsia="宋体" w:hint="default"/>
                <w:sz w:val="20"/>
                <w:szCs w:val="20"/>
              </w:rPr>
              <w:t>目</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15,925,517.83</w:t>
            </w:r>
            <w:r>
              <w:rPr>
                <w:rFonts w:ascii="Times New Roman"/>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15,925,135.83</w:t>
            </w:r>
            <w:r>
              <w:rPr>
                <w:rFonts w:ascii="Times New Roman"/>
                <w:sz w:val="20"/>
              </w:rPr>
            </w:r>
          </w:p>
        </w:tc>
      </w:tr>
      <w:tr>
        <w:trPr>
          <w:trHeight w:val="343" w:hRule="exact"/>
        </w:trPr>
        <w:tc>
          <w:tcPr>
            <w:tcW w:w="2869" w:type="dxa"/>
            <w:vMerge/>
            <w:tcBorders>
              <w:left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113"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69" w:type="dxa"/>
            <w:vMerge/>
            <w:tcBorders>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-15,925,517.83</w:t>
            </w:r>
            <w:r>
              <w:rPr>
                <w:rFonts w:ascii="Times New Roman"/>
                <w:sz w:val="20"/>
              </w:rPr>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-15,925,135.83</w:t>
            </w:r>
            <w:r>
              <w:rPr>
                <w:rFonts w:ascii="Times New Roman"/>
                <w:sz w:val="20"/>
              </w:rPr>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spacing w:val="-8"/>
        </w:rPr>
        <w:t>（</w:t>
      </w:r>
      <w:r>
        <w:rPr>
          <w:rFonts w:ascii="Times New Roman" w:hAnsi="Times New Roman" w:cs="Times New Roman" w:eastAsia="Times New Roman" w:hint="default"/>
          <w:spacing w:val="-8"/>
        </w:rPr>
        <w:t>3</w:t>
      </w:r>
      <w:r>
        <w:rPr>
          <w:spacing w:val="-8"/>
        </w:rPr>
        <w:t>）</w:t>
      </w:r>
      <w:r>
        <w:rPr>
          <w:rFonts w:ascii="Times New Roman" w:hAnsi="Times New Roman" w:cs="Times New Roman" w:eastAsia="Times New Roman" w:hint="default"/>
          <w:spacing w:val="-8"/>
        </w:rPr>
        <w:t>2019</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spacing w:val="-2"/>
        </w:rPr>
        <w:t>年起执行新金融工具准则、新收入准则或新租赁准则调整执行当年年初财务报表相关项目情况</w:t>
      </w:r>
      <w:r>
        <w:rPr>
          <w:b w:val="0"/>
          <w:bCs w:val="0"/>
          <w:spacing w:val="-2"/>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80" w:footer="979" w:top="1100" w:bottom="1160" w:left="980" w:right="0"/>
        </w:sectPr>
      </w:pPr>
    </w:p>
    <w:p>
      <w:pPr>
        <w:spacing w:line="340" w:lineRule="auto"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288"/>
            <w:col w:w="2108"/>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5" w:right="0"/>
              <w:jc w:val="left"/>
              <w:rPr>
                <w:rFonts w:ascii="Times New Roman" w:hAnsi="Times New Roman" w:cs="Times New Roman" w:eastAsia="Times New Roman" w:hint="default"/>
                <w:sz w:val="18"/>
                <w:szCs w:val="18"/>
              </w:rPr>
            </w:pPr>
            <w:r>
              <w:rPr>
                <w:rFonts w:ascii="Times New Roman"/>
                <w:sz w:val="18"/>
              </w:rPr>
              <w:t>241,150,175.57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241,150,175.57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5" w:right="0"/>
              <w:jc w:val="left"/>
              <w:rPr>
                <w:rFonts w:ascii="Times New Roman" w:hAnsi="Times New Roman" w:cs="Times New Roman" w:eastAsia="Times New Roman" w:hint="default"/>
                <w:sz w:val="18"/>
                <w:szCs w:val="18"/>
              </w:rPr>
            </w:pPr>
            <w:r>
              <w:rPr>
                <w:rFonts w:ascii="Times New Roman"/>
                <w:sz w:val="18"/>
              </w:rPr>
              <w:t>130,000,000.00</w:t>
            </w: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36,573,625.49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36,573,625.49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683,015.75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683,015.75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0"/>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26,587,405.60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26,587,405.60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8,003,640.61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8,003,640.61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131,317,855.84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1,317,855.84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5" w:right="0"/>
              <w:jc w:val="left"/>
              <w:rPr>
                <w:rFonts w:ascii="Times New Roman" w:hAnsi="Times New Roman" w:cs="Times New Roman" w:eastAsia="Times New Roman" w:hint="default"/>
                <w:sz w:val="18"/>
                <w:szCs w:val="18"/>
              </w:rPr>
            </w:pPr>
            <w:r>
              <w:rPr>
                <w:rFonts w:ascii="Times New Roman"/>
                <w:sz w:val="18"/>
              </w:rPr>
              <w:t>-130,000,000.00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444,315,718.86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444,315,718.86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80,439,031.58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80,439,031.58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0"/>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94,836,680.01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94,836,680.01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3,521,511.95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3,521,511.95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125,450.19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125,450.19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1,027,694.65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1,027,694.65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179,950,368.38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179,950,368.38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624,266,087.24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624,266,087.24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15,925,517.83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15,925,517.83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1,165,160.98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1,165,160.98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4,055,775.08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4,055,775.08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168,826.13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168,826.13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6,021,385.77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6,021,385.77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27,336,665.79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27,336,665.79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1,782,560.20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1,782,560.20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481,866.85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481,866.85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2,264,427.05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2,264,427.05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29,601,092.84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29,601,092.84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167,831,090.00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167,831,090.00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281,747,580.52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281,747,580.52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20,141,720.27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20,141,720.27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124,698,323.79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124,698,323.79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594,418,714.58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594,418,714.58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246,279.82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246,279.82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594,664,994.40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594,664,994.40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624,266,087.24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624,266,087.24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after="0"/>
        <w:jc w:val="left"/>
        <w:rPr>
          <w:rFonts w:ascii="宋体" w:hAnsi="宋体" w:cs="宋体" w:eastAsia="宋体" w:hint="default"/>
          <w:sz w:val="18"/>
          <w:szCs w:val="18"/>
        </w:rPr>
        <w:sectPr>
          <w:footerReference w:type="default" r:id="rId48"/>
          <w:pgSz w:w="11910" w:h="16840"/>
          <w:pgMar w:footer="979" w:header="880" w:top="1100" w:bottom="1160" w:left="980" w:right="0"/>
          <w:pgNumType w:start="133"/>
        </w:sectPr>
      </w:pPr>
    </w:p>
    <w:p>
      <w:pPr>
        <w:spacing w:line="240" w:lineRule="auto" w:before="13"/>
        <w:rPr>
          <w:rFonts w:ascii="宋体" w:hAnsi="宋体" w:cs="宋体" w:eastAsia="宋体" w:hint="default"/>
          <w:sz w:val="21"/>
          <w:szCs w:val="21"/>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237,728,863.75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237,728,863.75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36,573,625.49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36,573,625.49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677,744.17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677,744.17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26,584,427.30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26,584,427.30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7,957,775.90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7,957,775.90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131,273,247.25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1,273,247.25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440,795,683.86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440,795,683.86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83,439,031.58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83,439,031.58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94,769,536.05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94,769,536.05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2,971,511.95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2,971,511.95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125,450.19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125,450.19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784,066.50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784,066.50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182,089,596.27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182,089,596.27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622,885,280.13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622,885,280.13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15,925,135.83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15,925,135.83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1,130,103.11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1,130,103.11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4,017,300.00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4,017,300.00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167,163.63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167,163.63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5,985,196.91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5,985,196.91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0"/>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70"/>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27,224,899.48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27,224,899.48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1,782,560.20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1,782,560.20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481,866.85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481,866.85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2,264,427.05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2,264,427.05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29,489,326.53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29,489,326.53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167,831,090.00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167,831,090.00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281,747,580.52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281,747,580.52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20,141,720.27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20,141,720.27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123,675,562.81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123,675,562.81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593,395,953.60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593,395,953.60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622,885,280.13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622,885,280.13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2"/>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年起执行新金融工具准则或新租赁准则追溯调整前期比较数据说明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7"/>
        <w:spacing w:line="335" w:lineRule="exact"/>
        <w:ind w:right="995"/>
        <w:jc w:val="left"/>
        <w:rPr>
          <w:b w:val="0"/>
          <w:bCs w:val="0"/>
        </w:rPr>
      </w:pPr>
      <w:r>
        <w:rPr>
          <w:rFonts w:ascii="Times New Roman" w:hAnsi="Times New Roman" w:cs="Times New Roman" w:eastAsia="Times New Roman" w:hint="default"/>
        </w:rPr>
        <w:t>45</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3"/>
        <w:spacing w:line="240" w:lineRule="auto"/>
        <w:ind w:right="995"/>
        <w:jc w:val="left"/>
        <w:rPr>
          <w:b w:val="0"/>
          <w:bCs w:val="0"/>
        </w:rPr>
      </w:pPr>
      <w:r>
        <w:rPr/>
        <w:t>六、税项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已交增值税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已交增值税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已交增值税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徐州金太阳教育科技有限公司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深圳市木愚科技有限公司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5"/>
        <w:rPr>
          <w:rFonts w:ascii="宋体" w:hAnsi="宋体" w:cs="宋体" w:eastAsia="宋体" w:hint="default"/>
          <w:sz w:val="19"/>
          <w:szCs w:val="19"/>
        </w:rPr>
      </w:pPr>
    </w:p>
    <w:p>
      <w:pPr>
        <w:pStyle w:val="Heading7"/>
        <w:spacing w:line="335" w:lineRule="exact"/>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Microsoft JhengHei" w:hAnsi="Microsoft JhengHei" w:cs="Microsoft JhengHei" w:eastAsia="Microsoft JhengHei" w:hint="default"/>
          <w:b/>
          <w:bCs/>
          <w:sz w:val="22"/>
          <w:szCs w:val="22"/>
        </w:rPr>
      </w:pPr>
    </w:p>
    <w:p>
      <w:pPr>
        <w:pStyle w:val="BodyText"/>
        <w:spacing w:line="386" w:lineRule="auto" w:before="0"/>
        <w:ind w:left="573" w:right="995"/>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）增值税</w:t>
      </w:r>
      <w:r>
        <w:rPr>
          <w:w w:val="100"/>
        </w:rPr>
        <w:t> </w:t>
      </w:r>
      <w:r>
        <w:rPr>
          <w:spacing w:val="-7"/>
          <w:w w:val="100"/>
        </w:rPr>
        <w:t>根据国务院《国务院关于印发进一步鼓励软件产业和集成电路产业发展若干政策的通知》（国发</w:t>
      </w:r>
      <w:r>
        <w:rPr>
          <w:rFonts w:ascii="Times New Roman" w:hAnsi="Times New Roman" w:cs="Times New Roman" w:eastAsia="Times New Roman" w:hint="default"/>
          <w:spacing w:val="-7"/>
          <w:w w:val="100"/>
        </w:rPr>
        <w:t>[2011]4</w:t>
      </w:r>
    </w:p>
    <w:p>
      <w:pPr>
        <w:pStyle w:val="BodyText"/>
        <w:spacing w:line="386" w:lineRule="auto" w:before="35"/>
        <w:ind w:right="1128"/>
        <w:jc w:val="both"/>
      </w:pPr>
      <w:r>
        <w:rPr>
          <w:spacing w:val="-3"/>
        </w:rPr>
        <w:t>号）和财政部、国家税务总局《关于软件产品增值税政策的通知》（财税</w:t>
      </w:r>
      <w:r>
        <w:rPr>
          <w:rFonts w:ascii="Times New Roman" w:hAnsi="Times New Roman" w:cs="Times New Roman" w:eastAsia="Times New Roman" w:hint="default"/>
          <w:spacing w:val="-3"/>
        </w:rPr>
        <w:t>[2011]100</w:t>
      </w:r>
      <w:r>
        <w:rPr>
          <w:spacing w:val="-3"/>
        </w:rPr>
        <w:t>号）文有关规定，本公</w:t>
      </w:r>
      <w:r>
        <w:rPr>
          <w:spacing w:val="-20"/>
        </w:rPr>
        <w:t> </w:t>
      </w:r>
      <w:r>
        <w:rPr>
          <w:spacing w:val="-20"/>
        </w:rPr>
      </w:r>
      <w:r>
        <w:rPr/>
        <w:t>司自行开发研制软件产品销售收入按法定税率计缴增值税后，对实际税负超过</w:t>
      </w:r>
      <w:r>
        <w:rPr>
          <w:rFonts w:ascii="Times New Roman" w:hAnsi="Times New Roman" w:cs="Times New Roman" w:eastAsia="Times New Roman" w:hint="default"/>
        </w:rPr>
        <w:t>3%</w:t>
      </w:r>
      <w:r>
        <w:rPr/>
        <w:t>的部分实行即征即退政</w:t>
      </w:r>
      <w:r>
        <w:rPr>
          <w:spacing w:val="11"/>
        </w:rPr>
        <w:t> </w:t>
      </w:r>
      <w:r>
        <w:rPr>
          <w:spacing w:val="11"/>
        </w:rPr>
      </w:r>
      <w:r>
        <w:rPr/>
        <w:t>策。</w:t>
      </w:r>
    </w:p>
    <w:p>
      <w:pPr>
        <w:pStyle w:val="BodyText"/>
        <w:spacing w:line="386" w:lineRule="auto" w:before="65"/>
        <w:ind w:right="995" w:firstLine="420"/>
        <w:jc w:val="left"/>
      </w:pPr>
      <w:r>
        <w:rPr/>
        <w:t>根据《财政部、国家税务总局关于全面推开营业税改征增值税试点的通知》（财税</w:t>
      </w:r>
      <w:r>
        <w:rPr>
          <w:rFonts w:ascii="Times New Roman" w:hAnsi="Times New Roman" w:cs="Times New Roman" w:eastAsia="Times New Roman" w:hint="default"/>
        </w:rPr>
        <w:t>[2016]36</w:t>
      </w:r>
      <w:r>
        <w:rPr/>
        <w:t>号）文有</w:t>
      </w:r>
      <w:r>
        <w:rPr>
          <w:w w:val="100"/>
        </w:rPr>
        <w:t> </w:t>
      </w:r>
      <w:r>
        <w:rPr/>
        <w:t>关规定，本公司提供技术开发服务取得的收入按规定将相关资料报税务机关备案后，免征增值税。</w:t>
      </w:r>
    </w:p>
    <w:p>
      <w:pPr>
        <w:pStyle w:val="BodyText"/>
        <w:spacing w:line="386" w:lineRule="auto" w:before="65"/>
        <w:ind w:left="573" w:right="995"/>
        <w:jc w:val="left"/>
      </w:pPr>
      <w:r>
        <w:rPr/>
        <w:t>（</w:t>
      </w:r>
      <w:r>
        <w:rPr>
          <w:rFonts w:ascii="Times New Roman" w:hAnsi="Times New Roman" w:cs="Times New Roman" w:eastAsia="Times New Roman" w:hint="default"/>
        </w:rPr>
        <w:t>2</w:t>
      </w:r>
      <w:r>
        <w:rPr/>
        <w:t>）企业所得税</w:t>
      </w:r>
      <w:r>
        <w:rPr>
          <w:w w:val="100"/>
        </w:rPr>
        <w:t> </w:t>
      </w:r>
      <w:r>
        <w:rPr>
          <w:spacing w:val="-2"/>
        </w:rPr>
        <w:t>根据财税〔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49</w:t>
      </w:r>
      <w:r>
        <w:rPr>
          <w:spacing w:val="-2"/>
        </w:rPr>
        <w:t>号《关于软件和集成电路产业企业所得税优惠政策有关问题的通知》，本公司符</w:t>
      </w:r>
    </w:p>
    <w:p>
      <w:pPr>
        <w:pStyle w:val="BodyText"/>
        <w:spacing w:line="240" w:lineRule="auto" w:before="35"/>
        <w:ind w:right="0"/>
        <w:jc w:val="both"/>
      </w:pPr>
      <w:r>
        <w:rPr/>
        <w:t>合国家规划布局内重点集成电路设计企业的要求，</w:t>
      </w:r>
      <w:r>
        <w:rPr>
          <w:rFonts w:ascii="Times New Roman" w:hAnsi="Times New Roman" w:cs="Times New Roman" w:eastAsia="Times New Roman" w:hint="default"/>
        </w:rPr>
        <w:t>2019</w:t>
      </w:r>
      <w:r>
        <w:rPr/>
        <w:t>年可享受企业所得税税率为</w:t>
      </w:r>
      <w:r>
        <w:rPr>
          <w:rFonts w:ascii="Times New Roman" w:hAnsi="Times New Roman" w:cs="Times New Roman" w:eastAsia="Times New Roman" w:hint="default"/>
        </w:rPr>
        <w:t>10%</w:t>
      </w:r>
      <w:r>
        <w:rPr/>
        <w:t>的税收优惠。</w:t>
      </w:r>
    </w:p>
    <w:p>
      <w:pPr>
        <w:spacing w:after="0" w:line="240" w:lineRule="auto"/>
        <w:jc w:val="both"/>
        <w:sectPr>
          <w:pgSz w:w="11910" w:h="16840"/>
          <w:pgMar w:header="880" w:footer="979" w:top="1100" w:bottom="1160" w:left="980" w:right="0"/>
        </w:sectPr>
      </w:pPr>
    </w:p>
    <w:p>
      <w:pPr>
        <w:spacing w:line="240" w:lineRule="auto" w:before="0"/>
        <w:rPr>
          <w:rFonts w:ascii="宋体" w:hAnsi="宋体" w:cs="宋体" w:eastAsia="宋体" w:hint="default"/>
          <w:sz w:val="21"/>
          <w:szCs w:val="21"/>
        </w:rPr>
      </w:pPr>
    </w:p>
    <w:p>
      <w:pPr>
        <w:pStyle w:val="Heading7"/>
        <w:spacing w:line="335" w:lineRule="exact"/>
        <w:ind w:right="995"/>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3"/>
        <w:spacing w:line="240" w:lineRule="auto"/>
        <w:ind w:right="995"/>
        <w:jc w:val="left"/>
        <w:rPr>
          <w:b w:val="0"/>
          <w:bCs w:val="0"/>
        </w:rPr>
      </w:pPr>
      <w:r>
        <w:rPr/>
        <w:t>七、合并财务报表项目注释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27,856.15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31,946.23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313,597,559.66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241,118,229.34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313,625,415.81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241,150,175.57</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730"/>
        <w:gridCol w:w="2729"/>
      </w:tblGrid>
      <w:tr>
        <w:trPr>
          <w:trHeight w:val="396"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396"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396"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130,000,000.00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3841"/>
        <w:gridCol w:w="4093"/>
      </w:tblGrid>
      <w:tr>
        <w:trPr>
          <w:trHeight w:val="40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8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3"/>
        <w:gridCol w:w="761"/>
        <w:gridCol w:w="764"/>
        <w:gridCol w:w="790"/>
        <w:gridCol w:w="775"/>
        <w:gridCol w:w="797"/>
        <w:gridCol w:w="931"/>
        <w:gridCol w:w="797"/>
        <w:gridCol w:w="792"/>
      </w:tblGrid>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2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49"/>
        <w:ind w:left="153" w:right="17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3"/>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6"/>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100" w:bottom="1160" w:left="980" w:right="0"/>
        </w:sectPr>
      </w:pPr>
    </w:p>
    <w:p>
      <w:pPr>
        <w:spacing w:line="240" w:lineRule="auto" w:before="8"/>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0"/>
        <w:ind w:left="11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left="113" w:right="0"/>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line="240" w:lineRule="auto" w:before="1"/>
        <w:rPr>
          <w:rFonts w:ascii="宋体" w:hAnsi="宋体" w:cs="宋体" w:eastAsia="宋体" w:hint="default"/>
          <w:sz w:val="22"/>
          <w:szCs w:val="22"/>
        </w:rPr>
      </w:pPr>
    </w:p>
    <w:p>
      <w:pPr>
        <w:pStyle w:val="Heading7"/>
        <w:spacing w:line="240" w:lineRule="auto"/>
        <w:ind w:left="113"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left="113"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96"/>
        <w:gridCol w:w="1087"/>
        <w:gridCol w:w="701"/>
        <w:gridCol w:w="864"/>
        <w:gridCol w:w="523"/>
        <w:gridCol w:w="1090"/>
        <w:gridCol w:w="1092"/>
        <w:gridCol w:w="701"/>
        <w:gridCol w:w="1001"/>
        <w:gridCol w:w="521"/>
        <w:gridCol w:w="1092"/>
      </w:tblGrid>
      <w:tr>
        <w:trPr>
          <w:trHeight w:val="398" w:hRule="exact"/>
        </w:trPr>
        <w:tc>
          <w:tcPr>
            <w:tcW w:w="9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1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26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996" w:type="dxa"/>
            <w:vMerge/>
            <w:tcBorders>
              <w:left w:val="single" w:sz="4" w:space="0" w:color="000000"/>
              <w:right w:val="single" w:sz="4" w:space="0" w:color="000000"/>
            </w:tcBorders>
            <w:shd w:val="clear" w:color="auto" w:fill="D2D2D2"/>
          </w:tcPr>
          <w:p>
            <w:pPr/>
          </w:p>
        </w:tc>
        <w:tc>
          <w:tcPr>
            <w:tcW w:w="1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60" w:lineRule="auto"/>
              <w:ind w:left="360" w:right="359"/>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60" w:lineRule="auto"/>
              <w:ind w:left="360" w:right="360"/>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61" w:hRule="exact"/>
        </w:trPr>
        <w:tc>
          <w:tcPr>
            <w:tcW w:w="996" w:type="dxa"/>
            <w:vMerge/>
            <w:tcBorders>
              <w:left w:val="single" w:sz="4" w:space="0" w:color="000000"/>
              <w:bottom w:val="single" w:sz="4" w:space="0" w:color="000000"/>
              <w:right w:val="single" w:sz="4" w:space="0" w:color="000000"/>
            </w:tcBorders>
            <w:shd w:val="clear" w:color="auto" w:fill="D2D2D2"/>
          </w:tcPr>
          <w:p>
            <w:pP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49"/>
              <w:ind w:left="79" w:right="7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0"/>
              <w:jc w:val="both"/>
              <w:rPr>
                <w:rFonts w:ascii="宋体" w:hAnsi="宋体" w:cs="宋体" w:eastAsia="宋体" w:hint="default"/>
                <w:sz w:val="18"/>
                <w:szCs w:val="18"/>
              </w:rPr>
            </w:pPr>
            <w:r>
              <w:rPr>
                <w:rFonts w:ascii="宋体" w:hAnsi="宋体" w:cs="宋体" w:eastAsia="宋体" w:hint="default"/>
                <w:sz w:val="18"/>
                <w:szCs w:val="18"/>
              </w:rPr>
              <w:t>按组合计提 坏账准备的 应收账款</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22,511,680.16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569,406.40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2.53%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21,942,273.76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37,655,021.79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1,081,396.30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36,573,625.49</w:t>
            </w:r>
          </w:p>
        </w:tc>
      </w:tr>
      <w:tr>
        <w:trPr>
          <w:trHeight w:val="402" w:hRule="exact"/>
        </w:trPr>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22,511,680.16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569,406.40</w:t>
            </w:r>
          </w:p>
        </w:tc>
        <w:tc>
          <w:tcPr>
            <w:tcW w:w="52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21,942,273.76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37,655,021.79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1,081,396.30</w:t>
            </w:r>
          </w:p>
        </w:tc>
        <w:tc>
          <w:tcPr>
            <w:tcW w:w="5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36,573,625.49</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13"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19,923,030.58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232,799.47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2,242,027.20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224,202.72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1020" w:right="0"/>
        </w:sectPr>
      </w:pPr>
    </w:p>
    <w:p>
      <w:pPr>
        <w:spacing w:line="240" w:lineRule="auto" w:before="8"/>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334,597.38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100,379.21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22,511,680.16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569,406.40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979" w:top="1060" w:bottom="1160" w:left="980" w:right="0"/>
        </w:sectPr>
      </w:pPr>
    </w:p>
    <w:p>
      <w:pPr>
        <w:spacing w:line="360" w:lineRule="auto"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4" w:space="6597"/>
            <w:col w:w="2199"/>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49"/>
        <w:ind w:left="153" w:right="17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3"/>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1"/>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19,923,030.58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2,242,027.20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334,597.38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12,025.00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22,511,680.16</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1,081,396.30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248,300.52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159,865.91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600,424.51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569,406.40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1,081,396.30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248,300.52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159,865.91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600,424.51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569,406.40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应收货款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600,424.51</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0"/>
        <w:gridCol w:w="2531"/>
        <w:gridCol w:w="2530"/>
        <w:gridCol w:w="2528"/>
      </w:tblGrid>
      <w:tr>
        <w:trPr>
          <w:trHeight w:val="716"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79"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前五汇总</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15,224,904.40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286,259.04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15,224,904.40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67.63%</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40" w:lineRule="auto" w:before="117"/>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如是按照预期信用损失一般模型计提应收款项融资减值准备，请参照其他应收款的披露方式披露减值准备的相关信息：</w:t>
      </w:r>
    </w:p>
    <w:p>
      <w:pPr>
        <w:spacing w:line="340" w:lineRule="auto" w:before="39"/>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16"/>
          <w:szCs w:val="16"/>
        </w:rPr>
      </w:pPr>
    </w:p>
    <w:p>
      <w:pPr>
        <w:pStyle w:val="Heading7"/>
        <w:spacing w:line="240" w:lineRule="auto"/>
        <w:ind w:right="995"/>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11,536,561.00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666,995.89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16,019.86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2.35%</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3"/>
        <w:gridCol w:w="1916"/>
        <w:gridCol w:w="1916"/>
      </w:tblGrid>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11,536,561.00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683,015.75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Microsoft JhengHei" w:hAnsi="Microsoft JhengHei" w:cs="Microsoft JhengHei" w:eastAsia="Microsoft JhengHei" w:hint="default"/>
          <w:b/>
          <w:bCs/>
          <w:sz w:val="17"/>
          <w:szCs w:val="17"/>
        </w:rPr>
      </w:pPr>
    </w:p>
    <w:p>
      <w:pPr>
        <w:pStyle w:val="Heading6"/>
        <w:spacing w:line="244" w:lineRule="auto"/>
        <w:ind w:right="995"/>
        <w:jc w:val="left"/>
      </w:pPr>
      <w:r>
        <w:rPr>
          <w:spacing w:val="-1"/>
        </w:rPr>
        <w:t>本年按预付对象归集的年末余额前五名预付款项汇总金额</w:t>
      </w:r>
      <w:r>
        <w:rPr>
          <w:rFonts w:ascii="Times New Roman" w:hAnsi="Times New Roman" w:cs="Times New Roman" w:eastAsia="Times New Roman" w:hint="default"/>
          <w:spacing w:val="-1"/>
        </w:rPr>
        <w:t>10,794,521.25</w:t>
      </w:r>
      <w:r>
        <w:rPr>
          <w:spacing w:val="-1"/>
        </w:rPr>
        <w:t>元，占预付款项年末余额</w:t>
      </w:r>
      <w:r>
        <w:rPr>
          <w:w w:val="100"/>
        </w:rPr>
        <w:t> </w:t>
      </w:r>
      <w:r>
        <w:rPr/>
        <w:t>合计数的比例</w:t>
      </w:r>
      <w:r>
        <w:rPr>
          <w:rFonts w:ascii="Times New Roman" w:hAnsi="Times New Roman" w:cs="Times New Roman" w:eastAsia="Times New Roman" w:hint="default"/>
        </w:rPr>
        <w:t>93.57%</w:t>
      </w:r>
      <w:r>
        <w:rPr/>
        <w:t>。</w:t>
      </w:r>
    </w:p>
    <w:p>
      <w:pPr>
        <w:spacing w:line="240" w:lineRule="auto" w:before="5"/>
        <w:rPr>
          <w:rFonts w:ascii="宋体" w:hAnsi="宋体" w:cs="宋体" w:eastAsia="宋体" w:hint="default"/>
          <w:sz w:val="32"/>
          <w:szCs w:val="32"/>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2,584,800.52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26,587,405.60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2,584,800.52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26,587,405.60</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年的应收股利</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347"/>
        <w:gridCol w:w="2127"/>
        <w:gridCol w:w="1700"/>
        <w:gridCol w:w="248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4"/>
        <w:rPr>
          <w:rFonts w:ascii="宋体" w:hAnsi="宋体" w:cs="宋体" w:eastAsia="宋体" w:hint="default"/>
          <w:sz w:val="16"/>
          <w:szCs w:val="16"/>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543,313.58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924,539.95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269,266.75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279,062.32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27,307,690.09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2,106,004.25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1,693,963.97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2,918,584.58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30,205,256.33</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7"/>
        <w:gridCol w:w="1824"/>
        <w:gridCol w:w="1827"/>
        <w:gridCol w:w="1825"/>
        <w:gridCol w:w="1827"/>
      </w:tblGrid>
      <w:tr>
        <w:trPr>
          <w:trHeight w:val="403" w:hRule="exact"/>
        </w:trPr>
        <w:tc>
          <w:tcPr>
            <w:tcW w:w="22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2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2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727" w:right="47" w:hanging="67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个月预期信用 损失</w:t>
            </w:r>
          </w:p>
        </w:tc>
        <w:tc>
          <w:tcPr>
            <w:tcW w:w="18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 w:right="34"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8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8" w:right="34" w:firstLine="6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 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27" w:type="dxa"/>
            <w:vMerge/>
            <w:tcBorders>
              <w:left w:val="single" w:sz="4" w:space="0" w:color="000000"/>
              <w:right w:val="single" w:sz="4" w:space="0" w:color="000000"/>
            </w:tcBorders>
            <w:shd w:val="clear" w:color="auto" w:fill="D2D2D2"/>
          </w:tcPr>
          <w:p>
            <w:pPr/>
          </w:p>
        </w:tc>
      </w:tr>
      <w:tr>
        <w:trPr>
          <w:trHeight w:val="362" w:hRule="exact"/>
        </w:trPr>
        <w:tc>
          <w:tcPr>
            <w:tcW w:w="22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4" w:type="dxa"/>
            <w:vMerge/>
            <w:tcBorders>
              <w:left w:val="single" w:sz="4" w:space="0" w:color="000000"/>
              <w:bottom w:val="single" w:sz="4" w:space="0" w:color="000000"/>
              <w:right w:val="single" w:sz="4" w:space="0" w:color="000000"/>
            </w:tcBorders>
            <w:shd w:val="clear" w:color="auto" w:fill="D2D2D2"/>
          </w:tcPr>
          <w:p>
            <w:pPr/>
          </w:p>
        </w:tc>
        <w:tc>
          <w:tcPr>
            <w:tcW w:w="1827" w:type="dxa"/>
            <w:vMerge/>
            <w:tcBorders>
              <w:left w:val="single" w:sz="4" w:space="0" w:color="000000"/>
              <w:bottom w:val="single" w:sz="4" w:space="0" w:color="000000"/>
              <w:right w:val="single" w:sz="4" w:space="0" w:color="000000"/>
            </w:tcBorders>
            <w:shd w:val="clear" w:color="auto" w:fill="D2D2D2"/>
          </w:tcPr>
          <w:p>
            <w:pPr/>
          </w:p>
        </w:tc>
        <w:tc>
          <w:tcPr>
            <w:tcW w:w="1825" w:type="dxa"/>
            <w:vMerge/>
            <w:tcBorders>
              <w:left w:val="single" w:sz="4" w:space="0" w:color="000000"/>
              <w:bottom w:val="single" w:sz="4" w:space="0" w:color="000000"/>
              <w:right w:val="single" w:sz="4" w:space="0" w:color="000000"/>
            </w:tcBorders>
            <w:shd w:val="clear" w:color="auto" w:fill="D2D2D2"/>
          </w:tcPr>
          <w:p>
            <w:pPr/>
          </w:p>
        </w:tc>
        <w:tc>
          <w:tcPr>
            <w:tcW w:w="18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1,087,081.73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83,837.12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2,446,931.88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3,617,850.73</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47,857.83</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47,857.83</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482,155.50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83,837.12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2,446,931.88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3,012,924.50</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319,000.00</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319,000.00</w:t>
            </w:r>
          </w:p>
        </w:tc>
      </w:tr>
      <w:tr>
        <w:trPr>
          <w:trHeight w:val="401" w:hRule="exact"/>
        </w:trPr>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333,784.06</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333,784.06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9" w:top="10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8" w:lineRule="auto" w:before="119"/>
        <w:ind w:left="153" w:right="16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4" w:space="4797"/>
            <w:col w:w="2199"/>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2,415,794.52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120,736.16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120,553.00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261,500.90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8,433.00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101,018.90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152,049.00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2,918,584.58</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39"/>
        <w:gridCol w:w="1332"/>
        <w:gridCol w:w="1332"/>
        <w:gridCol w:w="1325"/>
        <w:gridCol w:w="1726"/>
      </w:tblGrid>
      <w:tr>
        <w:trPr>
          <w:trHeight w:val="403"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3,617,850.73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47,857.83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3,012,924.50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319,000.00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333,784.06</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3,617,850.73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47,857.83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3,012,924.50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319,000.00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333,784.06</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北京千锋互联科技有限公司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2,730,769.01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银行存款收款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2,730,769.01</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319,000.00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2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9"/>
        <w:gridCol w:w="1418"/>
        <w:gridCol w:w="1097"/>
        <w:gridCol w:w="1880"/>
        <w:gridCol w:w="1560"/>
        <w:gridCol w:w="1344"/>
      </w:tblGrid>
      <w:tr>
        <w:trPr>
          <w:trHeight w:val="715"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其他应收款性质</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履行的核销程序</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7" w:right="34"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71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北京惟德基业科技有限公司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z w:val="18"/>
                <w:szCs w:val="18"/>
              </w:rPr>
              <w:t>往来款项及其他</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319,000.00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该企业工商信息显示经 营异常，可收回性不大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经董事会审议通过</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319,000.00</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96"/>
        <w:gridCol w:w="1133"/>
        <w:gridCol w:w="1136"/>
        <w:gridCol w:w="1414"/>
        <w:gridCol w:w="1594"/>
        <w:gridCol w:w="1596"/>
      </w:tblGrid>
      <w:tr>
        <w:trPr>
          <w:trHeight w:val="715"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国家税务总局深圳市南山区税务 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即征即退款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2,036,805.88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20,368.06</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天猫商城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深圳市集鸿发电子有限公司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w:t>
            </w:r>
          </w:p>
        </w:tc>
      </w:tr>
      <w:tr>
        <w:trPr>
          <w:trHeight w:val="71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温州市教育装备和勤工俭学管理 中心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19,500.00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咪咕数字传媒有限公司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2,391,405.88</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257,468.06</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44"/>
        <w:ind w:left="0" w:right="1133" w:firstLine="0"/>
        <w:jc w:val="right"/>
        <w:rPr>
          <w:rFonts w:ascii="宋体" w:hAnsi="宋体" w:cs="宋体" w:eastAsia="宋体" w:hint="default"/>
          <w:sz w:val="18"/>
          <w:szCs w:val="18"/>
        </w:rPr>
      </w:pPr>
      <w:r>
        <w:rPr/>
        <w:pict>
          <v:shape style="position:absolute;margin-left:56.424pt;margin-top:-36.608292pt;width:479.4pt;height:87.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5"/>
                    <w:gridCol w:w="1418"/>
                    <w:gridCol w:w="1136"/>
                    <w:gridCol w:w="991"/>
                    <w:gridCol w:w="3193"/>
                  </w:tblGrid>
                  <w:tr>
                    <w:trPr>
                      <w:trHeight w:val="71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4" w:right="72" w:hanging="540"/>
                          <w:jc w:val="left"/>
                          <w:rPr>
                            <w:rFonts w:ascii="宋体" w:hAnsi="宋体" w:cs="宋体" w:eastAsia="宋体" w:hint="default"/>
                            <w:sz w:val="18"/>
                            <w:szCs w:val="18"/>
                          </w:rPr>
                        </w:pPr>
                        <w:r>
                          <w:rPr>
                            <w:rFonts w:ascii="宋体" w:hAnsi="宋体" w:cs="宋体" w:eastAsia="宋体" w:hint="default"/>
                            <w:sz w:val="18"/>
                            <w:szCs w:val="18"/>
                          </w:rPr>
                          <w:t>政府补助项目名 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5"/>
                          <w:jc w:val="center"/>
                          <w:rPr>
                            <w:rFonts w:ascii="宋体" w:hAnsi="宋体" w:cs="宋体" w:eastAsia="宋体" w:hint="default"/>
                            <w:sz w:val="18"/>
                            <w:szCs w:val="18"/>
                          </w:rPr>
                        </w:pPr>
                        <w:r>
                          <w:rPr>
                            <w:rFonts w:ascii="宋体" w:hAnsi="宋体" w:cs="宋体" w:eastAsia="宋体" w:hint="default"/>
                            <w:sz w:val="18"/>
                            <w:szCs w:val="18"/>
                          </w:rPr>
                          <w:t>国家税务总局深圳市南山区税务局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增值税退税补贴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2,036,805.88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97"/>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月已收到金额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2,036,805.88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依据：国家税务总局深圳市南山区税务 局批复文件。</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7"/>
        <w:spacing w:line="335" w:lineRule="exact"/>
        <w:ind w:right="995"/>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8"/>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323,693.82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323,693.82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2,083,346.66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158,143.58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1,925,203.08</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1,799,053.10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1,799,053.10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937,304.65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937,304.65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4,788,245.03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858,524.68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3,929,720.35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6,485,253.44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1,344,120.56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5,141,132.88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6,910,991.95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858,524.68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6,052,467.27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9,505,904.75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1,502,264.14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8,003,640.61</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158,143.58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159,977.88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25,689.08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292,432.38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1,344,120.56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1,584,178.47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621,246.15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1,448,528.20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858,524.68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1,502,264.14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1,744,156.35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646,935.23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1,740,960.58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858,524.68</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8"/>
        <w:gridCol w:w="1195"/>
        <w:gridCol w:w="1198"/>
        <w:gridCol w:w="1195"/>
        <w:gridCol w:w="1328"/>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合同资产的账面价值在本期内发生的重大变动金额和原因：</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如是按照预期信用损失一般模型计提合同资产坏账准备，请参照其他应收款的披露方式披露坏账准备的相关信息：</w:t>
      </w:r>
    </w:p>
    <w:p>
      <w:pPr>
        <w:spacing w:line="340" w:lineRule="auto" w:before="118"/>
        <w:ind w:left="15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本期合同资产计提减值准备情况</w:t>
      </w:r>
    </w:p>
    <w:p>
      <w:pPr>
        <w:spacing w:before="3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6"/>
        <w:gridCol w:w="1368"/>
        <w:gridCol w:w="1366"/>
        <w:gridCol w:w="1368"/>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6"/>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80" w:footer="979" w:top="106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4" w:space="6777"/>
            <w:col w:w="219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增值税留底税额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1,769,610.31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1,072,823.52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869,528.74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245,032.32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2,639,139.05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1,317,855.84</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重要的债权投资</w:t>
      </w:r>
    </w:p>
    <w:p>
      <w:pPr>
        <w:spacing w:before="118"/>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2"/>
        <w:rPr>
          <w:rFonts w:ascii="宋体" w:hAnsi="宋体" w:cs="宋体" w:eastAsia="宋体" w:hint="default"/>
          <w:sz w:val="16"/>
          <w:szCs w:val="16"/>
        </w:rPr>
      </w:pPr>
    </w:p>
    <w:p>
      <w:pPr>
        <w:pStyle w:val="Heading7"/>
        <w:spacing w:line="240" w:lineRule="auto"/>
        <w:ind w:right="995"/>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5"/>
        <w:gridCol w:w="1034"/>
        <w:gridCol w:w="1035"/>
        <w:gridCol w:w="1034"/>
        <w:gridCol w:w="1034"/>
        <w:gridCol w:w="1033"/>
        <w:gridCol w:w="1034"/>
        <w:gridCol w:w="1037"/>
      </w:tblGrid>
      <w:tr>
        <w:trPr>
          <w:trHeight w:val="1339"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243" w:right="58" w:hanging="181"/>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4" w:right="59"/>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重要的其他债权投资</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38" w:lineRule="auto" w:before="119"/>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6"/>
        <w:rPr>
          <w:rFonts w:ascii="宋体" w:hAnsi="宋体" w:cs="宋体" w:eastAsia="宋体" w:hint="default"/>
          <w:sz w:val="16"/>
          <w:szCs w:val="16"/>
        </w:rPr>
      </w:pPr>
    </w:p>
    <w:p>
      <w:pPr>
        <w:pStyle w:val="Heading7"/>
        <w:spacing w:line="240" w:lineRule="auto"/>
        <w:ind w:right="995"/>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7"/>
        <w:gridCol w:w="1169"/>
        <w:gridCol w:w="1167"/>
        <w:gridCol w:w="1166"/>
        <w:gridCol w:w="1164"/>
      </w:tblGrid>
      <w:tr>
        <w:trPr>
          <w:trHeight w:val="403"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8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5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80" w:footer="979" w:top="1060" w:bottom="1160" w:left="980" w:right="0"/>
        </w:sectPr>
      </w:pPr>
    </w:p>
    <w:p>
      <w:pPr>
        <w:spacing w:line="240" w:lineRule="auto" w:before="1"/>
        <w:rPr>
          <w:rFonts w:ascii="宋体" w:hAnsi="宋体" w:cs="宋体" w:eastAsia="宋体" w:hint="default"/>
          <w:sz w:val="19"/>
          <w:szCs w:val="19"/>
        </w:rPr>
      </w:pPr>
    </w:p>
    <w:p>
      <w:pPr>
        <w:pStyle w:val="Heading7"/>
        <w:spacing w:line="240" w:lineRule="auto"/>
        <w:ind w:left="140" w:right="-4"/>
        <w:jc w:val="left"/>
        <w:rPr>
          <w:b w:val="0"/>
          <w:bCs w:val="0"/>
        </w:rPr>
      </w:pPr>
      <w:r>
        <w:rPr/>
        <w:pict>
          <v:group style="position:absolute;margin-left:70.559998pt;margin-top:2.764467pt;width:700.9pt;height:.1pt;mso-position-horizontal-relative:page;mso-position-vertical-relative:paragraph;z-index:-863176" coordorigin="1411,55" coordsize="14018,2">
            <v:shape style="position:absolute;left:1411;top:55;width:14018;height:2" coordorigin="1411,55" coordsize="14018,0" path="m1411,55l15429,55e" filled="false" stroked="true" strokeweight=".72pt" strokecolor="#000000">
              <v:path arrowok="t"/>
            </v:shape>
            <w10:wrap type="none"/>
          </v:group>
        </w:pict>
      </w:r>
      <w:r>
        <w:rPr>
          <w:rFonts w:ascii="Times New Roman" w:hAnsi="Times New Roman" w:cs="Times New Roman" w:eastAsia="Times New Roman" w:hint="default"/>
          <w:spacing w:val="-1"/>
        </w:rPr>
        <w:t>17</w:t>
      </w:r>
      <w:r>
        <w:rPr>
          <w:spacing w:val="-1"/>
        </w:rPr>
        <w:t>、长期股权投资</w:t>
      </w:r>
      <w:r>
        <w:rPr>
          <w:b w:val="0"/>
          <w:bCs w:val="0"/>
          <w:spacing w:val="-1"/>
        </w:rPr>
      </w:r>
    </w:p>
    <w:p>
      <w:pPr>
        <w:spacing w:before="17"/>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49"/>
          <w:footerReference w:type="default" r:id="rId50"/>
          <w:pgSz w:w="16840" w:h="11910" w:orient="landscape"/>
          <w:pgMar w:header="0" w:footer="0" w:top="800" w:bottom="0" w:left="1300" w:right="1280"/>
          <w:cols w:num="2" w:equalWidth="0">
            <w:col w:w="1828" w:space="8081"/>
            <w:col w:w="4351"/>
          </w:cols>
        </w:sectPr>
      </w:pPr>
    </w:p>
    <w:p>
      <w:pPr>
        <w:spacing w:line="240" w:lineRule="auto" w:before="4"/>
        <w:rPr>
          <w:rFonts w:ascii="宋体" w:hAnsi="宋体" w:cs="宋体" w:eastAsia="宋体" w:hint="default"/>
          <w:sz w:val="22"/>
          <w:szCs w:val="22"/>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410"/>
        <w:gridCol w:w="1339"/>
        <w:gridCol w:w="1090"/>
        <w:gridCol w:w="581"/>
        <w:gridCol w:w="1682"/>
        <w:gridCol w:w="1037"/>
        <w:gridCol w:w="809"/>
        <w:gridCol w:w="1382"/>
        <w:gridCol w:w="809"/>
        <w:gridCol w:w="353"/>
        <w:gridCol w:w="1457"/>
        <w:gridCol w:w="1039"/>
      </w:tblGrid>
      <w:tr>
        <w:trPr>
          <w:trHeight w:val="401"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97" w:lineRule="auto"/>
              <w:ind w:left="453" w:right="95"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774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97" w:lineRule="auto"/>
              <w:ind w:left="602" w:right="62"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10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5"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3"/>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7" w:right="24" w:hanging="632"/>
              <w:jc w:val="left"/>
              <w:rPr>
                <w:rFonts w:ascii="宋体" w:hAnsi="宋体" w:cs="宋体" w:eastAsia="宋体" w:hint="default"/>
                <w:sz w:val="18"/>
                <w:szCs w:val="18"/>
              </w:rPr>
            </w:pPr>
            <w:r>
              <w:rPr>
                <w:rFonts w:ascii="宋体" w:hAnsi="宋体" w:cs="宋体" w:eastAsia="宋体" w:hint="default"/>
                <w:sz w:val="18"/>
                <w:szCs w:val="18"/>
              </w:rPr>
              <w:t>权益法下确认的投资 损益</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2" w:right="63" w:hanging="181"/>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36"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6" w:right="53" w:hanging="269"/>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79"/>
              <w:jc w:val="left"/>
              <w:rPr>
                <w:rFonts w:ascii="宋体" w:hAnsi="宋体" w:cs="宋体" w:eastAsia="宋体" w:hint="default"/>
                <w:sz w:val="18"/>
                <w:szCs w:val="18"/>
              </w:rPr>
            </w:pPr>
            <w:r>
              <w:rPr>
                <w:rFonts w:ascii="宋体" w:hAnsi="宋体" w:cs="宋体" w:eastAsia="宋体" w:hint="default"/>
                <w:sz w:val="18"/>
                <w:szCs w:val="18"/>
              </w:rPr>
              <w:t>其 他</w:t>
            </w:r>
          </w:p>
        </w:tc>
        <w:tc>
          <w:tcPr>
            <w:tcW w:w="1457" w:type="dxa"/>
            <w:vMerge/>
            <w:tcBorders>
              <w:left w:val="single" w:sz="4" w:space="0" w:color="000000"/>
              <w:bottom w:val="single" w:sz="4" w:space="0" w:color="000000"/>
              <w:right w:val="single" w:sz="4" w:space="0" w:color="000000"/>
            </w:tcBorders>
            <w:shd w:val="clear" w:color="auto" w:fill="D2D2D2"/>
          </w:tcPr>
          <w:p>
            <w:pPr/>
          </w:p>
        </w:tc>
        <w:tc>
          <w:tcPr>
            <w:tcW w:w="103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98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1398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深圳罗湖蓝海村镇银行股份有 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52,450,711.30</w:t>
            </w:r>
          </w:p>
        </w:tc>
        <w:tc>
          <w:tcPr>
            <w:tcW w:w="109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809,562.35</w:t>
            </w:r>
          </w:p>
        </w:tc>
        <w:tc>
          <w:tcPr>
            <w:tcW w:w="103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53,260,273.65</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深圳嘉道方直教育产业投资企 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27,988,320.28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-1,648,024.52</w:t>
            </w:r>
          </w:p>
        </w:tc>
        <w:tc>
          <w:tcPr>
            <w:tcW w:w="103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44,340,295.76</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通航教育科技有限公司（注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1339" w:type="dxa"/>
            <w:tcBorders>
              <w:top w:val="single" w:sz="4" w:space="0" w:color="000000"/>
              <w:left w:val="single" w:sz="13" w:space="0" w:color="FFFFFF"/>
              <w:bottom w:val="single" w:sz="4" w:space="0" w:color="000000"/>
              <w:right w:val="single" w:sz="13" w:space="0" w:color="FFFFFF"/>
            </w:tcBorders>
          </w:tcPr>
          <w:p>
            <w:pPr/>
          </w:p>
        </w:tc>
        <w:tc>
          <w:tcPr>
            <w:tcW w:w="10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江西新华云教育科技有限公司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3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80,439,031.58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-838,463.17</w:t>
            </w:r>
          </w:p>
        </w:tc>
        <w:tc>
          <w:tcPr>
            <w:tcW w:w="103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105,600,569.41</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80,439,031.58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26,000,001.00</w:t>
            </w:r>
          </w:p>
        </w:tc>
        <w:tc>
          <w:tcPr>
            <w:tcW w:w="581"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-838,463.17</w:t>
            </w:r>
          </w:p>
        </w:tc>
        <w:tc>
          <w:tcPr>
            <w:tcW w:w="103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105,600,569.41</w:t>
            </w:r>
          </w:p>
        </w:tc>
        <w:tc>
          <w:tcPr>
            <w:tcW w:w="1039" w:type="dxa"/>
            <w:tcBorders>
              <w:top w:val="single" w:sz="4" w:space="0" w:color="000000"/>
              <w:left w:val="single" w:sz="4" w:space="0" w:color="000000"/>
              <w:bottom w:val="single" w:sz="4" w:space="0" w:color="000000"/>
              <w:right w:val="single" w:sz="4" w:space="0" w:color="000000"/>
            </w:tcBorders>
          </w:tcPr>
          <w:p>
            <w:pPr/>
          </w:p>
        </w:tc>
      </w:tr>
    </w:tbl>
    <w:p>
      <w:pPr>
        <w:spacing w:before="49"/>
        <w:ind w:left="140" w:right="10678" w:firstLine="0"/>
        <w:jc w:val="left"/>
        <w:rPr>
          <w:rFonts w:ascii="宋体" w:hAnsi="宋体" w:cs="宋体" w:eastAsia="宋体" w:hint="default"/>
          <w:sz w:val="18"/>
          <w:szCs w:val="18"/>
        </w:rPr>
      </w:pPr>
      <w:r>
        <w:rPr/>
        <w:pict>
          <v:shape style="position:absolute;margin-left:186.740005pt;margin-top:-96.022278pt;width:72.5pt;height:19.6pt;mso-position-horizontal-relative:page;mso-position-vertical-relative:paragraph;z-index:-86320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其他说明</w:t>
      </w:r>
    </w:p>
    <w:p>
      <w:pPr>
        <w:spacing w:line="240" w:lineRule="auto" w:before="1"/>
        <w:rPr>
          <w:rFonts w:ascii="宋体" w:hAnsi="宋体" w:cs="宋体" w:eastAsia="宋体" w:hint="default"/>
          <w:sz w:val="15"/>
          <w:szCs w:val="15"/>
        </w:rPr>
      </w:pPr>
    </w:p>
    <w:p>
      <w:pPr>
        <w:spacing w:line="451" w:lineRule="auto"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日本公司以自有资金人民币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元受让通航人力资源所持有的通航教育</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的股权（未实缴），对应认缴通航教育注册资本人民币</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7,500,000.00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元，根据章程约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定，本公司委派董事二名，因此对通航教育科技有限公司具有重大影响。</w:t>
      </w:r>
    </w:p>
    <w:p>
      <w:pPr>
        <w:spacing w:line="451" w:lineRule="auto" w:before="115"/>
        <w:ind w:left="14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元对江西新华云增资入股，持股比例为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13.04%</w:t>
      </w:r>
      <w:r>
        <w:rPr>
          <w:rFonts w:ascii="宋体" w:hAnsi="宋体" w:cs="宋体" w:eastAsia="宋体" w:hint="default"/>
          <w:sz w:val="18"/>
          <w:szCs w:val="18"/>
        </w:rPr>
        <w:t>，根据章程约定，本公司委派董事一名，因此对江西新华云教育科技有限公司具有 重大影响。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0" w:right="153" w:firstLine="0"/>
        <w:jc w:val="right"/>
        <w:rPr>
          <w:rFonts w:ascii="Times New Roman" w:hAnsi="Times New Roman" w:cs="Times New Roman" w:eastAsia="Times New Roman" w:hint="default"/>
          <w:sz w:val="18"/>
          <w:szCs w:val="18"/>
        </w:rPr>
      </w:pPr>
      <w:r>
        <w:rPr>
          <w:rFonts w:ascii="Times New Roman"/>
          <w:sz w:val="18"/>
        </w:rPr>
        <w:t>151</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51"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80"/>
        </w:sectPr>
      </w:pPr>
    </w:p>
    <w:p>
      <w:pPr>
        <w:spacing w:line="240" w:lineRule="auto" w:before="2"/>
        <w:rPr>
          <w:rFonts w:ascii="Times New Roman" w:hAnsi="Times New Roman" w:cs="Times New Roman" w:eastAsia="Times New Roman" w:hint="default"/>
          <w:sz w:val="28"/>
          <w:szCs w:val="28"/>
        </w:rPr>
      </w:pPr>
    </w:p>
    <w:p>
      <w:pPr>
        <w:pStyle w:val="Heading7"/>
        <w:spacing w:line="335" w:lineRule="exact"/>
        <w:ind w:right="995"/>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33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50"/>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hanging="1"/>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89,554,843.04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94,836,680.01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89,554,843.04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94,836,680.01</w:t>
            </w:r>
          </w:p>
        </w:tc>
      </w:tr>
    </w:tbl>
    <w:p>
      <w:pPr>
        <w:spacing w:after="0" w:line="240" w:lineRule="auto"/>
        <w:jc w:val="right"/>
        <w:rPr>
          <w:rFonts w:ascii="Times New Roman" w:hAnsi="Times New Roman" w:cs="Times New Roman" w:eastAsia="Times New Roman" w:hint="default"/>
          <w:sz w:val="18"/>
          <w:szCs w:val="18"/>
        </w:rPr>
        <w:sectPr>
          <w:footerReference w:type="default" r:id="rId52"/>
          <w:pgSz w:w="11910" w:h="16840"/>
          <w:pgMar w:footer="979" w:header="0" w:top="1060" w:bottom="1160" w:left="980" w:right="0"/>
          <w:pgNumType w:start="152"/>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1515"/>
        <w:gridCol w:w="1517"/>
        <w:gridCol w:w="1517"/>
        <w:gridCol w:w="1515"/>
        <w:gridCol w:w="1517"/>
      </w:tblGrid>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98,541,560.45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2,798,547.00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6,922,836.38</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3,090,526.07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111,353,469.90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299,020.09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4,423.89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303,443.98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299,020.09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4,423.89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303,443.98</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23,730.00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423,975.86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355,274.52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802,980.38</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23,730.00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423,975.86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355,274.52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802,980.38</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98,541,560.45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2,774,817.00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6,797,880.61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2,739,675.44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110,853,933.50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8,221,406.46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2,443,022.37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4,398,510.36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1,453,850.70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16,516,789.89</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3,796,954.22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157,839.13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978,126.13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601,322.62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5,534,242.10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3,796,954.22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157,839.13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978,126.13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601,322.62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5,534,242.10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22,044.98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396,858.29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333,038.26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751,941.53</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22,044.98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396,858.29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333,038.26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751,941.53</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12,018,360.68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2,578,816.52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4,979,778.20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1,722,135.06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21,299,090.46</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86,523,199.77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196,000.48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1,818,102.41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1,017,540.38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89,554,843.04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4"/>
        <w:gridCol w:w="1515"/>
        <w:gridCol w:w="1517"/>
        <w:gridCol w:w="1517"/>
        <w:gridCol w:w="1515"/>
        <w:gridCol w:w="1517"/>
      </w:tblGrid>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90,320,153.99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355,524.63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2,524,326.02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sz w:val="18"/>
              </w:rPr>
              <w:t>1,636,675.37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94,836,680.01</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6"/>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6"/>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22,764,818.71</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5"/>
        <w:gridCol w:w="737"/>
        <w:gridCol w:w="737"/>
        <w:gridCol w:w="735"/>
        <w:gridCol w:w="737"/>
        <w:gridCol w:w="737"/>
        <w:gridCol w:w="735"/>
        <w:gridCol w:w="737"/>
        <w:gridCol w:w="737"/>
        <w:gridCol w:w="735"/>
        <w:gridCol w:w="737"/>
      </w:tblGrid>
      <w:tr>
        <w:trPr>
          <w:trHeight w:val="1339"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8"/>
        <w:gridCol w:w="1198"/>
        <w:gridCol w:w="1196"/>
        <w:gridCol w:w="1195"/>
        <w:gridCol w:w="1196"/>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3"/>
        <w:gridCol w:w="1544"/>
        <w:gridCol w:w="1546"/>
        <w:gridCol w:w="1543"/>
        <w:gridCol w:w="1544"/>
        <w:gridCol w:w="1546"/>
      </w:tblGrid>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15,357,694.29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16,257,694.29</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15,357,694.29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16,257,694.29</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12,386,182.34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12,736,182.34</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1,049,999.42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1,199,999.42</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1,049,999.42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1,199,999.42</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13,436,181.76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13,936,181.76</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2"/>
        <w:gridCol w:w="1544"/>
        <w:gridCol w:w="1546"/>
        <w:gridCol w:w="1543"/>
        <w:gridCol w:w="1544"/>
        <w:gridCol w:w="1546"/>
      </w:tblGrid>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1,921,512.53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2,321,512.53</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550,000.00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2,971,511.95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3,521,511.95</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4"/>
        <w:gridCol w:w="1063"/>
        <w:gridCol w:w="1064"/>
        <w:gridCol w:w="1063"/>
        <w:gridCol w:w="1061"/>
        <w:gridCol w:w="1063"/>
        <w:gridCol w:w="1064"/>
      </w:tblGrid>
      <w:tr>
        <w:trPr>
          <w:trHeight w:val="401" w:hRule="exact"/>
        </w:trPr>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4"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4"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1"/>
        <w:gridCol w:w="1276"/>
        <w:gridCol w:w="1416"/>
        <w:gridCol w:w="1277"/>
        <w:gridCol w:w="1133"/>
        <w:gridCol w:w="994"/>
        <w:gridCol w:w="1064"/>
      </w:tblGrid>
      <w:tr>
        <w:trPr>
          <w:trHeight w:val="403" w:hRule="exact"/>
        </w:trPr>
        <w:tc>
          <w:tcPr>
            <w:tcW w:w="24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19" w:right="28" w:hanging="989"/>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1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83,940.16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83,940.16</w:t>
            </w:r>
          </w:p>
        </w:tc>
      </w:tr>
      <w:tr>
        <w:trPr>
          <w:trHeight w:val="401"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83,940.16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83,940.16</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10"/>
        <w:gridCol w:w="1277"/>
        <w:gridCol w:w="1416"/>
        <w:gridCol w:w="1277"/>
        <w:gridCol w:w="1133"/>
        <w:gridCol w:w="994"/>
        <w:gridCol w:w="1064"/>
      </w:tblGrid>
      <w:tr>
        <w:trPr>
          <w:trHeight w:val="401"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19" w:right="27" w:hanging="989"/>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83,940.16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83,940.16</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83,940.16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83,940.16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7"/>
        <w:rPr>
          <w:rFonts w:ascii="宋体" w:hAnsi="宋体" w:cs="宋体" w:eastAsia="宋体" w:hint="default"/>
          <w:sz w:val="25"/>
          <w:szCs w:val="25"/>
        </w:rPr>
      </w:pPr>
    </w:p>
    <w:p>
      <w:pPr>
        <w:spacing w:line="340" w:lineRule="auto" w:before="44"/>
        <w:ind w:left="153" w:right="1213"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 说明商誉减值测试过程、关键参数（如预计未来现金流量现值时的预测期增长率、稳定期增长率、利润率、折现率、预测 期等）及商誉减值损失的确认方法：</w:t>
      </w:r>
    </w:p>
    <w:p>
      <w:pPr>
        <w:spacing w:line="360" w:lineRule="auto" w:before="39"/>
        <w:ind w:left="153" w:right="8773"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3"/>
        <w:rPr>
          <w:rFonts w:ascii="宋体" w:hAnsi="宋体" w:cs="宋体" w:eastAsia="宋体" w:hint="default"/>
          <w:sz w:val="15"/>
          <w:szCs w:val="15"/>
        </w:rPr>
      </w:pPr>
    </w:p>
    <w:p>
      <w:pPr>
        <w:pStyle w:val="Heading7"/>
        <w:spacing w:line="240" w:lineRule="auto"/>
        <w:ind w:right="995"/>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26"/>
        <w:gridCol w:w="1489"/>
        <w:gridCol w:w="1488"/>
        <w:gridCol w:w="1488"/>
        <w:gridCol w:w="1488"/>
        <w:gridCol w:w="1488"/>
      </w:tblGrid>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仓库装修费</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35,112.33</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30,096.12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5,016.21</w:t>
            </w: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布鲁精灵系列商品使用权</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90,337.86</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90,337.86</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柳州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159,145.34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39,520.83</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119,624.51</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125,450.19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159,145.34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159,954.81</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124,640.72</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1,761,715.14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184,530.03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6,201,511.17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1,027,694.65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1,761,715.14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184,530.03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6,201,511.17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1,027,694.65</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2,215,283.44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221,528.34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3,212,445.66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481,866.85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2,215,283.44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221,528.34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3,212,445.66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481,866.85</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bl>
    <w:p>
      <w:pPr>
        <w:spacing w:after="0" w:line="316"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170,599.16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13,930.87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1,027,694.65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170,599.16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50,929.18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481,866.85</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6,164,187.69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4,149,966.33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6,164,187.69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4,149,966.33</w:t>
            </w:r>
          </w:p>
        </w:tc>
      </w:tr>
    </w:tbl>
    <w:p>
      <w:pPr>
        <w:spacing w:line="240" w:lineRule="auto" w:before="6"/>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243,098.60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668,447.20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668,447.20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905,361.60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905,361.60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1,303,663.08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1,303,663.08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1,029,395.85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1,029,395.85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2,257,319.96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6,164,187.69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4,149,966.33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0" w:footer="979" w:top="106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4" w:space="6777"/>
            <w:col w:w="2199"/>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1"/>
      </w:tblGrid>
      <w:tr>
        <w:trPr>
          <w:trHeight w:val="404"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7,362,936.75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12,971,256.37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2,126,495.51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2,716,270.66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2,045.20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237,990.80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9,491,477.46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15,925,517.83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0"/>
          <w:szCs w:val="20"/>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2,563,745.62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1,165,160.98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2,563,745.62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1,165,160.98</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报告期内账面价值发生重大变动的金额和原因</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after="0" w:line="240" w:lineRule="auto"/>
        <w:jc w:val="center"/>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1754"/>
        <w:gridCol w:w="1755"/>
        <w:gridCol w:w="1755"/>
        <w:gridCol w:w="1757"/>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4,055,775.08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35,929,481.88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34,649,931.16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5,335,325.80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1,732,063.69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1,732,063.69</w:t>
            </w: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355,800.00</w:t>
            </w: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4,055,775.08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38,017,345.57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36,737,794.85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5,335,325.80</w:t>
            </w:r>
          </w:p>
        </w:tc>
      </w:tr>
    </w:tbl>
    <w:p>
      <w:pPr>
        <w:spacing w:line="240" w:lineRule="auto" w:before="6"/>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9"/>
        <w:gridCol w:w="1824"/>
        <w:gridCol w:w="1827"/>
        <w:gridCol w:w="1827"/>
        <w:gridCol w:w="1827"/>
      </w:tblGrid>
      <w:tr>
        <w:trPr>
          <w:trHeight w:val="401"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、工资、奖金、津贴和补贴</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4,055,775.08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33,966,916.18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32,687,365.46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5,335,325.80</w:t>
            </w: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24"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693,792.60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693,792.60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24"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740,971.29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740,971.29</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24"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650,972.45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650,972.45</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24"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15,192.97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15,192.97</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24"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64,579.91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64,579.91</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4"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10,225.96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10,225.96</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24"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523,207.10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523,207.10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824"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4,594.71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4,594.71</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4,055,775.08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35,929,481.88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34,649,931.16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5,335,325.80</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1,690,993.93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1,690,993.93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41,069.76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41,069.76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1,732,063.69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1,732,063.69</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3,035.27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2,706.26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119,338.29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162,319.16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3,842.58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3,475.95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126,423.09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168,826.13</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6,319,490.50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6,021,385.77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6,319,490.50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6,021,385.77</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4"/>
        <w:rPr>
          <w:rFonts w:ascii="宋体" w:hAnsi="宋体" w:cs="宋体" w:eastAsia="宋体" w:hint="default"/>
          <w:sz w:val="21"/>
          <w:szCs w:val="21"/>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690,773.54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551,038.48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版权费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4,061,012.77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3,738,407.60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1,567,704.19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1,731,939.69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6,319,490.50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6,021,385.77</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0" w:footer="979" w:top="106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4" w:space="6777"/>
            <w:col w:w="2199"/>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800"/>
        <w:gridCol w:w="797"/>
        <w:gridCol w:w="799"/>
        <w:gridCol w:w="797"/>
        <w:gridCol w:w="799"/>
        <w:gridCol w:w="797"/>
        <w:gridCol w:w="800"/>
        <w:gridCol w:w="797"/>
        <w:gridCol w:w="799"/>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5" w:right="34"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7"/>
        <w:rPr>
          <w:rFonts w:ascii="宋体" w:hAnsi="宋体" w:cs="宋体" w:eastAsia="宋体" w:hint="default"/>
          <w:sz w:val="25"/>
          <w:szCs w:val="25"/>
        </w:rPr>
      </w:pPr>
    </w:p>
    <w:p>
      <w:pPr>
        <w:spacing w:line="362" w:lineRule="auto" w:before="44"/>
        <w:ind w:left="153" w:right="8593"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2"/>
        <w:rPr>
          <w:rFonts w:ascii="宋体" w:hAnsi="宋体" w:cs="宋体" w:eastAsia="宋体" w:hint="default"/>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800"/>
        <w:gridCol w:w="797"/>
        <w:gridCol w:w="799"/>
        <w:gridCol w:w="797"/>
        <w:gridCol w:w="799"/>
        <w:gridCol w:w="797"/>
        <w:gridCol w:w="800"/>
        <w:gridCol w:w="797"/>
        <w:gridCol w:w="799"/>
        <w:gridCol w:w="797"/>
      </w:tblGrid>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5" w:right="34"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0" w:footer="979" w:top="1060" w:bottom="1160" w:left="980" w:right="0"/>
        </w:sectPr>
      </w:pPr>
    </w:p>
    <w:p>
      <w:pPr>
        <w:spacing w:line="360" w:lineRule="auto"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4" w:space="4077"/>
            <w:col w:w="2199"/>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4"/>
        <w:gridCol w:w="1063"/>
        <w:gridCol w:w="1064"/>
        <w:gridCol w:w="1063"/>
        <w:gridCol w:w="1061"/>
        <w:gridCol w:w="1063"/>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2" w:lineRule="auto" w:before="49"/>
        <w:ind w:left="153" w:right="7513"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2"/>
        <w:rPr>
          <w:rFonts w:ascii="宋体" w:hAnsi="宋体" w:cs="宋体" w:eastAsia="宋体" w:hint="default"/>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2" w:lineRule="auto" w:before="49"/>
        <w:ind w:left="153" w:right="355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3"/>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0" w:footer="979" w:top="106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4" w:space="6777"/>
            <w:col w:w="2199"/>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7"/>
        <w:rPr>
          <w:rFonts w:ascii="宋体" w:hAnsi="宋体" w:cs="宋体" w:eastAsia="宋体" w:hint="default"/>
          <w:sz w:val="25"/>
          <w:szCs w:val="25"/>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1630"/>
        <w:gridCol w:w="1630"/>
        <w:gridCol w:w="1630"/>
        <w:gridCol w:w="1630"/>
        <w:gridCol w:w="2055"/>
      </w:tblGrid>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1,782,560.20</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1,353,517.42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429,042.78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取得与资产相关政府补助</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1,782,560.20</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1,353,517.42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429,042.78</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992"/>
        <w:gridCol w:w="852"/>
        <w:gridCol w:w="1275"/>
        <w:gridCol w:w="994"/>
        <w:gridCol w:w="992"/>
        <w:gridCol w:w="569"/>
        <w:gridCol w:w="902"/>
        <w:gridCol w:w="1011"/>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59"/>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89"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39"/>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8"/>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9"/>
              <w:jc w:val="left"/>
              <w:rPr>
                <w:rFonts w:ascii="宋体" w:hAnsi="宋体" w:cs="宋体" w:eastAsia="宋体" w:hint="default"/>
                <w:sz w:val="18"/>
                <w:szCs w:val="18"/>
              </w:rPr>
            </w:pPr>
            <w:r>
              <w:rPr>
                <w:rFonts w:ascii="宋体" w:hAnsi="宋体" w:cs="宋体" w:eastAsia="宋体" w:hint="default"/>
                <w:sz w:val="18"/>
                <w:szCs w:val="18"/>
              </w:rPr>
              <w:t>基于云计算的教育质量 监测与评价系统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7,700.98</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7,700.98</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外语互动学习平台创新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54,997.07</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47,861.31</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center"/>
              <w:rPr>
                <w:rFonts w:ascii="Times New Roman" w:hAnsi="Times New Roman" w:cs="Times New Roman" w:eastAsia="Times New Roman" w:hint="default"/>
                <w:sz w:val="18"/>
                <w:szCs w:val="18"/>
              </w:rPr>
            </w:pPr>
            <w:r>
              <w:rPr>
                <w:rFonts w:ascii="Times New Roman"/>
                <w:sz w:val="18"/>
              </w:rPr>
              <w:t>7,135.76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中小学教育游戏平台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43,315.81</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43,315.81</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基于移动平台的小学英 语同步课程资源系统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117,000.14</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99,999.96</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17,000.18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39"/>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的云智能个 性化教育综合互动平台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966,666.80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579,999.96</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386,666.84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同步学智能学习数字出 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592,879.40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574,639.40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18,240.00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12"/>
          <w:szCs w:val="12"/>
        </w:rPr>
      </w:pPr>
    </w:p>
    <w:p>
      <w:pPr>
        <w:pStyle w:val="Heading6"/>
        <w:spacing w:line="379" w:lineRule="auto"/>
        <w:ind w:right="1129"/>
        <w:jc w:val="both"/>
      </w:pPr>
      <w:r>
        <w:rPr>
          <w:rFonts w:ascii="Times New Roman" w:hAnsi="Times New Roman" w:cs="Times New Roman" w:eastAsia="Times New Roman" w:hint="default"/>
          <w:spacing w:val="-3"/>
        </w:rPr>
        <w:t>1</w:t>
      </w:r>
      <w:r>
        <w:rPr>
          <w:spacing w:val="-3"/>
        </w:rPr>
        <w:t>）根据深圳市发展与改革委员会的深发改</w:t>
      </w:r>
      <w:r>
        <w:rPr>
          <w:rFonts w:ascii="Times New Roman" w:hAnsi="Times New Roman" w:cs="Times New Roman" w:eastAsia="Times New Roman" w:hint="default"/>
          <w:spacing w:val="-3"/>
        </w:rPr>
        <w:t>[2012]1241</w:t>
      </w:r>
      <w:r>
        <w:rPr>
          <w:spacing w:val="-3"/>
        </w:rPr>
        <w:t>号文件相关规定，本公司获得深圳市科技创</w:t>
      </w:r>
      <w:r>
        <w:rPr>
          <w:w w:val="100"/>
        </w:rPr>
        <w:t> </w:t>
      </w:r>
      <w:r>
        <w:rPr>
          <w:spacing w:val="2"/>
        </w:rPr>
        <w:t>新委员会的深圳市战略性新兴产业发展专项资金项目基于云计算的教育质量监测与评价系统无偿资</w:t>
      </w:r>
      <w:r>
        <w:rPr>
          <w:spacing w:val="-40"/>
        </w:rPr>
        <w:t> </w:t>
      </w:r>
      <w:r>
        <w:rPr>
          <w:spacing w:val="-40"/>
        </w:rPr>
      </w:r>
      <w:r>
        <w:rPr/>
        <w:t>助款</w:t>
      </w:r>
      <w:r>
        <w:rPr>
          <w:rFonts w:ascii="Times New Roman" w:hAnsi="Times New Roman" w:cs="Times New Roman" w:eastAsia="Times New Roman" w:hint="default"/>
        </w:rPr>
        <w:t>200</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日，该项目资金补助已全部结转收益。</w:t>
      </w:r>
    </w:p>
    <w:p>
      <w:pPr>
        <w:pStyle w:val="Heading6"/>
        <w:spacing w:line="369" w:lineRule="auto" w:before="22"/>
        <w:ind w:right="1128"/>
        <w:jc w:val="both"/>
      </w:pPr>
      <w:r>
        <w:rPr>
          <w:rFonts w:ascii="Times New Roman" w:hAnsi="Times New Roman" w:cs="Times New Roman" w:eastAsia="Times New Roman" w:hint="default"/>
        </w:rPr>
        <w:t>2</w:t>
      </w:r>
      <w:r>
        <w:rPr/>
        <w:t>）根据深圳市发展与改革委员会深发改</w:t>
      </w:r>
      <w:r>
        <w:rPr>
          <w:rFonts w:ascii="Times New Roman" w:hAnsi="Times New Roman" w:cs="Times New Roman" w:eastAsia="Times New Roman" w:hint="default"/>
        </w:rPr>
        <w:t>[2013]535</w:t>
      </w:r>
      <w:r>
        <w:rPr/>
        <w:t>号文件相关规定，本公司获得深圳市经济贸易</w:t>
      </w:r>
      <w:r>
        <w:rPr>
          <w:w w:val="100"/>
        </w:rPr>
        <w:t> </w:t>
      </w:r>
      <w:r>
        <w:rPr>
          <w:spacing w:val="-2"/>
        </w:rPr>
        <w:t>和信息化委员会的外语互动学习平台创新项目无偿资助款</w:t>
      </w:r>
      <w:r>
        <w:rPr>
          <w:rFonts w:ascii="Times New Roman" w:hAnsi="Times New Roman" w:cs="Times New Roman" w:eastAsia="Times New Roman" w:hint="default"/>
          <w:spacing w:val="-2"/>
        </w:rPr>
        <w:t>80</w:t>
      </w:r>
      <w:r>
        <w:rPr>
          <w:spacing w:val="-2"/>
        </w:rPr>
        <w:t>万元。截止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日，该项目已结</w:t>
      </w:r>
      <w:r>
        <w:rPr>
          <w:spacing w:val="-59"/>
        </w:rPr>
        <w:t> </w:t>
      </w:r>
      <w:r>
        <w:rPr>
          <w:spacing w:val="-59"/>
        </w:rPr>
      </w:r>
      <w:r>
        <w:rPr/>
        <w:t>转收益</w:t>
      </w:r>
      <w:r>
        <w:rPr>
          <w:rFonts w:ascii="Times New Roman" w:hAnsi="Times New Roman" w:cs="Times New Roman" w:eastAsia="Times New Roman" w:hint="default"/>
        </w:rPr>
        <w:t>792,864.24</w:t>
      </w:r>
      <w:r>
        <w:rPr/>
        <w:t>元。</w:t>
      </w:r>
    </w:p>
    <w:p>
      <w:pPr>
        <w:pStyle w:val="Heading6"/>
        <w:spacing w:line="369" w:lineRule="auto" w:before="32"/>
        <w:ind w:right="1128"/>
        <w:jc w:val="both"/>
      </w:pPr>
      <w:r>
        <w:rPr>
          <w:rFonts w:ascii="Times New Roman" w:hAnsi="Times New Roman" w:cs="Times New Roman" w:eastAsia="Times New Roman" w:hint="default"/>
        </w:rPr>
        <w:t>3</w:t>
      </w:r>
      <w:r>
        <w:rPr/>
        <w:t>）为落实《深圳市文化创意产业发展专项资金管理办法》所规定的优惠政策，本公司获得深圳</w:t>
      </w:r>
      <w:r>
        <w:rPr>
          <w:w w:val="100"/>
        </w:rPr>
        <w:t> </w:t>
      </w:r>
      <w:r>
        <w:rPr>
          <w:spacing w:val="-2"/>
        </w:rPr>
        <w:t>市文体旅游局的中小学教育游戏平台项目无偿资助款</w:t>
      </w:r>
      <w:r>
        <w:rPr>
          <w:rFonts w:ascii="Times New Roman" w:hAnsi="Times New Roman" w:cs="Times New Roman" w:eastAsia="Times New Roman" w:hint="default"/>
          <w:spacing w:val="-2"/>
        </w:rPr>
        <w:t>91</w:t>
      </w:r>
      <w:r>
        <w:rPr>
          <w:spacing w:val="-2"/>
        </w:rPr>
        <w:t>万元。截止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日，该项目已全部结</w:t>
      </w:r>
      <w:r>
        <w:rPr>
          <w:spacing w:val="-59"/>
        </w:rPr>
        <w:t> </w:t>
      </w:r>
      <w:r>
        <w:rPr>
          <w:spacing w:val="-59"/>
        </w:rPr>
      </w:r>
      <w:r>
        <w:rPr/>
        <w:t>转收益。</w:t>
      </w:r>
    </w:p>
    <w:p>
      <w:pPr>
        <w:pStyle w:val="Heading6"/>
        <w:spacing w:line="369" w:lineRule="auto" w:before="61"/>
        <w:ind w:right="995"/>
        <w:jc w:val="left"/>
      </w:pPr>
      <w:r>
        <w:rPr>
          <w:rFonts w:ascii="Times New Roman" w:hAnsi="Times New Roman" w:cs="Times New Roman" w:eastAsia="Times New Roman" w:hint="default"/>
        </w:rPr>
        <w:t>4</w:t>
      </w:r>
      <w:r>
        <w:rPr/>
        <w:t>）为落实深圳市发展与改革委员会的深发改</w:t>
      </w:r>
      <w:r>
        <w:rPr>
          <w:rFonts w:ascii="Times New Roman" w:hAnsi="Times New Roman" w:cs="Times New Roman" w:eastAsia="Times New Roman" w:hint="default"/>
        </w:rPr>
        <w:t>[2014]939</w:t>
      </w:r>
      <w:r>
        <w:rPr/>
        <w:t>号文件相关规定，本公司获得深圳市科技</w:t>
      </w:r>
      <w:r>
        <w:rPr>
          <w:w w:val="100"/>
        </w:rPr>
        <w:t> </w:t>
      </w:r>
      <w:r>
        <w:rPr>
          <w:spacing w:val="-2"/>
        </w:rPr>
        <w:t>创新委员会的基于移动平台的小学英语同步课程资源系统无偿资助款</w:t>
      </w:r>
      <w:r>
        <w:rPr>
          <w:rFonts w:ascii="Times New Roman" w:hAnsi="Times New Roman" w:cs="Times New Roman" w:eastAsia="Times New Roman" w:hint="default"/>
          <w:spacing w:val="-2"/>
        </w:rPr>
        <w:t>100</w:t>
      </w:r>
      <w:r>
        <w:rPr>
          <w:spacing w:val="-2"/>
        </w:rPr>
        <w:t>万元。截止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63"/>
        </w:rPr>
        <w:t> </w:t>
      </w:r>
      <w:r>
        <w:rPr/>
        <w:t>该项目已结转收益</w:t>
      </w:r>
      <w:r>
        <w:rPr>
          <w:rFonts w:ascii="Times New Roman" w:hAnsi="Times New Roman" w:cs="Times New Roman" w:eastAsia="Times New Roman" w:hint="default"/>
        </w:rPr>
        <w:t>982,999.82</w:t>
      </w:r>
      <w:r>
        <w:rPr/>
        <w:t>元。</w:t>
      </w:r>
    </w:p>
    <w:p>
      <w:pPr>
        <w:spacing w:after="0" w:line="369"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Heading6"/>
        <w:spacing w:line="376" w:lineRule="auto" w:before="166"/>
        <w:ind w:right="1130"/>
        <w:jc w:val="both"/>
      </w:pPr>
      <w:r>
        <w:rPr>
          <w:rFonts w:ascii="Times New Roman" w:hAnsi="Times New Roman" w:cs="Times New Roman" w:eastAsia="Times New Roman" w:hint="default"/>
        </w:rPr>
        <w:t>5</w:t>
      </w:r>
      <w:r>
        <w:rPr/>
        <w:t>）根据深发改</w:t>
      </w:r>
      <w:r>
        <w:rPr>
          <w:rFonts w:ascii="Times New Roman" w:hAnsi="Times New Roman" w:cs="Times New Roman" w:eastAsia="Times New Roman" w:hint="default"/>
        </w:rPr>
        <w:t>[2013]535</w:t>
      </w:r>
      <w:r>
        <w:rPr/>
        <w:t>号文件相关规定，本公司获得深圳市发展改革委员会、深圳市经济贸易</w:t>
      </w:r>
      <w:r>
        <w:rPr>
          <w:w w:val="100"/>
        </w:rPr>
        <w:t> </w:t>
      </w:r>
      <w:r>
        <w:rPr>
          <w:spacing w:val="-2"/>
        </w:rPr>
        <w:t>和信息化委员会、深圳市科技创新委员会、深圳市财政委员会文件的深圳市战略性新兴产业发展专项</w:t>
      </w:r>
      <w:r>
        <w:rPr>
          <w:spacing w:val="-70"/>
        </w:rPr>
        <w:t> </w:t>
      </w:r>
      <w:r>
        <w:rPr>
          <w:spacing w:val="-70"/>
        </w:rPr>
      </w:r>
      <w:r>
        <w:rPr>
          <w:spacing w:val="-2"/>
        </w:rPr>
        <w:t>资金项目基于</w:t>
      </w:r>
      <w:r>
        <w:rPr>
          <w:rFonts w:ascii="Times New Roman" w:hAnsi="Times New Roman" w:cs="Times New Roman" w:eastAsia="Times New Roman" w:hint="default"/>
          <w:spacing w:val="-2"/>
        </w:rPr>
        <w:t>SAAS</w:t>
      </w:r>
      <w:r>
        <w:rPr>
          <w:spacing w:val="-2"/>
        </w:rPr>
        <w:t>的云智能个性化教育综合互动平台无偿资助</w:t>
      </w:r>
      <w:r>
        <w:rPr>
          <w:rFonts w:ascii="Times New Roman" w:hAnsi="Times New Roman" w:cs="Times New Roman" w:eastAsia="Times New Roman" w:hint="default"/>
          <w:spacing w:val="-2"/>
        </w:rPr>
        <w:t>290</w:t>
      </w:r>
      <w:r>
        <w:rPr>
          <w:spacing w:val="-2"/>
        </w:rPr>
        <w:t>万元。截止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w:t>
      </w:r>
      <w:r>
        <w:rPr>
          <w:spacing w:val="-73"/>
        </w:rPr>
        <w:t> </w:t>
      </w:r>
      <w:r>
        <w:rPr>
          <w:spacing w:val="-73"/>
        </w:rPr>
      </w:r>
      <w:r>
        <w:rPr/>
        <w:t>目已结转收益</w:t>
      </w:r>
      <w:r>
        <w:rPr>
          <w:rFonts w:ascii="Times New Roman" w:hAnsi="Times New Roman" w:cs="Times New Roman" w:eastAsia="Times New Roman" w:hint="default"/>
        </w:rPr>
        <w:t>2,513,333.16</w:t>
      </w:r>
      <w:r>
        <w:rPr/>
        <w:t>元。</w:t>
      </w:r>
    </w:p>
    <w:p>
      <w:pPr>
        <w:pStyle w:val="Heading6"/>
        <w:spacing w:line="369" w:lineRule="auto" w:before="24"/>
        <w:ind w:right="1133"/>
        <w:jc w:val="both"/>
      </w:pPr>
      <w:r>
        <w:rPr>
          <w:rFonts w:ascii="Times New Roman" w:hAnsi="Times New Roman" w:cs="Times New Roman" w:eastAsia="Times New Roman" w:hint="default"/>
          <w:spacing w:val="-2"/>
        </w:rPr>
        <w:t>6)</w:t>
      </w:r>
      <w:r>
        <w:rPr>
          <w:spacing w:val="-2"/>
        </w:rPr>
        <w:t>根据《深圳市财政委员会中国深圳市委宣传部等部门关于下达深圳市文化创意产业发展专项资</w:t>
      </w:r>
      <w:r>
        <w:rPr>
          <w:w w:val="100"/>
        </w:rPr>
        <w:t> </w:t>
      </w:r>
      <w:r>
        <w:rPr>
          <w:spacing w:val="-1"/>
        </w:rPr>
        <w:t>金</w:t>
      </w:r>
      <w:r>
        <w:rPr>
          <w:rFonts w:ascii="Times New Roman" w:hAnsi="Times New Roman" w:cs="Times New Roman" w:eastAsia="Times New Roman" w:hint="default"/>
          <w:spacing w:val="-1"/>
        </w:rPr>
        <w:t>2018</w:t>
      </w:r>
      <w:r>
        <w:rPr>
          <w:spacing w:val="-1"/>
        </w:rPr>
        <w:t>年度核心技术研发等项目扶持计划的通知》（深财科</w:t>
      </w:r>
      <w:r>
        <w:rPr>
          <w:rFonts w:ascii="Times New Roman" w:hAnsi="Times New Roman" w:cs="Times New Roman" w:eastAsia="Times New Roman" w:hint="default"/>
          <w:spacing w:val="-1"/>
        </w:rPr>
        <w:t>[2018]17</w:t>
      </w:r>
      <w:r>
        <w:rPr>
          <w:spacing w:val="-1"/>
        </w:rPr>
        <w:t>号，本公司获得同步学智能学习</w:t>
      </w:r>
      <w:r>
        <w:rPr>
          <w:spacing w:val="-69"/>
        </w:rPr>
        <w:t> </w:t>
      </w:r>
      <w:r>
        <w:rPr>
          <w:spacing w:val="-69"/>
        </w:rPr>
      </w:r>
      <w:r>
        <w:rPr/>
        <w:t>数字出版项目扶持资金</w:t>
      </w:r>
      <w:r>
        <w:rPr>
          <w:rFonts w:ascii="Times New Roman" w:hAnsi="Times New Roman" w:cs="Times New Roman" w:eastAsia="Times New Roman" w:hint="default"/>
        </w:rPr>
        <w:t>106</w:t>
      </w:r>
      <w:r>
        <w:rPr/>
        <w:t>万元</w:t>
      </w:r>
      <w:r>
        <w:rPr>
          <w:rFonts w:ascii="Times New Roman" w:hAnsi="Times New Roman" w:cs="Times New Roman" w:eastAsia="Times New Roman" w:hint="default"/>
        </w:rPr>
        <w:t>.</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日，该项目已结转收益</w:t>
      </w:r>
      <w:r>
        <w:rPr>
          <w:spacing w:val="61"/>
        </w:rPr>
        <w:t> </w:t>
      </w:r>
      <w:r>
        <w:rPr>
          <w:rFonts w:ascii="Times New Roman" w:hAnsi="Times New Roman" w:cs="Times New Roman" w:eastAsia="Times New Roman" w:hint="default"/>
        </w:rPr>
        <w:t>1,041,760.00</w:t>
      </w:r>
      <w:r>
        <w:rPr/>
        <w:t>元。</w:t>
      </w:r>
    </w:p>
    <w:p>
      <w:pPr>
        <w:spacing w:line="240" w:lineRule="auto" w:before="2"/>
        <w:rPr>
          <w:rFonts w:ascii="宋体" w:hAnsi="宋体" w:cs="宋体" w:eastAsia="宋体" w:hint="default"/>
          <w:sz w:val="15"/>
          <w:szCs w:val="15"/>
        </w:rPr>
      </w:pPr>
    </w:p>
    <w:p>
      <w:pPr>
        <w:pStyle w:val="Heading7"/>
        <w:spacing w:line="240" w:lineRule="auto"/>
        <w:ind w:right="995"/>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0" w:footer="979" w:top="106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4" w:space="6777"/>
            <w:col w:w="2199"/>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6"/>
        <w:gridCol w:w="1197"/>
      </w:tblGrid>
      <w:tr>
        <w:trPr>
          <w:trHeight w:val="404"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167,831,090.00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167,831,090.00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4"/>
        <w:gridCol w:w="1063"/>
        <w:gridCol w:w="1064"/>
        <w:gridCol w:w="1063"/>
        <w:gridCol w:w="1061"/>
        <w:gridCol w:w="1063"/>
        <w:gridCol w:w="1061"/>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3" w:right="463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after="0" w:line="36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281,747,580.52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281,747,580.52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281,747,580.52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281,747,580.52</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5"/>
        <w:gridCol w:w="569"/>
        <w:gridCol w:w="1133"/>
        <w:gridCol w:w="1702"/>
        <w:gridCol w:w="2268"/>
        <w:gridCol w:w="901"/>
        <w:gridCol w:w="852"/>
        <w:gridCol w:w="1083"/>
        <w:gridCol w:w="497"/>
      </w:tblGrid>
      <w:tr>
        <w:trPr>
          <w:trHeight w:val="403" w:hRule="exact"/>
        </w:trPr>
        <w:tc>
          <w:tcPr>
            <w:tcW w:w="5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93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2" w:right="62"/>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3" w:hRule="exact"/>
        </w:trPr>
        <w:tc>
          <w:tcPr>
            <w:tcW w:w="565"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1" w:right="110"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6" w:right="35"/>
              <w:jc w:val="left"/>
              <w:rPr>
                <w:rFonts w:ascii="宋体" w:hAnsi="宋体" w:cs="宋体" w:eastAsia="宋体" w:hint="default"/>
                <w:sz w:val="18"/>
                <w:szCs w:val="18"/>
              </w:rPr>
            </w:pPr>
            <w:r>
              <w:rPr>
                <w:rFonts w:ascii="宋体" w:hAnsi="宋体" w:cs="宋体" w:eastAsia="宋体" w:hint="default"/>
                <w:sz w:val="18"/>
                <w:szCs w:val="18"/>
              </w:rPr>
              <w:t>减：前期计入其他综 合收益当期转入损益</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6" w:hanging="361"/>
              <w:jc w:val="left"/>
              <w:rPr>
                <w:rFonts w:ascii="宋体" w:hAnsi="宋体" w:cs="宋体" w:eastAsia="宋体" w:hint="default"/>
                <w:sz w:val="18"/>
                <w:szCs w:val="18"/>
              </w:rPr>
            </w:pPr>
            <w:r>
              <w:rPr>
                <w:rFonts w:ascii="宋体" w:hAnsi="宋体" w:cs="宋体" w:eastAsia="宋体" w:hint="default"/>
                <w:sz w:val="18"/>
                <w:szCs w:val="18"/>
              </w:rPr>
              <w:t>减：前期计入其他综合收益 当期转入留存收益</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6" w:right="20" w:hanging="243"/>
              <w:jc w:val="left"/>
              <w:rPr>
                <w:rFonts w:ascii="宋体" w:hAnsi="宋体" w:cs="宋体" w:eastAsia="宋体" w:hint="default"/>
                <w:sz w:val="18"/>
                <w:szCs w:val="18"/>
              </w:rPr>
            </w:pPr>
            <w:r>
              <w:rPr>
                <w:rFonts w:ascii="宋体" w:hAnsi="宋体" w:cs="宋体" w:eastAsia="宋体" w:hint="default"/>
                <w:spacing w:val="-12"/>
                <w:sz w:val="18"/>
                <w:szCs w:val="18"/>
              </w:rPr>
              <w:t>减：所得税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费用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7" w:right="84" w:hanging="92"/>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497" w:type="dxa"/>
            <w:vMerge/>
            <w:tcBorders>
              <w:left w:val="single" w:sz="4" w:space="0" w:color="000000"/>
              <w:bottom w:val="single" w:sz="4" w:space="0" w:color="000000"/>
              <w:right w:val="single" w:sz="4" w:space="0" w:color="000000"/>
            </w:tcBorders>
            <w:shd w:val="clear" w:color="auto" w:fill="D2D2D2"/>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20,141,720.27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3,367,428.60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23,509,148.87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20,141,720.27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3,367,428.60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23,509,148.87</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4"/>
        <w:gridCol w:w="2924"/>
        <w:gridCol w:w="2919"/>
      </w:tblGrid>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4"/>
        <w:gridCol w:w="2924"/>
        <w:gridCol w:w="2919"/>
      </w:tblGrid>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124,698,323.79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113,704,610.89</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124,698,323.79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113,704,610.89</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32,187,455.63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12,316,056.55</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3,367,428.60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1,322,343.65</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153,518,350.82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124,698,323.79</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1"/>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4"/>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109,014,398.01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36,585,007.75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107,245,103.63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40,850,440.88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109,014,398.01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36,585,007.75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107,245,103.63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40,850,440.88</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7"/>
        <w:ind w:left="153" w:right="92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4"/>
        <w:rPr>
          <w:rFonts w:ascii="宋体" w:hAnsi="宋体" w:cs="宋体" w:eastAsia="宋体" w:hint="default"/>
          <w:sz w:val="16"/>
          <w:szCs w:val="16"/>
        </w:rPr>
      </w:pPr>
    </w:p>
    <w:p>
      <w:pPr>
        <w:pStyle w:val="Heading7"/>
        <w:spacing w:line="240" w:lineRule="auto"/>
        <w:ind w:right="995"/>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04"/>
        <w:gridCol w:w="2976"/>
        <w:gridCol w:w="3191"/>
      </w:tblGrid>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537,867.30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513,093.12</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384,190.94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366,410.22</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189,403.63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275,158.57</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1,111,461.87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1,154,661.91</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2976"/>
        <w:gridCol w:w="3191"/>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0" w:right="0"/>
              <w:jc w:val="left"/>
              <w:rPr>
                <w:rFonts w:ascii="Times New Roman" w:hAnsi="Times New Roman" w:cs="Times New Roman" w:eastAsia="Times New Roman" w:hint="default"/>
                <w:sz w:val="18"/>
                <w:szCs w:val="18"/>
              </w:rPr>
            </w:pPr>
            <w:r>
              <w:rPr>
                <w:rFonts w:ascii="Times New Roman"/>
                <w:sz w:val="18"/>
              </w:rPr>
              <w:t>10,919,558.47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15,114,270.15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04"/>
        <w:gridCol w:w="2976"/>
        <w:gridCol w:w="3191"/>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1,253,159.36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2,155,854.72</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2,574,601.35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4,264,884.75</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142,566.26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124,441.60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1,635,916.52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1,925,877.61</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1,204,339.44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1,935,615.68</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1,239,397.51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1,444,568.70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293,037.61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389,895.22</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会务费及培训费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446,077.57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805,948.03</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通讯费及网络费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95,389.34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65,257.17</w:t>
            </w: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866,008.08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559,223.57</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20,670,051.51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28,785,837.20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2976"/>
        <w:gridCol w:w="3191"/>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9,045,545.71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9,203,327.25</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459,634.82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556,184.11</w:t>
            </w: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418,318.15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456,815.07</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166,311.93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219,878.94</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811,258.67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641,474.10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1,679,070.10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1,782,371.49</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会费及年审费、中介机构费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978,411.84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1,342,870.11</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通讯费及网络费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246,585.75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363,221.44</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363,931.67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180,922.32</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533,633.90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220,030.92</w:t>
            </w: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14,702,702.54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14,967,095.75</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2976"/>
        <w:gridCol w:w="3191"/>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14,823,293.55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19,123,606.78</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1,770,909.64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2,462,931.52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04"/>
        <w:gridCol w:w="2976"/>
        <w:gridCol w:w="3191"/>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版权费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4,345,456.11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3,825,364.69</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838,976.98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1,262,381.50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对外委托</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707,612.36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809,496.96</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173,616.55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171,832.71</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151,219.65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48,932.21</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520,126.41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815,028.86</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通讯费及网络费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954,284.10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1,060,034.59</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361,016.94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238,125.12</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24,646,512.29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29,817,734.94</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2976"/>
        <w:gridCol w:w="3191"/>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13,081,567.68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10,550,067.14</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2976"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18,687.91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19,786.80</w:t>
            </w:r>
          </w:p>
        </w:tc>
      </w:tr>
      <w:tr>
        <w:trPr>
          <w:trHeight w:val="404"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-12,967,879.77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-10,530,280.34</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04"/>
        <w:gridCol w:w="2976"/>
        <w:gridCol w:w="3191"/>
      </w:tblGrid>
      <w:tr>
        <w:trPr>
          <w:trHeight w:val="401"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5"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3,615,031.48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3,830,568.73</w:t>
            </w:r>
          </w:p>
        </w:tc>
      </w:tr>
      <w:tr>
        <w:trPr>
          <w:trHeight w:val="71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8"/>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深圳市经济贸易和信息化委员会战略性新 兴产业发展专项资金</w:t>
            </w:r>
          </w:p>
        </w:tc>
        <w:tc>
          <w:tcPr>
            <w:tcW w:w="2976"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2,540,000.00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企业研究开发资助计划第三批资助</w:t>
            </w:r>
          </w:p>
        </w:tc>
        <w:tc>
          <w:tcPr>
            <w:tcW w:w="2976"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1,146,000.00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南山区自主创新产业发展专项资金资助款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899,900.00</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深圳市文化创意产业发展专项资金扶持款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574,639.40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467,120.60</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27,042.45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60,672.06</w:t>
            </w:r>
          </w:p>
        </w:tc>
      </w:tr>
      <w:tr>
        <w:trPr>
          <w:trHeight w:val="40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107,857.66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62,129.87</w:t>
            </w:r>
          </w:p>
        </w:tc>
      </w:tr>
      <w:tr>
        <w:trPr>
          <w:trHeight w:val="40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5,292,070.99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9,006,391.26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-838,463.17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154,257.44</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5,315,570.74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5,728,952.06</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4,477,107.57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5,883,209.50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2,965,066.67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-88,434.61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2,876,632.06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0" w:footer="979" w:top="1060" w:bottom="1160" w:left="980" w:right="0"/>
        </w:sectPr>
      </w:pPr>
    </w:p>
    <w:p>
      <w:pPr>
        <w:spacing w:before="44"/>
        <w:ind w:left="153"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4" w:space="6777"/>
            <w:col w:w="219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-1,985,162.30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-1,097,221.12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-1,075,217.66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-83,940.16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1"/>
      </w:tblGrid>
      <w:tr>
        <w:trPr>
          <w:trHeight w:val="404"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-1,097,221.12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-3,144,320.12</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4"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4"/>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778,878.02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1,459,665.07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778,878.02</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51,345.54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69,567.61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51,345.54</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830,223.56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1,529,232.68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830,223.56</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992"/>
        <w:gridCol w:w="566"/>
        <w:gridCol w:w="1844"/>
        <w:gridCol w:w="994"/>
        <w:gridCol w:w="850"/>
        <w:gridCol w:w="992"/>
        <w:gridCol w:w="994"/>
        <w:gridCol w:w="1064"/>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01" w:right="39"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03" w:right="38"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基于云计算的 教育质量监测 与评价系统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7,700.98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54,335.56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中小学教育游 戏平台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深圳市文体 旅游局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43,315.81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49,182.00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外语互动学习 平台创新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47,861.31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基于移动平台 的小学英语同 步课程资源系 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56"/>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99,999.96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99,999.96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 云智能个性化 教育综合互动 平台开发及产 业化项目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56"/>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579,999.96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579,999.96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广东特支计划 </w:t>
            </w:r>
            <w:r>
              <w:rPr>
                <w:rFonts w:ascii="Times New Roman" w:hAnsi="Times New Roman" w:cs="Times New Roman" w:eastAsia="Times New Roman" w:hint="default"/>
                <w:sz w:val="18"/>
                <w:szCs w:val="18"/>
              </w:rPr>
              <w:t>"</w:t>
            </w:r>
            <w:r>
              <w:rPr>
                <w:rFonts w:ascii="宋体" w:hAnsi="宋体" w:cs="宋体" w:eastAsia="宋体" w:hint="default"/>
                <w:sz w:val="18"/>
                <w:szCs w:val="18"/>
              </w:rPr>
              <w:t>科技创业领军 人才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56"/>
              <w:jc w:val="left"/>
              <w:rPr>
                <w:rFonts w:ascii="宋体" w:hAnsi="宋体" w:cs="宋体" w:eastAsia="宋体" w:hint="default"/>
                <w:sz w:val="18"/>
                <w:szCs w:val="18"/>
              </w:rPr>
            </w:pPr>
            <w:r>
              <w:rPr>
                <w:rFonts w:ascii="宋体" w:hAnsi="宋体" w:cs="宋体" w:eastAsia="宋体" w:hint="default"/>
                <w:sz w:val="18"/>
                <w:szCs w:val="18"/>
              </w:rPr>
              <w:t>广东省科学 技术厅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559,347.55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992"/>
        <w:gridCol w:w="566"/>
        <w:gridCol w:w="1844"/>
        <w:gridCol w:w="994"/>
        <w:gridCol w:w="850"/>
        <w:gridCol w:w="992"/>
        <w:gridCol w:w="994"/>
        <w:gridCol w:w="1064"/>
      </w:tblGrid>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民营领军企业 资助项目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both"/>
              <w:rPr>
                <w:rFonts w:ascii="宋体" w:hAnsi="宋体" w:cs="宋体" w:eastAsia="宋体" w:hint="default"/>
                <w:sz w:val="18"/>
                <w:szCs w:val="18"/>
              </w:rPr>
            </w:pPr>
            <w:r>
              <w:rPr>
                <w:rFonts w:ascii="宋体" w:hAnsi="宋体" w:cs="宋体" w:eastAsia="宋体" w:hint="default"/>
                <w:sz w:val="18"/>
                <w:szCs w:val="18"/>
              </w:rPr>
              <w:t>深圳市南山 区经济促进 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13"/>
              <w:jc w:val="both"/>
              <w:rPr>
                <w:rFonts w:ascii="宋体" w:hAnsi="宋体" w:cs="宋体" w:eastAsia="宋体" w:hint="default"/>
                <w:sz w:val="18"/>
                <w:szCs w:val="18"/>
              </w:rPr>
            </w:pPr>
            <w:r>
              <w:rPr>
                <w:rFonts w:ascii="宋体" w:hAnsi="宋体" w:cs="宋体" w:eastAsia="宋体" w:hint="default"/>
                <w:sz w:val="18"/>
                <w:szCs w:val="18"/>
              </w:rPr>
              <w:t>深圳市场和质 量监督管理局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第二批专 利资助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56"/>
              <w:jc w:val="both"/>
              <w:rPr>
                <w:rFonts w:ascii="宋体" w:hAnsi="宋体" w:cs="宋体" w:eastAsia="宋体" w:hint="default"/>
                <w:sz w:val="18"/>
                <w:szCs w:val="18"/>
              </w:rPr>
            </w:pPr>
            <w:r>
              <w:rPr>
                <w:rFonts w:ascii="宋体" w:hAnsi="宋体" w:cs="宋体" w:eastAsia="宋体" w:hint="default"/>
                <w:sz w:val="18"/>
                <w:szCs w:val="18"/>
              </w:rPr>
              <w:t>深圳市场和 质量监督管 理局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4" w:right="20"/>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及改造等获得的补助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101,726.71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8,620.08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101,726.71</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资产报废、毁损损失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46,018.59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46,018.59</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275,542.87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48,511.40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275,542.87</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423,288.17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57,131.48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423,288.17</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3,624,515.45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3,770,604.30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582,826.11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-463,698.39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4,207,341.56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3,306,905.91</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31"/>
        <w:gridCol w:w="4040"/>
      </w:tblGrid>
      <w:tr>
        <w:trPr>
          <w:trHeight w:val="397"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36,222,066.71</w:t>
            </w:r>
          </w:p>
        </w:tc>
      </w:tr>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3,622,206.67</w:t>
            </w:r>
          </w:p>
        </w:tc>
      </w:tr>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-214,486.08</w:t>
            </w:r>
          </w:p>
        </w:tc>
      </w:tr>
      <w:tr>
        <w:trPr>
          <w:trHeight w:val="40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-1,537.17</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897,413.44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31"/>
        <w:gridCol w:w="4040"/>
      </w:tblGrid>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83,846.32</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564,329.99</w:t>
            </w:r>
          </w:p>
        </w:tc>
      </w:tr>
      <w:tr>
        <w:trPr>
          <w:trHeight w:val="401"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-744,431.61</w:t>
            </w:r>
          </w:p>
        </w:tc>
      </w:tr>
      <w:tr>
        <w:trPr>
          <w:trHeight w:val="40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4,207,341.56</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6,436,163.43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5,142,508.64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1,121,825.28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5,772,106.81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10,494,834.51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1,247,547.10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18,052,823.22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12,162,162.55</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2"/>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15,692,833.96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19,575,329.67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25,773,403.89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6,409,872.29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41,466,237.85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25,985,201.96</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79" w:top="1060" w:bottom="1160" w:left="980" w:right="0"/>
        </w:sectPr>
      </w:pPr>
    </w:p>
    <w:p>
      <w:pPr>
        <w:spacing w:line="240" w:lineRule="auto" w:before="7"/>
        <w:rPr>
          <w:rFonts w:ascii="宋体" w:hAnsi="宋体" w:cs="宋体" w:eastAsia="宋体" w:hint="default"/>
          <w:sz w:val="25"/>
          <w:szCs w:val="25"/>
        </w:rPr>
      </w:pPr>
      <w:r>
        <w:rPr/>
        <w:pict>
          <v:shape style="position:absolute;margin-left:215.210007pt;margin-top:541.269958pt;width:176.25pt;height:19.7pt;mso-position-horizontal-relative:page;mso-position-vertical-relative:page;z-index:-86315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29"/>
        <w:gridCol w:w="1092"/>
        <w:gridCol w:w="1779"/>
        <w:gridCol w:w="2871"/>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8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8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02" w:right="0"/>
              <w:jc w:val="left"/>
              <w:rPr>
                <w:rFonts w:ascii="Times New Roman" w:hAnsi="Times New Roman" w:cs="Times New Roman" w:eastAsia="Times New Roman" w:hint="default"/>
                <w:sz w:val="18"/>
                <w:szCs w:val="18"/>
              </w:rPr>
            </w:pPr>
            <w:r>
              <w:rPr>
                <w:rFonts w:ascii="Times New Roman"/>
                <w:sz w:val="18"/>
              </w:rPr>
              <w:t>32,014,725.15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12,110,089.22</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1" w:right="0"/>
              <w:jc w:val="left"/>
              <w:rPr>
                <w:rFonts w:ascii="Times New Roman" w:hAnsi="Times New Roman" w:cs="Times New Roman" w:eastAsia="Times New Roman" w:hint="default"/>
                <w:sz w:val="18"/>
                <w:szCs w:val="18"/>
              </w:rPr>
            </w:pPr>
            <w:r>
              <w:rPr>
                <w:rFonts w:ascii="Times New Roman"/>
                <w:sz w:val="18"/>
              </w:rPr>
              <w:t>-1,779,410.94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3,144,320.12</w:t>
            </w:r>
          </w:p>
        </w:tc>
      </w:tr>
      <w:tr>
        <w:trPr>
          <w:trHeight w:val="71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firstLine="720"/>
              <w:jc w:val="left"/>
              <w:rPr>
                <w:rFonts w:ascii="宋体" w:hAnsi="宋体" w:cs="宋体" w:eastAsia="宋体" w:hint="default"/>
                <w:sz w:val="18"/>
                <w:szCs w:val="18"/>
              </w:rPr>
            </w:pPr>
            <w:r>
              <w:rPr>
                <w:rFonts w:ascii="宋体" w:hAnsi="宋体" w:cs="宋体" w:eastAsia="宋体" w:hint="default"/>
                <w:spacing w:val="-1"/>
                <w:sz w:val="18"/>
                <w:szCs w:val="18"/>
              </w:rPr>
              <w:t>固定资产折旧、油气资产折耗、生产性</w:t>
            </w:r>
            <w:r>
              <w:rPr>
                <w:rFonts w:ascii="宋体" w:hAnsi="宋体" w:cs="宋体" w:eastAsia="宋体" w:hint="default"/>
                <w:sz w:val="18"/>
                <w:szCs w:val="18"/>
              </w:rPr>
              <w:t> 生物资产折旧</w:t>
            </w:r>
          </w:p>
        </w:tc>
        <w:tc>
          <w:tcPr>
            <w:tcW w:w="287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0" w:right="0"/>
              <w:jc w:val="left"/>
              <w:rPr>
                <w:rFonts w:ascii="Times New Roman" w:hAnsi="Times New Roman" w:cs="Times New Roman" w:eastAsia="Times New Roman" w:hint="default"/>
                <w:sz w:val="18"/>
                <w:szCs w:val="18"/>
              </w:rPr>
            </w:pPr>
            <w:r>
              <w:rPr>
                <w:rFonts w:ascii="Times New Roman"/>
                <w:sz w:val="18"/>
              </w:rPr>
              <w:t>5,534,242.10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5,392,451.79</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1" w:right="0"/>
              <w:jc w:val="left"/>
              <w:rPr>
                <w:rFonts w:ascii="Times New Roman" w:hAnsi="Times New Roman" w:cs="Times New Roman" w:eastAsia="Times New Roman" w:hint="default"/>
                <w:sz w:val="18"/>
                <w:szCs w:val="18"/>
              </w:rPr>
            </w:pPr>
            <w:r>
              <w:rPr>
                <w:rFonts w:ascii="Times New Roman"/>
                <w:sz w:val="18"/>
              </w:rPr>
              <w:t>1,199,999.42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1,599,445.43</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159,954.81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241,790.13</w:t>
            </w:r>
          </w:p>
        </w:tc>
      </w:tr>
      <w:tr>
        <w:trPr>
          <w:trHeight w:val="403" w:hRule="exact"/>
        </w:trPr>
        <w:tc>
          <w:tcPr>
            <w:tcW w:w="382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w:t>
            </w:r>
            <w:r>
              <w:rPr>
                <w:rFonts w:ascii="宋体" w:hAnsi="宋体" w:cs="宋体" w:eastAsia="宋体" w:hint="default"/>
                <w:spacing w:val="-77"/>
                <w:sz w:val="18"/>
                <w:szCs w:val="18"/>
              </w:rPr>
              <w:t>失</w:t>
            </w:r>
            <w:r>
              <w:rPr>
                <w:rFonts w:ascii="宋体" w:hAnsi="宋体" w:cs="宋体" w:eastAsia="宋体" w:hint="default"/>
                <w:sz w:val="18"/>
                <w:szCs w:val="18"/>
              </w:rPr>
              <w:t>（收益以</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100"/>
                <w:sz w:val="18"/>
                <w:szCs w:val="18"/>
              </w:rPr>
              <w:t>”</w:t>
            </w:r>
          </w:p>
        </w:tc>
        <w:tc>
          <w:tcPr>
            <w:tcW w:w="1092" w:type="dxa"/>
            <w:tcBorders>
              <w:top w:val="single" w:sz="4" w:space="0" w:color="000000"/>
              <w:left w:val="single" w:sz="13" w:space="0" w:color="FFFFFF"/>
              <w:bottom w:val="single" w:sz="4" w:space="0" w:color="000000"/>
              <w:right w:val="nil" w:sz="6" w:space="0" w:color="auto"/>
            </w:tcBorders>
          </w:tcPr>
          <w:p>
            <w:pPr/>
          </w:p>
        </w:tc>
        <w:tc>
          <w:tcPr>
            <w:tcW w:w="1779"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1029" w:right="0"/>
              <w:jc w:val="left"/>
              <w:rPr>
                <w:rFonts w:ascii="Times New Roman" w:hAnsi="Times New Roman" w:cs="Times New Roman" w:eastAsia="Times New Roman" w:hint="default"/>
                <w:sz w:val="18"/>
                <w:szCs w:val="18"/>
              </w:rPr>
            </w:pPr>
            <w:r>
              <w:rPr>
                <w:rFonts w:ascii="Times New Roman"/>
                <w:sz w:val="18"/>
              </w:rPr>
              <w:t>46,018.59</w:t>
            </w:r>
          </w:p>
        </w:tc>
        <w:tc>
          <w:tcPr>
            <w:tcW w:w="2871" w:type="dxa"/>
            <w:tcBorders>
              <w:top w:val="single" w:sz="4" w:space="0" w:color="000000"/>
              <w:left w:val="single" w:sz="12" w:space="0" w:color="FFFFFF"/>
              <w:bottom w:val="single" w:sz="4" w:space="0" w:color="000000"/>
              <w:right w:val="single" w:sz="4" w:space="0" w:color="000000"/>
            </w:tcBorders>
          </w:tcPr>
          <w:p>
            <w:pP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1" w:right="0"/>
              <w:jc w:val="left"/>
              <w:rPr>
                <w:rFonts w:ascii="Times New Roman" w:hAnsi="Times New Roman" w:cs="Times New Roman" w:eastAsia="Times New Roman" w:hint="default"/>
                <w:sz w:val="18"/>
                <w:szCs w:val="18"/>
              </w:rPr>
            </w:pPr>
            <w:r>
              <w:rPr>
                <w:rFonts w:ascii="Times New Roman"/>
                <w:sz w:val="18"/>
              </w:rPr>
              <w:t>-6,550,404.25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-5,378,365.98</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1" w:right="0"/>
              <w:jc w:val="left"/>
              <w:rPr>
                <w:rFonts w:ascii="Times New Roman" w:hAnsi="Times New Roman" w:cs="Times New Roman" w:eastAsia="Times New Roman" w:hint="default"/>
                <w:sz w:val="18"/>
                <w:szCs w:val="18"/>
              </w:rPr>
            </w:pPr>
            <w:r>
              <w:rPr>
                <w:rFonts w:ascii="Times New Roman"/>
                <w:sz w:val="18"/>
              </w:rPr>
              <w:t>-4,477,107.57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-5,883,209.50</w:t>
            </w:r>
          </w:p>
        </w:tc>
      </w:tr>
      <w:tr>
        <w:trPr>
          <w:trHeight w:val="71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87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843,164.62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-327,112.63</w:t>
            </w:r>
          </w:p>
        </w:tc>
      </w:tr>
      <w:tr>
        <w:trPr>
          <w:trHeight w:val="715"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87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-260,338.51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-136,585.76</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853,952.22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596,689.52</w:t>
            </w:r>
          </w:p>
        </w:tc>
      </w:tr>
      <w:tr>
        <w:trPr>
          <w:trHeight w:val="715"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287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0" w:right="0"/>
              <w:jc w:val="left"/>
              <w:rPr>
                <w:rFonts w:ascii="Times New Roman" w:hAnsi="Times New Roman" w:cs="Times New Roman" w:eastAsia="Times New Roman" w:hint="default"/>
                <w:sz w:val="18"/>
                <w:szCs w:val="18"/>
              </w:rPr>
            </w:pPr>
            <w:r>
              <w:rPr>
                <w:rFonts w:ascii="Times New Roman"/>
                <w:sz w:val="18"/>
              </w:rPr>
              <w:t>2,947,479.83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-999,724.29</w:t>
            </w:r>
          </w:p>
        </w:tc>
      </w:tr>
      <w:tr>
        <w:trPr>
          <w:trHeight w:val="71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287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0" w:right="0"/>
              <w:jc w:val="left"/>
              <w:rPr>
                <w:rFonts w:ascii="Times New Roman" w:hAnsi="Times New Roman" w:cs="Times New Roman" w:eastAsia="Times New Roman" w:hint="default"/>
                <w:sz w:val="18"/>
                <w:szCs w:val="18"/>
              </w:rPr>
            </w:pPr>
            <w:r>
              <w:rPr>
                <w:rFonts w:ascii="Times New Roman"/>
                <w:sz w:val="18"/>
              </w:rPr>
              <w:t>-6,247,889.99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2,245,711.73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29"/>
        <w:gridCol w:w="2871"/>
        <w:gridCol w:w="2871"/>
      </w:tblGrid>
      <w:tr>
        <w:trPr>
          <w:trHeight w:val="408"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24,284,385.48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12,605,499.78</w:t>
            </w:r>
          </w:p>
        </w:tc>
      </w:tr>
      <w:tr>
        <w:trPr>
          <w:trHeight w:val="396"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370" w:right="0"/>
              <w:jc w:val="left"/>
              <w:rPr>
                <w:rFonts w:ascii="Times New Roman" w:hAnsi="Times New Roman" w:cs="Times New Roman" w:eastAsia="Times New Roman" w:hint="default"/>
                <w:sz w:val="18"/>
                <w:szCs w:val="18"/>
              </w:rPr>
            </w:pPr>
            <w:r>
              <w:rPr>
                <w:rFonts w:ascii="Times New Roman"/>
                <w:sz w:val="18"/>
              </w:rPr>
              <w:t>--</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370"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70" w:right="0"/>
              <w:jc w:val="left"/>
              <w:rPr>
                <w:rFonts w:ascii="Times New Roman" w:hAnsi="Times New Roman" w:cs="Times New Roman" w:eastAsia="Times New Roman" w:hint="default"/>
                <w:sz w:val="18"/>
                <w:szCs w:val="18"/>
              </w:rPr>
            </w:pPr>
            <w:r>
              <w:rPr>
                <w:rFonts w:ascii="Times New Roman"/>
                <w:sz w:val="18"/>
              </w:rPr>
              <w:t>--</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70"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313,625,415.81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241,150,175.57</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241,150,175.57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166,476,159.08</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72,475,240.24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74,674,016.49</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313,625,415.81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241,150,175.57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27,856.15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31,946.23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313,597,559.66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241,118,229.34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313,625,415.81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241,150,175.57</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80</w:t>
      </w:r>
      <w:r>
        <w:rPr/>
        <w:t>、所有者权益变动表项目注释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81</w:t>
      </w:r>
      <w:r>
        <w:rPr/>
        <w:t>、所有权或使用权受到限制的资产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6"/>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6"/>
          <w:szCs w:val="26"/>
        </w:rPr>
      </w:pPr>
    </w:p>
    <w:p>
      <w:pPr>
        <w:pStyle w:val="Heading7"/>
        <w:spacing w:line="314" w:lineRule="exact"/>
        <w:ind w:right="995"/>
        <w:jc w:val="left"/>
        <w:rPr>
          <w:b w:val="0"/>
          <w:bCs w:val="0"/>
        </w:rPr>
      </w:pPr>
      <w:r>
        <w:rPr>
          <w:spacing w:val="-2"/>
        </w:rPr>
        <w:t>（</w:t>
      </w:r>
      <w:r>
        <w:rPr>
          <w:rFonts w:ascii="Times New Roman" w:hAnsi="Times New Roman" w:cs="Times New Roman" w:eastAsia="Times New Roman" w:hint="default"/>
          <w:spacing w:val="-2"/>
        </w:rPr>
        <w:t>2</w:t>
      </w:r>
      <w:r>
        <w:rPr>
          <w:spacing w:val="-2"/>
        </w:rPr>
        <w:t>）境外经营实体说明，包括对于重要的境外经营实体，应披露其境外主要经营地、记账本位币及选择</w:t>
      </w:r>
      <w:r>
        <w:rPr>
          <w:spacing w:val="15"/>
        </w:rPr>
        <w:t> </w:t>
      </w:r>
      <w:r>
        <w:rPr>
          <w:spacing w:val="15"/>
        </w:rPr>
      </w:r>
      <w:r>
        <w:rPr/>
        <w:t>依据，记账本位币发生变化的还应披露原因。</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2290"/>
        <w:gridCol w:w="2293"/>
        <w:gridCol w:w="2292"/>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同步学智能学习数字出版项目</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574,639.40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574,639.40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产业发展专项资金</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967,500.00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967,500.00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3,615,031.48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3,615,031.48</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27,042.45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27,042.45</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项目专项补助</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778,878.02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778,878.02</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107,857.66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107,857.66</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6,070,949.01</w:t>
            </w:r>
          </w:p>
        </w:tc>
        <w:tc>
          <w:tcPr>
            <w:tcW w:w="2293"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6,070,949.01</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4"/>
        <w:rPr>
          <w:rFonts w:ascii="宋体" w:hAnsi="宋体" w:cs="宋体" w:eastAsia="宋体" w:hint="default"/>
          <w:sz w:val="16"/>
          <w:szCs w:val="16"/>
        </w:rPr>
      </w:pPr>
    </w:p>
    <w:p>
      <w:pPr>
        <w:spacing w:line="376" w:lineRule="auto" w:before="0"/>
        <w:ind w:left="153" w:right="833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八、合并范围的变更</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pStyle w:val="Heading7"/>
        <w:spacing w:line="240" w:lineRule="auto" w:before="89"/>
        <w:ind w:right="995"/>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3"/>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7" w:right="74"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d2d2d2"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d2d2d2"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1;width:4783;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4"/>
        <w:ind w:left="153" w:right="6073"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7"/>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49"/>
        <w:ind w:left="153"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3"/>
        <w:rPr>
          <w:rFonts w:ascii="宋体" w:hAnsi="宋体" w:cs="宋体" w:eastAsia="宋体" w:hint="default"/>
          <w:sz w:val="15"/>
          <w:szCs w:val="15"/>
        </w:rPr>
      </w:pPr>
    </w:p>
    <w:p>
      <w:pPr>
        <w:pStyle w:val="Heading7"/>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7"/>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270"/>
        <w:gridCol w:w="1064"/>
        <w:gridCol w:w="643"/>
        <w:gridCol w:w="850"/>
        <w:gridCol w:w="1277"/>
        <w:gridCol w:w="1277"/>
        <w:gridCol w:w="1274"/>
        <w:gridCol w:w="1064"/>
      </w:tblGrid>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8" w:right="60"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91" w:right="86"/>
              <w:jc w:val="left"/>
              <w:rPr>
                <w:rFonts w:ascii="宋体" w:hAnsi="宋体" w:cs="宋体" w:eastAsia="宋体" w:hint="default"/>
                <w:sz w:val="18"/>
                <w:szCs w:val="18"/>
              </w:rPr>
            </w:pPr>
            <w:r>
              <w:rPr>
                <w:rFonts w:ascii="宋体" w:hAnsi="宋体" w:cs="宋体" w:eastAsia="宋体" w:hint="default"/>
                <w:sz w:val="18"/>
                <w:szCs w:val="18"/>
              </w:rPr>
              <w:t>企业合并中取 得的权益比例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60" w:right="58"/>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1"/>
              <w:jc w:val="both"/>
              <w:rPr>
                <w:rFonts w:ascii="宋体" w:hAnsi="宋体" w:cs="宋体" w:eastAsia="宋体" w:hint="default"/>
                <w:sz w:val="18"/>
                <w:szCs w:val="18"/>
              </w:rPr>
            </w:pPr>
            <w:r>
              <w:rPr>
                <w:rFonts w:ascii="宋体" w:hAnsi="宋体" w:cs="宋体" w:eastAsia="宋体" w:hint="default"/>
                <w:sz w:val="18"/>
                <w:szCs w:val="18"/>
              </w:rPr>
              <w:t>合并当期期初 至合并日被合 并方的收入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2"/>
              <w:jc w:val="both"/>
              <w:rPr>
                <w:rFonts w:ascii="宋体" w:hAnsi="宋体" w:cs="宋体" w:eastAsia="宋体" w:hint="default"/>
                <w:sz w:val="18"/>
                <w:szCs w:val="18"/>
              </w:rPr>
            </w:pPr>
            <w:r>
              <w:rPr>
                <w:rFonts w:ascii="宋体" w:hAnsi="宋体" w:cs="宋体" w:eastAsia="宋体" w:hint="default"/>
                <w:sz w:val="18"/>
                <w:szCs w:val="18"/>
              </w:rPr>
              <w:t>合并当期期初 至合并日被合 并方的净利润</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比较期间被合 并方的收入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hanging="1"/>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d2d2d2"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d2d2d2"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4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5"/>
        <w:ind w:left="153" w:right="8593"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3"/>
        <w:rPr>
          <w:rFonts w:ascii="宋体" w:hAnsi="宋体" w:cs="宋体" w:eastAsia="宋体" w:hint="default"/>
          <w:sz w:val="15"/>
          <w:szCs w:val="15"/>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3168;top:14;width:24;height:394" coordorigin="3168,14" coordsize="24,394">
              <v:shape style="position:absolute;left:3168;top:14;width:24;height:394" coordorigin="3168,14" coordsize="24,394" path="m3168,408l3192,408,3192,14,3168,14,3168,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3135;height:394" coordorigin="34,14" coordsize="3135,394">
              <v:shape style="position:absolute;left:34;top:14;width:3135;height:394" coordorigin="34,14" coordsize="3135,394" path="m34,408l3168,408,3168,14,34,14,34,408xe" filled="true" fillcolor="#d2d2d2" stroked="false">
                <v:path arrowok="t"/>
                <v:fill type="solid"/>
              </v:shape>
            </v:group>
            <v:group style="position:absolute;left:3202;top:14;width:22;height:394" coordorigin="3202,14" coordsize="22,394">
              <v:shape style="position:absolute;left:3202;top:14;width:22;height:394" coordorigin="3202,14" coordsize="22,394" path="m3202,408l3224,408,3224,14,3202,14,3202,408xe" filled="true" fillcolor="#d2d2d2" stroked="false">
                <v:path arrowok="t"/>
                <v:fill type="solid"/>
              </v:shape>
            </v:group>
            <v:group style="position:absolute;left:9549;top:14;width:24;height:394" coordorigin="9549,14" coordsize="24,394">
              <v:shape style="position:absolute;left:9549;top:14;width:24;height:394" coordorigin="9549,14" coordsize="24,394" path="m9549,408l9573,408,9573,14,9549,14,9549,408xe" filled="true" fillcolor="#d2d2d2" stroked="false">
                <v:path arrowok="t"/>
                <v:fill type="solid"/>
              </v:shape>
            </v:group>
            <v:group style="position:absolute;left:3224;top:14;width:6326;height:394" coordorigin="3224,14" coordsize="6326,394">
              <v:shape style="position:absolute;left:3224;top:14;width:6326;height:394" coordorigin="3224,14" coordsize="6326,394" path="m3224,408l9549,408,9549,14,3224,14,3224,408xe" filled="true" fillcolor="#d2d2d2"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004pt" strokecolor="#000000">
                <v:path arrowok="t"/>
              </v:shape>
            </v:group>
            <v:group style="position:absolute;left:3200;top:10;width:6374;height:2" coordorigin="3200,10" coordsize="6374,2">
              <v:shape style="position:absolute;left:3200;top:10;width:6374;height:2" coordorigin="3200,10" coordsize="6374,0" path="m3200,10l9573,10e" filled="false" stroked="true" strokeweight=".48004pt" strokecolor="#000000">
                <v:path arrowok="t"/>
              </v:shape>
            </v:group>
            <v:group style="position:absolute;left:3168;top:418;width:24;height:392" coordorigin="3168,418" coordsize="24,392">
              <v:shape style="position:absolute;left:3168;top:418;width:24;height:392" coordorigin="3168,418" coordsize="24,392" path="m3168,809l3192,809,3192,418,3168,418,3168,809xe" filled="true" fillcolor="#d2d2d2" stroked="false">
                <v:path arrowok="t"/>
                <v:fill type="solid"/>
              </v:shape>
            </v:group>
            <v:group style="position:absolute;left:12;top:418;width:22;height:392" coordorigin="12,418" coordsize="22,392">
              <v:shape style="position:absolute;left:12;top:418;width:22;height:392" coordorigin="12,418" coordsize="22,392" path="m12,809l34,809,34,418,12,418,12,809xe" filled="true" fillcolor="#d2d2d2" stroked="false">
                <v:path arrowok="t"/>
                <v:fill type="solid"/>
              </v:shape>
            </v:group>
            <v:group style="position:absolute;left:34;top:418;width:3135;height:392" coordorigin="34,418" coordsize="3135,392">
              <v:shape style="position:absolute;left:34;top:418;width:3135;height:392" coordorigin="34,418" coordsize="3135,392" path="m34,809l3168,809,3168,418,34,418,34,809xe" filled="true" fillcolor="#d2d2d2" stroked="false">
                <v:path arrowok="t"/>
                <v:fill type="solid"/>
              </v:shape>
            </v:group>
            <v:group style="position:absolute;left:6359;top:418;width:24;height:392" coordorigin="6359,418" coordsize="24,392">
              <v:shape style="position:absolute;left:6359;top:418;width:24;height:392" coordorigin="6359,418" coordsize="24,392" path="m6359,809l6383,809,6383,418,6359,418,6359,809xe" filled="true" fillcolor="#d2d2d2" stroked="false">
                <v:path arrowok="t"/>
                <v:fill type="solid"/>
              </v:shape>
            </v:group>
            <v:group style="position:absolute;left:3202;top:418;width:22;height:392" coordorigin="3202,418" coordsize="22,392">
              <v:shape style="position:absolute;left:3202;top:418;width:22;height:392" coordorigin="3202,418" coordsize="22,392" path="m3202,809l3224,809,3224,418,3202,418,3202,809xe" filled="true" fillcolor="#d2d2d2" stroked="false">
                <v:path arrowok="t"/>
                <v:fill type="solid"/>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9549;top:418;width:24;height:392" coordorigin="9549,418" coordsize="24,392">
              <v:shape style="position:absolute;left:9549;top:418;width:24;height:392" coordorigin="9549,418" coordsize="24,392" path="m9549,809l9573,809,9573,418,9549,418,9549,809xe" filled="true" fillcolor="#d2d2d2" stroked="false">
                <v:path arrowok="t"/>
                <v:fill type="solid"/>
              </v:shape>
            </v:group>
            <v:group style="position:absolute;left:6392;top:418;width:22;height:392" coordorigin="6392,418" coordsize="22,392">
              <v:shape style="position:absolute;left:6392;top:418;width:22;height:392" coordorigin="6392,418" coordsize="22,392" path="m6392,809l6414,809,6414,418,6392,418,6392,809xe" filled="true" fillcolor="#d2d2d2" stroked="false">
                <v:path arrowok="t"/>
                <v:fill type="solid"/>
              </v:shape>
            </v:group>
            <v:group style="position:absolute;left:6414;top:418;width:3136;height:392" coordorigin="6414,418" coordsize="3136,392">
              <v:shape style="position:absolute;left:6414;top:418;width:3136;height:392" coordorigin="6414,418" coordsize="3136,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0,413e" filled="false" stroked="true" strokeweight=".47998pt" strokecolor="#000000">
                <v:path arrowok="t"/>
              </v:shape>
            </v:group>
            <v:group style="position:absolute;left:3200;top:413;width:3181;height:2" coordorigin="3200,413" coordsize="3181,2">
              <v:shape style="position:absolute;left:3200;top:413;width:3181;height:2" coordorigin="3200,413" coordsize="3181,0" path="m3200,413l6380,413e" filled="false" stroked="true" strokeweight=".47998pt" strokecolor="#000000">
                <v:path arrowok="t"/>
              </v:shape>
            </v:group>
            <v:group style="position:absolute;left:6390;top:413;width:3184;height:2" coordorigin="6390,413" coordsize="3184,2">
              <v:shape style="position:absolute;left:6390;top:413;width:3184;height:2" coordorigin="6390,413" coordsize="3184,0" path="m6390,413l9573,413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0,814e" filled="false" stroked="true" strokeweight=".47998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4;height:2" coordorigin="6390,814" coordsize="3184,2">
              <v:shape style="position:absolute;left:6390;top:814;width:3184;height:2" coordorigin="6390,814" coordsize="3184,0" path="m6390,814l9573,814e" filled="false" stroked="true" strokeweight=".4799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3;width:319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9"/>
        <w:rPr>
          <w:rFonts w:ascii="宋体" w:hAnsi="宋体" w:cs="宋体" w:eastAsia="宋体" w:hint="default"/>
          <w:sz w:val="25"/>
          <w:szCs w:val="25"/>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16" w:lineRule="auto" w:before="0"/>
        <w:ind w:left="153" w:right="1213" w:firstLine="0"/>
        <w:jc w:val="left"/>
        <w:rPr>
          <w:rFonts w:ascii="宋体" w:hAnsi="宋体" w:cs="宋体" w:eastAsia="宋体" w:hint="default"/>
          <w:sz w:val="18"/>
          <w:szCs w:val="18"/>
        </w:rPr>
      </w:pPr>
      <w:r>
        <w:rPr>
          <w:rFonts w:ascii="宋体" w:hAnsi="宋体" w:cs="宋体" w:eastAsia="宋体" w:hint="default"/>
          <w:sz w:val="18"/>
          <w:szCs w:val="18"/>
        </w:rPr>
        <w:t>交易基本信息、交易构成反向购买的依据、上市公司保留的资产、负债是否构成业务及其依据、合并成本的确定、按照权 益性交易处理时调整权益的金额及其计算：</w:t>
      </w:r>
    </w:p>
    <w:p>
      <w:pPr>
        <w:spacing w:line="240" w:lineRule="auto" w:before="7"/>
        <w:rPr>
          <w:rFonts w:ascii="宋体" w:hAnsi="宋体" w:cs="宋体" w:eastAsia="宋体" w:hint="default"/>
          <w:sz w:val="17"/>
          <w:szCs w:val="17"/>
        </w:rPr>
      </w:pPr>
    </w:p>
    <w:p>
      <w:pPr>
        <w:pStyle w:val="Heading7"/>
        <w:spacing w:line="240" w:lineRule="auto"/>
        <w:ind w:right="995"/>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4"/>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2"/>
        <w:rPr>
          <w:rFonts w:ascii="宋体" w:hAnsi="宋体" w:cs="宋体" w:eastAsia="宋体" w:hint="default"/>
          <w:sz w:val="21"/>
          <w:szCs w:val="21"/>
        </w:rPr>
      </w:pPr>
    </w:p>
    <w:p>
      <w:pPr>
        <w:spacing w:line="376" w:lineRule="auto" w:before="0"/>
        <w:ind w:left="153" w:right="811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九、在其他主体中的权益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pStyle w:val="Heading7"/>
        <w:spacing w:line="240" w:lineRule="auto" w:before="87"/>
        <w:ind w:right="995"/>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96"/>
        <w:gridCol w:w="1322"/>
        <w:gridCol w:w="1323"/>
        <w:gridCol w:w="1323"/>
        <w:gridCol w:w="994"/>
        <w:gridCol w:w="991"/>
        <w:gridCol w:w="924"/>
      </w:tblGrid>
      <w:tr>
        <w:trPr>
          <w:trHeight w:val="401"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c>
          <w:tcPr>
            <w:tcW w:w="1323" w:type="dxa"/>
            <w:vMerge/>
            <w:tcBorders>
              <w:left w:val="single" w:sz="4" w:space="0" w:color="000000"/>
              <w:bottom w:val="single" w:sz="4" w:space="0" w:color="000000"/>
              <w:right w:val="single" w:sz="4" w:space="0" w:color="000000"/>
            </w:tcBorders>
            <w:shd w:val="clear" w:color="auto" w:fill="D2D2D2"/>
          </w:tcPr>
          <w:p>
            <w:pPr/>
          </w:p>
        </w:tc>
        <w:tc>
          <w:tcPr>
            <w:tcW w:w="132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贸易服务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深圳市木愚科技有限公司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贸易服务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徐州金太阳教育科技有限公司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3"/>
              <w:jc w:val="right"/>
              <w:rPr>
                <w:rFonts w:ascii="宋体" w:hAnsi="宋体" w:cs="宋体" w:eastAsia="宋体" w:hint="default"/>
                <w:sz w:val="18"/>
                <w:szCs w:val="18"/>
              </w:rPr>
            </w:pPr>
            <w:r>
              <w:rPr>
                <w:rFonts w:ascii="宋体" w:hAnsi="宋体" w:cs="宋体" w:eastAsia="宋体" w:hint="default"/>
                <w:sz w:val="18"/>
                <w:szCs w:val="18"/>
              </w:rPr>
              <w:t>贸易服务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60" w:lineRule="auto" w:before="49"/>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7"/>
        <w:ind w:left="153" w:right="7693"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0"/>
        <w:rPr>
          <w:rFonts w:ascii="宋体" w:hAnsi="宋体" w:cs="宋体" w:eastAsia="宋体" w:hint="default"/>
          <w:sz w:val="15"/>
          <w:szCs w:val="15"/>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9"/>
        <w:gridCol w:w="1790"/>
        <w:gridCol w:w="1791"/>
        <w:gridCol w:w="1791"/>
        <w:gridCol w:w="1791"/>
      </w:tblGrid>
      <w:tr>
        <w:trPr>
          <w:trHeight w:val="76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619" w:right="81" w:hanging="541"/>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439" w:right="80"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799" w:right="81"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bl>
    <w:p>
      <w:pPr>
        <w:spacing w:after="0" w:line="314"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10"/>
        <w:gridCol w:w="1790"/>
        <w:gridCol w:w="1791"/>
        <w:gridCol w:w="1791"/>
        <w:gridCol w:w="1791"/>
      </w:tblGrid>
      <w:tr>
        <w:trPr>
          <w:trHeight w:val="4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徐州金太阳教育科技有限公司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-172,730.48</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7" w:right="0"/>
              <w:jc w:val="left"/>
              <w:rPr>
                <w:rFonts w:ascii="Times New Roman" w:hAnsi="Times New Roman" w:cs="Times New Roman" w:eastAsia="Times New Roman" w:hint="default"/>
                <w:sz w:val="18"/>
                <w:szCs w:val="18"/>
              </w:rPr>
            </w:pPr>
            <w:r>
              <w:rPr>
                <w:rFonts w:ascii="Times New Roman"/>
                <w:sz w:val="18"/>
              </w:rPr>
              <w:t>73,549.34</w:t>
            </w:r>
          </w:p>
        </w:tc>
      </w:tr>
    </w:tbl>
    <w:p>
      <w:pPr>
        <w:spacing w:line="360" w:lineRule="auto" w:before="49"/>
        <w:ind w:left="153" w:right="6433"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3"/>
        <w:rPr>
          <w:rFonts w:ascii="宋体" w:hAnsi="宋体" w:cs="宋体" w:eastAsia="宋体" w:hint="default"/>
          <w:sz w:val="15"/>
          <w:szCs w:val="15"/>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14"/>
        <w:gridCol w:w="778"/>
        <w:gridCol w:w="881"/>
        <w:gridCol w:w="866"/>
        <w:gridCol w:w="866"/>
        <w:gridCol w:w="362"/>
        <w:gridCol w:w="864"/>
        <w:gridCol w:w="778"/>
        <w:gridCol w:w="877"/>
        <w:gridCol w:w="866"/>
        <w:gridCol w:w="775"/>
        <w:gridCol w:w="363"/>
        <w:gridCol w:w="778"/>
      </w:tblGrid>
      <w:tr>
        <w:trPr>
          <w:trHeight w:val="403" w:hRule="exact"/>
        </w:trPr>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22" w:right="29"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61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49" w:hRule="exact"/>
        </w:trPr>
        <w:tc>
          <w:tcPr>
            <w:tcW w:w="614"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45" w:right="74" w:hanging="269"/>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both"/>
              <w:rPr>
                <w:rFonts w:ascii="宋体" w:hAnsi="宋体" w:cs="宋体" w:eastAsia="宋体" w:hint="default"/>
                <w:sz w:val="18"/>
                <w:szCs w:val="18"/>
              </w:rPr>
            </w:pPr>
            <w:r>
              <w:rPr>
                <w:rFonts w:ascii="宋体" w:hAnsi="宋体" w:cs="宋体" w:eastAsia="宋体" w:hint="default"/>
                <w:sz w:val="18"/>
                <w:szCs w:val="18"/>
              </w:rPr>
              <w:t>非 流 动 负 债</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43" w:right="70" w:hanging="269"/>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4"/>
              <w:jc w:val="both"/>
              <w:rPr>
                <w:rFonts w:ascii="宋体" w:hAnsi="宋体" w:cs="宋体" w:eastAsia="宋体" w:hint="default"/>
                <w:sz w:val="18"/>
                <w:szCs w:val="18"/>
              </w:rPr>
            </w:pPr>
            <w:r>
              <w:rPr>
                <w:rFonts w:ascii="宋体" w:hAnsi="宋体" w:cs="宋体" w:eastAsia="宋体" w:hint="default"/>
                <w:sz w:val="18"/>
                <w:szCs w:val="18"/>
              </w:rPr>
              <w:t>非 流 动 负 债</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651" w:hRule="exact"/>
        </w:trPr>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徐州金 太阳教 育科技 有限公 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15,327.13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444,483.31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459,810.44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296,367.46</w:t>
            </w:r>
          </w:p>
        </w:tc>
        <w:tc>
          <w:tcPr>
            <w:tcW w:w="362"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296,367.46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27,774.35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611,235.95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639,010.30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91,721.81</w:t>
            </w:r>
          </w:p>
        </w:tc>
        <w:tc>
          <w:tcPr>
            <w:tcW w:w="36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91,721.81</w:t>
            </w:r>
          </w:p>
        </w:tc>
      </w:tr>
    </w:tbl>
    <w:p>
      <w:pPr>
        <w:spacing w:before="4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7"/>
        <w:gridCol w:w="949"/>
        <w:gridCol w:w="926"/>
        <w:gridCol w:w="1049"/>
        <w:gridCol w:w="1224"/>
        <w:gridCol w:w="866"/>
        <w:gridCol w:w="925"/>
        <w:gridCol w:w="1150"/>
        <w:gridCol w:w="1162"/>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1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1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9" w:right="6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7" w:right="65"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综合收益总额</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6" w:right="34" w:hanging="361"/>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徐州金太阳教育 科技有限公司</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240,545.82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-383,845.51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-383,845.51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-18,218.37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151,955.14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-457,705.18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-457,705.18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-220,195.08</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d2d2d2"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d2d2d2"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21"/>
        <w:gridCol w:w="991"/>
        <w:gridCol w:w="992"/>
        <w:gridCol w:w="1702"/>
        <w:gridCol w:w="708"/>
        <w:gridCol w:w="694"/>
        <w:gridCol w:w="1366"/>
      </w:tblGrid>
      <w:tr>
        <w:trPr>
          <w:trHeight w:val="403" w:hRule="exact"/>
        </w:trPr>
        <w:tc>
          <w:tcPr>
            <w:tcW w:w="3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312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7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深圳嘉道方直教育产业投资企业（有限 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39.87%</w:t>
            </w:r>
          </w:p>
        </w:tc>
        <w:tc>
          <w:tcPr>
            <w:tcW w:w="69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深圳罗湖蓝海村镇银行股份有限公司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吸收存款、发放贷款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10.00%</w:t>
            </w:r>
          </w:p>
        </w:tc>
        <w:tc>
          <w:tcPr>
            <w:tcW w:w="69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0"/>
        <w:rPr>
          <w:rFonts w:ascii="宋体" w:hAnsi="宋体" w:cs="宋体" w:eastAsia="宋体" w:hint="default"/>
          <w:sz w:val="14"/>
          <w:szCs w:val="14"/>
        </w:rPr>
      </w:pPr>
    </w:p>
    <w:p>
      <w:pPr>
        <w:spacing w:line="451" w:lineRule="auto" w:before="0"/>
        <w:ind w:left="153" w:right="99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日本公司投资深圳罗湖蓝海村镇银行股份有限公司，投资金额为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50,000,000.00</w:t>
      </w:r>
      <w:r>
        <w:rPr>
          <w:rFonts w:ascii="Times New Roman" w:hAnsi="Times New Roman" w:cs="Times New Roman" w:eastAsia="Times New Roman" w:hint="default"/>
          <w:spacing w:val="5"/>
          <w:sz w:val="18"/>
          <w:szCs w:val="18"/>
        </w:rPr>
        <w:t> </w:t>
      </w:r>
      <w:r>
        <w:rPr>
          <w:rFonts w:ascii="宋体" w:hAnsi="宋体" w:cs="宋体" w:eastAsia="宋体" w:hint="default"/>
          <w:spacing w:val="-11"/>
          <w:sz w:val="18"/>
          <w:szCs w:val="18"/>
        </w:rPr>
        <w:t>元，持股比例为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10.00%</w:t>
      </w:r>
      <w:r>
        <w:rPr>
          <w:rFonts w:ascii="宋体" w:hAnsi="宋体" w:cs="宋体" w:eastAsia="宋体" w:hint="default"/>
          <w:spacing w:val="-1"/>
          <w:sz w:val="18"/>
          <w:szCs w:val="18"/>
        </w:rPr>
        <w:t>，</w:t>
      </w:r>
      <w:r>
        <w:rPr>
          <w:rFonts w:ascii="宋体" w:hAnsi="宋体" w:cs="宋体" w:eastAsia="宋体" w:hint="default"/>
          <w:sz w:val="18"/>
          <w:szCs w:val="18"/>
        </w:rPr>
        <w:t> 根据章程约定，本公司委派董事一名，因此对深圳罗湖蓝海村镇银行股份有限公司具有重大影响。</w:t>
      </w:r>
    </w:p>
    <w:p>
      <w:pPr>
        <w:spacing w:line="240" w:lineRule="auto" w:before="11"/>
        <w:rPr>
          <w:rFonts w:ascii="宋体" w:hAnsi="宋体" w:cs="宋体" w:eastAsia="宋体" w:hint="default"/>
          <w:sz w:val="15"/>
          <w:szCs w:val="15"/>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深圳嘉道方直教育产业 投资企业（有限合伙）</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深圳罗湖蓝海村镇银行 股份有限公司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深圳嘉道方直教育产业 投资企业（有限合伙）</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深圳罗湖蓝海村镇银行 股份有限公司</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111,270,220.44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70,209,026.64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111,270,220.44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1,881,783,086.52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70,209,026.64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1,796,520,228.45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1,349,180,350.09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1,272,013,115.57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111,270,220.44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532,602,736.43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70,209,026.64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524,507,112.88</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44,340,295.76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53,260,273.65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27,988,320.28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52,450,711.30</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44,340,295.76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53,260,273.65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27,988,320.28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52,450,711.30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56,307,567.96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56,777,798.14</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-4,133,806.20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10,575,505.18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-3,655,397.35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16,115,547.00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-4,133,806.20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10,575,505.18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-3,655,397.35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16,115,547.00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7"/>
        <w:rPr>
          <w:rFonts w:ascii="宋体" w:hAnsi="宋体" w:cs="宋体" w:eastAsia="宋体" w:hint="default"/>
          <w:sz w:val="25"/>
          <w:szCs w:val="25"/>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7"/>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3"/>
        <w:spacing w:line="240" w:lineRule="auto"/>
        <w:ind w:right="995"/>
        <w:jc w:val="left"/>
        <w:rPr>
          <w:b w:val="0"/>
          <w:bCs w:val="0"/>
        </w:rPr>
      </w:pPr>
      <w:r>
        <w:rPr/>
        <w:t>十、与金融工具相关的风险</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240" w:lineRule="auto" w:before="0"/>
        <w:ind w:left="573" w:right="995"/>
        <w:jc w:val="left"/>
      </w:pPr>
      <w:r>
        <w:rPr/>
        <w:t>本集团的经营活动会面临各种金融风险：信用风险、流动风险和市场风险（主要为汇率风险和利率风</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6"/>
        <w:ind w:right="995"/>
        <w:jc w:val="left"/>
      </w:pPr>
      <w:r>
        <w:rPr>
          <w:spacing w:val="-2"/>
        </w:rPr>
        <w:t>险）。本集团整体的风险管理计划针对金融市场的不可预见性，力求减少对本集团财务业绩的潜在不利影</w:t>
      </w:r>
      <w:r>
        <w:rPr>
          <w:spacing w:val="-43"/>
        </w:rPr>
        <w:t> </w:t>
      </w:r>
      <w:r>
        <w:rPr>
          <w:spacing w:val="-43"/>
        </w:rPr>
      </w:r>
      <w:r>
        <w:rPr/>
        <w:t>响。</w:t>
      </w:r>
    </w:p>
    <w:p>
      <w:pPr>
        <w:pStyle w:val="Heading7"/>
        <w:spacing w:line="345" w:lineRule="exact"/>
        <w:ind w:left="575" w:right="995"/>
        <w:jc w:val="left"/>
        <w:rPr>
          <w:b w:val="0"/>
          <w:bCs w:val="0"/>
        </w:rPr>
      </w:pPr>
      <w:r>
        <w:rPr>
          <w:rFonts w:ascii="Times New Roman" w:hAnsi="Times New Roman" w:cs="Times New Roman" w:eastAsia="Times New Roman" w:hint="default"/>
        </w:rPr>
        <w:t>1.</w:t>
      </w:r>
      <w:r>
        <w:rPr/>
        <w:t>信用风险</w:t>
      </w:r>
      <w:r>
        <w:rPr>
          <w:b w:val="0"/>
          <w:bCs w:val="0"/>
        </w:rPr>
      </w:r>
    </w:p>
    <w:p>
      <w:pPr>
        <w:pStyle w:val="BodyText"/>
        <w:spacing w:line="408" w:lineRule="auto" w:before="169"/>
        <w:ind w:right="1128" w:firstLine="420"/>
        <w:jc w:val="both"/>
      </w:pPr>
      <w:r>
        <w:rPr>
          <w:spacing w:val="-2"/>
        </w:rPr>
        <w:t>本集团的信用风险主要来自货币资金、应收账款、其他应收款等。管理层已制定适当的信用政策，并</w:t>
      </w:r>
      <w:r>
        <w:rPr>
          <w:w w:val="100"/>
        </w:rPr>
        <w:t> </w:t>
      </w:r>
      <w:r>
        <w:rPr/>
        <w:t>且不断监察这些信用风险的敞口。</w:t>
      </w:r>
    </w:p>
    <w:p>
      <w:pPr>
        <w:pStyle w:val="BodyText"/>
        <w:spacing w:line="408" w:lineRule="auto"/>
        <w:ind w:right="1126" w:firstLine="420"/>
        <w:jc w:val="both"/>
      </w:pPr>
      <w:r>
        <w:rPr>
          <w:spacing w:val="-2"/>
        </w:rPr>
        <w:t>本集团持有的货币资金，主要存放于国有控股银行和其他大中型商业银行等金融机构，管理层认为这</w:t>
      </w:r>
      <w:r>
        <w:rPr>
          <w:w w:val="100"/>
        </w:rPr>
        <w:t> </w:t>
      </w:r>
      <w:r>
        <w:rPr>
          <w:spacing w:val="-2"/>
        </w:rPr>
        <w:t>些商业银行具备较高信誉和资产状况，不存在重大的信用风险，不会产生因对方单位违约而导致的任何重</w:t>
      </w:r>
      <w:r>
        <w:rPr>
          <w:spacing w:val="-44"/>
        </w:rPr>
        <w:t> </w:t>
      </w:r>
      <w:r>
        <w:rPr>
          <w:spacing w:val="-44"/>
        </w:rPr>
      </w:r>
      <w:r>
        <w:rPr/>
        <w:t>大损失。</w:t>
      </w:r>
    </w:p>
    <w:p>
      <w:pPr>
        <w:pStyle w:val="BodyText"/>
        <w:spacing w:line="408" w:lineRule="auto"/>
        <w:ind w:right="1104" w:firstLine="420"/>
        <w:jc w:val="both"/>
      </w:pPr>
      <w:r>
        <w:rPr>
          <w:spacing w:val="-2"/>
        </w:rPr>
        <w:t>对于应收账款和其他应收款，本集团设定相关政策以控制信用风险敞口。本集团基于对客户的财务状</w:t>
      </w:r>
      <w:r>
        <w:rPr>
          <w:w w:val="100"/>
        </w:rPr>
        <w:t> </w:t>
      </w:r>
      <w:r>
        <w:rPr>
          <w:spacing w:val="-2"/>
        </w:rPr>
        <w:t>况、从第三方获取担保的可能性、信用记录及其它因素诸如目前市场状况等评估客户的信用资质并设置相</w:t>
      </w:r>
      <w:r>
        <w:rPr>
          <w:spacing w:val="-44"/>
        </w:rPr>
        <w:t> </w:t>
      </w:r>
      <w:r>
        <w:rPr>
          <w:spacing w:val="-44"/>
        </w:rPr>
      </w:r>
      <w:r>
        <w:rPr>
          <w:spacing w:val="-2"/>
        </w:rPr>
        <w:t>应信用期。本集团会定期对客户信用记录进行监控，对于信用记录不良的客户，本集团会采用书面催款、</w:t>
      </w:r>
      <w:r>
        <w:rPr>
          <w:spacing w:val="-21"/>
        </w:rPr>
        <w:t> </w:t>
      </w:r>
      <w:r>
        <w:rPr>
          <w:spacing w:val="-21"/>
        </w:rPr>
      </w:r>
      <w:r>
        <w:rPr/>
        <w:t>缩短信用期或取消信用期等方式，以确保本集团的整体信用风险在可控的范围内。</w:t>
      </w:r>
    </w:p>
    <w:p>
      <w:pPr>
        <w:pStyle w:val="BodyText"/>
        <w:spacing w:line="240" w:lineRule="auto"/>
        <w:ind w:left="573" w:right="995"/>
        <w:jc w:val="left"/>
      </w:pPr>
      <w:r>
        <w:rPr>
          <w:spacing w:val="10"/>
        </w:rPr>
        <w:t>截止</w:t>
      </w:r>
      <w:r>
        <w:rPr>
          <w:rFonts w:ascii="Times New Roman" w:hAnsi="Times New Roman" w:cs="Times New Roman" w:eastAsia="Times New Roman" w:hint="default"/>
          <w:spacing w:val="10"/>
        </w:rPr>
        <w:t>2019</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31</w:t>
      </w:r>
      <w:r>
        <w:rPr>
          <w:spacing w:val="10"/>
        </w:rPr>
        <w:t>日，本集团的前五大客户的应收账款占本集团应收账款总额</w:t>
      </w:r>
      <w:r>
        <w:rPr>
          <w:spacing w:val="13"/>
        </w:rPr>
        <w:t> </w:t>
      </w:r>
      <w:r>
        <w:rPr>
          <w:rFonts w:ascii="Times New Roman" w:hAnsi="Times New Roman" w:cs="Times New Roman" w:eastAsia="Times New Roman" w:hint="default"/>
          <w:spacing w:val="2"/>
        </w:rPr>
        <w:t>67.63%(2018</w:t>
      </w:r>
      <w:r>
        <w:rPr>
          <w:spacing w:val="2"/>
        </w:rPr>
        <w:t>年：</w:t>
      </w:r>
      <w:r>
        <w:rPr/>
      </w:r>
    </w:p>
    <w:p>
      <w:pPr>
        <w:pStyle w:val="BodyText"/>
        <w:spacing w:line="240" w:lineRule="auto" w:before="177"/>
        <w:ind w:right="995"/>
        <w:jc w:val="left"/>
      </w:pPr>
      <w:r>
        <w:rPr>
          <w:rFonts w:ascii="Times New Roman" w:hAnsi="Times New Roman" w:cs="Times New Roman" w:eastAsia="Times New Roman" w:hint="default"/>
        </w:rPr>
        <w:t>59.59%)</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日，本集团的前五名其他应收款占本集团其他应收款总额</w:t>
      </w:r>
      <w:r>
        <w:rPr>
          <w:rFonts w:ascii="Times New Roman" w:hAnsi="Times New Roman" w:cs="Times New Roman" w:eastAsia="Times New Roman" w:hint="default"/>
        </w:rPr>
        <w:t>81.94%(2018</w:t>
      </w:r>
      <w:r>
        <w:rPr/>
        <w:t>年：</w:t>
      </w:r>
    </w:p>
    <w:p>
      <w:pPr>
        <w:pStyle w:val="BodyText"/>
        <w:spacing w:line="240" w:lineRule="auto" w:before="177"/>
        <w:ind w:right="995"/>
        <w:jc w:val="left"/>
      </w:pPr>
      <w:r>
        <w:rPr>
          <w:rFonts w:ascii="Times New Roman" w:hAnsi="Times New Roman" w:cs="Times New Roman" w:eastAsia="Times New Roman" w:hint="default"/>
        </w:rPr>
        <w:t>91.53%)</w:t>
      </w:r>
      <w:r>
        <w:rPr/>
        <w:t>。</w:t>
      </w:r>
    </w:p>
    <w:p>
      <w:pPr>
        <w:pStyle w:val="BodyText"/>
        <w:spacing w:line="408" w:lineRule="auto" w:before="177"/>
        <w:ind w:right="1126" w:firstLine="420"/>
        <w:jc w:val="both"/>
      </w:pPr>
      <w:r>
        <w:rPr>
          <w:spacing w:val="-2"/>
        </w:rPr>
        <w:t>本集团所承受的最大信用风险敞口为资产负债表中每项金融资产的账面金额。本集团没有提供任何其</w:t>
      </w:r>
      <w:r>
        <w:rPr>
          <w:w w:val="100"/>
        </w:rPr>
        <w:t> </w:t>
      </w:r>
      <w:r>
        <w:rPr/>
        <w:t>他可能令本集团承受信用风险的担保。</w:t>
      </w:r>
    </w:p>
    <w:p>
      <w:pPr>
        <w:pStyle w:val="Heading7"/>
        <w:spacing w:line="345" w:lineRule="exact"/>
        <w:ind w:left="575" w:right="995"/>
        <w:jc w:val="left"/>
        <w:rPr>
          <w:b w:val="0"/>
          <w:bCs w:val="0"/>
        </w:rPr>
      </w:pPr>
      <w:r>
        <w:rPr>
          <w:rFonts w:ascii="Times New Roman" w:hAnsi="Times New Roman" w:cs="Times New Roman" w:eastAsia="Times New Roman" w:hint="default"/>
        </w:rPr>
        <w:t>2.</w:t>
      </w:r>
      <w:r>
        <w:rPr/>
        <w:t>流动性风险</w:t>
      </w:r>
      <w:r>
        <w:rPr>
          <w:b w:val="0"/>
          <w:bCs w:val="0"/>
        </w:rPr>
      </w:r>
    </w:p>
    <w:p>
      <w:pPr>
        <w:pStyle w:val="BodyText"/>
        <w:spacing w:line="386" w:lineRule="auto" w:before="169"/>
        <w:ind w:right="1128" w:firstLine="420"/>
        <w:jc w:val="both"/>
      </w:pPr>
      <w:r>
        <w:rPr/>
        <w:t>流动性风险是指本集团无法及时获得充足资金</w:t>
      </w:r>
      <w:r>
        <w:rPr>
          <w:rFonts w:ascii="Times New Roman" w:hAnsi="Times New Roman" w:cs="Times New Roman" w:eastAsia="Times New Roman" w:hint="default"/>
        </w:rPr>
        <w:t>,</w:t>
      </w:r>
      <w:r>
        <w:rPr/>
        <w:t>满足业务发展需要或偿付到期债务以及其他支付义务</w:t>
      </w:r>
      <w:r>
        <w:rPr>
          <w:w w:val="100"/>
        </w:rPr>
        <w:t> </w:t>
      </w:r>
      <w:r>
        <w:rPr/>
        <w:t>的风险。</w:t>
      </w:r>
    </w:p>
    <w:p>
      <w:pPr>
        <w:pStyle w:val="BodyText"/>
        <w:spacing w:line="408" w:lineRule="auto" w:before="65"/>
        <w:ind w:right="1126" w:firstLine="420"/>
        <w:jc w:val="both"/>
      </w:pPr>
      <w:r>
        <w:rPr>
          <w:spacing w:val="-2"/>
        </w:rPr>
        <w:t>本集团财务部门持续监控公司短期和长期的资金需求，以确保维持充裕的现金储备；同时持续监控是</w:t>
      </w:r>
      <w:r>
        <w:rPr>
          <w:w w:val="100"/>
        </w:rPr>
        <w:t> </w:t>
      </w:r>
      <w:r>
        <w:rPr/>
        <w:t>否符合借款协议的规定，现阶段主要依靠自有资金满足资金需求。</w:t>
      </w:r>
    </w:p>
    <w:p>
      <w:pPr>
        <w:pStyle w:val="BodyText"/>
        <w:spacing w:line="240" w:lineRule="auto"/>
        <w:ind w:left="573" w:right="995"/>
        <w:jc w:val="left"/>
      </w:pPr>
      <w:r>
        <w:rPr/>
        <w:t>本集团持有的金融资产和金融负债按未折现剩余合同义务的到期期限分析如下：</w:t>
      </w:r>
    </w:p>
    <w:p>
      <w:pPr>
        <w:spacing w:line="240" w:lineRule="auto" w:before="9"/>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526"/>
        <w:gridCol w:w="1702"/>
        <w:gridCol w:w="1558"/>
        <w:gridCol w:w="1418"/>
        <w:gridCol w:w="1275"/>
        <w:gridCol w:w="1702"/>
      </w:tblGrid>
      <w:tr>
        <w:trPr>
          <w:trHeight w:val="34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44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一年以内</w:t>
            </w:r>
            <w:r>
              <w:rPr>
                <w:rFonts w:ascii="Microsoft JhengHei" w:hAnsi="Microsoft JhengHei" w:cs="Microsoft JhengHei" w:eastAsia="Microsoft JhengHei" w:hint="default"/>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37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一到二年</w:t>
            </w:r>
            <w:r>
              <w:rPr>
                <w:rFonts w:ascii="Microsoft JhengHei" w:hAnsi="Microsoft JhengHei" w:cs="Microsoft JhengHei" w:eastAsia="Microsoft JhengHei" w:hint="default"/>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30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二到五年</w:t>
            </w:r>
            <w:r>
              <w:rPr>
                <w:rFonts w:ascii="Microsoft JhengHei" w:hAnsi="Microsoft JhengHei" w:cs="Microsoft JhengHei" w:eastAsia="Microsoft JhengHei" w:hint="default"/>
                <w:sz w:val="20"/>
                <w:szCs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五年以上</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r>
      <w:tr>
        <w:trPr>
          <w:trHeight w:val="34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金融资产</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313,625,415.81</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313,625,415.81</w:t>
            </w:r>
            <w:r>
              <w:rPr>
                <w:rFonts w:ascii="Times New Roman"/>
                <w:sz w:val="20"/>
              </w:rPr>
            </w:r>
          </w:p>
        </w:tc>
      </w:tr>
      <w:tr>
        <w:trPr>
          <w:trHeight w:val="34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w w:val="95"/>
                <w:sz w:val="20"/>
              </w:rPr>
              <w:t>22,511,680.16</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22,511,680.16</w:t>
            </w:r>
            <w:r>
              <w:rPr>
                <w:rFonts w:ascii="Times New Roman"/>
                <w:sz w:val="20"/>
              </w:rPr>
            </w:r>
          </w:p>
        </w:tc>
      </w:tr>
      <w:tr>
        <w:trPr>
          <w:trHeight w:val="34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2,918,584.58</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2,918,584.58</w:t>
            </w:r>
            <w:r>
              <w:rPr>
                <w:rFonts w:ascii="Times New Roman"/>
                <w:sz w:val="20"/>
              </w:rPr>
            </w:r>
          </w:p>
        </w:tc>
      </w:tr>
      <w:tr>
        <w:trPr>
          <w:trHeight w:val="34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金融负债</w:t>
            </w:r>
            <w:r>
              <w:rPr>
                <w:rFonts w:ascii="Microsoft JhengHei" w:hAnsi="Microsoft JhengHei" w:cs="Microsoft JhengHei" w:eastAsia="Microsoft JhengHei"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95"/>
                <w:sz w:val="20"/>
              </w:rPr>
              <w:t>9,491,477.46</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9,491,477.46</w:t>
            </w:r>
            <w:r>
              <w:rPr>
                <w:rFonts w:ascii="Times New Roman"/>
                <w:sz w:val="20"/>
              </w:rPr>
            </w:r>
          </w:p>
        </w:tc>
      </w:tr>
      <w:tr>
        <w:trPr>
          <w:trHeight w:val="34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w w:val="95"/>
                <w:sz w:val="20"/>
              </w:rPr>
              <w:t>6,319,490.50</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w w:val="95"/>
                <w:sz w:val="20"/>
              </w:rPr>
              <w:t>6,319,490.50</w:t>
            </w:r>
            <w:r>
              <w:rPr>
                <w:rFonts w:ascii="Times New Roman"/>
                <w:sz w:val="20"/>
              </w:rPr>
            </w:r>
          </w:p>
        </w:tc>
      </w:tr>
      <w:tr>
        <w:trPr>
          <w:trHeight w:val="34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5,335,325.80</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5,335,325.80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pStyle w:val="Heading7"/>
        <w:spacing w:line="240" w:lineRule="auto" w:before="109"/>
        <w:ind w:left="575" w:right="995"/>
        <w:jc w:val="left"/>
        <w:rPr>
          <w:b w:val="0"/>
          <w:bCs w:val="0"/>
        </w:rPr>
      </w:pPr>
      <w:r>
        <w:rPr>
          <w:rFonts w:ascii="Times New Roman" w:hAnsi="Times New Roman" w:cs="Times New Roman" w:eastAsia="Times New Roman" w:hint="default"/>
        </w:rPr>
        <w:t>3.</w:t>
      </w:r>
      <w:r>
        <w:rPr/>
        <w:t>市场风险</w:t>
      </w:r>
      <w:r>
        <w:rPr>
          <w:b w:val="0"/>
          <w:bCs w:val="0"/>
        </w:rPr>
      </w:r>
    </w:p>
    <w:p>
      <w:pPr>
        <w:pStyle w:val="BodyText"/>
        <w:spacing w:line="386" w:lineRule="auto" w:before="169"/>
        <w:ind w:left="573" w:right="995"/>
        <w:jc w:val="left"/>
      </w:pPr>
      <w:r>
        <w:rPr/>
        <w:t>（</w:t>
      </w:r>
      <w:r>
        <w:rPr>
          <w:rFonts w:ascii="Times New Roman" w:hAnsi="Times New Roman" w:cs="Times New Roman" w:eastAsia="Times New Roman" w:hint="default"/>
        </w:rPr>
        <w:t>1</w:t>
      </w:r>
      <w:r>
        <w:rPr/>
        <w:t>）汇率风险</w:t>
      </w:r>
      <w:r>
        <w:rPr>
          <w:w w:val="100"/>
        </w:rPr>
        <w:t> </w:t>
      </w:r>
      <w:r>
        <w:rPr>
          <w:spacing w:val="-2"/>
        </w:rPr>
        <w:t>本集团产品全部内销，并且没有持有外币性金融资产和金融负债，因此汇率变动对本集团的经营业绩</w:t>
      </w:r>
    </w:p>
    <w:p>
      <w:pPr>
        <w:pStyle w:val="BodyText"/>
        <w:spacing w:line="240" w:lineRule="auto" w:before="65"/>
        <w:ind w:right="995"/>
        <w:jc w:val="left"/>
      </w:pPr>
      <w:r>
        <w:rPr/>
        <w:t>产生的影响较小。</w:t>
      </w:r>
    </w:p>
    <w:p>
      <w:pPr>
        <w:spacing w:line="240" w:lineRule="auto" w:before="10"/>
        <w:rPr>
          <w:rFonts w:ascii="宋体" w:hAnsi="宋体" w:cs="宋体" w:eastAsia="宋体" w:hint="default"/>
          <w:sz w:val="14"/>
          <w:szCs w:val="14"/>
        </w:rPr>
      </w:pPr>
    </w:p>
    <w:p>
      <w:pPr>
        <w:pStyle w:val="BodyText"/>
        <w:spacing w:line="386" w:lineRule="auto" w:before="0"/>
        <w:ind w:left="573" w:right="6793"/>
        <w:jc w:val="left"/>
      </w:pPr>
      <w:r>
        <w:rPr/>
        <w:t>（</w:t>
      </w:r>
      <w:r>
        <w:rPr>
          <w:rFonts w:ascii="Times New Roman" w:hAnsi="Times New Roman" w:cs="Times New Roman" w:eastAsia="Times New Roman" w:hint="default"/>
        </w:rPr>
        <w:t>2</w:t>
      </w:r>
      <w:r>
        <w:rPr/>
        <w:t>）利率风险</w:t>
      </w:r>
      <w:r>
        <w:rPr>
          <w:w w:val="100"/>
        </w:rPr>
        <w:t> </w:t>
      </w:r>
      <w:r>
        <w:rPr>
          <w:spacing w:val="-2"/>
        </w:rPr>
        <w:t>利率风险敏感性分析基于下述假设：</w:t>
      </w:r>
    </w:p>
    <w:p>
      <w:pPr>
        <w:pStyle w:val="BodyText"/>
        <w:spacing w:line="408" w:lineRule="auto" w:before="65"/>
        <w:ind w:left="573" w:right="995"/>
        <w:jc w:val="left"/>
      </w:pPr>
      <w:r>
        <w:rPr/>
        <w:t>市场利率变化影响可变利率金融工具的利息收入或费用；</w:t>
      </w:r>
      <w:r>
        <w:rPr>
          <w:w w:val="100"/>
        </w:rPr>
        <w:t> </w:t>
      </w:r>
      <w:r>
        <w:rPr/>
        <w:t>对于以公允价值计量的固定利率金融工具，市场利率变化仅仅影响其利息收入或费用；</w:t>
      </w:r>
      <w:r>
        <w:rPr>
          <w:w w:val="100"/>
        </w:rPr>
        <w:t> </w:t>
      </w:r>
      <w:r>
        <w:rPr>
          <w:spacing w:val="-2"/>
        </w:rPr>
        <w:t>以资产负债表日市场利率采用现金流量折现法计算衍生金融工具及其它金融资产和负债的公允价值</w:t>
      </w:r>
    </w:p>
    <w:p>
      <w:pPr>
        <w:pStyle w:val="BodyText"/>
        <w:spacing w:line="240" w:lineRule="auto"/>
        <w:ind w:right="995"/>
        <w:jc w:val="left"/>
      </w:pPr>
      <w:r>
        <w:rPr/>
        <w:t>变化。</w:t>
      </w:r>
    </w:p>
    <w:p>
      <w:pPr>
        <w:spacing w:line="240" w:lineRule="auto" w:before="10"/>
        <w:rPr>
          <w:rFonts w:ascii="宋体" w:hAnsi="宋体" w:cs="宋体" w:eastAsia="宋体" w:hint="default"/>
          <w:sz w:val="14"/>
          <w:szCs w:val="14"/>
        </w:rPr>
      </w:pPr>
    </w:p>
    <w:p>
      <w:pPr>
        <w:pStyle w:val="BodyText"/>
        <w:spacing w:line="408" w:lineRule="auto" w:before="0"/>
        <w:ind w:right="995" w:firstLine="420"/>
        <w:jc w:val="left"/>
      </w:pPr>
      <w:r>
        <w:rPr/>
        <w:pict>
          <v:shape style="position:absolute;margin-left:55.944pt;margin-top:43.46368pt;width:448.45pt;height:68.9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9"/>
                    <w:gridCol w:w="905"/>
                    <w:gridCol w:w="1567"/>
                    <w:gridCol w:w="1786"/>
                    <w:gridCol w:w="1568"/>
                    <w:gridCol w:w="1788"/>
                  </w:tblGrid>
                  <w:tr>
                    <w:trPr>
                      <w:trHeight w:val="341" w:hRule="exact"/>
                    </w:trPr>
                    <w:tc>
                      <w:tcPr>
                        <w:tcW w:w="1339" w:type="dxa"/>
                        <w:vMerge w:val="restart"/>
                        <w:tcBorders>
                          <w:top w:val="single" w:sz="4" w:space="0" w:color="000000"/>
                          <w:left w:val="single" w:sz="4" w:space="0" w:color="000000"/>
                          <w:right w:val="single" w:sz="4" w:space="0" w:color="000000"/>
                        </w:tcBorders>
                      </w:tcPr>
                      <w:p>
                        <w:pPr>
                          <w:pStyle w:val="TableParagraph"/>
                          <w:spacing w:line="303" w:lineRule="exact"/>
                          <w:ind w:left="4"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项目</w:t>
                        </w:r>
                        <w:r>
                          <w:rPr>
                            <w:rFonts w:ascii="Microsoft JhengHei" w:hAnsi="Microsoft JhengHei" w:cs="Microsoft JhengHei" w:eastAsia="Microsoft JhengHei" w:hint="default"/>
                            <w:sz w:val="22"/>
                            <w:szCs w:val="22"/>
                          </w:rPr>
                        </w:r>
                      </w:p>
                    </w:tc>
                    <w:tc>
                      <w:tcPr>
                        <w:tcW w:w="905" w:type="dxa"/>
                        <w:vMerge w:val="restart"/>
                        <w:tcBorders>
                          <w:top w:val="single" w:sz="4" w:space="0" w:color="000000"/>
                          <w:left w:val="single" w:sz="4" w:space="0" w:color="000000"/>
                          <w:right w:val="single" w:sz="4" w:space="0" w:color="000000"/>
                        </w:tcBorders>
                      </w:tcPr>
                      <w:p>
                        <w:pPr>
                          <w:pStyle w:val="TableParagraph"/>
                          <w:spacing w:line="303" w:lineRule="exact"/>
                          <w:ind w:left="7"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利率变动</w:t>
                        </w:r>
                        <w:r>
                          <w:rPr>
                            <w:rFonts w:ascii="Microsoft JhengHei" w:hAnsi="Microsoft JhengHei" w:cs="Microsoft JhengHei" w:eastAsia="Microsoft JhengHei" w:hint="default"/>
                            <w:sz w:val="22"/>
                            <w:szCs w:val="22"/>
                          </w:rPr>
                        </w:r>
                      </w:p>
                    </w:tc>
                    <w:tc>
                      <w:tcPr>
                        <w:tcW w:w="3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0"/>
                          <w:jc w:val="center"/>
                          <w:rPr>
                            <w:rFonts w:ascii="Microsoft JhengHei" w:hAnsi="Microsoft JhengHei" w:cs="Microsoft JhengHei" w:eastAsia="Microsoft JhengHei" w:hint="default"/>
                            <w:sz w:val="22"/>
                            <w:szCs w:val="22"/>
                          </w:rPr>
                        </w:pPr>
                        <w:r>
                          <w:rPr>
                            <w:rFonts w:ascii="Times New Roman" w:hAnsi="Times New Roman" w:cs="Times New Roman" w:eastAsia="Times New Roman" w:hint="default"/>
                            <w:b/>
                            <w:bCs/>
                            <w:sz w:val="22"/>
                            <w:szCs w:val="22"/>
                          </w:rPr>
                          <w:t>2019</w:t>
                        </w:r>
                        <w:r>
                          <w:rPr>
                            <w:rFonts w:ascii="Microsoft JhengHei" w:hAnsi="Microsoft JhengHei" w:cs="Microsoft JhengHei" w:eastAsia="Microsoft JhengHei" w:hint="default"/>
                            <w:b/>
                            <w:bCs/>
                            <w:sz w:val="22"/>
                            <w:szCs w:val="22"/>
                          </w:rPr>
                          <w:t>年度</w:t>
                        </w:r>
                        <w:r>
                          <w:rPr>
                            <w:rFonts w:ascii="Microsoft JhengHei" w:hAnsi="Microsoft JhengHei" w:cs="Microsoft JhengHei" w:eastAsia="Microsoft JhengHei" w:hint="default"/>
                            <w:sz w:val="22"/>
                            <w:szCs w:val="22"/>
                          </w:rPr>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2" w:right="0"/>
                          <w:jc w:val="center"/>
                          <w:rPr>
                            <w:rFonts w:ascii="Microsoft JhengHei" w:hAnsi="Microsoft JhengHei" w:cs="Microsoft JhengHei" w:eastAsia="Microsoft JhengHei" w:hint="default"/>
                            <w:sz w:val="22"/>
                            <w:szCs w:val="22"/>
                          </w:rPr>
                        </w:pPr>
                        <w:r>
                          <w:rPr>
                            <w:rFonts w:ascii="Times New Roman" w:hAnsi="Times New Roman" w:cs="Times New Roman" w:eastAsia="Times New Roman" w:hint="default"/>
                            <w:b/>
                            <w:bCs/>
                            <w:sz w:val="22"/>
                            <w:szCs w:val="22"/>
                          </w:rPr>
                          <w:t>2018</w:t>
                        </w:r>
                        <w:r>
                          <w:rPr>
                            <w:rFonts w:ascii="Microsoft JhengHei" w:hAnsi="Microsoft JhengHei" w:cs="Microsoft JhengHei" w:eastAsia="Microsoft JhengHei" w:hint="default"/>
                            <w:b/>
                            <w:bCs/>
                            <w:sz w:val="22"/>
                            <w:szCs w:val="22"/>
                          </w:rPr>
                          <w:t>年度</w:t>
                        </w:r>
                        <w:r>
                          <w:rPr>
                            <w:rFonts w:ascii="Microsoft JhengHei" w:hAnsi="Microsoft JhengHei" w:cs="Microsoft JhengHei" w:eastAsia="Microsoft JhengHei" w:hint="default"/>
                            <w:sz w:val="22"/>
                            <w:szCs w:val="22"/>
                          </w:rPr>
                        </w:r>
                      </w:p>
                    </w:tc>
                  </w:tr>
                  <w:tr>
                    <w:trPr>
                      <w:trHeight w:val="343" w:hRule="exact"/>
                    </w:trPr>
                    <w:tc>
                      <w:tcPr>
                        <w:tcW w:w="1339" w:type="dxa"/>
                        <w:vMerge/>
                        <w:tcBorders>
                          <w:left w:val="single" w:sz="4" w:space="0" w:color="000000"/>
                          <w:bottom w:val="single" w:sz="4" w:space="0" w:color="000000"/>
                          <w:right w:val="single" w:sz="4" w:space="0" w:color="000000"/>
                        </w:tcBorders>
                      </w:tcPr>
                      <w:p>
                        <w:pPr/>
                      </w:p>
                    </w:tc>
                    <w:tc>
                      <w:tcPr>
                        <w:tcW w:w="905" w:type="dxa"/>
                        <w:vMerge/>
                        <w:tcBorders>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306" w:lineRule="exact"/>
                          <w:ind w:right="5"/>
                          <w:jc w:val="righ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对净利润的影响</w:t>
                        </w:r>
                        <w:r>
                          <w:rPr>
                            <w:rFonts w:ascii="Microsoft JhengHei" w:hAnsi="Microsoft JhengHei" w:cs="Microsoft JhengHei" w:eastAsia="Microsoft JhengHei" w:hint="default"/>
                            <w:sz w:val="22"/>
                            <w:szCs w:val="22"/>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306" w:lineRule="exact"/>
                          <w:ind w:right="3"/>
                          <w:jc w:val="righ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对股东权益的影响</w:t>
                        </w:r>
                        <w:r>
                          <w:rPr>
                            <w:rFonts w:ascii="Microsoft JhengHei" w:hAnsi="Microsoft JhengHei" w:cs="Microsoft JhengHei" w:eastAsia="Microsoft JhengHei" w:hint="default"/>
                            <w:sz w:val="22"/>
                            <w:szCs w:val="22"/>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6" w:lineRule="exact"/>
                          <w:ind w:left="7"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对净利润的影响</w:t>
                        </w:r>
                        <w:r>
                          <w:rPr>
                            <w:rFonts w:ascii="Microsoft JhengHei" w:hAnsi="Microsoft JhengHei" w:cs="Microsoft JhengHei" w:eastAsia="Microsoft JhengHei" w:hint="default"/>
                            <w:sz w:val="22"/>
                            <w:szCs w:val="22"/>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06" w:lineRule="exact"/>
                          <w:ind w:left="7"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对股东权益的影响</w:t>
                        </w:r>
                        <w:r>
                          <w:rPr>
                            <w:rFonts w:ascii="Microsoft JhengHei" w:hAnsi="Microsoft JhengHei" w:cs="Microsoft JhengHei" w:eastAsia="Microsoft JhengHei" w:hint="default"/>
                            <w:sz w:val="22"/>
                            <w:szCs w:val="22"/>
                          </w:rPr>
                        </w:r>
                      </w:p>
                    </w:tc>
                  </w:tr>
                  <w:tr>
                    <w:trPr>
                      <w:trHeight w:val="341"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2"/>
                            <w:szCs w:val="22"/>
                          </w:rPr>
                        </w:pPr>
                        <w:r>
                          <w:rPr>
                            <w:rFonts w:ascii="宋体" w:hAnsi="宋体" w:cs="宋体" w:eastAsia="宋体" w:hint="default"/>
                            <w:sz w:val="22"/>
                            <w:szCs w:val="22"/>
                          </w:rPr>
                          <w:t>浮动利率借款</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3"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增加</w:t>
                        </w:r>
                        <w:r>
                          <w:rPr>
                            <w:rFonts w:ascii="Times New Roman" w:hAnsi="Times New Roman" w:cs="Times New Roman" w:eastAsia="Times New Roman" w:hint="default"/>
                            <w:sz w:val="22"/>
                            <w:szCs w:val="22"/>
                          </w:rPr>
                          <w:t>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-855.00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-855.00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 w:right="0"/>
                          <w:jc w:val="center"/>
                          <w:rPr>
                            <w:rFonts w:ascii="宋体" w:hAnsi="宋体" w:cs="宋体" w:eastAsia="宋体" w:hint="default"/>
                            <w:sz w:val="22"/>
                            <w:szCs w:val="22"/>
                          </w:rPr>
                        </w:pPr>
                        <w:r>
                          <w:rPr>
                            <w:rFonts w:ascii="宋体" w:hAnsi="宋体" w:cs="宋体" w:eastAsia="宋体" w:hint="default"/>
                            <w:sz w:val="22"/>
                            <w:szCs w:val="22"/>
                          </w:rPr>
                          <w:t>浮动利率借款</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3"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减少</w:t>
                        </w:r>
                        <w:r>
                          <w:rPr>
                            <w:rFonts w:ascii="Times New Roman" w:hAnsi="Times New Roman" w:cs="Times New Roman" w:eastAsia="Times New Roman" w:hint="default"/>
                            <w:sz w:val="22"/>
                            <w:szCs w:val="22"/>
                          </w:rPr>
                          <w:t>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Times New Roman" w:hAnsi="Times New Roman" w:cs="Times New Roman" w:eastAsia="Times New Roman" w:hint="default"/>
                            <w:sz w:val="22"/>
                            <w:szCs w:val="22"/>
                          </w:rPr>
                        </w:pPr>
                        <w:r>
                          <w:rPr>
                            <w:rFonts w:ascii="Times New Roman"/>
                            <w:sz w:val="22"/>
                          </w:rPr>
                          <w:t>855.00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Times New Roman" w:hAnsi="Times New Roman" w:cs="Times New Roman" w:eastAsia="Times New Roman" w:hint="default"/>
                            <w:sz w:val="22"/>
                            <w:szCs w:val="22"/>
                          </w:rPr>
                        </w:pPr>
                        <w:r>
                          <w:rPr>
                            <w:rFonts w:ascii="Times New Roman"/>
                            <w:sz w:val="22"/>
                          </w:rPr>
                          <w:t>855.00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spacing w:val="-2"/>
        </w:rPr>
        <w:t>在上述假设的基础上，在其它变量不变的情况下，利率可能发生的合理变动对当期损益和权益的税后</w:t>
      </w:r>
      <w:r>
        <w:rPr>
          <w:w w:val="100"/>
        </w:rPr>
        <w:t> </w:t>
      </w:r>
      <w:r>
        <w:rPr/>
        <w:t>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86" w:lineRule="auto" w:before="36"/>
        <w:ind w:left="573" w:right="995"/>
        <w:jc w:val="left"/>
      </w:pPr>
      <w:r>
        <w:rPr/>
        <w:t>（</w:t>
      </w:r>
      <w:r>
        <w:rPr>
          <w:rFonts w:ascii="Times New Roman" w:hAnsi="Times New Roman" w:cs="Times New Roman" w:eastAsia="Times New Roman" w:hint="default"/>
        </w:rPr>
        <w:t>3</w:t>
      </w:r>
      <w:r>
        <w:rPr/>
        <w:t>）价格风险</w:t>
      </w:r>
      <w:r>
        <w:rPr>
          <w:w w:val="100"/>
        </w:rPr>
        <w:t> </w:t>
      </w:r>
      <w:r>
        <w:rPr>
          <w:spacing w:val="-2"/>
        </w:rPr>
        <w:t>本集团以市场价格销售方直金太阳教育软件及其他产品并提供技术开发服务，因此受到此等产品价格</w:t>
      </w:r>
    </w:p>
    <w:p>
      <w:pPr>
        <w:pStyle w:val="BodyText"/>
        <w:spacing w:line="240" w:lineRule="auto" w:before="65"/>
        <w:ind w:right="995"/>
        <w:jc w:val="left"/>
      </w:pPr>
      <w:r>
        <w:rPr/>
        <w:t>波动的影响。</w:t>
      </w:r>
    </w:p>
    <w:p>
      <w:pPr>
        <w:spacing w:line="240" w:lineRule="auto" w:before="1"/>
        <w:rPr>
          <w:rFonts w:ascii="宋体" w:hAnsi="宋体" w:cs="宋体" w:eastAsia="宋体" w:hint="default"/>
          <w:sz w:val="24"/>
          <w:szCs w:val="24"/>
        </w:rPr>
      </w:pPr>
    </w:p>
    <w:p>
      <w:pPr>
        <w:pStyle w:val="Heading3"/>
        <w:spacing w:line="240" w:lineRule="auto"/>
        <w:ind w:right="995"/>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2117"/>
        <w:gridCol w:w="2268"/>
        <w:gridCol w:w="1985"/>
        <w:gridCol w:w="1208"/>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6"/>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21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100,000,000.00</w:t>
            </w:r>
          </w:p>
        </w:tc>
      </w:tr>
      <w:tr>
        <w:trPr>
          <w:trHeight w:val="102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21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100,000,000.00</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21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100,000,000.00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4"/>
        <w:gridCol w:w="2117"/>
        <w:gridCol w:w="2268"/>
        <w:gridCol w:w="1985"/>
        <w:gridCol w:w="1208"/>
      </w:tblGrid>
      <w:tr>
        <w:trPr>
          <w:trHeight w:val="7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21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8" w:right="0"/>
              <w:jc w:val="left"/>
              <w:rPr>
                <w:rFonts w:ascii="Times New Roman" w:hAnsi="Times New Roman" w:cs="Times New Roman" w:eastAsia="Times New Roman" w:hint="default"/>
                <w:sz w:val="18"/>
                <w:szCs w:val="18"/>
              </w:rPr>
            </w:pPr>
            <w:r>
              <w:rPr>
                <w:rFonts w:ascii="Times New Roman"/>
                <w:sz w:val="18"/>
              </w:rPr>
              <w:t>100,000,000.00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100,000,000.00</w:t>
            </w:r>
          </w:p>
        </w:tc>
      </w:tr>
      <w:tr>
        <w:trPr>
          <w:trHeight w:val="16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4"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21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994" w:type="dxa"/>
            <w:vMerge/>
            <w:tcBorders>
              <w:left w:val="single" w:sz="4" w:space="0" w:color="000000"/>
              <w:right w:val="single" w:sz="4" w:space="0" w:color="000000"/>
            </w:tcBorders>
            <w:shd w:val="clear" w:color="auto" w:fill="D2D2D2"/>
          </w:tcPr>
          <w:p>
            <w:pPr/>
          </w:p>
        </w:tc>
        <w:tc>
          <w:tcPr>
            <w:tcW w:w="2117" w:type="dxa"/>
            <w:vMerge/>
            <w:tcBorders>
              <w:left w:val="single" w:sz="4" w:space="0" w:color="000000"/>
              <w:right w:val="single" w:sz="4" w:space="0" w:color="000000"/>
            </w:tcBorders>
            <w:shd w:val="clear" w:color="auto" w:fill="D2D2D2"/>
          </w:tcPr>
          <w:p>
            <w:pPr/>
          </w:p>
        </w:tc>
        <w:tc>
          <w:tcPr>
            <w:tcW w:w="22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r>
      <w:tr>
        <w:trPr>
          <w:trHeight w:val="16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2117" w:type="dxa"/>
            <w:vMerge/>
            <w:tcBorders>
              <w:left w:val="single" w:sz="4" w:space="0" w:color="000000"/>
              <w:bottom w:val="single" w:sz="4" w:space="0" w:color="000000"/>
              <w:right w:val="single" w:sz="4" w:space="0" w:color="000000"/>
            </w:tcBorders>
            <w:shd w:val="clear" w:color="auto" w:fill="D2D2D2"/>
          </w:tcPr>
          <w:p>
            <w:pPr/>
          </w:p>
        </w:tc>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811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60" w:lineRule="auto" w:before="49"/>
        <w:ind w:left="153" w:right="859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tbl>
      <w:tblPr>
        <w:tblW w:w="0" w:type="auto"/>
        <w:jc w:val="left"/>
        <w:tblInd w:w="148" w:type="dxa"/>
        <w:tblLayout w:type="fixed"/>
        <w:tblCellMar>
          <w:top w:w="0" w:type="dxa"/>
          <w:left w:w="0" w:type="dxa"/>
          <w:bottom w:w="0" w:type="dxa"/>
          <w:right w:w="0" w:type="dxa"/>
        </w:tblCellMar>
        <w:tblLook w:val="01E0"/>
      </w:tblPr>
      <w:tblGrid>
        <w:gridCol w:w="2537"/>
        <w:gridCol w:w="1759"/>
        <w:gridCol w:w="2322"/>
        <w:gridCol w:w="2628"/>
      </w:tblGrid>
      <w:tr>
        <w:trPr>
          <w:trHeight w:val="341"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控股股东及最终控制方</w:t>
            </w:r>
            <w:r>
              <w:rPr>
                <w:rFonts w:ascii="Microsoft JhengHei" w:hAnsi="Microsoft JhengHei" w:cs="Microsoft JhengHei" w:eastAsia="Microsoft JhengHei" w:hint="default"/>
                <w:sz w:val="20"/>
                <w:szCs w:val="20"/>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67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国籍</w:t>
            </w:r>
            <w:r>
              <w:rPr>
                <w:rFonts w:ascii="Microsoft JhengHei" w:hAnsi="Microsoft JhengHei" w:cs="Microsoft JhengHei" w:eastAsia="Microsoft JhengHei" w:hint="default"/>
                <w:sz w:val="20"/>
                <w:szCs w:val="20"/>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86" w:right="0"/>
              <w:jc w:val="lef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z w:val="20"/>
                <w:szCs w:val="20"/>
              </w:rPr>
              <w:t>对本公司的持股比例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39" w:right="0"/>
              <w:jc w:val="left"/>
              <w:rPr>
                <w:rFonts w:ascii="Times New Roman" w:hAnsi="Times New Roman" w:cs="Times New Roman" w:eastAsia="Times New Roman" w:hint="default"/>
                <w:sz w:val="20"/>
                <w:szCs w:val="20"/>
              </w:rPr>
            </w:pPr>
            <w:r>
              <w:rPr>
                <w:rFonts w:ascii="Microsoft JhengHei" w:hAnsi="Microsoft JhengHei" w:cs="Microsoft JhengHei" w:eastAsia="Microsoft JhengHei" w:hint="default"/>
                <w:b/>
                <w:bCs/>
                <w:sz w:val="20"/>
                <w:szCs w:val="20"/>
              </w:rPr>
              <w:t>对本公司的表决权比例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343"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黄元忠</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74" w:right="0"/>
              <w:jc w:val="left"/>
              <w:rPr>
                <w:rFonts w:ascii="宋体" w:hAnsi="宋体" w:cs="宋体" w:eastAsia="宋体" w:hint="default"/>
                <w:sz w:val="20"/>
                <w:szCs w:val="20"/>
              </w:rPr>
            </w:pPr>
            <w:r>
              <w:rPr>
                <w:rFonts w:ascii="宋体" w:hAnsi="宋体" w:cs="宋体" w:eastAsia="宋体" w:hint="default"/>
                <w:sz w:val="20"/>
                <w:szCs w:val="20"/>
              </w:rPr>
              <w:t>中国</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sz w:val="20"/>
              </w:rPr>
              <w:t>18.99</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sz w:val="20"/>
              </w:rPr>
              <w:t>18.99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w:t>
      </w:r>
    </w:p>
    <w:p>
      <w:pPr>
        <w:spacing w:line="240" w:lineRule="auto" w:before="12"/>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after="0" w:line="240" w:lineRule="auto"/>
        <w:jc w:val="center"/>
        <w:rPr>
          <w:rFonts w:ascii="宋体" w:hAnsi="宋体" w:cs="宋体" w:eastAsia="宋体" w:hint="default"/>
          <w:sz w:val="18"/>
          <w:szCs w:val="18"/>
        </w:rPr>
        <w:sectPr>
          <w:pgSz w:w="11910" w:h="16840"/>
          <w:pgMar w:header="0" w:footer="979" w:top="1060" w:bottom="1160" w:left="980" w:right="0"/>
        </w:sectPr>
      </w:pPr>
    </w:p>
    <w:p>
      <w:pPr>
        <w:spacing w:line="240" w:lineRule="auto" w:before="7"/>
        <w:rPr>
          <w:rFonts w:ascii="宋体" w:hAnsi="宋体" w:cs="宋体" w:eastAsia="宋体" w:hint="default"/>
          <w:sz w:val="25"/>
          <w:szCs w:val="25"/>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张文凯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副总经理兼董事会秘书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武文静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贺林英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财务总监兼副总经理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卢庆华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杨正华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艾倩兰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刘念</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乔东斌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外部董事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周俊祥</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吴永平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北京执象科技发展有限公司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本公司股东施加重大影响的其他企业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深圳市育才教育书店有限公司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本公司股东施加重大影响的其他企业</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深圳市育才教育书 店有限公司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3,794.40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2199"/>
        <w:gridCol w:w="2197"/>
        <w:gridCol w:w="2199"/>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北京执象科技发展有限公司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197"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5" w:right="0"/>
              <w:jc w:val="left"/>
              <w:rPr>
                <w:rFonts w:ascii="Times New Roman" w:hAnsi="Times New Roman" w:cs="Times New Roman" w:eastAsia="Times New Roman" w:hint="default"/>
                <w:sz w:val="18"/>
                <w:szCs w:val="18"/>
              </w:rPr>
            </w:pPr>
            <w:r>
              <w:rPr>
                <w:rFonts w:ascii="Times New Roman"/>
                <w:sz w:val="18"/>
              </w:rPr>
              <w:t>66,037.74</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77"/>
        <w:gridCol w:w="2199"/>
        <w:gridCol w:w="2197"/>
        <w:gridCol w:w="2199"/>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深圳市育才教育书店有限公司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488,973.20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深圳罗湖蓝海村镇银行股份有限公司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销售服务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北京执象科技发展有限公司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197"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3" w:right="0"/>
              <w:jc w:val="left"/>
              <w:rPr>
                <w:rFonts w:ascii="Times New Roman" w:hAnsi="Times New Roman" w:cs="Times New Roman" w:eastAsia="Times New Roman" w:hint="default"/>
                <w:sz w:val="18"/>
                <w:szCs w:val="18"/>
              </w:rPr>
            </w:pPr>
            <w:r>
              <w:rPr>
                <w:rFonts w:ascii="Times New Roman"/>
                <w:sz w:val="18"/>
              </w:rPr>
              <w:t>168,103.44</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59"/>
        <w:gridCol w:w="1561"/>
        <w:gridCol w:w="1558"/>
        <w:gridCol w:w="994"/>
        <w:gridCol w:w="1167"/>
        <w:gridCol w:w="1366"/>
        <w:gridCol w:w="1368"/>
      </w:tblGrid>
      <w:tr>
        <w:trPr>
          <w:trHeight w:val="716"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0" w:right="107" w:hanging="11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 起始日</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398" w:right="101" w:hanging="29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 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0" w:footer="979" w:top="1060" w:bottom="1160" w:left="980" w:right="0"/>
        </w:sectPr>
      </w:pPr>
    </w:p>
    <w:p>
      <w:pPr>
        <w:spacing w:line="340" w:lineRule="auto"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4" w:space="6186"/>
            <w:col w:w="220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59"/>
        <w:gridCol w:w="1561"/>
        <w:gridCol w:w="1558"/>
        <w:gridCol w:w="994"/>
        <w:gridCol w:w="1167"/>
        <w:gridCol w:w="1366"/>
        <w:gridCol w:w="1368"/>
      </w:tblGrid>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0" w:right="107" w:hanging="11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 起始日</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398" w:right="101" w:hanging="29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 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3"/>
        <w:rPr>
          <w:rFonts w:ascii="宋体" w:hAnsi="宋体" w:cs="宋体" w:eastAsia="宋体" w:hint="default"/>
          <w:sz w:val="21"/>
          <w:szCs w:val="21"/>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8"/>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5,069,000.00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4,212,600.00</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6"/>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875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before="177"/>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835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spacing w:before="174"/>
        <w:ind w:left="153" w:right="995"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12"/>
        <w:rPr>
          <w:rFonts w:ascii="宋体" w:hAnsi="宋体" w:cs="宋体" w:eastAsia="宋体" w:hint="default"/>
          <w:sz w:val="21"/>
          <w:szCs w:val="21"/>
        </w:rPr>
      </w:pPr>
    </w:p>
    <w:p>
      <w:pPr>
        <w:pStyle w:val="Heading6"/>
        <w:spacing w:line="240" w:lineRule="auto"/>
        <w:ind w:left="549" w:right="995" w:firstLine="0"/>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日，本集团对外签定的不可撤销的经营租赁合约情况如下：</w:t>
      </w:r>
    </w:p>
    <w:p>
      <w:pPr>
        <w:spacing w:line="240" w:lineRule="auto" w:before="5"/>
        <w:rPr>
          <w:rFonts w:ascii="宋体" w:hAnsi="宋体" w:cs="宋体" w:eastAsia="宋体"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4967"/>
        <w:gridCol w:w="4028"/>
      </w:tblGrid>
      <w:tr>
        <w:trPr>
          <w:trHeight w:val="350" w:hRule="exact"/>
        </w:trPr>
        <w:tc>
          <w:tcPr>
            <w:tcW w:w="4967" w:type="dxa"/>
            <w:tcBorders>
              <w:top w:val="single" w:sz="6" w:space="0" w:color="000000"/>
              <w:left w:val="single" w:sz="6" w:space="0" w:color="000000"/>
              <w:bottom w:val="single" w:sz="8" w:space="0" w:color="000000"/>
              <w:right w:val="single" w:sz="6" w:space="0" w:color="000000"/>
            </w:tcBorders>
          </w:tcPr>
          <w:p>
            <w:pPr>
              <w:pStyle w:val="TableParagraph"/>
              <w:spacing w:line="291" w:lineRule="exact"/>
              <w:ind w:left="6"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项目名称</w:t>
            </w:r>
            <w:r>
              <w:rPr>
                <w:rFonts w:ascii="Microsoft JhengHei" w:hAnsi="Microsoft JhengHei" w:cs="Microsoft JhengHei" w:eastAsia="Microsoft JhengHei" w:hint="default"/>
                <w:sz w:val="20"/>
                <w:szCs w:val="20"/>
              </w:rPr>
            </w:r>
          </w:p>
        </w:tc>
        <w:tc>
          <w:tcPr>
            <w:tcW w:w="4028" w:type="dxa"/>
            <w:tcBorders>
              <w:top w:val="single" w:sz="6" w:space="0" w:color="000000"/>
              <w:left w:val="single" w:sz="6" w:space="0" w:color="000000"/>
              <w:bottom w:val="single" w:sz="8" w:space="0" w:color="000000"/>
              <w:right w:val="nil" w:sz="6" w:space="0" w:color="auto"/>
            </w:tcBorders>
          </w:tcPr>
          <w:p>
            <w:pPr>
              <w:pStyle w:val="TableParagraph"/>
              <w:spacing w:line="291" w:lineRule="exact"/>
              <w:ind w:left="10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本年末最低租赁付款额</w:t>
            </w:r>
            <w:r>
              <w:rPr>
                <w:rFonts w:ascii="Microsoft JhengHei" w:hAnsi="Microsoft JhengHei" w:cs="Microsoft JhengHei" w:eastAsia="Microsoft JhengHei" w:hint="default"/>
                <w:sz w:val="20"/>
                <w:szCs w:val="20"/>
              </w:rPr>
            </w:r>
          </w:p>
        </w:tc>
      </w:tr>
      <w:tr>
        <w:trPr>
          <w:trHeight w:val="346" w:hRule="exact"/>
        </w:trPr>
        <w:tc>
          <w:tcPr>
            <w:tcW w:w="4967"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402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w w:val="95"/>
                <w:sz w:val="20"/>
              </w:rPr>
              <w:t>246,212.12</w:t>
            </w:r>
            <w:r>
              <w:rPr>
                <w:rFonts w:ascii="Times New Roman"/>
                <w:sz w:val="20"/>
              </w:rPr>
            </w:r>
          </w:p>
        </w:tc>
      </w:tr>
      <w:tr>
        <w:trPr>
          <w:trHeight w:val="348" w:hRule="exact"/>
        </w:trPr>
        <w:tc>
          <w:tcPr>
            <w:tcW w:w="496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402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w w:val="95"/>
                <w:sz w:val="20"/>
              </w:rPr>
              <w:t>172,800.00</w:t>
            </w:r>
            <w:r>
              <w:rPr>
                <w:rFonts w:ascii="Times New Roman"/>
                <w:sz w:val="20"/>
              </w:rPr>
            </w:r>
          </w:p>
        </w:tc>
      </w:tr>
      <w:tr>
        <w:trPr>
          <w:trHeight w:val="348" w:hRule="exact"/>
        </w:trPr>
        <w:tc>
          <w:tcPr>
            <w:tcW w:w="4967"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Times New Roman" w:hAnsi="Times New Roman" w:cs="Times New Roman" w:eastAsia="Times New Roman" w:hint="default"/>
                <w:sz w:val="20"/>
                <w:szCs w:val="20"/>
              </w:rPr>
              <w:t>3</w:t>
            </w:r>
            <w:r>
              <w:rPr>
                <w:rFonts w:ascii="宋体" w:hAnsi="宋体" w:cs="宋体" w:eastAsia="宋体" w:hint="default"/>
                <w:sz w:val="20"/>
                <w:szCs w:val="20"/>
              </w:rPr>
              <w:t>年</w:t>
            </w:r>
          </w:p>
        </w:tc>
        <w:tc>
          <w:tcPr>
            <w:tcW w:w="402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w w:val="95"/>
                <w:sz w:val="20"/>
              </w:rPr>
              <w:t>28,800.00</w:t>
            </w:r>
            <w:r>
              <w:rPr>
                <w:rFonts w:ascii="Times New Roman"/>
                <w:sz w:val="20"/>
              </w:rPr>
            </w:r>
          </w:p>
        </w:tc>
      </w:tr>
      <w:tr>
        <w:trPr>
          <w:trHeight w:val="346" w:hRule="exact"/>
        </w:trPr>
        <w:tc>
          <w:tcPr>
            <w:tcW w:w="496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以后年度</w:t>
            </w:r>
          </w:p>
        </w:tc>
        <w:tc>
          <w:tcPr>
            <w:tcW w:w="4028"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4967" w:type="dxa"/>
            <w:tcBorders>
              <w:top w:val="single" w:sz="8" w:space="0" w:color="000000"/>
              <w:left w:val="single" w:sz="6" w:space="0" w:color="000000"/>
              <w:bottom w:val="single" w:sz="8" w:space="0" w:color="000000"/>
              <w:right w:val="single" w:sz="6" w:space="0" w:color="000000"/>
            </w:tcBorders>
          </w:tcPr>
          <w:p>
            <w:pPr>
              <w:pStyle w:val="TableParagraph"/>
              <w:spacing w:line="286" w:lineRule="exact"/>
              <w:ind w:left="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402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1"/>
              <w:ind w:right="5"/>
              <w:jc w:val="right"/>
              <w:rPr>
                <w:rFonts w:ascii="Times New Roman" w:hAnsi="Times New Roman" w:cs="Times New Roman" w:eastAsia="Times New Roman" w:hint="default"/>
                <w:sz w:val="20"/>
                <w:szCs w:val="20"/>
              </w:rPr>
            </w:pPr>
            <w:r>
              <w:rPr>
                <w:rFonts w:ascii="Times New Roman"/>
                <w:b/>
                <w:w w:val="95"/>
                <w:sz w:val="20"/>
              </w:rPr>
              <w:t>447,812.12</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2"/>
        <w:rPr>
          <w:rFonts w:ascii="宋体" w:hAnsi="宋体" w:cs="宋体" w:eastAsia="宋体" w:hint="default"/>
          <w:sz w:val="21"/>
          <w:szCs w:val="21"/>
        </w:rPr>
      </w:pPr>
    </w:p>
    <w:p>
      <w:pPr>
        <w:spacing w:line="376" w:lineRule="auto" w:before="0"/>
        <w:ind w:left="153" w:right="78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、重要的非调整事项</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7"/>
          <w:szCs w:val="7"/>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10"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6"/>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240" w:lineRule="auto" w:before="0"/>
        <w:ind w:left="573" w:right="995"/>
        <w:jc w:val="left"/>
      </w:pPr>
      <w:r>
        <w:rPr>
          <w:rFonts w:ascii="Times New Roman" w:hAnsi="Times New Roman" w:cs="Times New Roman" w:eastAsia="Times New Roman" w:hint="default"/>
        </w:rPr>
        <w:t>1.</w:t>
      </w:r>
      <w:r>
        <w:rPr/>
        <w:t>利润分配的影响</w:t>
      </w:r>
    </w:p>
    <w:p>
      <w:pPr>
        <w:pStyle w:val="BodyText"/>
        <w:spacing w:line="240" w:lineRule="auto" w:before="178"/>
        <w:ind w:left="573" w:right="995"/>
        <w:jc w:val="left"/>
      </w:pPr>
      <w:r>
        <w:rPr>
          <w:rFonts w:ascii="Times New Roman" w:hAnsi="Times New Roman" w:cs="Times New Roman" w:eastAsia="Times New Roman" w:hint="default"/>
          <w:w w:val="100"/>
        </w:rPr>
        <w:t>2020</w:t>
      </w:r>
      <w:r>
        <w:rPr>
          <w:rFonts w:ascii="Times New Roman" w:hAnsi="Times New Roman" w:cs="Times New Roman" w:eastAsia="Times New Roman" w:hint="default"/>
          <w:spacing w:val="5"/>
        </w:rPr>
        <w:t> </w:t>
      </w:r>
      <w:r>
        <w:rPr>
          <w:w w:val="100"/>
        </w:rPr>
        <w:t>年</w:t>
      </w:r>
      <w:r>
        <w:rPr>
          <w:spacing w:val="-48"/>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rPr>
        <w:t> </w:t>
      </w:r>
      <w:r>
        <w:rPr>
          <w:w w:val="100"/>
        </w:rPr>
        <w:t>月</w:t>
      </w:r>
      <w:r>
        <w:rPr>
          <w:spacing w:val="-48"/>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5"/>
        </w:rPr>
        <w:t> </w:t>
      </w:r>
      <w:r>
        <w:rPr>
          <w:spacing w:val="-3"/>
          <w:w w:val="100"/>
        </w:rPr>
        <w:t>日</w:t>
      </w:r>
      <w:r>
        <w:rPr>
          <w:w w:val="100"/>
        </w:rPr>
        <w:t>本</w:t>
      </w:r>
      <w:r>
        <w:rPr>
          <w:spacing w:val="-3"/>
          <w:w w:val="100"/>
        </w:rPr>
        <w:t>公</w:t>
      </w:r>
      <w:r>
        <w:rPr>
          <w:w w:val="100"/>
        </w:rPr>
        <w:t>司</w:t>
      </w:r>
      <w:r>
        <w:rPr>
          <w:spacing w:val="-3"/>
          <w:w w:val="100"/>
        </w:rPr>
        <w:t>第</w:t>
      </w:r>
      <w:r>
        <w:rPr>
          <w:w w:val="100"/>
        </w:rPr>
        <w:t>四届</w:t>
      </w:r>
      <w:r>
        <w:rPr>
          <w:spacing w:val="-3"/>
          <w:w w:val="100"/>
        </w:rPr>
        <w:t>董</w:t>
      </w:r>
      <w:r>
        <w:rPr>
          <w:w w:val="100"/>
        </w:rPr>
        <w:t>事</w:t>
      </w:r>
      <w:r>
        <w:rPr>
          <w:spacing w:val="-3"/>
          <w:w w:val="100"/>
        </w:rPr>
        <w:t>会</w:t>
      </w:r>
      <w:r>
        <w:rPr>
          <w:w w:val="100"/>
        </w:rPr>
        <w:t>第</w:t>
      </w:r>
      <w:r>
        <w:rPr>
          <w:spacing w:val="-3"/>
          <w:w w:val="100"/>
        </w:rPr>
        <w:t>八</w:t>
      </w:r>
      <w:r>
        <w:rPr>
          <w:w w:val="100"/>
        </w:rPr>
        <w:t>次</w:t>
      </w:r>
      <w:r>
        <w:rPr>
          <w:spacing w:val="-3"/>
          <w:w w:val="100"/>
        </w:rPr>
        <w:t>会</w:t>
      </w:r>
      <w:r>
        <w:rPr>
          <w:w w:val="100"/>
        </w:rPr>
        <w:t>议</w:t>
      </w:r>
      <w:r>
        <w:rPr>
          <w:spacing w:val="-3"/>
          <w:w w:val="100"/>
        </w:rPr>
        <w:t>通</w:t>
      </w:r>
      <w:r>
        <w:rPr>
          <w:w w:val="100"/>
        </w:rPr>
        <w:t>过《</w:t>
      </w:r>
      <w:r>
        <w:rPr>
          <w:spacing w:val="-3"/>
          <w:w w:val="100"/>
        </w:rPr>
        <w:t>关</w:t>
      </w:r>
      <w:r>
        <w:rPr>
          <w:w w:val="100"/>
        </w:rPr>
        <w:t>于</w:t>
      </w:r>
      <w:r>
        <w:rPr>
          <w:spacing w:val="-3"/>
          <w:w w:val="100"/>
        </w:rPr>
        <w:t>公</w:t>
      </w:r>
      <w:r>
        <w:rPr>
          <w:w w:val="100"/>
        </w:rPr>
        <w:t>司</w:t>
      </w:r>
      <w:r>
        <w:rPr>
          <w:spacing w:val="-48"/>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spacing w:val="5"/>
        </w:rPr>
        <w:t> </w:t>
      </w:r>
      <w:r>
        <w:rPr>
          <w:spacing w:val="-3"/>
          <w:w w:val="100"/>
        </w:rPr>
        <w:t>年</w:t>
      </w:r>
      <w:r>
        <w:rPr>
          <w:w w:val="100"/>
        </w:rPr>
        <w:t>度</w:t>
      </w:r>
      <w:r>
        <w:rPr>
          <w:spacing w:val="-3"/>
          <w:w w:val="100"/>
        </w:rPr>
        <w:t>利</w:t>
      </w:r>
      <w:r>
        <w:rPr>
          <w:w w:val="100"/>
        </w:rPr>
        <w:t>润分</w:t>
      </w:r>
      <w:r>
        <w:rPr>
          <w:spacing w:val="-3"/>
          <w:w w:val="100"/>
        </w:rPr>
        <w:t>配</w:t>
      </w:r>
      <w:r>
        <w:rPr>
          <w:w w:val="100"/>
        </w:rPr>
        <w:t>预</w:t>
      </w:r>
      <w:r>
        <w:rPr>
          <w:spacing w:val="-3"/>
          <w:w w:val="100"/>
        </w:rPr>
        <w:t>案</w:t>
      </w:r>
      <w:r>
        <w:rPr>
          <w:w w:val="100"/>
        </w:rPr>
        <w:t>的</w:t>
      </w:r>
      <w:r>
        <w:rPr>
          <w:spacing w:val="-3"/>
          <w:w w:val="100"/>
        </w:rPr>
        <w:t>议</w:t>
      </w:r>
      <w:r>
        <w:rPr>
          <w:w w:val="100"/>
        </w:rPr>
        <w:t>案</w:t>
      </w:r>
      <w:r>
        <w:rPr>
          <w:spacing w:val="-108"/>
          <w:w w:val="100"/>
        </w:rPr>
        <w:t>》</w:t>
      </w:r>
      <w:r>
        <w:rPr>
          <w:w w:val="100"/>
        </w:rPr>
        <w:t>，</w:t>
      </w:r>
    </w:p>
    <w:p>
      <w:pPr>
        <w:pStyle w:val="BodyText"/>
        <w:spacing w:line="240" w:lineRule="auto" w:before="177"/>
        <w:ind w:right="995"/>
        <w:jc w:val="left"/>
        <w:rPr>
          <w:rFonts w:ascii="Times New Roman" w:hAnsi="Times New Roman" w:cs="Times New Roman" w:eastAsia="Times New Roman" w:hint="default"/>
        </w:rPr>
      </w:pPr>
      <w:r>
        <w:rPr/>
        <w:t>公司拟以截止</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日的总股本</w:t>
      </w:r>
      <w:r>
        <w:rPr>
          <w:spacing w:val="-48"/>
        </w:rPr>
        <w:t> </w:t>
      </w:r>
      <w:r>
        <w:rPr>
          <w:rFonts w:ascii="Times New Roman" w:hAnsi="Times New Roman" w:cs="Times New Roman" w:eastAsia="Times New Roman" w:hint="default"/>
        </w:rPr>
        <w:t>167,831,090</w:t>
      </w:r>
      <w:r>
        <w:rPr>
          <w:rFonts w:ascii="Times New Roman" w:hAnsi="Times New Roman" w:cs="Times New Roman" w:eastAsia="Times New Roman" w:hint="default"/>
          <w:spacing w:val="7"/>
        </w:rPr>
        <w:t> </w:t>
      </w:r>
      <w:r>
        <w:rPr/>
        <w:t>股为基数，向全体股东每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股派发现金红利</w:t>
      </w:r>
      <w:r>
        <w:rPr>
          <w:spacing w:val="-45"/>
        </w:rPr>
        <w:t> </w:t>
      </w:r>
      <w:r>
        <w:rPr>
          <w:rFonts w:ascii="Times New Roman" w:hAnsi="Times New Roman" w:cs="Times New Roman" w:eastAsia="Times New Roman" w:hint="default"/>
        </w:rPr>
        <w:t>0.5</w:t>
      </w:r>
    </w:p>
    <w:p>
      <w:pPr>
        <w:pStyle w:val="BodyText"/>
        <w:spacing w:line="240" w:lineRule="auto" w:before="177"/>
        <w:ind w:right="995"/>
        <w:jc w:val="left"/>
      </w:pPr>
      <w:r>
        <w:rPr>
          <w:w w:val="100"/>
        </w:rPr>
        <w:t>元（</w:t>
      </w:r>
      <w:r>
        <w:rPr>
          <w:spacing w:val="-3"/>
          <w:w w:val="100"/>
        </w:rPr>
        <w:t>含</w:t>
      </w:r>
      <w:r>
        <w:rPr>
          <w:w w:val="100"/>
        </w:rPr>
        <w:t>税</w:t>
      </w:r>
      <w:r>
        <w:rPr>
          <w:spacing w:val="-108"/>
          <w:w w:val="100"/>
        </w:rPr>
        <w:t>）</w:t>
      </w:r>
      <w:r>
        <w:rPr>
          <w:w w:val="100"/>
        </w:rPr>
        <w:t>，</w:t>
      </w:r>
      <w:r>
        <w:rPr>
          <w:spacing w:val="-3"/>
          <w:w w:val="100"/>
        </w:rPr>
        <w:t>合</w:t>
      </w:r>
      <w:r>
        <w:rPr>
          <w:w w:val="100"/>
        </w:rPr>
        <w:t>计</w:t>
      </w:r>
      <w:r>
        <w:rPr>
          <w:spacing w:val="-3"/>
          <w:w w:val="100"/>
        </w:rPr>
        <w:t>派</w:t>
      </w:r>
      <w:r>
        <w:rPr>
          <w:w w:val="100"/>
        </w:rPr>
        <w:t>发</w:t>
      </w:r>
      <w:r>
        <w:rPr>
          <w:spacing w:val="-3"/>
          <w:w w:val="100"/>
        </w:rPr>
        <w:t>现金</w:t>
      </w:r>
      <w:r>
        <w:rPr>
          <w:w w:val="100"/>
        </w:rPr>
        <w:t>红利</w:t>
      </w:r>
      <w:r>
        <w:rPr>
          <w:spacing w:val="-3"/>
          <w:w w:val="100"/>
        </w:rPr>
        <w:t>人民</w:t>
      </w:r>
      <w:r>
        <w:rPr>
          <w:w w:val="100"/>
        </w:rPr>
        <w:t>币</w:t>
      </w:r>
      <w:r>
        <w:rPr>
          <w:spacing w:val="-53"/>
        </w:rPr>
        <w:t> </w:t>
      </w:r>
      <w:r>
        <w:rPr>
          <w:rFonts w:ascii="Times New Roman" w:hAnsi="Times New Roman" w:cs="Times New Roman" w:eastAsia="Times New Roman" w:hint="default"/>
          <w:w w:val="100"/>
        </w:rPr>
        <w:t>8,3</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4.50</w:t>
      </w:r>
      <w:r>
        <w:rPr>
          <w:rFonts w:ascii="Times New Roman" w:hAnsi="Times New Roman" w:cs="Times New Roman" w:eastAsia="Times New Roman" w:hint="default"/>
          <w:spacing w:val="-2"/>
        </w:rPr>
        <w:t> </w:t>
      </w:r>
      <w:r>
        <w:rPr>
          <w:w w:val="100"/>
        </w:rPr>
        <w:t>元。</w:t>
      </w:r>
      <w:r>
        <w:rPr>
          <w:spacing w:val="-3"/>
          <w:w w:val="100"/>
        </w:rPr>
        <w:t>此</w:t>
      </w:r>
      <w:r>
        <w:rPr>
          <w:w w:val="100"/>
        </w:rPr>
        <w:t>议</w:t>
      </w:r>
      <w:r>
        <w:rPr>
          <w:spacing w:val="-3"/>
          <w:w w:val="100"/>
        </w:rPr>
        <w:t>案</w:t>
      </w:r>
      <w:r>
        <w:rPr>
          <w:w w:val="100"/>
        </w:rPr>
        <w:t>通</w:t>
      </w:r>
      <w:r>
        <w:rPr>
          <w:spacing w:val="-3"/>
          <w:w w:val="100"/>
        </w:rPr>
        <w:t>过</w:t>
      </w:r>
      <w:r>
        <w:rPr>
          <w:w w:val="100"/>
        </w:rPr>
        <w:t>后</w:t>
      </w:r>
      <w:r>
        <w:rPr>
          <w:spacing w:val="-3"/>
          <w:w w:val="100"/>
        </w:rPr>
        <w:t>还</w:t>
      </w:r>
      <w:r>
        <w:rPr>
          <w:w w:val="100"/>
        </w:rPr>
        <w:t>需</w:t>
      </w:r>
      <w:r>
        <w:rPr>
          <w:spacing w:val="-3"/>
          <w:w w:val="100"/>
        </w:rPr>
        <w:t>提</w:t>
      </w:r>
      <w:r>
        <w:rPr>
          <w:w w:val="100"/>
        </w:rPr>
        <w:t>请股</w:t>
      </w:r>
      <w:r>
        <w:rPr>
          <w:spacing w:val="-3"/>
          <w:w w:val="100"/>
        </w:rPr>
        <w:t>东</w:t>
      </w:r>
      <w:r>
        <w:rPr>
          <w:w w:val="100"/>
        </w:rPr>
        <w:t>大</w:t>
      </w:r>
      <w:r>
        <w:rPr>
          <w:spacing w:val="-3"/>
          <w:w w:val="100"/>
        </w:rPr>
        <w:t>会</w:t>
      </w:r>
      <w:r>
        <w:rPr>
          <w:w w:val="100"/>
        </w:rPr>
        <w:t>审</w:t>
      </w:r>
      <w:r>
        <w:rPr>
          <w:spacing w:val="-3"/>
          <w:w w:val="100"/>
        </w:rPr>
        <w:t>议</w:t>
      </w:r>
      <w:r>
        <w:rPr>
          <w:w w:val="100"/>
        </w:rPr>
        <w:t>。</w:t>
      </w:r>
    </w:p>
    <w:p>
      <w:pPr>
        <w:pStyle w:val="BodyText"/>
        <w:spacing w:line="240" w:lineRule="auto" w:before="177"/>
        <w:ind w:left="573" w:right="995"/>
        <w:jc w:val="left"/>
      </w:pPr>
      <w:r>
        <w:rPr>
          <w:rFonts w:ascii="Times New Roman" w:hAnsi="Times New Roman" w:cs="Times New Roman" w:eastAsia="Times New Roman" w:hint="default"/>
        </w:rPr>
        <w:t>2.</w:t>
      </w:r>
      <w:r>
        <w:rPr/>
        <w:t>退出通航教育科技有限公司投资的影响</w:t>
      </w:r>
    </w:p>
    <w:p>
      <w:pPr>
        <w:pStyle w:val="BodyText"/>
        <w:spacing w:line="391" w:lineRule="auto" w:before="177"/>
        <w:ind w:right="1224" w:firstLine="420"/>
        <w:jc w:val="both"/>
      </w:pPr>
      <w:r>
        <w:rPr/>
        <w:t>本公司</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38"/>
        </w:rPr>
        <w:t> </w:t>
      </w:r>
      <w:r>
        <w:rPr>
          <w:rFonts w:ascii="Times New Roman" w:hAnsi="Times New Roman" w:cs="Times New Roman" w:eastAsia="Times New Roman" w:hint="default"/>
        </w:rPr>
        <w:t>27</w:t>
      </w:r>
      <w:r>
        <w:rPr>
          <w:rFonts w:ascii="Times New Roman" w:hAnsi="Times New Roman" w:cs="Times New Roman" w:eastAsia="Times New Roman" w:hint="default"/>
          <w:spacing w:val="12"/>
        </w:rPr>
        <w:t> </w:t>
      </w:r>
      <w:r>
        <w:rPr/>
        <w:t>日与通航人力资源有限公司签署《关于通航教育科技有限公司之股权转让协</w:t>
      </w:r>
      <w:r>
        <w:rPr>
          <w:w w:val="100"/>
        </w:rPr>
        <w:t> </w:t>
      </w:r>
      <w:r>
        <w:rPr>
          <w:spacing w:val="-11"/>
          <w:w w:val="100"/>
        </w:rPr>
        <w:t>议》，公司以自有资金人民币</w:t>
      </w:r>
      <w:r>
        <w:rPr>
          <w:spacing w:val="-45"/>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7"/>
          <w:w w:val="100"/>
        </w:rPr>
        <w:t> </w:t>
      </w:r>
      <w:r>
        <w:rPr>
          <w:spacing w:val="-2"/>
          <w:w w:val="100"/>
        </w:rPr>
        <w:t>元受让通航人力资源所持有的通航教育科技有限公司</w:t>
      </w:r>
      <w:r>
        <w:rPr>
          <w:spacing w:val="-47"/>
          <w:w w:val="100"/>
        </w:rPr>
        <w:t> </w:t>
      </w:r>
      <w:r>
        <w:rPr>
          <w:rFonts w:ascii="Times New Roman" w:hAnsi="Times New Roman" w:cs="Times New Roman" w:eastAsia="Times New Roman" w:hint="default"/>
          <w:spacing w:val="-4"/>
          <w:w w:val="100"/>
        </w:rPr>
        <w:t>15%</w:t>
      </w:r>
      <w:r>
        <w:rPr>
          <w:spacing w:val="-4"/>
          <w:w w:val="100"/>
        </w:rPr>
        <w:t>的股权，对应认</w:t>
      </w:r>
      <w:r>
        <w:rPr>
          <w:spacing w:val="-103"/>
          <w:w w:val="100"/>
        </w:rPr>
        <w:t> </w:t>
      </w:r>
      <w:r>
        <w:rPr>
          <w:spacing w:val="-103"/>
          <w:w w:val="100"/>
        </w:rPr>
      </w:r>
      <w:r>
        <w:rPr>
          <w:spacing w:val="-2"/>
          <w:w w:val="100"/>
        </w:rPr>
        <w:t>缴通航教育科技有限公司注册资本人民币</w:t>
      </w:r>
      <w:r>
        <w:rPr>
          <w:spacing w:val="-39"/>
          <w:w w:val="100"/>
        </w:rPr>
        <w:t> </w:t>
      </w:r>
      <w:r>
        <w:rPr>
          <w:rFonts w:ascii="Times New Roman" w:hAnsi="Times New Roman" w:cs="Times New Roman" w:eastAsia="Times New Roman" w:hint="default"/>
          <w:w w:val="100"/>
        </w:rPr>
        <w:t>750</w:t>
      </w:r>
      <w:r>
        <w:rPr>
          <w:rFonts w:ascii="Times New Roman" w:hAnsi="Times New Roman" w:cs="Times New Roman" w:eastAsia="Times New Roman" w:hint="default"/>
          <w:spacing w:val="11"/>
          <w:w w:val="100"/>
        </w:rPr>
        <w:t> </w:t>
      </w:r>
      <w:r>
        <w:rPr>
          <w:spacing w:val="-7"/>
          <w:w w:val="100"/>
        </w:rPr>
        <w:t>万元（未实缴）。由于参股通航教育公司以来，各项工作未</w:t>
      </w:r>
      <w:r>
        <w:rPr>
          <w:spacing w:val="-99"/>
          <w:w w:val="100"/>
        </w:rPr>
        <w:t> </w:t>
      </w:r>
      <w:r>
        <w:rPr>
          <w:spacing w:val="-99"/>
          <w:w w:val="100"/>
        </w:rPr>
      </w:r>
      <w:r>
        <w:rPr/>
        <w:t>能如期推进，同时受疫情影响对未来经营无法预测，经双方友好沟通，同意本公司退出对通航教育科技</w:t>
      </w:r>
      <w:r>
        <w:rPr>
          <w:spacing w:val="-19"/>
        </w:rPr>
        <w:t> </w:t>
      </w:r>
      <w:r>
        <w:rPr>
          <w:spacing w:val="-19"/>
        </w:rPr>
      </w:r>
      <w:r>
        <w:rPr/>
        <w:t>有限公司的股权投资。截止本报告报出日，通航教育科技有限公司已完成工商变更登记。</w:t>
      </w:r>
    </w:p>
    <w:p>
      <w:pPr>
        <w:pStyle w:val="BodyText"/>
        <w:spacing w:line="240" w:lineRule="auto" w:before="61"/>
        <w:ind w:left="573" w:right="99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新型冠状病毒的影响</w:t>
      </w:r>
    </w:p>
    <w:p>
      <w:pPr>
        <w:pStyle w:val="BodyText"/>
        <w:spacing w:line="398" w:lineRule="auto" w:before="177"/>
        <w:ind w:right="1224" w:firstLine="420"/>
        <w:jc w:val="both"/>
      </w:pPr>
      <w:r>
        <w:rPr/>
        <w:t>新型冠状病毒肺炎疫情于</w:t>
      </w:r>
      <w:r>
        <w:rPr>
          <w:spacing w:val="-5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月在全国爆发，相关防控工作在全国范围内持续进行。由于疫情</w:t>
      </w:r>
      <w:r>
        <w:rPr>
          <w:w w:val="100"/>
        </w:rPr>
        <w:t> </w:t>
      </w:r>
      <w:r>
        <w:rPr/>
        <w:t>影响，国内各省市中小学开学延期以及公司的在线教育产品免费提供给师生使用等因素的影响，公司一</w:t>
      </w:r>
      <w:r>
        <w:rPr>
          <w:spacing w:val="-20"/>
        </w:rPr>
        <w:t> </w:t>
      </w:r>
      <w:r>
        <w:rPr>
          <w:spacing w:val="-20"/>
        </w:rPr>
      </w:r>
      <w:r>
        <w:rPr/>
        <w:t>季度销售收入小幅下滑。</w:t>
      </w:r>
    </w:p>
    <w:p>
      <w:pPr>
        <w:pStyle w:val="BodyText"/>
        <w:spacing w:line="410" w:lineRule="auto" w:before="54"/>
        <w:ind w:right="1231" w:firstLine="420"/>
        <w:jc w:val="both"/>
      </w:pPr>
      <w:r>
        <w:rPr/>
        <w:t>本公司将继续密切关注新冠疫情发展情况，评估和积极应对其对本公司财务状况、经营成果等方面</w:t>
      </w:r>
      <w:r>
        <w:rPr>
          <w:w w:val="100"/>
        </w:rPr>
        <w:t> </w:t>
      </w:r>
      <w:r>
        <w:rPr/>
        <w:t>的影响。截至本报告报出日，尚未发现重大不利影响因素。</w:t>
      </w:r>
    </w:p>
    <w:p>
      <w:pPr>
        <w:pStyle w:val="Heading3"/>
        <w:spacing w:line="240" w:lineRule="auto" w:before="165"/>
        <w:ind w:right="995"/>
        <w:jc w:val="left"/>
        <w:rPr>
          <w:b w:val="0"/>
          <w:bCs w:val="0"/>
        </w:rPr>
      </w:pPr>
      <w:r>
        <w:rPr/>
        <w:t>十六、其他重要事项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0" w:right="11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6"/>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6"/>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10"/>
        <w:rPr>
          <w:rFonts w:ascii="Microsoft JhengHei" w:hAnsi="Microsoft JhengHei" w:cs="Microsoft JhengHei" w:eastAsia="Microsoft JhengHei" w:hint="default"/>
          <w:b/>
          <w:bCs/>
          <w:sz w:val="14"/>
          <w:szCs w:val="14"/>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691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pStyle w:val="Heading7"/>
        <w:spacing w:line="240" w:lineRule="auto" w:before="88"/>
        <w:ind w:right="995"/>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6"/>
        <w:gridCol w:w="1085"/>
        <w:gridCol w:w="701"/>
        <w:gridCol w:w="866"/>
        <w:gridCol w:w="588"/>
        <w:gridCol w:w="1092"/>
        <w:gridCol w:w="1092"/>
        <w:gridCol w:w="701"/>
        <w:gridCol w:w="866"/>
        <w:gridCol w:w="588"/>
        <w:gridCol w:w="1092"/>
      </w:tblGrid>
      <w:tr>
        <w:trPr>
          <w:trHeight w:val="397" w:hRule="exact"/>
        </w:trPr>
        <w:tc>
          <w:tcPr>
            <w:tcW w:w="9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1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33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996" w:type="dxa"/>
            <w:vMerge/>
            <w:tcBorders>
              <w:left w:val="single" w:sz="4" w:space="0" w:color="000000"/>
              <w:right w:val="single" w:sz="4" w:space="0" w:color="000000"/>
            </w:tcBorders>
            <w:shd w:val="clear" w:color="auto" w:fill="D2D2D2"/>
          </w:tcPr>
          <w:p>
            <w:pP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9" w:hRule="exact"/>
        </w:trPr>
        <w:tc>
          <w:tcPr>
            <w:tcW w:w="996" w:type="dxa"/>
            <w:vMerge/>
            <w:tcBorders>
              <w:left w:val="single" w:sz="4" w:space="0" w:color="000000"/>
              <w:bottom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0" w:right="10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0" w:right="10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both"/>
              <w:rPr>
                <w:rFonts w:ascii="宋体" w:hAnsi="宋体" w:cs="宋体" w:eastAsia="宋体" w:hint="default"/>
                <w:sz w:val="18"/>
                <w:szCs w:val="18"/>
              </w:rPr>
            </w:pPr>
            <w:r>
              <w:rPr>
                <w:rFonts w:ascii="宋体" w:hAnsi="宋体" w:cs="宋体" w:eastAsia="宋体" w:hint="default"/>
                <w:sz w:val="18"/>
                <w:szCs w:val="18"/>
              </w:rPr>
              <w:t>按组合计提 坏账准备的 应收账款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22,511,680.16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569,406.40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21,942,273.76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37,054,597.28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480,971.79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36,573,625.49</w:t>
            </w:r>
          </w:p>
        </w:tc>
      </w:tr>
      <w:tr>
        <w:trPr>
          <w:trHeight w:val="401" w:hRule="exact"/>
        </w:trPr>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22,511,680.16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569,406.40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21,942,273.76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37,054,597.28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480,971.79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36,573,625.49</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4"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49"/>
        <w:ind w:left="153" w:right="1753"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3"/>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1"/>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bl>
    <w:p>
      <w:pPr>
        <w:spacing w:after="0" w:line="240" w:lineRule="auto"/>
        <w:jc w:val="center"/>
        <w:rPr>
          <w:rFonts w:ascii="宋体" w:hAnsi="宋体" w:cs="宋体" w:eastAsia="宋体"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19,923,030.58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2,242,027.20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334,597.38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22,511,680.16</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480,971.79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248,300.52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159,865.91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569,406.40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480,971.79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248,300.52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159,865.91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569,406.40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2"/>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4"/>
        <w:rPr>
          <w:rFonts w:ascii="宋体" w:hAnsi="宋体" w:cs="宋体" w:eastAsia="宋体" w:hint="default"/>
          <w:sz w:val="22"/>
          <w:szCs w:val="22"/>
        </w:rPr>
      </w:pPr>
    </w:p>
    <w:p>
      <w:pPr>
        <w:pStyle w:val="Heading7"/>
        <w:spacing w:line="240" w:lineRule="auto"/>
        <w:ind w:right="995"/>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前五名汇总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15,224,904.40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7" w:right="0"/>
              <w:jc w:val="left"/>
              <w:rPr>
                <w:rFonts w:ascii="Times New Roman" w:hAnsi="Times New Roman" w:cs="Times New Roman" w:eastAsia="Times New Roman" w:hint="default"/>
                <w:sz w:val="18"/>
                <w:szCs w:val="18"/>
              </w:rPr>
            </w:pPr>
            <w:r>
              <w:rPr>
                <w:rFonts w:ascii="Times New Roman"/>
                <w:sz w:val="18"/>
              </w:rPr>
              <w:t>286,259.04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15,224,904.40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67.63%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12,530,897.28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26,584,427.30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12,530,897.28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26,584,427.30</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7"/>
        <w:spacing w:line="240" w:lineRule="auto"/>
        <w:ind w:right="995"/>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年的应收股利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4"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6"/>
        <w:rPr>
          <w:rFonts w:ascii="宋体" w:hAnsi="宋体" w:cs="宋体" w:eastAsia="宋体" w:hint="default"/>
          <w:sz w:val="16"/>
          <w:szCs w:val="16"/>
        </w:rPr>
      </w:pPr>
    </w:p>
    <w:p>
      <w:pPr>
        <w:pStyle w:val="Heading7"/>
        <w:spacing w:line="240" w:lineRule="auto"/>
        <w:ind w:right="995"/>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538,673.58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919,939.95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269,266.75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279,062.32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退股款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27,307,690.09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12,052,990.61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1,373,470.67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12,860,930.94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29,880,163.03</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9"/>
        <w:gridCol w:w="1937"/>
        <w:gridCol w:w="1937"/>
        <w:gridCol w:w="1940"/>
        <w:gridCol w:w="1347"/>
      </w:tblGrid>
      <w:tr>
        <w:trPr>
          <w:trHeight w:val="403" w:hRule="exact"/>
        </w:trPr>
        <w:tc>
          <w:tcPr>
            <w:tcW w:w="24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3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24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873" w:right="17" w:hanging="85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个月预期信用损 失</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5" w:right="60"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84" w:right="63"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347" w:type="dxa"/>
            <w:vMerge/>
            <w:tcBorders>
              <w:left w:val="single" w:sz="4" w:space="0" w:color="000000"/>
              <w:right w:val="single" w:sz="4" w:space="0" w:color="000000"/>
            </w:tcBorders>
            <w:shd w:val="clear" w:color="auto" w:fill="D2D2D2"/>
          </w:tcPr>
          <w:p>
            <w:pPr/>
          </w:p>
        </w:tc>
      </w:tr>
      <w:tr>
        <w:trPr>
          <w:trHeight w:val="360" w:hRule="exact"/>
        </w:trPr>
        <w:tc>
          <w:tcPr>
            <w:tcW w:w="24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34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764,966.73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83,837.12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2,446,931.88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3,295,735.73</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47,222.43</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47,222.43</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482,155.50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83,837.12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2,446,931.88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3,012,924.50</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330,033.66</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330,033.66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before="49"/>
        <w:ind w:left="153"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7"/>
        <w:ind w:left="153" w:right="16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4" w:space="4797"/>
            <w:col w:w="21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12,362,740.88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119,236.16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120,553.00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258,400.90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8,433.00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101,018.90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148,949.00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12,860,930.94</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275"/>
        <w:gridCol w:w="1135"/>
        <w:gridCol w:w="1133"/>
        <w:gridCol w:w="1049"/>
        <w:gridCol w:w="1575"/>
      </w:tblGrid>
      <w:tr>
        <w:trPr>
          <w:trHeight w:val="401"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5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3,295,735.73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47,222.43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3,012,924.50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330,033.66</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3,295,735.73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47,222.43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3,012,924.50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330,033.66</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北京千锋互联科技有限公司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2,730,769.01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银行存款收回</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2,730,769.01</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9"/>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1370"/>
        <w:gridCol w:w="1371"/>
        <w:gridCol w:w="1371"/>
        <w:gridCol w:w="1560"/>
        <w:gridCol w:w="922"/>
      </w:tblGrid>
      <w:tr>
        <w:trPr>
          <w:trHeight w:val="71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4"/>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77.75%</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国家税务总局深圳市南山区税务局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即征即退款</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2,036,805.88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20,368.06</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天猫商城</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年及</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年以上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116,000.00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深圳市集鸿发电子有限公司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96,600.00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温州市教育装备和勤工俭学管理中心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center"/>
              <w:rPr>
                <w:rFonts w:ascii="Times New Roman" w:hAnsi="Times New Roman" w:cs="Times New Roman" w:eastAsia="Times New Roman" w:hint="default"/>
                <w:sz w:val="18"/>
                <w:szCs w:val="18"/>
              </w:rPr>
            </w:pPr>
            <w:r>
              <w:rPr>
                <w:rFonts w:ascii="Times New Roman"/>
                <w:sz w:val="18"/>
              </w:rPr>
              <w:t>19,500.00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5"/>
        <w:gridCol w:w="1370"/>
        <w:gridCol w:w="1372"/>
        <w:gridCol w:w="1370"/>
        <w:gridCol w:w="1560"/>
        <w:gridCol w:w="922"/>
      </w:tblGrid>
      <w:tr>
        <w:trPr>
          <w:trHeight w:val="404" w:hRule="exact"/>
        </w:trPr>
        <w:tc>
          <w:tcPr>
            <w:tcW w:w="2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12,341,405.88</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95.96%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252,468.06</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44"/>
        <w:ind w:left="0" w:right="1135" w:firstLine="0"/>
        <w:jc w:val="right"/>
        <w:rPr>
          <w:rFonts w:ascii="宋体" w:hAnsi="宋体" w:cs="宋体" w:eastAsia="宋体" w:hint="default"/>
          <w:sz w:val="18"/>
          <w:szCs w:val="18"/>
        </w:rPr>
      </w:pPr>
      <w:r>
        <w:rPr/>
        <w:pict>
          <v:shape style="position:absolute;margin-left:56.424pt;margin-top:-21.008293pt;width:479.3pt;height:71.9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3"/>
                    <w:gridCol w:w="1633"/>
                    <w:gridCol w:w="1452"/>
                    <w:gridCol w:w="1452"/>
                    <w:gridCol w:w="3191"/>
                  </w:tblGrid>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02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87"/>
                          <w:jc w:val="left"/>
                          <w:rPr>
                            <w:rFonts w:ascii="宋体" w:hAnsi="宋体" w:cs="宋体" w:eastAsia="宋体" w:hint="default"/>
                            <w:sz w:val="18"/>
                            <w:szCs w:val="18"/>
                          </w:rPr>
                        </w:pPr>
                        <w:r>
                          <w:rPr>
                            <w:rFonts w:ascii="宋体" w:hAnsi="宋体" w:cs="宋体" w:eastAsia="宋体" w:hint="default"/>
                            <w:sz w:val="18"/>
                            <w:szCs w:val="18"/>
                          </w:rPr>
                          <w:t>国家税务总局深圳市 南山区税务局</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增值税退税补贴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2,036,805.88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月已收到金额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2,036,805.88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依据：国家税务总局深圳市南山区税务 局批复文件。</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7"/>
        <w:spacing w:line="335" w:lineRule="exact"/>
        <w:ind w:right="995"/>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3"/>
        <w:gridCol w:w="1419"/>
        <w:gridCol w:w="1275"/>
        <w:gridCol w:w="1418"/>
        <w:gridCol w:w="1277"/>
        <w:gridCol w:w="1133"/>
        <w:gridCol w:w="1208"/>
      </w:tblGrid>
      <w:tr>
        <w:trPr>
          <w:trHeight w:val="403" w:hRule="exact"/>
        </w:trPr>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105,600,569.41</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105,600,569.41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80,439,031.58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80,439,031.58</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108,600,569.41</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108,600,569.41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83,439,031.58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83,439,031.58</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7"/>
        <w:gridCol w:w="1167"/>
        <w:gridCol w:w="1166"/>
        <w:gridCol w:w="1164"/>
        <w:gridCol w:w="1166"/>
        <w:gridCol w:w="1582"/>
        <w:gridCol w:w="1135"/>
        <w:gridCol w:w="924"/>
      </w:tblGrid>
      <w:tr>
        <w:trPr>
          <w:trHeight w:val="403" w:hRule="exact"/>
        </w:trPr>
        <w:tc>
          <w:tcPr>
            <w:tcW w:w="12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278" w:right="98"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50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264" w:right="7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96" w:right="96"/>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1" w:hRule="exact"/>
        </w:trPr>
        <w:tc>
          <w:tcPr>
            <w:tcW w:w="12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5"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深圳市连邦信 息技术有限公 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深圳市木愚科 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53"/>
          <w:pgSz w:w="11910" w:h="16840"/>
          <w:pgMar w:footer="979" w:header="0"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62"/>
        <w:gridCol w:w="1237"/>
        <w:gridCol w:w="1090"/>
        <w:gridCol w:w="386"/>
        <w:gridCol w:w="1332"/>
        <w:gridCol w:w="586"/>
        <w:gridCol w:w="485"/>
        <w:gridCol w:w="733"/>
        <w:gridCol w:w="487"/>
        <w:gridCol w:w="286"/>
        <w:gridCol w:w="1301"/>
        <w:gridCol w:w="586"/>
      </w:tblGrid>
      <w:tr>
        <w:trPr>
          <w:trHeight w:val="402" w:hRule="exact"/>
        </w:trPr>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2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00" w:lineRule="auto"/>
              <w:ind w:left="403" w:right="41"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5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00" w:lineRule="auto"/>
              <w:ind w:left="436" w:right="72"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07" w:right="107"/>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8" w:hRule="exact"/>
        </w:trPr>
        <w:tc>
          <w:tcPr>
            <w:tcW w:w="1162" w:type="dxa"/>
            <w:vMerge/>
            <w:tcBorders>
              <w:left w:val="single" w:sz="4" w:space="0" w:color="000000"/>
              <w:bottom w:val="single" w:sz="4" w:space="0" w:color="000000"/>
              <w:right w:val="single" w:sz="4" w:space="0" w:color="000000"/>
            </w:tcBorders>
            <w:shd w:val="clear" w:color="auto" w:fill="D2D2D2"/>
          </w:tcPr>
          <w:p>
            <w:pPr/>
          </w:p>
        </w:tc>
        <w:tc>
          <w:tcPr>
            <w:tcW w:w="1237"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300" w:right="29" w:hanging="269"/>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8" w:right="107"/>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7" w:right="55"/>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5"/>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48" w:right="47"/>
              <w:jc w:val="left"/>
              <w:rPr>
                <w:rFonts w:ascii="宋体" w:hAnsi="宋体" w:cs="宋体" w:eastAsia="宋体" w:hint="default"/>
                <w:sz w:val="18"/>
                <w:szCs w:val="18"/>
              </w:rPr>
            </w:pPr>
            <w:r>
              <w:rPr>
                <w:rFonts w:ascii="宋体" w:hAnsi="宋体" w:cs="宋体" w:eastAsia="宋体" w:hint="default"/>
                <w:sz w:val="18"/>
                <w:szCs w:val="18"/>
              </w:rPr>
              <w:t>其 他</w:t>
            </w:r>
          </w:p>
        </w:tc>
        <w:tc>
          <w:tcPr>
            <w:tcW w:w="130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5"/>
              <w:jc w:val="both"/>
              <w:rPr>
                <w:rFonts w:ascii="宋体" w:hAnsi="宋体" w:cs="宋体" w:eastAsia="宋体" w:hint="default"/>
                <w:sz w:val="18"/>
                <w:szCs w:val="18"/>
              </w:rPr>
            </w:pPr>
            <w:r>
              <w:rPr>
                <w:rFonts w:ascii="宋体" w:hAnsi="宋体" w:cs="宋体" w:eastAsia="宋体" w:hint="default"/>
                <w:sz w:val="18"/>
                <w:szCs w:val="18"/>
              </w:rPr>
              <w:t>深圳罗湖蓝海 村镇银行股份 有限公司</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52,450,711.30</w:t>
            </w:r>
          </w:p>
        </w:tc>
        <w:tc>
          <w:tcPr>
            <w:tcW w:w="109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809,562.35</w:t>
            </w:r>
          </w:p>
        </w:tc>
        <w:tc>
          <w:tcPr>
            <w:tcW w:w="58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53,260,273.65</w:t>
            </w: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4"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深圳嘉道方直 教育产业投资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27,988,320.28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-1,648,024.52</w:t>
            </w:r>
          </w:p>
        </w:tc>
        <w:tc>
          <w:tcPr>
            <w:tcW w:w="58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44,340,295.76</w:t>
            </w: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通航教育科技 有限公司</w:t>
            </w:r>
          </w:p>
        </w:tc>
        <w:tc>
          <w:tcPr>
            <w:tcW w:w="12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w:t>
            </w:r>
          </w:p>
        </w:tc>
        <w:tc>
          <w:tcPr>
            <w:tcW w:w="38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w:t>
            </w:r>
          </w:p>
        </w:tc>
        <w:tc>
          <w:tcPr>
            <w:tcW w:w="58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5"/>
              <w:jc w:val="both"/>
              <w:rPr>
                <w:rFonts w:ascii="宋体" w:hAnsi="宋体" w:cs="宋体" w:eastAsia="宋体" w:hint="default"/>
                <w:sz w:val="18"/>
                <w:szCs w:val="18"/>
              </w:rPr>
            </w:pPr>
            <w:r>
              <w:rPr>
                <w:rFonts w:ascii="宋体" w:hAnsi="宋体" w:cs="宋体" w:eastAsia="宋体" w:hint="default"/>
                <w:sz w:val="18"/>
                <w:szCs w:val="18"/>
              </w:rPr>
              <w:t>江西新华云教 育科技有限公 司</w:t>
            </w:r>
          </w:p>
        </w:tc>
        <w:tc>
          <w:tcPr>
            <w:tcW w:w="12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8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80,439,031.58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26,000,001.00</w:t>
            </w:r>
          </w:p>
        </w:tc>
        <w:tc>
          <w:tcPr>
            <w:tcW w:w="38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-838,463.17</w:t>
            </w:r>
          </w:p>
        </w:tc>
        <w:tc>
          <w:tcPr>
            <w:tcW w:w="58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105,600,569.41</w:t>
            </w: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80,439,031.58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26,000,001.00</w:t>
            </w:r>
          </w:p>
        </w:tc>
        <w:tc>
          <w:tcPr>
            <w:tcW w:w="38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-838,463.17</w:t>
            </w:r>
          </w:p>
        </w:tc>
        <w:tc>
          <w:tcPr>
            <w:tcW w:w="58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105,600,569.41</w:t>
            </w:r>
          </w:p>
        </w:tc>
        <w:tc>
          <w:tcPr>
            <w:tcW w:w="5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108,584,927.22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36,529,927.39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107,093,148.49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40,824,964.30</w:t>
            </w:r>
          </w:p>
        </w:tc>
      </w:tr>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79" w:right="0"/>
              <w:jc w:val="left"/>
              <w:rPr>
                <w:rFonts w:ascii="Times New Roman" w:hAnsi="Times New Roman" w:cs="Times New Roman" w:eastAsia="Times New Roman" w:hint="default"/>
                <w:sz w:val="18"/>
                <w:szCs w:val="18"/>
              </w:rPr>
            </w:pPr>
            <w:r>
              <w:rPr>
                <w:rFonts w:ascii="Times New Roman"/>
                <w:sz w:val="18"/>
              </w:rPr>
              <w:t>108,584,927.22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36,529,927.39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5" w:right="0"/>
              <w:jc w:val="left"/>
              <w:rPr>
                <w:rFonts w:ascii="Times New Roman" w:hAnsi="Times New Roman" w:cs="Times New Roman" w:eastAsia="Times New Roman" w:hint="default"/>
                <w:sz w:val="18"/>
                <w:szCs w:val="18"/>
              </w:rPr>
            </w:pPr>
            <w:r>
              <w:rPr>
                <w:rFonts w:ascii="Times New Roman"/>
                <w:sz w:val="18"/>
              </w:rPr>
              <w:t>107,093,148.49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40,824,964.30</w:t>
            </w:r>
          </w:p>
        </w:tc>
      </w:tr>
    </w:tbl>
    <w:p>
      <w:pPr>
        <w:spacing w:before="49"/>
        <w:ind w:left="153" w:right="995"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7"/>
        <w:ind w:left="153" w:right="92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4"/>
        <w:rPr>
          <w:rFonts w:ascii="宋体" w:hAnsi="宋体" w:cs="宋体" w:eastAsia="宋体" w:hint="default"/>
          <w:sz w:val="16"/>
          <w:szCs w:val="16"/>
        </w:rPr>
      </w:pPr>
    </w:p>
    <w:p>
      <w:pPr>
        <w:pStyle w:val="Heading7"/>
        <w:spacing w:line="240" w:lineRule="auto"/>
        <w:ind w:right="995"/>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6"/>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footerReference w:type="default" r:id="rId54"/>
          <w:pgSz w:w="11910" w:h="16840"/>
          <w:pgMar w:footer="979" w:header="0" w:top="1060" w:bottom="1160" w:left="980" w:right="0"/>
          <w:pgNumType w:start="201"/>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6"/>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-838,463.17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154,257.44</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5,315,570.74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5,728,952.06</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4,477,107.57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5,883,209.50</w:t>
            </w:r>
          </w:p>
        </w:tc>
      </w:tr>
    </w:tbl>
    <w:p>
      <w:pPr>
        <w:spacing w:line="240" w:lineRule="auto" w:before="5"/>
        <w:rPr>
          <w:rFonts w:ascii="宋体" w:hAnsi="宋体" w:cs="宋体" w:eastAsia="宋体" w:hint="default"/>
          <w:sz w:val="19"/>
          <w:szCs w:val="19"/>
        </w:rPr>
      </w:pPr>
    </w:p>
    <w:p>
      <w:pPr>
        <w:pStyle w:val="Heading7"/>
        <w:spacing w:line="335" w:lineRule="exact"/>
        <w:ind w:right="995"/>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Heading3"/>
        <w:spacing w:line="240" w:lineRule="auto"/>
        <w:ind w:right="995"/>
        <w:jc w:val="left"/>
        <w:rPr>
          <w:b w:val="0"/>
          <w:bCs w:val="0"/>
        </w:rPr>
      </w:pPr>
      <w:r>
        <w:rPr/>
        <w:t>十八、补充资料</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7"/>
        <w:spacing w:line="240" w:lineRule="auto"/>
        <w:ind w:right="995"/>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730"/>
        <w:gridCol w:w="2729"/>
      </w:tblGrid>
      <w:tr>
        <w:trPr>
          <w:trHeight w:val="396"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-46,018.59</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处置固定资产损益</w:t>
            </w:r>
          </w:p>
        </w:tc>
      </w:tr>
      <w:tr>
        <w:trPr>
          <w:trHeight w:val="71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照国家统一标准定额或定量享受的政府补助除外）</w:t>
            </w:r>
          </w:p>
        </w:tc>
        <w:tc>
          <w:tcPr>
            <w:tcW w:w="27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2,424,326.70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政府资助</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6,405,389.25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千锋互联利息</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5,315,570.74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理财收益</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-85,924.04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1,405,304.54</w:t>
            </w:r>
          </w:p>
        </w:tc>
        <w:tc>
          <w:tcPr>
            <w:tcW w:w="272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12,608,039.52</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995"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0" w:lineRule="auto" w:before="60"/>
        <w:ind w:left="153" w:right="1215"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2"/>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7"/>
        <w:spacing w:line="240" w:lineRule="auto"/>
        <w:ind w:right="995"/>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4"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0.12</w:t>
            </w:r>
          </w:p>
        </w:tc>
      </w:tr>
    </w:tbl>
    <w:p>
      <w:pPr>
        <w:spacing w:line="240" w:lineRule="auto" w:before="10"/>
        <w:rPr>
          <w:rFonts w:ascii="Microsoft JhengHei" w:hAnsi="Microsoft JhengHei" w:cs="Microsoft JhengHei" w:eastAsia="Microsoft JhengHei" w:hint="default"/>
          <w:b/>
          <w:bCs/>
          <w:sz w:val="14"/>
          <w:szCs w:val="14"/>
        </w:rPr>
      </w:pPr>
    </w:p>
    <w:p>
      <w:pPr>
        <w:pStyle w:val="Heading7"/>
        <w:spacing w:line="335" w:lineRule="exact"/>
        <w:ind w:right="995"/>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7"/>
        <w:spacing w:line="240" w:lineRule="auto"/>
        <w:ind w:right="995"/>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7"/>
        <w:spacing w:line="335" w:lineRule="exact"/>
        <w:ind w:right="995"/>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5"/>
          <w:szCs w:val="25"/>
        </w:rPr>
      </w:pPr>
    </w:p>
    <w:p>
      <w:pPr>
        <w:pStyle w:val="Heading7"/>
        <w:spacing w:line="314" w:lineRule="exact"/>
        <w:ind w:right="995"/>
        <w:jc w:val="left"/>
        <w:rPr>
          <w:b w:val="0"/>
          <w:bCs w:val="0"/>
        </w:rPr>
      </w:pPr>
      <w:r>
        <w:rPr>
          <w:spacing w:val="-2"/>
        </w:rPr>
        <w:t>（</w:t>
      </w:r>
      <w:r>
        <w:rPr>
          <w:rFonts w:ascii="Times New Roman" w:hAnsi="Times New Roman" w:cs="Times New Roman" w:eastAsia="Times New Roman" w:hint="default"/>
          <w:spacing w:val="-2"/>
        </w:rPr>
        <w:t>3</w:t>
      </w:r>
      <w:r>
        <w:rPr>
          <w:spacing w:val="-2"/>
        </w:rPr>
        <w:t>）境内外会计准则下会计数据差异原因说明，对已经境外审计机构审计的数据进行差异调节的，应注</w:t>
      </w:r>
      <w:r>
        <w:rPr>
          <w:spacing w:val="18"/>
        </w:rPr>
        <w:t> </w:t>
      </w:r>
      <w:r>
        <w:rPr>
          <w:spacing w:val="18"/>
        </w:rPr>
      </w:r>
      <w:r>
        <w:rPr/>
        <w:t>明该境外机构的名称</w:t>
      </w:r>
      <w:r>
        <w:rPr>
          <w:b w:val="0"/>
          <w:bCs w:val="0"/>
        </w:rPr>
      </w:r>
    </w:p>
    <w:p>
      <w:pPr>
        <w:spacing w:line="240" w:lineRule="auto" w:before="14"/>
        <w:rPr>
          <w:rFonts w:ascii="Microsoft JhengHei" w:hAnsi="Microsoft JhengHei" w:cs="Microsoft JhengHei" w:eastAsia="Microsoft JhengHei" w:hint="default"/>
          <w:b/>
          <w:bCs/>
          <w:sz w:val="18"/>
          <w:szCs w:val="18"/>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2"/>
          <w:szCs w:val="22"/>
        </w:rPr>
      </w:pPr>
    </w:p>
    <w:p>
      <w:pPr>
        <w:pStyle w:val="Heading7"/>
        <w:spacing w:line="240" w:lineRule="auto"/>
        <w:ind w:right="995"/>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1"/>
        <w:tabs>
          <w:tab w:pos="4764" w:val="left" w:leader="none"/>
        </w:tabs>
        <w:spacing w:line="456" w:lineRule="exact"/>
        <w:ind w:left="3156" w:right="995"/>
        <w:jc w:val="left"/>
        <w:rPr>
          <w:b w:val="0"/>
          <w:bCs w:val="0"/>
        </w:rPr>
      </w:pPr>
      <w:bookmarkStart w:name="_bookmark12" w:id="13"/>
      <w:bookmarkEnd w:id="13"/>
      <w:r>
        <w:rPr>
          <w:b w:val="0"/>
          <w:bCs w:val="0"/>
        </w:rPr>
      </w:r>
      <w:r>
        <w:rPr/>
        <w:t>第十三节</w:t>
        <w:tab/>
        <w:t>备查文件目录</w:t>
      </w:r>
      <w:r>
        <w:rPr>
          <w:b w:val="0"/>
          <w:bCs w:val="0"/>
        </w:rPr>
      </w:r>
    </w:p>
    <w:p>
      <w:pPr>
        <w:spacing w:line="240" w:lineRule="auto" w:before="13"/>
        <w:rPr>
          <w:rFonts w:ascii="Microsoft JhengHei" w:hAnsi="Microsoft JhengHei" w:cs="Microsoft JhengHei" w:eastAsia="Microsoft JhengHei" w:hint="default"/>
          <w:b/>
          <w:bCs/>
          <w:sz w:val="31"/>
          <w:szCs w:val="31"/>
        </w:rPr>
      </w:pPr>
    </w:p>
    <w:p>
      <w:pPr>
        <w:pStyle w:val="Heading4"/>
        <w:spacing w:line="357" w:lineRule="auto"/>
        <w:ind w:right="1000" w:firstLine="480"/>
        <w:jc w:val="left"/>
      </w:pPr>
      <w:r>
        <w:rPr/>
        <w:t>一、</w:t>
      </w:r>
      <w:r>
        <w:rPr>
          <w:spacing w:val="-59"/>
        </w:rPr>
        <w:t> </w:t>
      </w:r>
      <w:r>
        <w:rPr>
          <w:spacing w:val="-4"/>
        </w:rPr>
        <w:t>载有公司法定代表人、主管会计工作负责人、公司会计机构负责人（会计主管人员）</w:t>
      </w:r>
      <w:r>
        <w:rPr/>
        <w:t> 签名并盖章的财务报表。</w:t>
      </w:r>
    </w:p>
    <w:p>
      <w:pPr>
        <w:pStyle w:val="Heading4"/>
        <w:spacing w:line="240" w:lineRule="auto" w:before="36"/>
        <w:ind w:left="633" w:right="995"/>
        <w:jc w:val="left"/>
      </w:pPr>
      <w:r>
        <w:rPr/>
        <w:t>二、</w:t>
      </w:r>
      <w:r>
        <w:rPr>
          <w:spacing w:val="-25"/>
        </w:rPr>
        <w:t> </w:t>
      </w:r>
      <w:r>
        <w:rPr/>
        <w:t>载有会计师事务所盖章、注册会计师签名并盖章的审计报告原件。</w:t>
      </w:r>
    </w:p>
    <w:p>
      <w:pPr>
        <w:pStyle w:val="Heading4"/>
        <w:spacing w:line="357" w:lineRule="auto" w:before="154"/>
        <w:ind w:right="1298" w:firstLine="480"/>
        <w:jc w:val="left"/>
      </w:pPr>
      <w:r>
        <w:rPr/>
        <w:t>三、</w:t>
      </w:r>
      <w:r>
        <w:rPr>
          <w:spacing w:val="-25"/>
        </w:rPr>
        <w:t> </w:t>
      </w:r>
      <w:r>
        <w:rPr/>
        <w:t>报告期内在中国证监会指定网站上公开披露过的所有公司文件的正本及公告的原</w:t>
      </w:r>
      <w:r>
        <w:rPr/>
        <w:t> 稿。</w:t>
      </w:r>
    </w:p>
    <w:p>
      <w:pPr>
        <w:pStyle w:val="Heading4"/>
        <w:spacing w:line="348" w:lineRule="auto" w:before="37"/>
        <w:ind w:left="633" w:right="4178"/>
        <w:jc w:val="left"/>
      </w:pPr>
      <w:r>
        <w:rPr/>
        <w:t>四、</w:t>
      </w:r>
      <w:r>
        <w:rPr>
          <w:spacing w:val="-25"/>
        </w:rPr>
        <w:t> </w:t>
      </w:r>
      <w:r>
        <w:rPr/>
        <w:t>经公司法定代表人签名的</w:t>
      </w:r>
      <w:r>
        <w:rPr>
          <w:rFonts w:ascii="Times New Roman" w:hAnsi="Times New Roman" w:cs="Times New Roman" w:eastAsia="Times New Roman" w:hint="default"/>
        </w:rPr>
        <w:t>2019</w:t>
      </w:r>
      <w:r>
        <w:rPr/>
        <w:t>年年度报告文本原件。 五、</w:t>
      </w:r>
      <w:r>
        <w:rPr>
          <w:spacing w:val="-25"/>
        </w:rPr>
        <w:t> </w:t>
      </w:r>
      <w:r>
        <w:rPr/>
        <w:t>其他相关资料。</w:t>
      </w:r>
      <w:r>
        <w:rPr/>
        <w:t> 以上备查文件的备置地点：公司证券事务部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357" w:lineRule="auto" w:before="193"/>
        <w:ind w:left="5633" w:right="2172"/>
        <w:jc w:val="center"/>
      </w:pPr>
      <w:r>
        <w:rPr/>
        <w:t>深圳市方直科技股份有限公司 法定代表人：黄元忠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w:t>
      </w:r>
    </w:p>
    <w:sectPr>
      <w:pgSz w:w="11910" w:h="16840"/>
      <w:pgMar w:header="0"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Trebuchet MS">
    <w:altName w:val="Trebuchet MS"/>
    <w:charset w:val="0"/>
    <w:family w:val="swiss"/>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4280" type="#_x0000_t75" stroked="false">
          <v:imagedata r:id="rId1" o:title=""/>
        </v:shape>
      </w:pict>
    </w:r>
    <w:r>
      <w:rPr/>
      <w:pict>
        <v:shape style="position:absolute;margin-left:533.119995pt;margin-top:795.637939pt;width:6.5pt;height:11pt;mso-position-horizontal-relative:page;mso-position-vertical-relative:page;z-index:-8642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63608" type="#_x0000_t75" stroked="false">
          <v:imagedata r:id="rId1" o:title=""/>
        </v:shape>
      </w:pict>
    </w:r>
    <w:r>
      <w:rPr/>
      <w:pict>
        <v:shape style="position:absolute;margin-left:759.02002pt;margin-top:535.357971pt;width:13.15pt;height:11pt;mso-position-horizontal-relative:page;mso-position-vertical-relative:page;z-index:-863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3512" type="#_x0000_t75" stroked="false">
          <v:imagedata r:id="rId1" o:title=""/>
        </v:shape>
      </w:pict>
    </w:r>
    <w:r>
      <w:rPr/>
      <w:pict>
        <v:shape style="position:absolute;margin-left:527.679993pt;margin-top:781.957947pt;width:13.15pt;height:11pt;mso-position-horizontal-relative:page;mso-position-vertical-relative:page;z-index:-863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63440" type="#_x0000_t75" stroked="false">
          <v:imagedata r:id="rId1" o:title=""/>
        </v:shape>
      </w:pict>
    </w:r>
    <w:r>
      <w:rPr/>
      <w:pict>
        <v:shape style="position:absolute;margin-left:759.02002pt;margin-top:535.357971pt;width:13.15pt;height:11pt;mso-position-horizontal-relative:page;mso-position-vertical-relative:page;z-index:-863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3344" type="#_x0000_t75" stroked="false">
          <v:imagedata r:id="rId1" o:title=""/>
        </v:shape>
      </w:pict>
    </w:r>
    <w:r>
      <w:rPr/>
      <w:pict>
        <v:shape style="position:absolute;margin-left:523.119995pt;margin-top:781.957947pt;width:17.7pt;height:11pt;mso-position-horizontal-relative:page;mso-position-vertical-relative:page;z-index:-863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3296" type="#_x0000_t75" stroked="false">
          <v:imagedata r:id="rId1" o:title=""/>
        </v:shape>
      </w:pict>
    </w:r>
    <w:r>
      <w:rPr/>
      <w:pict>
        <v:shape style="position:absolute;margin-left:523.479980pt;margin-top:781.957947pt;width:17.3pt;height:11pt;mso-position-horizontal-relative:page;mso-position-vertical-relative:page;z-index:-863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3248" type="#_x0000_t75" stroked="false">
          <v:imagedata r:id="rId1" o:title=""/>
        </v:shape>
      </w:pict>
    </w:r>
    <w:r>
      <w:rPr/>
      <w:pict>
        <v:shape style="position:absolute;margin-left:523.119995pt;margin-top:781.957947pt;width:17.7pt;height:11pt;mso-position-horizontal-relative:page;mso-position-vertical-relative:page;z-index:-863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3200" type="#_x0000_t75" stroked="false">
          <v:imagedata r:id="rId1" o:title=""/>
        </v:shape>
      </w:pict>
    </w:r>
    <w:r>
      <w:rPr/>
      <w:pict>
        <v:shape style="position:absolute;margin-left:523.119995pt;margin-top:781.957947pt;width:17.7pt;height:11pt;mso-position-horizontal-relative:page;mso-position-vertical-relative:page;z-index:-863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133</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3152" type="#_x0000_t75" stroked="false">
          <v:imagedata r:id="rId1" o:title=""/>
        </v:shape>
      </w:pict>
    </w:r>
    <w:r>
      <w:rPr/>
      <w:pict>
        <v:shape style="position:absolute;margin-left:523.119995pt;margin-top:781.957947pt;width:17.7pt;height:11pt;mso-position-horizontal-relative:page;mso-position-vertical-relative:page;z-index:-863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152</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3104" type="#_x0000_t75" stroked="false">
          <v:imagedata r:id="rId1" o:title=""/>
        </v:shape>
      </w:pict>
    </w:r>
    <w:r>
      <w:rPr/>
      <w:pict>
        <v:shape style="position:absolute;margin-left:524.119995pt;margin-top:781.957947pt;width:15.7pt;height:11pt;mso-position-horizontal-relative:page;mso-position-vertical-relative:page;z-index:-863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4232" type="#_x0000_t75" stroked="false">
          <v:imagedata r:id="rId1" o:title=""/>
        </v:shape>
      </w:pict>
    </w:r>
    <w:r>
      <w:rPr/>
      <w:pict>
        <v:shape style="position:absolute;margin-left:527.679993pt;margin-top:781.957947pt;width:13.15pt;height:11pt;mso-position-horizontal-relative:page;mso-position-vertical-relative:page;z-index:-864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3056" type="#_x0000_t75" stroked="false">
          <v:imagedata r:id="rId1" o:title=""/>
        </v:shape>
      </w:pict>
    </w:r>
    <w:r>
      <w:rPr/>
      <w:pict>
        <v:shape style="position:absolute;margin-left:523.119995pt;margin-top:781.957947pt;width:17.7pt;height:11pt;mso-position-horizontal-relative:page;mso-position-vertical-relative:page;z-index:-863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4184" type="#_x0000_t75" stroked="false">
          <v:imagedata r:id="rId1" o:title=""/>
        </v:shape>
      </w:pict>
    </w:r>
    <w:r>
      <w:rPr/>
      <w:pict>
        <v:shape style="position:absolute;margin-left:527.679993pt;margin-top:781.957947pt;width:13.15pt;height:11pt;mso-position-horizontal-relative:page;mso-position-vertical-relative:page;z-index:-864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64112" type="#_x0000_t75" stroked="false">
          <v:imagedata r:id="rId1" o:title=""/>
        </v:shape>
      </w:pict>
    </w:r>
    <w:r>
      <w:rPr/>
      <w:pict>
        <v:shape style="position:absolute;margin-left:759.02002pt;margin-top:535.357971pt;width:13.15pt;height:11pt;mso-position-horizontal-relative:page;mso-position-vertical-relative:page;z-index:-864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4016" type="#_x0000_t75" stroked="false">
          <v:imagedata r:id="rId1" o:title=""/>
        </v:shape>
      </w:pict>
    </w:r>
    <w:r>
      <w:rPr/>
      <w:pict>
        <v:shape style="position:absolute;margin-left:527.679993pt;margin-top:781.957947pt;width:13.15pt;height:11pt;mso-position-horizontal-relative:page;mso-position-vertical-relative:page;z-index:-863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63944" type="#_x0000_t75" stroked="false">
          <v:imagedata r:id="rId1" o:title=""/>
        </v:shape>
      </w:pict>
    </w:r>
    <w:r>
      <w:rPr/>
      <w:pict>
        <v:shape style="position:absolute;margin-left:759.02002pt;margin-top:535.357971pt;width:13.15pt;height:11pt;mso-position-horizontal-relative:page;mso-position-vertical-relative:page;z-index:-863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3848" type="#_x0000_t75" stroked="false">
          <v:imagedata r:id="rId1" o:title=""/>
        </v:shape>
      </w:pict>
    </w:r>
    <w:r>
      <w:rPr/>
      <w:pict>
        <v:shape style="position:absolute;margin-left:527.679993pt;margin-top:781.957947pt;width:13.15pt;height:11pt;mso-position-horizontal-relative:page;mso-position-vertical-relative:page;z-index:-863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63776" type="#_x0000_t75" stroked="false">
          <v:imagedata r:id="rId1" o:title=""/>
        </v:shape>
      </w:pict>
    </w:r>
    <w:r>
      <w:rPr/>
      <w:pict>
        <v:shape style="position:absolute;margin-left:759.02002pt;margin-top:535.357971pt;width:13.15pt;height:11pt;mso-position-horizontal-relative:page;mso-position-vertical-relative:page;z-index:-863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63680" type="#_x0000_t75" stroked="false">
          <v:imagedata r:id="rId1" o:title=""/>
        </v:shape>
      </w:pict>
    </w:r>
    <w:r>
      <w:rPr/>
      <w:pict>
        <v:shape style="position:absolute;margin-left:527.679993pt;margin-top:781.957947pt;width:13.15pt;height:11pt;mso-position-horizontal-relative:page;mso-position-vertical-relative:page;z-index:-863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385609pt;width:204.75pt;height:11.5pt;mso-position-horizontal-relative:page;mso-position-vertical-relative:page;z-index:-864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863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23999pt;margin-top:55.559982pt;width:484.9pt;height:.1pt;mso-position-horizontal-relative:page;mso-position-vertical-relative:page;z-index:-8633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8633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864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8640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864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863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8638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863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863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8637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863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29993pt;margin-top:42.985634pt;width:204.75pt;height:11.5pt;mso-position-horizontal-relative:page;mso-position-vertical-relative:page;z-index:-863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59982pt;width:484.9pt;height:.1pt;mso-position-horizontal-relative:page;mso-position-vertical-relative:page;z-index:-8635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35.070007pt;margin-top:42.985607pt;width:204.75pt;height:11.5pt;mso-position-horizontal-relative:page;mso-position-vertical-relative:page;z-index:-863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53"/>
    </w:pPr>
    <w:rPr>
      <w:rFonts w:ascii="宋体" w:hAnsi="宋体" w:eastAsia="宋体"/>
      <w:sz w:val="24"/>
      <w:szCs w:val="24"/>
    </w:rPr>
  </w:style>
  <w:style w:styleId="BodyText" w:type="paragraph">
    <w:name w:val="Body Text"/>
    <w:basedOn w:val="Normal"/>
    <w:uiPriority w:val="1"/>
    <w:qFormat/>
    <w:pPr>
      <w:spacing w:before="46"/>
      <w:ind w:left="153"/>
    </w:pPr>
    <w:rPr>
      <w:rFonts w:ascii="宋体" w:hAnsi="宋体" w:eastAsia="宋体"/>
      <w:sz w:val="21"/>
      <w:szCs w:val="21"/>
    </w:rPr>
  </w:style>
  <w:style w:styleId="Heading1" w:type="paragraph">
    <w:name w:val="Heading 1"/>
    <w:basedOn w:val="Normal"/>
    <w:uiPriority w:val="1"/>
    <w:qFormat/>
    <w:pPr>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3"/>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153"/>
      <w:outlineLvl w:val="3"/>
    </w:pPr>
    <w:rPr>
      <w:rFonts w:ascii="Microsoft JhengHei" w:hAnsi="Microsoft JhengHei" w:eastAsia="Microsoft JhengHei"/>
      <w:b/>
      <w:bCs/>
      <w:sz w:val="24"/>
      <w:szCs w:val="24"/>
    </w:rPr>
  </w:style>
  <w:style w:styleId="Heading4" w:type="paragraph">
    <w:name w:val="Heading 4"/>
    <w:basedOn w:val="Normal"/>
    <w:uiPriority w:val="1"/>
    <w:qFormat/>
    <w:pPr>
      <w:ind w:left="153"/>
      <w:outlineLvl w:val="4"/>
    </w:pPr>
    <w:rPr>
      <w:rFonts w:ascii="宋体" w:hAnsi="宋体" w:eastAsia="宋体"/>
      <w:sz w:val="24"/>
      <w:szCs w:val="24"/>
    </w:rPr>
  </w:style>
  <w:style w:styleId="Heading5" w:type="paragraph">
    <w:name w:val="Heading 5"/>
    <w:basedOn w:val="Normal"/>
    <w:uiPriority w:val="1"/>
    <w:qFormat/>
    <w:pPr>
      <w:outlineLvl w:val="5"/>
    </w:pPr>
    <w:rPr>
      <w:rFonts w:ascii="Microsoft JhengHei" w:hAnsi="Microsoft JhengHei" w:eastAsia="Microsoft JhengHei"/>
      <w:b/>
      <w:bCs/>
      <w:sz w:val="22"/>
      <w:szCs w:val="22"/>
    </w:rPr>
  </w:style>
  <w:style w:styleId="Heading6" w:type="paragraph">
    <w:name w:val="Heading 6"/>
    <w:basedOn w:val="Normal"/>
    <w:uiPriority w:val="1"/>
    <w:qFormat/>
    <w:pPr>
      <w:ind w:left="153" w:firstLine="439"/>
      <w:outlineLvl w:val="6"/>
    </w:pPr>
    <w:rPr>
      <w:rFonts w:ascii="宋体" w:hAnsi="宋体" w:eastAsia="宋体"/>
      <w:sz w:val="22"/>
      <w:szCs w:val="22"/>
    </w:rPr>
  </w:style>
  <w:style w:styleId="Heading7" w:type="paragraph">
    <w:name w:val="Heading 7"/>
    <w:basedOn w:val="Normal"/>
    <w:uiPriority w:val="1"/>
    <w:qFormat/>
    <w:pPr>
      <w:ind w:left="153"/>
      <w:outlineLvl w:val="7"/>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kingsunedu.com/" TargetMode="External"/><Relationship Id="rId10" Type="http://schemas.openxmlformats.org/officeDocument/2006/relationships/hyperlink" Target="mailto:kingsunsoft@kingsunsoft.com" TargetMode="External"/><Relationship Id="rId11" Type="http://schemas.openxmlformats.org/officeDocument/2006/relationships/hyperlink" Target="mailto:feng.li@kingsunsoft.com" TargetMode="External"/><Relationship Id="rId12" Type="http://schemas.openxmlformats.org/officeDocument/2006/relationships/hyperlink" Target="mailto:weiqian.nian@kingsunsoft.com"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footer" Target="footer3.xml"/><Relationship Id="rId25" Type="http://schemas.openxmlformats.org/officeDocument/2006/relationships/header" Target="header2.xml"/><Relationship Id="rId26" Type="http://schemas.openxmlformats.org/officeDocument/2006/relationships/footer" Target="footer4.xml"/><Relationship Id="rId27" Type="http://schemas.openxmlformats.org/officeDocument/2006/relationships/header" Target="header3.xml"/><Relationship Id="rId28" Type="http://schemas.openxmlformats.org/officeDocument/2006/relationships/footer" Target="footer5.xml"/><Relationship Id="rId29" Type="http://schemas.openxmlformats.org/officeDocument/2006/relationships/header" Target="header4.xml"/><Relationship Id="rId30" Type="http://schemas.openxmlformats.org/officeDocument/2006/relationships/footer" Target="footer6.xml"/><Relationship Id="rId31" Type="http://schemas.openxmlformats.org/officeDocument/2006/relationships/header" Target="header5.xml"/><Relationship Id="rId32" Type="http://schemas.openxmlformats.org/officeDocument/2006/relationships/footer" Target="footer7.xml"/><Relationship Id="rId33" Type="http://schemas.openxmlformats.org/officeDocument/2006/relationships/header" Target="header6.xml"/><Relationship Id="rId34" Type="http://schemas.openxmlformats.org/officeDocument/2006/relationships/footer" Target="footer8.xml"/><Relationship Id="rId35" Type="http://schemas.openxmlformats.org/officeDocument/2006/relationships/header" Target="header7.xml"/><Relationship Id="rId36" Type="http://schemas.openxmlformats.org/officeDocument/2006/relationships/footer" Target="footer9.xml"/><Relationship Id="rId37" Type="http://schemas.openxmlformats.org/officeDocument/2006/relationships/image" Target="media/image13.png"/><Relationship Id="rId38" Type="http://schemas.openxmlformats.org/officeDocument/2006/relationships/header" Target="header8.xml"/><Relationship Id="rId39" Type="http://schemas.openxmlformats.org/officeDocument/2006/relationships/footer" Target="footer10.xml"/><Relationship Id="rId40" Type="http://schemas.openxmlformats.org/officeDocument/2006/relationships/header" Target="header9.xml"/><Relationship Id="rId41" Type="http://schemas.openxmlformats.org/officeDocument/2006/relationships/footer" Target="footer11.xml"/><Relationship Id="rId42" Type="http://schemas.openxmlformats.org/officeDocument/2006/relationships/header" Target="header10.xml"/><Relationship Id="rId43" Type="http://schemas.openxmlformats.org/officeDocument/2006/relationships/footer" Target="footer12.xml"/><Relationship Id="rId44" Type="http://schemas.openxmlformats.org/officeDocument/2006/relationships/header" Target="header11.xml"/><Relationship Id="rId45" Type="http://schemas.openxmlformats.org/officeDocument/2006/relationships/footer" Target="footer13.xml"/><Relationship Id="rId46" Type="http://schemas.openxmlformats.org/officeDocument/2006/relationships/footer" Target="footer14.xml"/><Relationship Id="rId47" Type="http://schemas.openxmlformats.org/officeDocument/2006/relationships/footer" Target="footer15.xml"/><Relationship Id="rId48" Type="http://schemas.openxmlformats.org/officeDocument/2006/relationships/footer" Target="footer16.xml"/><Relationship Id="rId49" Type="http://schemas.openxmlformats.org/officeDocument/2006/relationships/header" Target="header12.xml"/><Relationship Id="rId50" Type="http://schemas.openxmlformats.org/officeDocument/2006/relationships/footer" Target="footer17.xml"/><Relationship Id="rId51" Type="http://schemas.openxmlformats.org/officeDocument/2006/relationships/image" Target="media/image1.jpeg"/><Relationship Id="rId52" Type="http://schemas.openxmlformats.org/officeDocument/2006/relationships/footer" Target="footer18.xml"/><Relationship Id="rId53" Type="http://schemas.openxmlformats.org/officeDocument/2006/relationships/footer" Target="footer19.xml"/><Relationship Id="rId54" Type="http://schemas.openxmlformats.org/officeDocument/2006/relationships/footer" Target="footer2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weiqian.nian</dc:creator>
  <dcterms:created xsi:type="dcterms:W3CDTF">2020-05-19T02:48:07Z</dcterms:created>
  <dcterms:modified xsi:type="dcterms:W3CDTF">2020-05-19T02:48:07Z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2016</vt:lpwstr>
  </property>
  <property fmtid="{D5CDD505-2E9C-101B-9397-08002B2CF9AE}" pid="4" name="LastSaved">
    <vt:filetime>2020-05-18T00:00:00Z</vt:filetime>
  </property>
</Properties>
</file>