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029" w:lineRule="exact"/>
        <w:ind w:left="32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2030509" cy="6537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030509" cy="653796"/>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spacing w:line="460" w:lineRule="exact" w:before="0"/>
        <w:ind w:left="452" w:right="452" w:firstLine="0"/>
        <w:jc w:val="center"/>
        <w:rPr>
          <w:rFonts w:ascii="宋体" w:hAnsi="宋体" w:cs="宋体" w:eastAsia="宋体" w:hint="default"/>
          <w:sz w:val="36"/>
          <w:szCs w:val="36"/>
        </w:rPr>
      </w:pPr>
      <w:r>
        <w:rPr>
          <w:rFonts w:ascii="宋体" w:hAnsi="宋体" w:cs="宋体" w:eastAsia="宋体" w:hint="default"/>
          <w:b/>
          <w:bCs/>
          <w:sz w:val="36"/>
          <w:szCs w:val="36"/>
        </w:rPr>
        <w:t>上海天玑科技股份有限公司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452" w:right="45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52" w:right="45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type w:val="continuous"/>
          <w:pgSz w:w="11910" w:h="16840"/>
          <w:pgMar w:header="745" w:top="1060" w:bottom="2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公司负责人陆文雄、主管会计工作负责人陆廷洁及会计机构负责人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李思琪声明：保证年度报告中财务报告的真实、准确、完整。</w:t>
      </w:r>
      <w:r>
        <w:rPr>
          <w:rFonts w:ascii="宋体" w:hAnsi="宋体" w:cs="宋体" w:eastAsia="宋体" w:hint="default"/>
          <w:sz w:val="28"/>
          <w:szCs w:val="28"/>
        </w:rPr>
      </w:r>
    </w:p>
    <w:p>
      <w:pPr>
        <w:spacing w:after="0" w:line="320" w:lineRule="exact"/>
        <w:jc w:val="left"/>
        <w:rPr>
          <w:rFonts w:ascii="宋体" w:hAnsi="宋体" w:cs="宋体" w:eastAsia="宋体" w:hint="default"/>
          <w:sz w:val="28"/>
          <w:szCs w:val="28"/>
        </w:rPr>
        <w:sectPr>
          <w:pgSz w:w="11910" w:h="16840"/>
          <w:pgMar w:header="745" w:footer="0" w:top="1060" w:bottom="2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452" w:right="45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34</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52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58</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t>62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备查文件目录</w:t>
            </w:r>
            <w:r>
              <w:rPr>
                <w:rFonts w:ascii="Times New Roman" w:hAnsi="Times New Roman" w:cs="Times New Roman" w:eastAsia="Times New Roman" w:hint="default"/>
              </w:rPr>
              <w:tab/>
              <w:t>153</w:t>
            </w:r>
          </w:hyperlink>
        </w:p>
        <w:p>
          <w:pPr/>
          <w:r>
            <w:fldChar w:fldCharType="end"/>
          </w:r>
        </w:p>
      </w:sdtContent>
    </w:sdt>
    <w:p>
      <w:pPr>
        <w:spacing w:after="0"/>
        <w:sectPr>
          <w:pgSz w:w="11910" w:h="16840"/>
          <w:pgMar w:header="745" w:footer="0" w:top="1060" w:bottom="2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452" w:right="45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上海天玑信息技术服务有限公司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力克数码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上海力克数码科技有限公司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领卓咨询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上海领卓企业管理咨询有限公司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极品数据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TOP Data</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Systems,Inc,</w:t>
            </w:r>
            <w:r>
              <w:rPr>
                <w:rFonts w:ascii="宋体" w:hAnsi="宋体" w:cs="宋体" w:eastAsia="宋体" w:hint="default"/>
                <w:sz w:val="18"/>
                <w:szCs w:val="18"/>
              </w:rPr>
              <w:t>极品数据系统公司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极品数据</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极品数据系统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上海复深蓝信息技术有限公司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上海天玑科技股份有限公司杭州分公司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上海天玑科技股份有限公司北京分公司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上海天玑科技股份有限公司武汉分公司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上海天玑科技股份有限公司济南分公司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上海天玑科技股份有限公司沈阳分公司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上海天玑科技股份有限公司广州分公司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上海天玑科技股份有限公司南京分公司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上海天玑科技股份有限公司成都分公司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上海天玑科技股份有限公司深圳分公司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上海天玑科技股份有限公司监事会</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125" w:right="0"/>
        <w:jc w:val="left"/>
        <w:rPr>
          <w:b w:val="0"/>
          <w:bCs w:val="0"/>
        </w:rPr>
      </w:pPr>
      <w:bookmarkStart w:name="_bookmark1" w:id="2"/>
      <w:bookmarkEnd w:id="2"/>
      <w:r>
        <w:rPr>
          <w:b w:val="0"/>
          <w:bCs w:val="0"/>
        </w:rPr>
      </w: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天玑科技</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300245</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天玑科技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Shanghai DragonNet Technology</w:t>
            </w:r>
            <w:r>
              <w:rPr>
                <w:rFonts w:ascii="Times New Roman"/>
                <w:spacing w:val="-29"/>
                <w:sz w:val="18"/>
              </w:rPr>
              <w:t> </w:t>
            </w:r>
            <w:r>
              <w:rPr>
                <w:rFonts w:ascii="Times New Roman"/>
                <w:sz w:val="18"/>
              </w:rPr>
              <w:t>Co.,Ltd.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陆文雄</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上海市青浦区清河湾路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201700</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上海市桂平路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7">
              <w:r>
                <w:rPr>
                  <w:rFonts w:ascii="Times New Roman"/>
                  <w:sz w:val="18"/>
                </w:rPr>
                <w:t>www.dnt.com.cn</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public@dnt.com.cn</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余美伊</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上海市桂平路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上海市桂平路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021-54278888*8018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021-54278888*8018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021-54279888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021-54279888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8">
              <w:r>
                <w:rPr>
                  <w:rFonts w:ascii="Times New Roman"/>
                  <w:sz w:val="18"/>
                </w:rPr>
                <w:t>public@dnt.com.cn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8">
              <w:r>
                <w:rPr>
                  <w:rFonts w:ascii="Times New Roman"/>
                  <w:sz w:val="18"/>
                </w:rPr>
                <w:t>public@dnt.com.cn</w:t>
              </w:r>
            </w:hyperlink>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上海市桂平路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8"/>
        <w:rPr>
          <w:rFonts w:ascii="宋体" w:hAnsi="宋体" w:cs="宋体" w:eastAsia="宋体" w:hint="default"/>
          <w:b/>
          <w:bCs/>
          <w:sz w:val="23"/>
          <w:szCs w:val="23"/>
        </w:rPr>
      </w:pPr>
    </w:p>
    <w:p>
      <w:pPr>
        <w:pStyle w:val="Heading2"/>
        <w:spacing w:line="240" w:lineRule="auto"/>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上海市张江高科技 园区郭守敬路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 </w:t>
            </w:r>
            <w:r>
              <w:rPr>
                <w:rFonts w:ascii="宋体" w:hAnsi="宋体" w:cs="宋体" w:eastAsia="宋体" w:hint="default"/>
                <w:sz w:val="18"/>
                <w:szCs w:val="18"/>
              </w:rPr>
              <w:t>号浦东软件园</w:t>
            </w:r>
          </w:p>
          <w:p>
            <w:pPr>
              <w:pStyle w:val="TableParagraph"/>
              <w:spacing w:line="240" w:lineRule="auto" w:before="2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A-580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3101152004008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310115703400561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703400560-1</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4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有限公司变更为股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上海市青浦区金泽 镇练西路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首次发行股票注册 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上海市青浦区金泽 镇练西路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70340056-1</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pacing w:val="-9"/>
                <w:sz w:val="18"/>
                <w:szCs w:val="18"/>
              </w:rPr>
              <w:t>注册资本变更、注册</w:t>
            </w:r>
            <w:r>
              <w:rPr>
                <w:rFonts w:ascii="宋体" w:hAnsi="宋体" w:cs="宋体" w:eastAsia="宋体" w:hint="default"/>
                <w:sz w:val="18"/>
                <w:szCs w:val="18"/>
              </w:rPr>
              <w:t> </w:t>
            </w:r>
            <w:r>
              <w:rPr>
                <w:rFonts w:ascii="宋体" w:hAnsi="宋体" w:cs="宋体" w:eastAsia="宋体" w:hint="default"/>
                <w:spacing w:val="-9"/>
                <w:sz w:val="18"/>
                <w:szCs w:val="18"/>
              </w:rPr>
              <w:t>经营范围变更、注册</w:t>
            </w:r>
            <w:r>
              <w:rPr>
                <w:rFonts w:ascii="宋体" w:hAnsi="宋体" w:cs="宋体" w:eastAsia="宋体" w:hint="default"/>
                <w:sz w:val="18"/>
                <w:szCs w:val="18"/>
              </w:rPr>
              <w:t> 地址变更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上海市青浦区清河 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38" w:lineRule="auto" w:before="117"/>
        <w:ind w:left="152" w:right="8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08"/>
        <w:gridCol w:w="1749"/>
        <w:gridCol w:w="1740"/>
        <w:gridCol w:w="1738"/>
        <w:gridCol w:w="1736"/>
      </w:tblGrid>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313,260,727.26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224,453,830.60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169,286,493.20</w:t>
            </w:r>
          </w:p>
        </w:tc>
      </w:tr>
      <w:tr>
        <w:trPr>
          <w:trHeight w:val="404"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53,236,170.32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59,494,511.57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45,366,711.73</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59,394,214.06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66,383,118.18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50,493,846.01</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48,207,495.51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53,464,777.82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43,661,220.98</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43,377,569.99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47,603,154.84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39,279,504.69</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52,660,294.69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29,635,885.09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33,463,646.51</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641,940,660.84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559,849,416.08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184,534,990.24</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112,021,675.69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74,966,862.00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69,040,772.15</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519,685,524.77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484,882,554.08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115,494,218.09</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6"/>
      </w:tblGrid>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0.87</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0.87</w:t>
            </w:r>
          </w:p>
        </w:tc>
      </w:tr>
      <w:tr>
        <w:trPr>
          <w:trHeight w:val="716"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0.79</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37.8%</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46.6%</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34.01%</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738"/>
        <w:gridCol w:w="1736"/>
      </w:tblGrid>
      <w:tr>
        <w:trPr>
          <w:trHeight w:val="362"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0.67</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w:t>
            </w:r>
          </w:p>
        </w:tc>
      </w:tr>
      <w:tr>
        <w:trPr>
          <w:trHeight w:val="40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37.41%</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5"/>
        <w:gridCol w:w="1741"/>
        <w:gridCol w:w="2004"/>
        <w:gridCol w:w="1769"/>
        <w:gridCol w:w="1772"/>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48,207,495.51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53,464,777.82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519,685,524.77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484,882,554.08</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2"/>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48,207,495.51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53,464,777.82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519,685,524.77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484,882,554.08</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三、报告期内非经常性损益的项目及金额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-7,858.76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-4,434.22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-110,183.70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5,193,703.93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6,906,154.41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5,328,508.79</w:t>
            </w: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353,434.87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-13,113.58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-91,190.81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826,428.62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1,026,983.63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745,417.99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-117,074.10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4,829,925.52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5,861,622.98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4,381,716.29</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212" w:firstLine="0"/>
        <w:jc w:val="both"/>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0"/>
        <w:jc w:val="both"/>
        <w:rPr>
          <w:b w:val="0"/>
          <w:bCs w:val="0"/>
        </w:rPr>
      </w:pPr>
      <w:r>
        <w:rPr/>
        <w:t>四、重大风险提示</w:t>
      </w:r>
      <w:r>
        <w:rPr>
          <w:b w:val="0"/>
          <w:bCs w:val="0"/>
        </w:rPr>
      </w:r>
    </w:p>
    <w:p>
      <w:pPr>
        <w:spacing w:line="240" w:lineRule="auto" w:before="12"/>
        <w:rPr>
          <w:rFonts w:ascii="宋体" w:hAnsi="宋体" w:cs="宋体" w:eastAsia="宋体" w:hint="default"/>
          <w:b/>
          <w:bCs/>
          <w:sz w:val="24"/>
          <w:szCs w:val="24"/>
        </w:rPr>
      </w:pPr>
    </w:p>
    <w:p>
      <w:pPr>
        <w:pStyle w:val="BodyText"/>
        <w:spacing w:line="259" w:lineRule="auto"/>
        <w:ind w:left="573" w:right="102" w:hanging="421"/>
        <w:jc w:val="left"/>
      </w:pPr>
      <w:r>
        <w:rPr>
          <w:rFonts w:ascii="Times New Roman" w:hAnsi="Times New Roman" w:cs="Times New Roman" w:eastAsia="Times New Roman" w:hint="default"/>
        </w:rPr>
        <w:t>1</w:t>
      </w:r>
      <w:r>
        <w:rPr/>
        <w:t>、市场竞争加剧风险</w:t>
      </w:r>
      <w:r>
        <w:rPr>
          <w:w w:val="100"/>
        </w:rPr>
        <w:t> </w:t>
      </w:r>
      <w:r>
        <w:rPr>
          <w:spacing w:val="-2"/>
        </w:rPr>
        <w:t>公司已经成为数据中心</w:t>
      </w:r>
      <w:r>
        <w:rPr>
          <w:rFonts w:ascii="Times New Roman" w:hAnsi="Times New Roman" w:cs="Times New Roman" w:eastAsia="Times New Roman" w:hint="default"/>
          <w:spacing w:val="-2"/>
        </w:rPr>
        <w:t>IT</w:t>
      </w:r>
      <w:r>
        <w:rPr>
          <w:spacing w:val="-2"/>
        </w:rPr>
        <w:t>基础设施服务行业中的知名企业，具有较强的技术创新能力和深厚的服务经</w:t>
      </w:r>
    </w:p>
    <w:p>
      <w:pPr>
        <w:pStyle w:val="BodyText"/>
        <w:spacing w:line="256" w:lineRule="auto" w:before="2"/>
        <w:ind w:right="102"/>
        <w:jc w:val="left"/>
      </w:pPr>
      <w:r>
        <w:rPr>
          <w:spacing w:val="-4"/>
        </w:rPr>
        <w:t>验积累以及成熟的经营管理模式，建立了行业竞争优势。但国内</w:t>
      </w:r>
      <w:r>
        <w:rPr>
          <w:rFonts w:ascii="Times New Roman" w:hAnsi="Times New Roman" w:cs="Times New Roman" w:eastAsia="Times New Roman" w:hint="default"/>
          <w:spacing w:val="-4"/>
        </w:rPr>
        <w:t>IT</w:t>
      </w:r>
      <w:r>
        <w:rPr>
          <w:spacing w:val="-4"/>
        </w:rPr>
        <w:t>基础设施服务行业的市场竞争正在加剧，</w:t>
      </w:r>
      <w:r>
        <w:rPr>
          <w:spacing w:val="-36"/>
        </w:rPr>
        <w:t> </w:t>
      </w:r>
      <w:r>
        <w:rPr>
          <w:spacing w:val="-36"/>
        </w:rPr>
      </w:r>
      <w:r>
        <w:rPr/>
        <w:t>本公司面临细分行业</w:t>
      </w:r>
      <w:r>
        <w:rPr>
          <w:rFonts w:ascii="Times New Roman" w:hAnsi="Times New Roman" w:cs="Times New Roman" w:eastAsia="Times New Roman" w:hint="default"/>
        </w:rPr>
        <w:t>IT</w:t>
      </w:r>
      <w:r>
        <w:rPr/>
        <w:t>基础设施服务厂商以及国内后起</w:t>
      </w:r>
      <w:r>
        <w:rPr>
          <w:rFonts w:ascii="Times New Roman" w:hAnsi="Times New Roman" w:cs="Times New Roman" w:eastAsia="Times New Roman" w:hint="default"/>
        </w:rPr>
        <w:t>IT</w:t>
      </w:r>
      <w:r>
        <w:rPr/>
        <w:t>基础设施服务厂商的竞争。</w:t>
      </w:r>
    </w:p>
    <w:p>
      <w:pPr>
        <w:pStyle w:val="BodyText"/>
        <w:spacing w:line="256" w:lineRule="auto" w:before="5"/>
        <w:ind w:left="510" w:right="102" w:hanging="359"/>
        <w:jc w:val="left"/>
      </w:pPr>
      <w:r>
        <w:rPr>
          <w:rFonts w:ascii="Times New Roman" w:hAnsi="Times New Roman" w:cs="Times New Roman" w:eastAsia="Times New Roman" w:hint="default"/>
        </w:rPr>
        <w:t>2</w:t>
      </w:r>
      <w:r>
        <w:rPr/>
        <w:t>、毛利率下降风险</w:t>
      </w:r>
      <w:r>
        <w:rPr>
          <w:w w:val="100"/>
        </w:rPr>
        <w:t> </w:t>
      </w:r>
      <w:r>
        <w:rPr>
          <w:spacing w:val="-1"/>
        </w:rPr>
        <w:t>近年来随着公司规模不断扩大，毛利率呈现波动。主要原因是：本公司为技术和人员密集型企业，劳</w:t>
      </w:r>
    </w:p>
    <w:p>
      <w:pPr>
        <w:pStyle w:val="BodyText"/>
        <w:spacing w:line="273" w:lineRule="auto" w:before="22"/>
        <w:ind w:right="206"/>
        <w:jc w:val="both"/>
      </w:pPr>
      <w:r>
        <w:rPr>
          <w:spacing w:val="-2"/>
        </w:rPr>
        <w:t>动力成本上升导致毛利率下降；随着市场环境的影响，公司备品备件成本出现波动，导致毛利率波动；同</w:t>
      </w:r>
      <w:r>
        <w:rPr>
          <w:spacing w:val="-47"/>
        </w:rPr>
        <w:t> </w:t>
      </w:r>
      <w:r>
        <w:rPr>
          <w:spacing w:val="-47"/>
        </w:rPr>
      </w:r>
      <w:r>
        <w:rPr>
          <w:spacing w:val="-2"/>
        </w:rPr>
        <w:t>时新业务的拓展也导致毛利率有所波动；经营环境变化包括客户结构、公司经营的地区范围、竞争态势的</w:t>
      </w:r>
      <w:r>
        <w:rPr>
          <w:spacing w:val="-44"/>
        </w:rPr>
        <w:t> </w:t>
      </w:r>
      <w:r>
        <w:rPr>
          <w:spacing w:val="-44"/>
        </w:rPr>
      </w:r>
      <w:r>
        <w:rPr/>
        <w:t>变化，导致毛利率波动。</w:t>
      </w:r>
    </w:p>
    <w:p>
      <w:pPr>
        <w:pStyle w:val="BodyText"/>
        <w:spacing w:line="290" w:lineRule="auto" w:before="48"/>
        <w:ind w:left="510" w:right="102" w:hanging="359"/>
        <w:jc w:val="left"/>
      </w:pPr>
      <w:r>
        <w:rPr>
          <w:rFonts w:ascii="Times New Roman" w:hAnsi="Times New Roman" w:cs="Times New Roman" w:eastAsia="Times New Roman" w:hint="default"/>
        </w:rPr>
        <w:t>3</w:t>
      </w:r>
      <w:r>
        <w:rPr/>
        <w:t>、高速成长的管理风险</w:t>
      </w:r>
      <w:r>
        <w:rPr>
          <w:w w:val="100"/>
        </w:rPr>
        <w:t> </w:t>
      </w:r>
      <w:r>
        <w:rPr>
          <w:spacing w:val="-1"/>
        </w:rPr>
        <w:t>公司自成立以来一直保持着较快的发展速度。特别是最近两年，公司经营规模和业务范围不断扩大，</w:t>
      </w:r>
    </w:p>
    <w:p>
      <w:pPr>
        <w:pStyle w:val="BodyText"/>
        <w:spacing w:line="273" w:lineRule="auto"/>
        <w:ind w:right="206"/>
        <w:jc w:val="both"/>
      </w:pPr>
      <w:r>
        <w:rPr>
          <w:spacing w:val="-2"/>
        </w:rPr>
        <w:t>组织结构日益复杂，对公司管理的要求越来越高，公司的人员也有较大规模的扩充。这些变化对公司的管</w:t>
      </w:r>
      <w:r>
        <w:rPr>
          <w:spacing w:val="-42"/>
        </w:rPr>
        <w:t> </w:t>
      </w:r>
      <w:r>
        <w:rPr>
          <w:spacing w:val="-42"/>
        </w:rPr>
      </w:r>
      <w:r>
        <w:rPr>
          <w:spacing w:val="-2"/>
        </w:rPr>
        <w:t>理提出更新、更高的要求。虽然公司的管理层在经营和管理快速成长的企业方面有着丰富的经验，但仍需</w:t>
      </w:r>
      <w:r>
        <w:rPr>
          <w:spacing w:val="-44"/>
        </w:rPr>
        <w:t> </w:t>
      </w:r>
      <w:r>
        <w:rPr>
          <w:spacing w:val="-44"/>
        </w:rPr>
      </w:r>
      <w:r>
        <w:rPr/>
        <w:t>不断调整以适应资本市场要求和公司业务发展需要。</w:t>
      </w:r>
    </w:p>
    <w:p>
      <w:pPr>
        <w:spacing w:after="0" w:line="273" w:lineRule="auto"/>
        <w:jc w:val="both"/>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53"/>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both"/>
        <w:rPr>
          <w:b w:val="0"/>
          <w:bCs w:val="0"/>
        </w:rPr>
      </w:pPr>
      <w:r>
        <w:rPr/>
        <w:t>一、管理层讨论与分析</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0"/>
        <w:jc w:val="left"/>
      </w:pPr>
      <w:r>
        <w:rPr/>
        <w:t>（一）公司总体经营情况</w:t>
      </w:r>
    </w:p>
    <w:p>
      <w:pPr>
        <w:spacing w:line="240" w:lineRule="auto" w:before="9"/>
        <w:rPr>
          <w:rFonts w:ascii="宋体" w:hAnsi="宋体" w:cs="宋体" w:eastAsia="宋体" w:hint="default"/>
          <w:sz w:val="17"/>
          <w:szCs w:val="17"/>
        </w:rPr>
      </w:pPr>
    </w:p>
    <w:p>
      <w:pPr>
        <w:pStyle w:val="BodyText"/>
        <w:spacing w:line="393" w:lineRule="auto"/>
        <w:ind w:right="146" w:firstLine="420"/>
        <w:jc w:val="both"/>
      </w:pPr>
      <w:r>
        <w:rPr/>
        <w:t>继 </w:t>
      </w:r>
      <w:r>
        <w:rPr>
          <w:rFonts w:ascii="Times New Roman" w:hAnsi="Times New Roman" w:cs="Times New Roman" w:eastAsia="Times New Roman" w:hint="default"/>
        </w:rPr>
        <w:t>2011</w:t>
      </w:r>
      <w:r>
        <w:rPr>
          <w:rFonts w:ascii="Times New Roman" w:hAnsi="Times New Roman" w:cs="Times New Roman" w:eastAsia="Times New Roman" w:hint="default"/>
          <w:spacing w:val="-31"/>
        </w:rPr>
        <w:t> </w:t>
      </w:r>
      <w:r>
        <w:rPr/>
        <w:t>年顺利实现公司创业板上市，报告期内公司按照三年发展规划</w:t>
      </w:r>
      <w:r>
        <w:rPr>
          <w:rFonts w:ascii="Times New Roman" w:hAnsi="Times New Roman" w:cs="Times New Roman" w:eastAsia="Times New Roman" w:hint="default"/>
        </w:rPr>
        <w:t>,</w:t>
      </w:r>
      <w:r>
        <w:rPr/>
        <w:t>坚定不移的贯彻建立覆盖全国</w:t>
      </w:r>
      <w:r>
        <w:rPr>
          <w:w w:val="100"/>
        </w:rPr>
        <w:t> </w:t>
      </w:r>
      <w:r>
        <w:rPr>
          <w:spacing w:val="-2"/>
        </w:rPr>
        <w:t>主要城市的服务网络、建立覆盖全国主要城市的服务营销体系，通过创新始终保持技术领先优势，通过行</w:t>
      </w:r>
      <w:r>
        <w:rPr>
          <w:spacing w:val="-44"/>
        </w:rPr>
        <w:t> </w:t>
      </w:r>
      <w:r>
        <w:rPr>
          <w:spacing w:val="-44"/>
        </w:rPr>
      </w:r>
      <w:r>
        <w:rPr/>
        <w:t>业复制迅速占领 </w:t>
      </w:r>
      <w:r>
        <w:rPr>
          <w:rFonts w:ascii="Times New Roman" w:hAnsi="Times New Roman" w:cs="Times New Roman" w:eastAsia="Times New Roman" w:hint="default"/>
        </w:rPr>
        <w:t>IT</w:t>
      </w:r>
      <w:r>
        <w:rPr>
          <w:rFonts w:ascii="Times New Roman" w:hAnsi="Times New Roman" w:cs="Times New Roman" w:eastAsia="Times New Roman" w:hint="default"/>
          <w:spacing w:val="34"/>
        </w:rPr>
        <w:t> </w:t>
      </w:r>
      <w:r>
        <w:rPr/>
        <w:t>应用重点行业市场，快速抢占市场份额，扩大市场规模的既定方针，取得了可喜的经</w:t>
      </w:r>
      <w:r>
        <w:rPr>
          <w:w w:val="100"/>
        </w:rPr>
        <w:t> </w:t>
      </w:r>
      <w:r>
        <w:rPr/>
        <w:t>营业绩。</w:t>
      </w:r>
    </w:p>
    <w:p>
      <w:pPr>
        <w:pStyle w:val="BodyText"/>
        <w:spacing w:line="388" w:lineRule="auto" w:before="99"/>
        <w:ind w:right="146" w:firstLine="526"/>
        <w:jc w:val="both"/>
      </w:pPr>
      <w:r>
        <w:rPr/>
        <w:t>报告期实现营业收入</w:t>
      </w:r>
      <w:r>
        <w:rPr>
          <w:spacing w:val="-55"/>
        </w:rPr>
        <w:t> </w:t>
      </w:r>
      <w:r>
        <w:rPr>
          <w:rFonts w:ascii="Times New Roman" w:hAnsi="Times New Roman" w:cs="Times New Roman" w:eastAsia="Times New Roman" w:hint="default"/>
        </w:rPr>
        <w:t>31,326.07</w:t>
      </w:r>
      <w:r>
        <w:rPr>
          <w:rFonts w:ascii="Times New Roman" w:hAnsi="Times New Roman" w:cs="Times New Roman" w:eastAsia="Times New Roman" w:hint="default"/>
          <w:spacing w:val="-4"/>
        </w:rPr>
        <w:t> </w:t>
      </w:r>
      <w:r>
        <w:rPr/>
        <w:t>万元，与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年同期相比增长</w:t>
      </w:r>
      <w:r>
        <w:rPr>
          <w:spacing w:val="-55"/>
        </w:rPr>
        <w:t> </w:t>
      </w:r>
      <w:r>
        <w:rPr>
          <w:rFonts w:ascii="Times New Roman" w:hAnsi="Times New Roman" w:cs="Times New Roman" w:eastAsia="Times New Roman" w:hint="default"/>
        </w:rPr>
        <w:t>39.57%</w:t>
      </w:r>
      <w:r>
        <w:rPr/>
        <w:t>，继续保持了</w:t>
      </w:r>
      <w:r>
        <w:rPr>
          <w:spacing w:val="-54"/>
        </w:rPr>
        <w:t> </w:t>
      </w:r>
      <w:r>
        <w:rPr>
          <w:rFonts w:ascii="Times New Roman" w:hAnsi="Times New Roman" w:cs="Times New Roman" w:eastAsia="Times New Roman" w:hint="default"/>
        </w:rPr>
        <w:t>30%</w:t>
      </w:r>
      <w:r>
        <w:rPr/>
        <w:t>以上的增长</w:t>
      </w:r>
      <w:r>
        <w:rPr>
          <w:w w:val="100"/>
        </w:rPr>
        <w:t> </w:t>
      </w:r>
      <w:r>
        <w:rPr/>
        <w:t>幅度，继</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年跨上</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亿元的主营业务收入台阶后，</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年主营业务收入又迈上了</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亿元的台阶，进一</w:t>
      </w:r>
      <w:r>
        <w:rPr>
          <w:w w:val="100"/>
        </w:rPr>
        <w:t> </w:t>
      </w:r>
      <w:r>
        <w:rPr/>
        <w:t>步巩固了公司在中国 </w:t>
      </w:r>
      <w:r>
        <w:rPr>
          <w:rFonts w:ascii="Times New Roman" w:hAnsi="Times New Roman" w:cs="Times New Roman" w:eastAsia="Times New Roman" w:hint="default"/>
        </w:rPr>
        <w:t>IT</w:t>
      </w:r>
      <w:r>
        <w:rPr>
          <w:rFonts w:ascii="Times New Roman" w:hAnsi="Times New Roman" w:cs="Times New Roman" w:eastAsia="Times New Roman" w:hint="default"/>
          <w:spacing w:val="35"/>
        </w:rPr>
        <w:t> </w:t>
      </w:r>
      <w:r>
        <w:rPr/>
        <w:t>基础设施第三方服务商中的领先地位。在收入增长中，公司传统优势区域华东地</w:t>
      </w:r>
      <w:r>
        <w:rPr>
          <w:w w:val="100"/>
        </w:rPr>
        <w:t> </w:t>
      </w:r>
      <w:r>
        <w:rPr>
          <w:spacing w:val="-2"/>
        </w:rPr>
        <w:t>区的业绩进一步巩固的同时，华北、华中、西南地区经营业绩大幅提升，华南、东北稳步增长，公司业务</w:t>
      </w:r>
      <w:r>
        <w:rPr>
          <w:spacing w:val="-42"/>
        </w:rPr>
        <w:t> </w:t>
      </w:r>
      <w:r>
        <w:rPr>
          <w:spacing w:val="-42"/>
        </w:rPr>
      </w:r>
      <w:r>
        <w:rPr/>
        <w:t>增长空间得到了进一步的拓展。从业务类型看</w:t>
      </w:r>
      <w:r>
        <w:rPr>
          <w:rFonts w:ascii="Times New Roman" w:hAnsi="Times New Roman" w:cs="Times New Roman" w:eastAsia="Times New Roman" w:hint="default"/>
        </w:rPr>
        <w:t>,</w:t>
      </w:r>
      <w:r>
        <w:rPr/>
        <w:t>在保持</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spacing w:val="-3"/>
        </w:rPr>
        <w:t>运维服务优势的同时，</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2"/>
        </w:rPr>
        <w:t> </w:t>
      </w:r>
      <w:r>
        <w:rPr>
          <w:spacing w:val="-4"/>
        </w:rPr>
        <w:t>外包服务、</w:t>
      </w:r>
      <w:r>
        <w:rPr>
          <w:rFonts w:ascii="Times New Roman" w:hAnsi="Times New Roman" w:cs="Times New Roman" w:eastAsia="Times New Roman" w:hint="default"/>
          <w:spacing w:val="-4"/>
        </w:rPr>
        <w:t>IT</w:t>
      </w:r>
      <w:r>
        <w:rPr>
          <w:rFonts w:ascii="Times New Roman" w:hAnsi="Times New Roman" w:cs="Times New Roman" w:eastAsia="Times New Roman" w:hint="default"/>
          <w:spacing w:val="2"/>
        </w:rPr>
        <w:t> </w:t>
      </w:r>
      <w:r>
        <w:rPr/>
        <w:t>软件服务</w:t>
      </w:r>
      <w:r>
        <w:rPr>
          <w:w w:val="100"/>
        </w:rPr>
        <w:t> </w:t>
      </w:r>
      <w:r>
        <w:rPr/>
        <w:t>继续呈快速增长态势，公司 </w:t>
      </w:r>
      <w:r>
        <w:rPr>
          <w:rFonts w:ascii="Times New Roman" w:hAnsi="Times New Roman" w:cs="Times New Roman" w:eastAsia="Times New Roman" w:hint="default"/>
        </w:rPr>
        <w:t>IT</w:t>
      </w:r>
      <w:r>
        <w:rPr>
          <w:rFonts w:ascii="Times New Roman" w:hAnsi="Times New Roman" w:cs="Times New Roman" w:eastAsia="Times New Roman" w:hint="default"/>
          <w:spacing w:val="35"/>
        </w:rPr>
        <w:t> </w:t>
      </w:r>
      <w:r>
        <w:rPr/>
        <w:t>第三方全方位服务能力得以持续提升。市场份额的巩固增长，为公司持续</w:t>
      </w:r>
      <w:r>
        <w:rPr>
          <w:w w:val="100"/>
        </w:rPr>
        <w:t> </w:t>
      </w:r>
      <w:r>
        <w:rPr>
          <w:spacing w:val="-4"/>
        </w:rPr>
        <w:t>稳定发展奠定了坚实基础；为了保持公司稳定、持续的业务发展和提升市场竞争能力，</w:t>
      </w:r>
      <w:r>
        <w:rPr>
          <w:rFonts w:ascii="Times New Roman" w:hAnsi="Times New Roman" w:cs="Times New Roman" w:eastAsia="Times New Roman" w:hint="default"/>
          <w:spacing w:val="-4"/>
        </w:rPr>
        <w:t>2012 </w:t>
      </w:r>
      <w:r>
        <w:rPr/>
        <w:t>年度公司继续</w:t>
      </w:r>
      <w:r>
        <w:rPr>
          <w:spacing w:val="-67"/>
        </w:rPr>
        <w:t> </w:t>
      </w:r>
      <w:r>
        <w:rPr>
          <w:spacing w:val="-67"/>
        </w:rPr>
      </w:r>
      <w:r>
        <w:rPr/>
        <w:t>加大研发创新投入和基础设施建设力度，全年研发支出达</w:t>
      </w:r>
      <w:r>
        <w:rPr>
          <w:spacing w:val="-54"/>
        </w:rPr>
        <w:t> </w:t>
      </w:r>
      <w:r>
        <w:rPr>
          <w:rFonts w:ascii="Times New Roman" w:hAnsi="Times New Roman" w:cs="Times New Roman" w:eastAsia="Times New Roman" w:hint="default"/>
        </w:rPr>
        <w:t>1,646</w:t>
      </w:r>
      <w:r>
        <w:rPr>
          <w:rFonts w:ascii="Times New Roman" w:hAnsi="Times New Roman" w:cs="Times New Roman" w:eastAsia="Times New Roman" w:hint="default"/>
          <w:spacing w:val="-1"/>
        </w:rPr>
        <w:t> </w:t>
      </w:r>
      <w:r>
        <w:rPr>
          <w:spacing w:val="-5"/>
        </w:rPr>
        <w:t>万元，比</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年度增长了</w:t>
      </w:r>
      <w:r>
        <w:rPr>
          <w:spacing w:val="-53"/>
        </w:rPr>
        <w:t> </w:t>
      </w:r>
      <w:r>
        <w:rPr>
          <w:rFonts w:ascii="Times New Roman" w:hAnsi="Times New Roman" w:cs="Times New Roman" w:eastAsia="Times New Roman" w:hint="default"/>
          <w:spacing w:val="-3"/>
        </w:rPr>
        <w:t>87.4%</w:t>
      </w:r>
      <w:r>
        <w:rPr>
          <w:spacing w:val="-3"/>
        </w:rPr>
        <w:t>；基础设</w:t>
      </w:r>
      <w:r>
        <w:rPr>
          <w:w w:val="100"/>
        </w:rPr>
        <w:t> </w:t>
      </w:r>
      <w:r>
        <w:rPr/>
        <w:t>施建设方面，利用募集资金和自有资金，累计投入 </w:t>
      </w:r>
      <w:r>
        <w:rPr>
          <w:rFonts w:ascii="Times New Roman" w:hAnsi="Times New Roman" w:cs="Times New Roman" w:eastAsia="Times New Roman" w:hint="default"/>
        </w:rPr>
        <w:t>5,181.97 </w:t>
      </w:r>
      <w:r>
        <w:rPr/>
        <w:t>万元，用于 </w:t>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t>基础设施支持与维护服务区域</w:t>
      </w:r>
    </w:p>
    <w:p>
      <w:pPr>
        <w:pStyle w:val="BodyText"/>
        <w:spacing w:line="398" w:lineRule="auto" w:before="33"/>
        <w:ind w:right="146"/>
        <w:jc w:val="both"/>
      </w:pPr>
      <w:r>
        <w:rPr>
          <w:spacing w:val="-2"/>
        </w:rPr>
        <w:t>（西南）扩展项目、青浦企业后台支撑中心、北京办公用房等项目建设，以上巨额投入，短期内会导致企</w:t>
      </w:r>
      <w:r>
        <w:rPr>
          <w:spacing w:val="-43"/>
        </w:rPr>
        <w:t> </w:t>
      </w:r>
      <w:r>
        <w:rPr>
          <w:spacing w:val="-43"/>
        </w:rPr>
      </w:r>
      <w:r>
        <w:rPr>
          <w:spacing w:val="-2"/>
        </w:rPr>
        <w:t>业现金流的减少，但为企业长久、持续发展夯实了基础；报告期内，公司通过资本运作，收购了上海复深</w:t>
      </w:r>
      <w:r>
        <w:rPr>
          <w:spacing w:val="-43"/>
        </w:rPr>
        <w:t> </w:t>
      </w:r>
      <w:r>
        <w:rPr>
          <w:spacing w:val="-43"/>
        </w:rPr>
      </w:r>
      <w:r>
        <w:rPr/>
        <w:t>蓝信息技术有限公司，其拥有的软件研发能力，进一步拓展了公司 </w:t>
      </w:r>
      <w:r>
        <w:rPr>
          <w:rFonts w:ascii="Times New Roman" w:hAnsi="Times New Roman" w:cs="Times New Roman" w:eastAsia="Times New Roman" w:hint="default"/>
        </w:rPr>
        <w:t>IT</w:t>
      </w:r>
      <w:r>
        <w:rPr>
          <w:rFonts w:ascii="Times New Roman" w:hAnsi="Times New Roman" w:cs="Times New Roman" w:eastAsia="Times New Roman" w:hint="default"/>
          <w:spacing w:val="35"/>
        </w:rPr>
        <w:t> </w:t>
      </w:r>
      <w:r>
        <w:rPr/>
        <w:t>第三方服务的空间，达到了预期效</w:t>
      </w:r>
      <w:r>
        <w:rPr>
          <w:w w:val="100"/>
        </w:rPr>
        <w:t> </w:t>
      </w:r>
      <w:r>
        <w:rPr>
          <w:spacing w:val="-9"/>
        </w:rPr>
        <w:t>果。辛勤的努力与付出，公司收获了“上海名牌”、“</w:t>
      </w:r>
      <w:r>
        <w:rPr>
          <w:rFonts w:ascii="Times New Roman" w:hAnsi="Times New Roman" w:cs="Times New Roman" w:eastAsia="Times New Roman" w:hint="default"/>
          <w:spacing w:val="-9"/>
        </w:rPr>
        <w:t>2011-2012 </w:t>
      </w:r>
      <w:r>
        <w:rPr>
          <w:spacing w:val="-7"/>
        </w:rPr>
        <w:t>年度维护服务管理创新先进单位”、“</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年度中国数据中心最具影响力服务提供商”诸多荣誉，得到了社会的肯定。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98" w:lineRule="auto"/>
        <w:ind w:right="146" w:firstLine="420"/>
        <w:jc w:val="both"/>
      </w:pPr>
      <w:r>
        <w:rPr/>
        <w:t>在公司保持快速平稳发展的同时</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报告期内公司也遇到了诸多的困难和压力，特别是运营成本的快速</w:t>
      </w:r>
      <w:r>
        <w:rPr>
          <w:w w:val="100"/>
        </w:rPr>
        <w:t> </w:t>
      </w:r>
      <w:r>
        <w:rPr>
          <w:spacing w:val="-2"/>
        </w:rPr>
        <w:t>增长，使公司的主营业务遭受了三重成本</w:t>
      </w:r>
      <w:r>
        <w:rPr>
          <w:rFonts w:ascii="Times New Roman" w:hAnsi="Times New Roman" w:cs="Times New Roman" w:eastAsia="Times New Roman" w:hint="default"/>
          <w:spacing w:val="-2"/>
        </w:rPr>
        <w:t>/</w:t>
      </w:r>
      <w:r>
        <w:rPr>
          <w:spacing w:val="-2"/>
        </w:rPr>
        <w:t>费用增长的压力</w:t>
      </w:r>
      <w:r>
        <w:rPr>
          <w:rFonts w:ascii="宋体" w:hAnsi="宋体" w:cs="宋体" w:eastAsia="宋体" w:hint="default"/>
          <w:spacing w:val="-2"/>
        </w:rPr>
        <w:t>:</w:t>
      </w:r>
      <w:r>
        <w:rPr>
          <w:spacing w:val="-2"/>
        </w:rPr>
        <w:t>一是来自于公司服务能力提升导致的成本上升</w:t>
      </w:r>
      <w:r>
        <w:rPr>
          <w:spacing w:val="-20"/>
        </w:rPr>
        <w:t> </w:t>
      </w:r>
      <w:r>
        <w:rPr>
          <w:spacing w:val="-20"/>
        </w:rPr>
      </w:r>
      <w:r>
        <w:rPr>
          <w:spacing w:val="-2"/>
        </w:rPr>
        <w:t>与客户服务价格不能同步提升的压力，使得公司以同样的价格承担更多的服务功能，虽然客户粘性得以提</w:t>
      </w:r>
      <w:r>
        <w:rPr>
          <w:spacing w:val="-44"/>
        </w:rPr>
        <w:t> </w:t>
      </w:r>
      <w:r>
        <w:rPr>
          <w:spacing w:val="-44"/>
        </w:rPr>
      </w:r>
      <w:r>
        <w:rPr>
          <w:spacing w:val="-2"/>
        </w:rPr>
        <w:t>升，但导致毛利率不能同步提升甚至下降；二是工资成本上升和来自于政府对于员工法定福利标准的持续</w:t>
      </w:r>
      <w:r>
        <w:rPr>
          <w:spacing w:val="-44"/>
        </w:rPr>
        <w:t> </w:t>
      </w:r>
      <w:r>
        <w:rPr>
          <w:spacing w:val="-44"/>
        </w:rPr>
      </w:r>
      <w:r>
        <w:rPr>
          <w:spacing w:val="-2"/>
        </w:rPr>
        <w:t>提高带来的人均薪酬福利快速增长的压力；三是服务区域快速扩张带来的成本上升和新区域、新行业和新</w:t>
      </w:r>
    </w:p>
    <w:p>
      <w:pPr>
        <w:spacing w:after="0" w:line="398" w:lineRule="auto"/>
        <w:jc w:val="both"/>
        <w:sectPr>
          <w:pgSz w:w="11910" w:h="16840"/>
          <w:pgMar w:header="745" w:footer="0" w:top="1060" w:bottom="280" w:left="980" w:right="980"/>
        </w:sectPr>
      </w:pPr>
    </w:p>
    <w:p>
      <w:pPr>
        <w:spacing w:line="240" w:lineRule="auto" w:before="0"/>
        <w:rPr>
          <w:rFonts w:ascii="宋体" w:hAnsi="宋体" w:cs="宋体" w:eastAsia="宋体" w:hint="default"/>
          <w:sz w:val="20"/>
          <w:szCs w:val="20"/>
        </w:rPr>
      </w:pPr>
    </w:p>
    <w:p>
      <w:pPr>
        <w:pStyle w:val="BodyText"/>
        <w:spacing w:line="398" w:lineRule="auto" w:before="175"/>
        <w:ind w:right="102"/>
        <w:jc w:val="left"/>
      </w:pPr>
      <w:r>
        <w:rPr>
          <w:spacing w:val="-2"/>
        </w:rPr>
        <w:t>服务类型的市场开拓带来的市场培育压力。由于以上因素为主及原材料价格上升带来的毛利率降低和规模</w:t>
      </w:r>
      <w:r>
        <w:rPr>
          <w:spacing w:val="-43"/>
        </w:rPr>
        <w:t> </w:t>
      </w:r>
      <w:r>
        <w:rPr>
          <w:spacing w:val="-43"/>
        </w:rPr>
      </w:r>
      <w:r>
        <w:rPr>
          <w:spacing w:val="-4"/>
          <w:w w:val="100"/>
        </w:rPr>
        <w:t>扩张导致总体成本的增长速度较快，使得公司报告期内实现营业利润</w:t>
      </w:r>
      <w:r>
        <w:rPr>
          <w:w w:val="100"/>
        </w:rPr>
        <w:t> </w:t>
      </w:r>
      <w:r>
        <w:rPr>
          <w:rFonts w:ascii="Times New Roman" w:hAnsi="Times New Roman" w:cs="Times New Roman" w:eastAsia="Times New Roman" w:hint="default"/>
          <w:spacing w:val="-5"/>
          <w:w w:val="100"/>
        </w:rPr>
        <w:t>5,323.62</w:t>
      </w:r>
      <w:r>
        <w:rPr>
          <w:spacing w:val="-5"/>
          <w:w w:val="100"/>
        </w:rPr>
        <w:t>万元，相比上年下降</w:t>
      </w:r>
      <w:r>
        <w:rPr>
          <w:rFonts w:ascii="Times New Roman" w:hAnsi="Times New Roman" w:cs="Times New Roman" w:eastAsia="Times New Roman" w:hint="default"/>
          <w:spacing w:val="-5"/>
          <w:w w:val="100"/>
        </w:rPr>
        <w:t>10.52</w:t>
      </w:r>
      <w:r>
        <w:rPr>
          <w:rFonts w:ascii="Times New Roman" w:hAnsi="Times New Roman" w:cs="Times New Roman" w:eastAsia="Times New Roman" w:hint="default"/>
          <w:spacing w:val="-33"/>
          <w:w w:val="100"/>
        </w:rPr>
        <w:t> </w:t>
      </w:r>
      <w:r>
        <w:rPr>
          <w:rFonts w:ascii="Times New Roman" w:hAnsi="Times New Roman" w:cs="Times New Roman" w:eastAsia="Times New Roman" w:hint="default"/>
          <w:spacing w:val="-1"/>
          <w:w w:val="100"/>
        </w:rPr>
        <w:t>%</w:t>
      </w:r>
      <w:r>
        <w:rPr>
          <w:spacing w:val="-1"/>
          <w:w w:val="100"/>
        </w:rPr>
        <w:t>，</w:t>
      </w:r>
      <w:r>
        <w:rPr>
          <w:w w:val="100"/>
        </w:rPr>
        <w:t> </w:t>
      </w:r>
      <w:r>
        <w:rPr/>
        <w:t>归属于上市公司股东的净利润 </w:t>
      </w:r>
      <w:r>
        <w:rPr>
          <w:rFonts w:ascii="Times New Roman" w:hAnsi="Times New Roman" w:cs="Times New Roman" w:eastAsia="Times New Roman" w:hint="default"/>
        </w:rPr>
        <w:t>4,820.75 </w:t>
      </w:r>
      <w:r>
        <w:rPr/>
        <w:t>万元，相比上年下降</w:t>
      </w:r>
      <w:r>
        <w:rPr>
          <w:rFonts w:ascii="Times New Roman" w:hAnsi="Times New Roman" w:cs="Times New Roman" w:eastAsia="Times New Roman" w:hint="default"/>
        </w:rPr>
        <w:t>9.83</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t>。</w:t>
      </w:r>
    </w:p>
    <w:p>
      <w:pPr>
        <w:pStyle w:val="BodyText"/>
        <w:spacing w:line="420" w:lineRule="auto" w:before="64"/>
        <w:ind w:left="489" w:right="102" w:firstLine="84"/>
        <w:jc w:val="left"/>
      </w:pPr>
      <w:r>
        <w:rPr/>
        <w:t>报告期内，公司管理层为执行公司</w:t>
      </w:r>
      <w:r>
        <w:rPr>
          <w:rFonts w:ascii="Times New Roman" w:hAnsi="Times New Roman" w:cs="Times New Roman" w:eastAsia="Times New Roman" w:hint="default"/>
        </w:rPr>
        <w:t>2012</w:t>
      </w:r>
      <w:r>
        <w:rPr/>
        <w:t>年度经营计划主要做了以下几方面工作：</w:t>
      </w:r>
      <w:r>
        <w:rPr>
          <w:w w:val="100"/>
        </w:rPr>
        <w:t> </w:t>
      </w:r>
      <w:r>
        <w:rPr>
          <w:rFonts w:ascii="Times New Roman" w:hAnsi="Times New Roman" w:cs="Times New Roman" w:eastAsia="Times New Roman" w:hint="default"/>
        </w:rPr>
        <w:t>1</w:t>
      </w:r>
      <w:r>
        <w:rPr/>
        <w:t>、强化销售团队建设，积极拓展业务空间</w:t>
      </w:r>
      <w:r>
        <w:rPr>
          <w:w w:val="100"/>
        </w:rPr>
        <w:t> </w:t>
      </w:r>
      <w:r>
        <w:rPr>
          <w:spacing w:val="-4"/>
        </w:rPr>
        <w:t>报告期内公司在业务拓展方面，各区域销售团队均在不同方面有所建树</w:t>
      </w:r>
      <w:r>
        <w:rPr>
          <w:rFonts w:ascii="Times New Roman" w:hAnsi="Times New Roman" w:cs="Times New Roman" w:eastAsia="Times New Roman" w:hint="default"/>
          <w:spacing w:val="-4"/>
        </w:rPr>
        <w:t>,</w:t>
      </w:r>
      <w:r>
        <w:rPr>
          <w:spacing w:val="-4"/>
        </w:rPr>
        <w:t>华东区域的金融团队基本建成</w:t>
      </w:r>
    </w:p>
    <w:p>
      <w:pPr>
        <w:pStyle w:val="BodyText"/>
        <w:spacing w:line="408" w:lineRule="auto" w:before="3"/>
        <w:ind w:right="206"/>
        <w:jc w:val="both"/>
      </w:pPr>
      <w:r>
        <w:rPr>
          <w:spacing w:val="-2"/>
        </w:rPr>
        <w:t>并逐步开拓出新的金融客户；华南区域在业务创新及咨询业务的拓展方面均有较大发展；中西部团队在当</w:t>
      </w:r>
      <w:r>
        <w:rPr>
          <w:spacing w:val="-44"/>
        </w:rPr>
        <w:t> </w:t>
      </w:r>
      <w:r>
        <w:rPr>
          <w:spacing w:val="-44"/>
        </w:rPr>
      </w:r>
      <w:r>
        <w:rPr>
          <w:spacing w:val="-2"/>
        </w:rPr>
        <w:t>地的电信运营商</w:t>
      </w:r>
      <w:r>
        <w:rPr>
          <w:rFonts w:ascii="宋体" w:hAnsi="宋体" w:cs="宋体" w:eastAsia="宋体" w:hint="default"/>
          <w:spacing w:val="-2"/>
        </w:rPr>
        <w:t>IT</w:t>
      </w:r>
      <w:r>
        <w:rPr>
          <w:spacing w:val="-2"/>
        </w:rPr>
        <w:t>服务业务中新建及巩固了多个服务基地；华北区域在电信、金融行业亦建立了数个优质</w:t>
      </w:r>
      <w:r>
        <w:rPr>
          <w:spacing w:val="-42"/>
        </w:rPr>
        <w:t> </w:t>
      </w:r>
      <w:r>
        <w:rPr>
          <w:spacing w:val="-42"/>
        </w:rPr>
      </w:r>
      <w:r>
        <w:rPr>
          <w:spacing w:val="-2"/>
        </w:rPr>
        <w:t>客户。在团队建设方面，大金融及电信运营商行业销售团队的建设已形成基本架构，同时在重点销售大区</w:t>
      </w:r>
      <w:r>
        <w:rPr>
          <w:spacing w:val="-43"/>
        </w:rPr>
        <w:t> </w:t>
      </w:r>
      <w:r>
        <w:rPr>
          <w:spacing w:val="-43"/>
        </w:rPr>
      </w:r>
      <w:r>
        <w:rPr/>
        <w:t>也建立了相应的重点业务团队。</w:t>
      </w:r>
    </w:p>
    <w:p>
      <w:pPr>
        <w:pStyle w:val="BodyText"/>
        <w:spacing w:line="417" w:lineRule="auto" w:before="87"/>
        <w:ind w:left="573" w:right="102"/>
        <w:jc w:val="left"/>
      </w:pPr>
      <w:r>
        <w:rPr>
          <w:rFonts w:ascii="Times New Roman" w:hAnsi="Times New Roman" w:cs="Times New Roman" w:eastAsia="Times New Roman" w:hint="default"/>
        </w:rPr>
        <w:t>2</w:t>
      </w:r>
      <w:r>
        <w:rPr/>
        <w:t>、继续保持技术创新与产品研发的领先优势</w:t>
      </w:r>
      <w:r>
        <w:rPr>
          <w:w w:val="100"/>
        </w:rPr>
        <w:t> </w:t>
      </w:r>
      <w:r>
        <w:rPr>
          <w:spacing w:val="-2"/>
        </w:rPr>
        <w:t>报告期内公司继续保持对研发产品的投入建设，自主研发了</w:t>
      </w:r>
      <w:r>
        <w:rPr>
          <w:rFonts w:ascii="Times New Roman" w:hAnsi="Times New Roman" w:cs="Times New Roman" w:eastAsia="Times New Roman" w:hint="default"/>
          <w:spacing w:val="-2"/>
        </w:rPr>
        <w:t>“</w:t>
      </w:r>
      <w:r>
        <w:rPr>
          <w:spacing w:val="-2"/>
        </w:rPr>
        <w:t>天玑业务管理</w:t>
      </w:r>
      <w:r>
        <w:rPr>
          <w:rFonts w:ascii="Times New Roman" w:hAnsi="Times New Roman" w:cs="Times New Roman" w:eastAsia="Times New Roman" w:hint="default"/>
          <w:spacing w:val="-2"/>
        </w:rPr>
        <w:t>ERP+CRM</w:t>
      </w:r>
      <w:r>
        <w:rPr>
          <w:spacing w:val="-2"/>
        </w:rPr>
        <w:t>软件</w:t>
      </w:r>
      <w:r>
        <w:rPr>
          <w:rFonts w:ascii="Times New Roman" w:hAnsi="Times New Roman" w:cs="Times New Roman" w:eastAsia="Times New Roman" w:hint="default"/>
          <w:spacing w:val="-2"/>
        </w:rPr>
        <w:t>V3.0”</w:t>
      </w:r>
      <w:r>
        <w:rPr>
          <w:spacing w:val="-2"/>
        </w:rPr>
        <w:t>、</w:t>
      </w:r>
      <w:r>
        <w:rPr>
          <w:rFonts w:ascii="Times New Roman" w:hAnsi="Times New Roman" w:cs="Times New Roman" w:eastAsia="Times New Roman" w:hint="default"/>
          <w:spacing w:val="-2"/>
        </w:rPr>
        <w:t>“</w:t>
      </w:r>
      <w:r>
        <w:rPr>
          <w:spacing w:val="-2"/>
        </w:rPr>
        <w:t>天</w:t>
      </w:r>
    </w:p>
    <w:p>
      <w:pPr>
        <w:pStyle w:val="BodyText"/>
        <w:spacing w:line="386" w:lineRule="auto" w:before="5"/>
        <w:ind w:right="102"/>
        <w:jc w:val="left"/>
      </w:pPr>
      <w:r>
        <w:rPr/>
        <w:t>玑自动巡检工具软件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天玑</w:t>
      </w:r>
      <w:r>
        <w:rPr>
          <w:rFonts w:ascii="Times New Roman" w:hAnsi="Times New Roman" w:cs="Times New Roman" w:eastAsia="Times New Roman" w:hint="default"/>
        </w:rPr>
        <w:t>IT</w:t>
      </w:r>
      <w:r>
        <w:rPr/>
        <w:t>服务流程管理软件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天玑</w:t>
      </w:r>
      <w:r>
        <w:rPr>
          <w:rFonts w:ascii="Times New Roman" w:hAnsi="Times New Roman" w:cs="Times New Roman" w:eastAsia="Times New Roman" w:hint="default"/>
        </w:rPr>
        <w:t>IT</w:t>
      </w:r>
      <w:r>
        <w:rPr/>
        <w:t>服务管理移动应用软件</w:t>
      </w:r>
      <w:r>
        <w:rPr>
          <w:rFonts w:ascii="Times New Roman" w:hAnsi="Times New Roman" w:cs="Times New Roman" w:eastAsia="Times New Roman" w:hint="default"/>
        </w:rPr>
        <w:t>V2.0”</w:t>
      </w:r>
      <w:r>
        <w:rPr/>
        <w:t>、</w:t>
      </w:r>
      <w:r>
        <w:rPr>
          <w:rFonts w:ascii="Times New Roman" w:hAnsi="Times New Roman" w:cs="Times New Roman" w:eastAsia="Times New Roman" w:hint="default"/>
        </w:rPr>
        <w:t>“</w:t>
      </w:r>
      <w:r>
        <w:rPr/>
        <w:t>天玑系统与</w:t>
      </w:r>
      <w:r>
        <w:rPr>
          <w:spacing w:val="-38"/>
        </w:rPr>
        <w:t> </w:t>
      </w:r>
      <w:r>
        <w:rPr>
          <w:spacing w:val="-9"/>
          <w:w w:val="100"/>
        </w:rPr>
        <w:t>网络监控软件</w:t>
      </w:r>
      <w:r>
        <w:rPr>
          <w:rFonts w:ascii="Times New Roman" w:hAnsi="Times New Roman" w:cs="Times New Roman" w:eastAsia="Times New Roman" w:hint="default"/>
          <w:spacing w:val="-9"/>
          <w:w w:val="100"/>
        </w:rPr>
        <w:t>V4.0”</w:t>
      </w:r>
      <w:r>
        <w:rPr>
          <w:spacing w:val="-9"/>
          <w:w w:val="100"/>
        </w:rPr>
        <w:t>、“复深蓝</w:t>
      </w:r>
      <w:r>
        <w:rPr>
          <w:rFonts w:ascii="Times New Roman" w:hAnsi="Times New Roman" w:cs="Times New Roman" w:eastAsia="Times New Roman" w:hint="default"/>
          <w:spacing w:val="-9"/>
          <w:w w:val="100"/>
        </w:rPr>
        <w:t>IT</w:t>
      </w:r>
      <w:r>
        <w:rPr>
          <w:spacing w:val="-9"/>
          <w:w w:val="100"/>
        </w:rPr>
        <w:t>部门常规作业协同管理软件</w:t>
      </w:r>
      <w:r>
        <w:rPr>
          <w:rFonts w:ascii="Times New Roman" w:hAnsi="Times New Roman" w:cs="Times New Roman" w:eastAsia="Times New Roman" w:hint="default"/>
          <w:spacing w:val="-9"/>
          <w:w w:val="100"/>
        </w:rPr>
        <w:t>V1.0</w:t>
      </w:r>
      <w:r>
        <w:rPr>
          <w:spacing w:val="-9"/>
          <w:w w:val="100"/>
        </w:rPr>
        <w:t>”、“复深蓝测试数据管理平台软件</w:t>
      </w:r>
      <w:r>
        <w:rPr>
          <w:rFonts w:ascii="Times New Roman" w:hAnsi="Times New Roman" w:cs="Times New Roman" w:eastAsia="Times New Roman" w:hint="default"/>
          <w:spacing w:val="-9"/>
          <w:w w:val="100"/>
        </w:rPr>
        <w:t>V1.0</w:t>
      </w:r>
      <w:r>
        <w:rPr>
          <w:spacing w:val="-9"/>
          <w:w w:val="100"/>
        </w:rPr>
        <w:t>”、</w:t>
      </w:r>
      <w:r>
        <w:rPr>
          <w:spacing w:val="-77"/>
          <w:w w:val="100"/>
        </w:rPr>
        <w:t> </w:t>
      </w:r>
      <w:r>
        <w:rPr>
          <w:spacing w:val="-77"/>
          <w:w w:val="100"/>
        </w:rPr>
      </w:r>
      <w:r>
        <w:rPr/>
        <w:t>“复深蓝需求管理软件</w:t>
      </w:r>
      <w:r>
        <w:rPr>
          <w:rFonts w:ascii="Times New Roman" w:hAnsi="Times New Roman" w:cs="Times New Roman" w:eastAsia="Times New Roman" w:hint="default"/>
        </w:rPr>
        <w:t>V1.0</w:t>
      </w:r>
      <w:r>
        <w:rPr/>
        <w:t>”、“复深蓝移动办公平台软件</w:t>
      </w:r>
      <w:r>
        <w:rPr>
          <w:rFonts w:ascii="Times New Roman" w:hAnsi="Times New Roman" w:cs="Times New Roman" w:eastAsia="Times New Roman" w:hint="default"/>
        </w:rPr>
        <w:t>V1.0</w:t>
      </w:r>
      <w:r>
        <w:rPr/>
        <w:t>”、“复深蓝云资源管理平台软件</w:t>
      </w:r>
      <w:r>
        <w:rPr>
          <w:rFonts w:ascii="Times New Roman" w:hAnsi="Times New Roman" w:cs="Times New Roman" w:eastAsia="Times New Roman" w:hint="default"/>
        </w:rPr>
        <w:t>V1.0</w:t>
      </w:r>
      <w:r>
        <w:rPr/>
        <w:t>”</w:t>
      </w:r>
      <w:r>
        <w:rPr>
          <w:w w:val="100"/>
        </w:rPr>
        <w:t> </w:t>
      </w:r>
      <w:r>
        <w:rPr/>
        <w:t>等软件产品并取得了相关的软件著作权。</w:t>
      </w:r>
    </w:p>
    <w:p>
      <w:pPr>
        <w:pStyle w:val="BodyText"/>
        <w:spacing w:line="400" w:lineRule="auto" w:before="106"/>
        <w:ind w:right="206" w:firstLine="420"/>
        <w:jc w:val="both"/>
      </w:pPr>
      <w:r>
        <w:rPr>
          <w:spacing w:val="-2"/>
        </w:rPr>
        <w:t>同时报告期内，公司推出了桌面云的整体解决方案产品</w:t>
      </w:r>
      <w:r>
        <w:rPr>
          <w:rFonts w:ascii="Times New Roman" w:hAnsi="Times New Roman" w:cs="Times New Roman" w:eastAsia="Times New Roman" w:hint="default"/>
          <w:spacing w:val="-2"/>
        </w:rPr>
        <w:t>“</w:t>
      </w:r>
      <w:r>
        <w:rPr>
          <w:spacing w:val="-2"/>
        </w:rPr>
        <w:t>玑云</w:t>
      </w:r>
      <w:r>
        <w:rPr>
          <w:rFonts w:ascii="Times New Roman" w:hAnsi="Times New Roman" w:cs="Times New Roman" w:eastAsia="Times New Roman" w:hint="default"/>
          <w:spacing w:val="-2"/>
        </w:rPr>
        <w:t>”</w:t>
      </w:r>
      <w:r>
        <w:rPr>
          <w:spacing w:val="-2"/>
        </w:rPr>
        <w:t>，使得公司在新产品的开发及应用上迈</w:t>
      </w:r>
      <w:r>
        <w:rPr>
          <w:w w:val="100"/>
        </w:rPr>
        <w:t> </w:t>
      </w:r>
      <w:r>
        <w:rPr>
          <w:spacing w:val="-2"/>
        </w:rPr>
        <w:t>出了重要的一步。未来公司将继续对来自客户的具有市场发展潜力的新需求展开持续挖掘，并通过战略合</w:t>
      </w:r>
      <w:r>
        <w:rPr>
          <w:spacing w:val="-43"/>
        </w:rPr>
        <w:t> </w:t>
      </w:r>
      <w:r>
        <w:rPr>
          <w:spacing w:val="-43"/>
        </w:rPr>
      </w:r>
      <w:r>
        <w:rPr>
          <w:spacing w:val="-2"/>
        </w:rPr>
        <w:t>作、参股投资、并购及自身研发等措施，积极为公司创造更多的投资、并购以及新项目孵化的机会，为公</w:t>
      </w:r>
      <w:r>
        <w:rPr>
          <w:spacing w:val="-43"/>
        </w:rPr>
        <w:t> </w:t>
      </w:r>
      <w:r>
        <w:rPr>
          <w:spacing w:val="-43"/>
        </w:rPr>
      </w:r>
      <w:r>
        <w:rPr/>
        <w:t>司未来的发展展开多方位的探索。</w:t>
      </w:r>
    </w:p>
    <w:p>
      <w:pPr>
        <w:pStyle w:val="BodyText"/>
        <w:spacing w:line="417" w:lineRule="auto" w:before="93"/>
        <w:ind w:left="573" w:right="102"/>
        <w:jc w:val="left"/>
      </w:pPr>
      <w:r>
        <w:rPr>
          <w:rFonts w:ascii="Times New Roman" w:hAnsi="Times New Roman" w:cs="Times New Roman" w:eastAsia="Times New Roman" w:hint="default"/>
        </w:rPr>
        <w:t>3</w:t>
      </w:r>
      <w:r>
        <w:rPr/>
        <w:t>、进一步提升服务质量体系</w:t>
      </w:r>
      <w:r>
        <w:rPr>
          <w:w w:val="100"/>
        </w:rPr>
        <w:t> </w:t>
      </w:r>
      <w:r>
        <w:rPr>
          <w:spacing w:val="-2"/>
        </w:rPr>
        <w:t>报告期内公司结合自身业务的特点，建立了相应的交付过程质量监控体系，有效开展质量监控工作。</w:t>
      </w:r>
    </w:p>
    <w:p>
      <w:pPr>
        <w:pStyle w:val="BodyText"/>
        <w:spacing w:line="393" w:lineRule="auto" w:before="37"/>
        <w:ind w:right="206"/>
        <w:jc w:val="both"/>
      </w:pPr>
      <w:r>
        <w:rPr>
          <w:rFonts w:ascii="Times New Roman" w:hAnsi="Times New Roman" w:cs="Times New Roman" w:eastAsia="Times New Roman" w:hint="default"/>
          <w:spacing w:val="-1"/>
        </w:rPr>
        <w:t>2012</w:t>
      </w:r>
      <w:r>
        <w:rPr>
          <w:spacing w:val="-1"/>
        </w:rPr>
        <w:t>年公司顺利完成了</w:t>
      </w:r>
      <w:r>
        <w:rPr>
          <w:rFonts w:ascii="Times New Roman" w:hAnsi="Times New Roman" w:cs="Times New Roman" w:eastAsia="Times New Roman" w:hint="default"/>
          <w:spacing w:val="-1"/>
        </w:rPr>
        <w:t>ISO9000</w:t>
      </w:r>
      <w:r>
        <w:rPr>
          <w:spacing w:val="-1"/>
        </w:rPr>
        <w:t>、</w:t>
      </w:r>
      <w:r>
        <w:rPr>
          <w:rFonts w:ascii="Times New Roman" w:hAnsi="Times New Roman" w:cs="Times New Roman" w:eastAsia="Times New Roman" w:hint="default"/>
          <w:spacing w:val="-1"/>
        </w:rPr>
        <w:t>20000</w:t>
      </w:r>
      <w:r>
        <w:rPr>
          <w:spacing w:val="-1"/>
        </w:rPr>
        <w:t>、</w:t>
      </w:r>
      <w:r>
        <w:rPr>
          <w:rFonts w:ascii="Times New Roman" w:hAnsi="Times New Roman" w:cs="Times New Roman" w:eastAsia="Times New Roman" w:hint="default"/>
          <w:spacing w:val="-1"/>
        </w:rPr>
        <w:t>27001</w:t>
      </w:r>
      <w:r>
        <w:rPr>
          <w:spacing w:val="-1"/>
        </w:rPr>
        <w:t>等年度外审、</w:t>
      </w:r>
      <w:r>
        <w:rPr>
          <w:rFonts w:ascii="Times New Roman" w:hAnsi="Times New Roman" w:cs="Times New Roman" w:eastAsia="Times New Roman" w:hint="default"/>
          <w:spacing w:val="-1"/>
        </w:rPr>
        <w:t>ITSS</w:t>
      </w:r>
      <w:r>
        <w:rPr>
          <w:spacing w:val="-1"/>
        </w:rPr>
        <w:t>评审的工作，并完成</w:t>
      </w:r>
      <w:r>
        <w:rPr>
          <w:rFonts w:ascii="Times New Roman" w:hAnsi="Times New Roman" w:cs="Times New Roman" w:eastAsia="Times New Roman" w:hint="default"/>
          <w:spacing w:val="-1"/>
        </w:rPr>
        <w:t>ISO20000</w:t>
      </w:r>
      <w:r>
        <w:rPr>
          <w:spacing w:val="-1"/>
        </w:rPr>
        <w:t>的改版工</w:t>
      </w:r>
      <w:r>
        <w:rPr>
          <w:spacing w:val="-30"/>
        </w:rPr>
        <w:t> </w:t>
      </w:r>
      <w:r>
        <w:rPr>
          <w:spacing w:val="-30"/>
        </w:rPr>
      </w:r>
      <w:r>
        <w:rPr>
          <w:spacing w:val="-2"/>
        </w:rPr>
        <w:t>作。公司凭借标准化工作积累了丰富的</w:t>
      </w:r>
      <w:r>
        <w:rPr>
          <w:rFonts w:ascii="宋体" w:hAnsi="宋体" w:cs="宋体" w:eastAsia="宋体" w:hint="default"/>
          <w:spacing w:val="-2"/>
        </w:rPr>
        <w:t>IT</w:t>
      </w:r>
      <w:r>
        <w:rPr>
          <w:spacing w:val="-2"/>
        </w:rPr>
        <w:t>服务质量控制经验，同时作为标准评估试点工作的核心成员单位</w:t>
      </w:r>
      <w:r>
        <w:rPr>
          <w:spacing w:val="-41"/>
        </w:rPr>
        <w:t> </w:t>
      </w:r>
      <w:r>
        <w:rPr>
          <w:spacing w:val="-41"/>
        </w:rPr>
      </w:r>
      <w:r>
        <w:rPr/>
        <w:t>率先实施国家标准，保持行业领先地位。通过主动实施</w:t>
      </w:r>
      <w:r>
        <w:rPr>
          <w:rFonts w:ascii="Times New Roman" w:hAnsi="Times New Roman" w:cs="Times New Roman" w:eastAsia="Times New Roman" w:hint="default"/>
        </w:rPr>
        <w:t>27001</w:t>
      </w:r>
      <w:r>
        <w:rPr/>
        <w:t>标准的</w:t>
      </w:r>
      <w:r>
        <w:rPr>
          <w:rFonts w:ascii="Times New Roman" w:hAnsi="Times New Roman" w:cs="Times New Roman" w:eastAsia="Times New Roman" w:hint="default"/>
        </w:rPr>
        <w:t>IT</w:t>
      </w:r>
      <w:r>
        <w:rPr/>
        <w:t>服务管理体系，使公司的规范化、</w:t>
      </w:r>
      <w:r>
        <w:rPr>
          <w:spacing w:val="-13"/>
        </w:rPr>
        <w:t> </w:t>
      </w:r>
      <w:r>
        <w:rPr>
          <w:spacing w:val="-13"/>
        </w:rPr>
      </w:r>
      <w:r>
        <w:rPr/>
        <w:t>标准化服务能力达到国际水准。</w:t>
      </w:r>
    </w:p>
    <w:p>
      <w:pPr>
        <w:pStyle w:val="BodyText"/>
        <w:spacing w:line="408" w:lineRule="auto" w:before="99"/>
        <w:ind w:right="206" w:firstLine="420"/>
        <w:jc w:val="both"/>
      </w:pPr>
      <w:r>
        <w:rPr/>
        <w:t>报告期内，公司成功通过了</w:t>
      </w:r>
      <w:r>
        <w:rPr>
          <w:rFonts w:ascii="宋体" w:hAnsi="宋体" w:cs="宋体" w:eastAsia="宋体" w:hint="default"/>
        </w:rPr>
        <w:t>CMMI</w:t>
      </w:r>
      <w:r>
        <w:rPr/>
        <w:t>三级国际认证，</w:t>
      </w:r>
      <w:r>
        <w:rPr>
          <w:rFonts w:ascii="宋体" w:hAnsi="宋体" w:cs="宋体" w:eastAsia="宋体" w:hint="default"/>
        </w:rPr>
        <w:t>CMMI-V1.03</w:t>
      </w:r>
      <w:r>
        <w:rPr/>
        <w:t>新版</w:t>
      </w:r>
      <w:r>
        <w:rPr>
          <w:rFonts w:ascii="宋体" w:hAnsi="宋体" w:cs="宋体" w:eastAsia="宋体" w:hint="default"/>
        </w:rPr>
        <w:t>3</w:t>
      </w:r>
      <w:r>
        <w:rPr/>
        <w:t>级资质的通过，不仅标志着天玑科</w:t>
      </w:r>
      <w:r>
        <w:rPr>
          <w:w w:val="100"/>
        </w:rPr>
        <w:t> </w:t>
      </w:r>
      <w:r>
        <w:rPr>
          <w:spacing w:val="-2"/>
        </w:rPr>
        <w:t>技在软件开发和项目管理水平等方面已达到国际水平，同时也意味着公司的管理过程与国际接轨、更加贴</w:t>
      </w:r>
      <w:r>
        <w:rPr>
          <w:spacing w:val="-44"/>
        </w:rPr>
        <w:t> </w:t>
      </w:r>
      <w:r>
        <w:rPr>
          <w:spacing w:val="-44"/>
        </w:rPr>
      </w:r>
      <w:r>
        <w:rPr/>
        <w:t>近国际市场的要求。</w:t>
      </w:r>
    </w:p>
    <w:p>
      <w:pPr>
        <w:spacing w:after="0" w:line="408" w:lineRule="auto"/>
        <w:jc w:val="both"/>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420" w:lineRule="auto" w:before="175"/>
        <w:ind w:left="573" w:right="102"/>
        <w:jc w:val="left"/>
      </w:pPr>
      <w:r>
        <w:rPr>
          <w:rFonts w:ascii="Times New Roman" w:hAnsi="Times New Roman" w:cs="Times New Roman" w:eastAsia="Times New Roman" w:hint="default"/>
        </w:rPr>
        <w:t>4</w:t>
      </w:r>
      <w:r>
        <w:rPr/>
        <w:t>、强化内部控制，提升综合管理能力</w:t>
      </w:r>
      <w:r>
        <w:rPr>
          <w:w w:val="100"/>
        </w:rPr>
        <w:t> </w:t>
      </w:r>
      <w:r>
        <w:rPr>
          <w:spacing w:val="-2"/>
        </w:rPr>
        <w:t>报告期内公司结合自身的经营特点和风险因素，进一步完善法人治理结构和内部控制制度，严格执行</w:t>
      </w:r>
    </w:p>
    <w:p>
      <w:pPr>
        <w:pStyle w:val="BodyText"/>
        <w:spacing w:line="408" w:lineRule="auto" w:before="35"/>
        <w:ind w:right="102"/>
        <w:jc w:val="left"/>
      </w:pPr>
      <w:r>
        <w:rPr/>
        <w:t>国家有关法律、法规和证券监管部门的要求规范。使公司内部控制制度更具有针对性、合理性和有效性。</w:t>
      </w:r>
      <w:r>
        <w:rPr>
          <w:w w:val="100"/>
        </w:rPr>
        <w:t> </w:t>
      </w:r>
      <w:r>
        <w:rPr>
          <w:spacing w:val="-2"/>
        </w:rPr>
        <w:t>本报告期内，公司内部控制制度不断完善并得到有效运行。公司内部控制制度有力地保证了公司经营业务</w:t>
      </w:r>
      <w:r>
        <w:rPr>
          <w:spacing w:val="-44"/>
        </w:rPr>
        <w:t> </w:t>
      </w:r>
      <w:r>
        <w:rPr>
          <w:spacing w:val="-44"/>
        </w:rPr>
      </w:r>
      <w:r>
        <w:rPr>
          <w:spacing w:val="-5"/>
        </w:rPr>
        <w:t>的有效进行，保护了资产的安全和完整，防止并及时发现、纠正了内控缺陷，保证了公司财务资料的真实、</w:t>
      </w:r>
      <w:r>
        <w:rPr>
          <w:spacing w:val="-12"/>
        </w:rPr>
        <w:t> </w:t>
      </w:r>
      <w:r>
        <w:rPr>
          <w:spacing w:val="-12"/>
        </w:rPr>
      </w:r>
      <w:r>
        <w:rPr/>
        <w:t>合法、完整，促进了公司经营效率的提高和经营目标的实现。</w:t>
      </w:r>
    </w:p>
    <w:p>
      <w:pPr>
        <w:pStyle w:val="BodyText"/>
        <w:spacing w:line="420" w:lineRule="auto" w:before="84"/>
        <w:ind w:left="573" w:right="102"/>
        <w:jc w:val="left"/>
      </w:pPr>
      <w:r>
        <w:rPr>
          <w:rFonts w:ascii="Times New Roman" w:hAnsi="Times New Roman" w:cs="Times New Roman" w:eastAsia="Times New Roman" w:hint="default"/>
        </w:rPr>
        <w:t>5</w:t>
      </w:r>
      <w:r>
        <w:rPr/>
        <w:t>、加强人力资源建设，构建公司核心竞争力</w:t>
      </w:r>
      <w:r>
        <w:rPr>
          <w:w w:val="100"/>
        </w:rPr>
        <w:t> </w:t>
      </w:r>
      <w:r>
        <w:rPr>
          <w:spacing w:val="-2"/>
        </w:rPr>
        <w:t>报告期内，公司加强人力资源管理，在优化人力资源组织管理架构基础上，继续完善公司的薪酬绩效</w:t>
      </w:r>
    </w:p>
    <w:p>
      <w:pPr>
        <w:pStyle w:val="BodyText"/>
        <w:spacing w:line="408" w:lineRule="auto" w:before="35"/>
        <w:ind w:right="185"/>
        <w:jc w:val="both"/>
      </w:pPr>
      <w:r>
        <w:rPr>
          <w:spacing w:val="-2"/>
        </w:rPr>
        <w:t>管理体系，为引进人才打造良好的工作和学习环境，并实现了员工激励晋升和考核淘汰的绩效考评机制；</w:t>
      </w:r>
      <w:r>
        <w:rPr>
          <w:spacing w:val="-21"/>
        </w:rPr>
        <w:t> </w:t>
      </w:r>
      <w:r>
        <w:rPr>
          <w:spacing w:val="-21"/>
        </w:rPr>
      </w:r>
      <w:r>
        <w:rPr>
          <w:spacing w:val="-2"/>
        </w:rPr>
        <w:t>报告期内培训工作得以有计划有节奏的推进落实，重点完成了基层主管和中层经理的管理技能培训；报告</w:t>
      </w:r>
      <w:r>
        <w:rPr>
          <w:spacing w:val="-42"/>
        </w:rPr>
        <w:t> </w:t>
      </w:r>
      <w:r>
        <w:rPr>
          <w:spacing w:val="-42"/>
        </w:rPr>
      </w:r>
      <w:r>
        <w:rPr>
          <w:spacing w:val="-2"/>
        </w:rPr>
        <w:t>期内公司进一步加强企业文化建设、通过一系列制度体系及活动安排，激发员工的工作激情，提升团队凝</w:t>
      </w:r>
      <w:r>
        <w:rPr>
          <w:spacing w:val="-44"/>
        </w:rPr>
        <w:t> </w:t>
      </w:r>
      <w:r>
        <w:rPr>
          <w:spacing w:val="-44"/>
        </w:rPr>
      </w:r>
      <w:r>
        <w:rPr/>
        <w:t>聚力，为公司业务的和谐、有序发展提供了有力保障。</w:t>
      </w:r>
    </w:p>
    <w:p>
      <w:pPr>
        <w:pStyle w:val="BodyText"/>
        <w:spacing w:line="374" w:lineRule="auto" w:before="10"/>
        <w:ind w:left="995" w:right="102" w:hanging="423"/>
        <w:jc w:val="left"/>
      </w:pPr>
      <w:r>
        <w:rPr/>
        <w:t>（二）行业发展情况</w:t>
      </w:r>
      <w:r>
        <w:rPr>
          <w:w w:val="100"/>
        </w:rPr>
        <w:t> </w:t>
      </w:r>
      <w:r>
        <w:rPr>
          <w:spacing w:val="-3"/>
        </w:rPr>
        <w:t>随着“两化深度融合”、“战略性新兴产业”等一系列产业信息化扶持政策的出台，信息化已经</w:t>
      </w:r>
    </w:p>
    <w:p>
      <w:pPr>
        <w:pStyle w:val="BodyText"/>
        <w:spacing w:line="408" w:lineRule="auto" w:before="73"/>
        <w:ind w:right="102"/>
        <w:jc w:val="left"/>
      </w:pPr>
      <w:r>
        <w:rPr>
          <w:spacing w:val="-2"/>
        </w:rPr>
        <w:t>成为行业发展必不可缺的一环，行业信息化应用的范围日益广泛和深入，信息化应用水平已经逐渐成为企</w:t>
      </w:r>
      <w:r>
        <w:rPr>
          <w:spacing w:val="-43"/>
        </w:rPr>
        <w:t> </w:t>
      </w:r>
      <w:r>
        <w:rPr>
          <w:spacing w:val="-43"/>
        </w:rPr>
      </w:r>
      <w:r>
        <w:rPr/>
        <w:t>业核心竞争力的重要体现。</w:t>
      </w:r>
    </w:p>
    <w:p>
      <w:pPr>
        <w:pStyle w:val="BodyText"/>
        <w:spacing w:line="408" w:lineRule="auto" w:before="87"/>
        <w:ind w:right="206" w:firstLine="420"/>
        <w:jc w:val="both"/>
      </w:pPr>
      <w:r>
        <w:rPr>
          <w:spacing w:val="-2"/>
        </w:rPr>
        <w:t>在各行业信息化建设中，数据中心是行业应用信息化的基础，数据中心是政府及企业的信息数据存储</w:t>
      </w:r>
      <w:r>
        <w:rPr>
          <w:w w:val="100"/>
        </w:rPr>
        <w:t> </w:t>
      </w:r>
      <w:r>
        <w:rPr>
          <w:spacing w:val="-2"/>
        </w:rPr>
        <w:t>及信息化后台支撑系统的聚集地，是传统的机房概念的延伸和升级。近年来随着数据中心规模的扩容，数</w:t>
      </w:r>
      <w:r>
        <w:rPr>
          <w:spacing w:val="-43"/>
        </w:rPr>
        <w:t> </w:t>
      </w:r>
      <w:r>
        <w:rPr>
          <w:spacing w:val="-43"/>
        </w:rPr>
      </w:r>
      <w:r>
        <w:rPr>
          <w:spacing w:val="-2"/>
        </w:rPr>
        <w:t>据中心拥有越来越多数量的</w:t>
      </w:r>
      <w:r>
        <w:rPr>
          <w:rFonts w:ascii="宋体" w:hAnsi="宋体" w:cs="宋体" w:eastAsia="宋体" w:hint="default"/>
          <w:spacing w:val="-2"/>
        </w:rPr>
        <w:t>IT</w:t>
      </w:r>
      <w:r>
        <w:rPr>
          <w:spacing w:val="-2"/>
        </w:rPr>
        <w:t>设备，这些</w:t>
      </w:r>
      <w:r>
        <w:rPr>
          <w:rFonts w:ascii="宋体" w:hAnsi="宋体" w:cs="宋体" w:eastAsia="宋体" w:hint="default"/>
          <w:spacing w:val="-2"/>
        </w:rPr>
        <w:t>IT</w:t>
      </w:r>
      <w:r>
        <w:rPr>
          <w:spacing w:val="-2"/>
        </w:rPr>
        <w:t>设备在种类、品牌上呈现多样化的特点，其所实现的功能也各</w:t>
      </w:r>
      <w:r>
        <w:rPr>
          <w:spacing w:val="-40"/>
        </w:rPr>
        <w:t> </w:t>
      </w:r>
      <w:r>
        <w:rPr>
          <w:spacing w:val="-40"/>
        </w:rPr>
      </w:r>
      <w:r>
        <w:rPr>
          <w:spacing w:val="-2"/>
        </w:rPr>
        <w:t>不相同。同时应用的</w:t>
      </w:r>
      <w:r>
        <w:rPr>
          <w:rFonts w:ascii="宋体" w:hAnsi="宋体" w:cs="宋体" w:eastAsia="宋体" w:hint="default"/>
          <w:spacing w:val="-2"/>
        </w:rPr>
        <w:t>IT</w:t>
      </w:r>
      <w:r>
        <w:rPr>
          <w:spacing w:val="-2"/>
        </w:rPr>
        <w:t>系统也越来越多，</w:t>
      </w:r>
      <w:r>
        <w:rPr>
          <w:rFonts w:ascii="宋体" w:hAnsi="宋体" w:cs="宋体" w:eastAsia="宋体" w:hint="default"/>
          <w:spacing w:val="-2"/>
        </w:rPr>
        <w:t>IT</w:t>
      </w:r>
      <w:r>
        <w:rPr>
          <w:spacing w:val="-2"/>
        </w:rPr>
        <w:t>设备、</w:t>
      </w:r>
      <w:r>
        <w:rPr>
          <w:rFonts w:ascii="宋体" w:hAnsi="宋体" w:cs="宋体" w:eastAsia="宋体" w:hint="default"/>
          <w:spacing w:val="-2"/>
        </w:rPr>
        <w:t>IT</w:t>
      </w:r>
      <w:r>
        <w:rPr>
          <w:spacing w:val="-2"/>
        </w:rPr>
        <w:t>系统、基础资源之间的关系错综复杂，因此数据中心</w:t>
      </w:r>
      <w:r>
        <w:rPr>
          <w:spacing w:val="-39"/>
        </w:rPr>
        <w:t> </w:t>
      </w:r>
      <w:r>
        <w:rPr>
          <w:spacing w:val="-39"/>
        </w:rPr>
      </w:r>
      <w:r>
        <w:rPr>
          <w:rFonts w:ascii="宋体" w:hAnsi="宋体" w:cs="宋体" w:eastAsia="宋体" w:hint="default"/>
          <w:spacing w:val="-2"/>
        </w:rPr>
        <w:t>IT</w:t>
      </w:r>
      <w:r>
        <w:rPr>
          <w:spacing w:val="-2"/>
        </w:rPr>
        <w:t>基础设施复杂度越来越高，用户对于数据中心的要求开始发生了变化，不再仅限于满足业务运行，而是</w:t>
      </w:r>
      <w:r>
        <w:rPr>
          <w:spacing w:val="-41"/>
        </w:rPr>
        <w:t> </w:t>
      </w:r>
      <w:r>
        <w:rPr>
          <w:spacing w:val="-41"/>
        </w:rPr>
      </w:r>
      <w:r>
        <w:rPr>
          <w:spacing w:val="-2"/>
        </w:rPr>
        <w:t>要求数据中心具有高可用性、可持续性，同时由于信息孤岛、数据安全、节能环保、成本控制、运营效率</w:t>
      </w:r>
      <w:r>
        <w:rPr>
          <w:spacing w:val="-42"/>
        </w:rPr>
        <w:t> </w:t>
      </w:r>
      <w:r>
        <w:rPr>
          <w:spacing w:val="-42"/>
        </w:rPr>
      </w:r>
      <w:r>
        <w:rPr>
          <w:spacing w:val="-2"/>
        </w:rPr>
        <w:t>等问题纷至沓来，而用户普遍在</w:t>
      </w:r>
      <w:r>
        <w:rPr>
          <w:rFonts w:ascii="宋体" w:hAnsi="宋体" w:cs="宋体" w:eastAsia="宋体" w:hint="default"/>
          <w:spacing w:val="-2"/>
        </w:rPr>
        <w:t>IT</w:t>
      </w:r>
      <w:r>
        <w:rPr>
          <w:spacing w:val="-2"/>
        </w:rPr>
        <w:t>专业性、管理水平、运维人才、运营经验等方面存在不足，</w:t>
      </w:r>
      <w:r>
        <w:rPr>
          <w:rFonts w:ascii="宋体" w:hAnsi="宋体" w:cs="宋体" w:eastAsia="宋体" w:hint="default"/>
          <w:spacing w:val="-2"/>
        </w:rPr>
        <w:t>IT</w:t>
      </w:r>
      <w:r>
        <w:rPr>
          <w:spacing w:val="-2"/>
        </w:rPr>
        <w:t>基础设施</w:t>
      </w:r>
      <w:r>
        <w:rPr>
          <w:spacing w:val="-38"/>
        </w:rPr>
        <w:t> </w:t>
      </w:r>
      <w:r>
        <w:rPr>
          <w:spacing w:val="-38"/>
        </w:rPr>
      </w:r>
      <w:r>
        <w:rPr>
          <w:spacing w:val="-2"/>
        </w:rPr>
        <w:t>外包服务可以有效解决这些问题，用户对数据中心</w:t>
      </w:r>
      <w:r>
        <w:rPr>
          <w:rFonts w:ascii="宋体" w:hAnsi="宋体" w:cs="宋体" w:eastAsia="宋体" w:hint="default"/>
          <w:spacing w:val="-2"/>
        </w:rPr>
        <w:t>IT</w:t>
      </w:r>
      <w:r>
        <w:rPr>
          <w:spacing w:val="-2"/>
        </w:rPr>
        <w:t>基础设施的服务需求日益迫切，从而带动数据中心</w:t>
      </w:r>
      <w:r>
        <w:rPr>
          <w:rFonts w:ascii="宋体" w:hAnsi="宋体" w:cs="宋体" w:eastAsia="宋体" w:hint="default"/>
          <w:spacing w:val="-2"/>
        </w:rPr>
        <w:t>IT</w:t>
      </w:r>
      <w:r>
        <w:rPr>
          <w:rFonts w:ascii="宋体" w:hAnsi="宋体" w:cs="宋体" w:eastAsia="宋体" w:hint="default"/>
          <w:spacing w:val="-45"/>
        </w:rPr>
        <w:t> </w:t>
      </w:r>
      <w:r>
        <w:rPr/>
        <w:t>基础设施服务市场快速增长。</w:t>
      </w:r>
    </w:p>
    <w:p>
      <w:pPr>
        <w:pStyle w:val="BodyText"/>
        <w:spacing w:line="424" w:lineRule="auto" w:before="87"/>
        <w:ind w:right="102" w:firstLine="420"/>
        <w:jc w:val="left"/>
      </w:pPr>
      <w:r>
        <w:rPr>
          <w:rFonts w:ascii="宋体" w:hAnsi="宋体" w:cs="宋体" w:eastAsia="宋体" w:hint="default"/>
        </w:rPr>
        <w:t>2012</w:t>
      </w:r>
      <w:r>
        <w:rPr/>
        <w:t>年我国</w:t>
      </w:r>
      <w:r>
        <w:rPr>
          <w:rFonts w:ascii="宋体" w:hAnsi="宋体" w:cs="宋体" w:eastAsia="宋体" w:hint="default"/>
        </w:rPr>
        <w:t>IT</w:t>
      </w:r>
      <w:r>
        <w:rPr/>
        <w:t>服务市场保持较快增长。计世资讯（</w:t>
      </w:r>
      <w:r>
        <w:rPr>
          <w:rFonts w:ascii="宋体" w:hAnsi="宋体" w:cs="宋体" w:eastAsia="宋体" w:hint="default"/>
        </w:rPr>
        <w:t>CCW</w:t>
      </w:r>
      <w:r>
        <w:rPr>
          <w:rFonts w:ascii="宋体" w:hAnsi="宋体" w:cs="宋体" w:eastAsia="宋体" w:hint="default"/>
          <w:spacing w:val="-3"/>
        </w:rPr>
        <w:t> </w:t>
      </w:r>
      <w:r>
        <w:rPr>
          <w:rFonts w:ascii="宋体" w:hAnsi="宋体" w:cs="宋体" w:eastAsia="宋体" w:hint="default"/>
        </w:rPr>
        <w:t>Research</w:t>
      </w:r>
      <w:r>
        <w:rPr/>
        <w:t>）调研数据表明，</w:t>
      </w:r>
      <w:r>
        <w:rPr>
          <w:rFonts w:ascii="宋体" w:hAnsi="宋体" w:cs="宋体" w:eastAsia="宋体" w:hint="default"/>
        </w:rPr>
        <w:t>2012</w:t>
      </w:r>
      <w:r>
        <w:rPr/>
        <w:t>年中国</w:t>
      </w:r>
      <w:r>
        <w:rPr>
          <w:rFonts w:ascii="宋体" w:hAnsi="宋体" w:cs="宋体" w:eastAsia="宋体" w:hint="default"/>
        </w:rPr>
        <w:t>IT</w:t>
      </w:r>
      <w:r>
        <w:rPr>
          <w:rFonts w:ascii="宋体" w:hAnsi="宋体" w:cs="宋体" w:eastAsia="宋体" w:hint="default"/>
          <w:w w:val="100"/>
        </w:rPr>
        <w:t> </w:t>
      </w:r>
      <w:r>
        <w:rPr>
          <w:spacing w:val="-2"/>
        </w:rPr>
        <w:t>服务总体市场规模为</w:t>
      </w:r>
      <w:r>
        <w:rPr>
          <w:rFonts w:ascii="宋体" w:hAnsi="宋体" w:cs="宋体" w:eastAsia="宋体" w:hint="default"/>
          <w:spacing w:val="-2"/>
        </w:rPr>
        <w:t>1,766.0</w:t>
      </w:r>
      <w:r>
        <w:rPr>
          <w:spacing w:val="-2"/>
        </w:rPr>
        <w:t>亿元人民币，同比增长</w:t>
      </w:r>
      <w:r>
        <w:rPr>
          <w:rFonts w:ascii="宋体" w:hAnsi="宋体" w:cs="宋体" w:eastAsia="宋体" w:hint="default"/>
          <w:spacing w:val="-2"/>
        </w:rPr>
        <w:t>19.1%</w:t>
      </w:r>
      <w:r>
        <w:rPr>
          <w:spacing w:val="-2"/>
        </w:rPr>
        <w:t>。从该数据表明作为主营“</w:t>
      </w:r>
      <w:r>
        <w:rPr>
          <w:rFonts w:ascii="宋体" w:hAnsi="宋体" w:cs="宋体" w:eastAsia="宋体" w:hint="default"/>
          <w:spacing w:val="-2"/>
        </w:rPr>
        <w:t>IT</w:t>
      </w:r>
      <w:r>
        <w:rPr>
          <w:spacing w:val="-2"/>
        </w:rPr>
        <w:t>支持与维护服务”</w:t>
      </w:r>
      <w:r>
        <w:rPr>
          <w:spacing w:val="-12"/>
        </w:rPr>
        <w:t> </w:t>
      </w:r>
      <w:r>
        <w:rPr>
          <w:spacing w:val="-12"/>
        </w:rPr>
      </w:r>
      <w:r>
        <w:rPr/>
        <w:t>市场的天玑科技，拥有业务增长的巨大空间。</w:t>
      </w:r>
    </w:p>
    <w:p>
      <w:pPr>
        <w:spacing w:after="0" w:line="424" w:lineRule="auto"/>
        <w:jc w:val="left"/>
        <w:sectPr>
          <w:pgSz w:w="11910" w:h="16840"/>
          <w:pgMar w:header="745" w:footer="0" w:top="1060" w:bottom="280" w:left="980" w:right="920"/>
        </w:sectPr>
      </w:pP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6"/>
        <w:rPr>
          <w:rFonts w:ascii="宋体" w:hAnsi="宋体" w:cs="宋体" w:eastAsia="宋体" w:hint="default"/>
          <w:sz w:val="8"/>
          <w:szCs w:val="8"/>
        </w:rPr>
      </w:pPr>
    </w:p>
    <w:p>
      <w:pPr>
        <w:spacing w:line="1860" w:lineRule="exact"/>
        <w:ind w:left="153"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4020185" cy="11811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4020185" cy="1181100"/>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7"/>
        <w:rPr>
          <w:rFonts w:ascii="宋体" w:hAnsi="宋体" w:cs="宋体" w:eastAsia="宋体" w:hint="default"/>
          <w:sz w:val="23"/>
          <w:szCs w:val="23"/>
        </w:rPr>
      </w:pPr>
    </w:p>
    <w:p>
      <w:pPr>
        <w:pStyle w:val="BodyText"/>
        <w:spacing w:line="256" w:lineRule="auto"/>
        <w:ind w:right="158"/>
        <w:jc w:val="both"/>
      </w:pPr>
      <w:r>
        <w:rPr/>
        <w:t>报告期内，实现营业总收入</w:t>
      </w:r>
      <w:r>
        <w:rPr>
          <w:rFonts w:ascii="Times New Roman" w:hAnsi="Times New Roman" w:cs="Times New Roman" w:eastAsia="Times New Roman" w:hint="default"/>
        </w:rPr>
        <w:t>313,260,727.26</w:t>
      </w:r>
      <w:r>
        <w:rPr/>
        <w:t>元，</w:t>
      </w:r>
      <w:r>
        <w:rPr>
          <w:spacing w:val="-29"/>
        </w:rPr>
        <w:t> </w:t>
      </w:r>
      <w:r>
        <w:rPr/>
        <w:t>较上年增长</w:t>
      </w:r>
      <w:r>
        <w:rPr>
          <w:rFonts w:ascii="Times New Roman" w:hAnsi="Times New Roman" w:cs="Times New Roman" w:eastAsia="Times New Roman" w:hint="default"/>
        </w:rPr>
        <w:t>39.57</w:t>
      </w:r>
      <w:r>
        <w:rPr/>
        <w:t>％，继续保持稳定增长。新增</w:t>
      </w:r>
      <w:r>
        <w:rPr>
          <w:rFonts w:ascii="Times New Roman" w:hAnsi="Times New Roman" w:cs="Times New Roman" w:eastAsia="Times New Roman" w:hint="default"/>
        </w:rPr>
        <w:t>IT</w:t>
      </w:r>
      <w:r>
        <w:rPr/>
        <w:t>软件服务</w:t>
      </w:r>
      <w:r>
        <w:rPr>
          <w:w w:val="100"/>
        </w:rPr>
        <w:t> </w:t>
      </w:r>
      <w:r>
        <w:rPr>
          <w:spacing w:val="-2"/>
        </w:rPr>
        <w:t>收入，主要系新收购的子公司业务，</w:t>
      </w:r>
      <w:r>
        <w:rPr>
          <w:rFonts w:ascii="Times New Roman" w:hAnsi="Times New Roman" w:cs="Times New Roman" w:eastAsia="Times New Roman" w:hint="default"/>
          <w:spacing w:val="-2"/>
        </w:rPr>
        <w:t>IT</w:t>
      </w:r>
      <w:r>
        <w:rPr>
          <w:spacing w:val="-2"/>
        </w:rPr>
        <w:t>外包和</w:t>
      </w:r>
      <w:r>
        <w:rPr>
          <w:rFonts w:ascii="Times New Roman" w:hAnsi="Times New Roman" w:cs="Times New Roman" w:eastAsia="Times New Roman" w:hint="default"/>
          <w:spacing w:val="-2"/>
        </w:rPr>
        <w:t>IT</w:t>
      </w:r>
      <w:r>
        <w:rPr>
          <w:spacing w:val="-2"/>
        </w:rPr>
        <w:t>专业服务由于公司</w:t>
      </w:r>
      <w:r>
        <w:rPr>
          <w:rFonts w:ascii="Times New Roman" w:hAnsi="Times New Roman" w:cs="Times New Roman" w:eastAsia="Times New Roman" w:hint="default"/>
          <w:spacing w:val="-2"/>
        </w:rPr>
        <w:t>IT</w:t>
      </w:r>
      <w:r>
        <w:rPr>
          <w:spacing w:val="-2"/>
        </w:rPr>
        <w:t>服务业务发展策略的微调，增减变动</w:t>
      </w:r>
      <w:r>
        <w:rPr>
          <w:spacing w:val="-16"/>
        </w:rPr>
        <w:t> </w:t>
      </w:r>
      <w:r>
        <w:rPr>
          <w:spacing w:val="-16"/>
        </w:rPr>
      </w:r>
      <w:r>
        <w:rPr/>
        <w:t>较大。</w:t>
      </w:r>
    </w:p>
    <w:p>
      <w:pPr>
        <w:spacing w:line="240" w:lineRule="auto" w:before="0"/>
        <w:rPr>
          <w:rFonts w:ascii="宋体" w:hAnsi="宋体" w:cs="宋体" w:eastAsia="宋体" w:hint="default"/>
          <w:sz w:val="20"/>
          <w:szCs w:val="20"/>
        </w:rPr>
      </w:pPr>
    </w:p>
    <w:p>
      <w:pPr>
        <w:spacing w:before="134"/>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公司重大的在手订单情况</w:t>
      </w:r>
    </w:p>
    <w:p>
      <w:pPr>
        <w:spacing w:line="340" w:lineRule="auto" w:before="43"/>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数量分散的订单情况</w:t>
      </w:r>
    </w:p>
    <w:p>
      <w:pPr>
        <w:spacing w:line="340" w:lineRule="auto" w:before="39"/>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before="41"/>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65,615,684.58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23,400,357.07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备件消耗及折旧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21,619,290.30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15,133,711.62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交通差旅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5,069,801.55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4,413,736.19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58,316,121.47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38,393,301.93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27,195,460.62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19,240,782.98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41.34%</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主要系本年度公司开拓新业务、扩大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市场规模所致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57,098,992.84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34,965,543.94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63.3%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主要系本年度公司研发投入增加、人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员薪酬调整所致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-8,731,968.69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-3,971,877.81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119.84%</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主要系本年度公司银行存款利息增 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9,018,580.88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12,918,340.36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-30.19%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主要系本年度公司成本费用增加而 利润减少所致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line="6906" w:lineRule="exact"/>
        <w:ind w:left="153" w:right="0" w:firstLine="0"/>
        <w:rPr>
          <w:rFonts w:ascii="宋体" w:hAnsi="宋体" w:cs="宋体" w:eastAsia="宋体" w:hint="default"/>
          <w:sz w:val="20"/>
          <w:szCs w:val="20"/>
        </w:rPr>
      </w:pPr>
      <w:r>
        <w:rPr>
          <w:rFonts w:ascii="宋体" w:hAnsi="宋体" w:cs="宋体" w:eastAsia="宋体" w:hint="default"/>
          <w:position w:val="-137"/>
          <w:sz w:val="20"/>
          <w:szCs w:val="20"/>
        </w:rPr>
        <w:drawing>
          <wp:inline distT="0" distB="0" distL="0" distR="0">
            <wp:extent cx="6255929" cy="438588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6255929" cy="4385881"/>
                    </a:xfrm>
                    <a:prstGeom prst="rect">
                      <a:avLst/>
                    </a:prstGeom>
                  </pic:spPr>
                </pic:pic>
              </a:graphicData>
            </a:graphic>
          </wp:inline>
        </w:drawing>
      </w:r>
      <w:r>
        <w:rPr>
          <w:rFonts w:ascii="宋体" w:hAnsi="宋体" w:cs="宋体" w:eastAsia="宋体" w:hint="default"/>
          <w:position w:val="-137"/>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44"/>
        <w:ind w:left="152" w:right="0" w:firstLine="0"/>
        <w:jc w:val="left"/>
        <w:rPr>
          <w:rFonts w:ascii="宋体" w:hAnsi="宋体" w:cs="宋体" w:eastAsia="宋体" w:hint="default"/>
          <w:sz w:val="18"/>
          <w:szCs w:val="18"/>
        </w:rPr>
      </w:pPr>
      <w:r>
        <w:rPr/>
        <w:pict>
          <v:shape style="position:absolute;margin-left:170.300003pt;margin-top:60.111717pt;width:124.25pt;height:19.6pt;mso-position-horizontal-relative:page;mso-position-vertical-relative:paragraph;z-index:-8278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77.740005pt;margin-top:60.111717pt;width:116.8pt;height:19.6pt;mso-position-horizontal-relative:page;mso-position-vertical-relative:paragraph;z-index:-827824" coordorigin="3555,1202" coordsize="2336,392">
            <v:shape style="position:absolute;left:3555;top:1202;width:2336;height:392" coordorigin="3555,1202" coordsize="2336,392" path="m3555,1593l5890,1593,5890,1202,3555,1202,3555,1593xe" filled="true" fillcolor="#ffffff" stroked="false">
              <v:path arrowok="t"/>
              <v:fill type="solid"/>
            </v:shape>
            <w10:wrap type="none"/>
          </v:group>
        </w:pict>
      </w: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91"/>
        <w:gridCol w:w="141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16,461,673.23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8,786,074.92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8,315,000.28</w:t>
            </w:r>
          </w:p>
        </w:tc>
      </w:tr>
      <w:tr>
        <w:trPr>
          <w:trHeight w:val="403"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91" w:type="dxa"/>
            <w:tcBorders>
              <w:top w:val="single" w:sz="4" w:space="0" w:color="000000"/>
              <w:left w:val="single" w:sz="23" w:space="0" w:color="FFFFFF"/>
              <w:bottom w:val="single" w:sz="4" w:space="0" w:color="000000"/>
              <w:right w:val="nil" w:sz="6" w:space="0" w:color="auto"/>
            </w:tcBorders>
          </w:tcPr>
          <w:p>
            <w:pPr/>
          </w:p>
        </w:tc>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19" w:right="0"/>
              <w:jc w:val="left"/>
              <w:rPr>
                <w:rFonts w:ascii="Times New Roman" w:hAnsi="Times New Roman" w:cs="Times New Roman" w:eastAsia="Times New Roman" w:hint="default"/>
                <w:sz w:val="18"/>
                <w:szCs w:val="18"/>
              </w:rPr>
            </w:pPr>
            <w:r>
              <w:rPr>
                <w:rFonts w:ascii="Times New Roman"/>
                <w:sz w:val="18"/>
              </w:rPr>
              <w:t>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8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340,196,227.78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219,744,400.17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54.81%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287,535,933.09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190,108,515.08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51.25%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52,660,294.69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29,635,885.09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18,195,909.16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79,659,704.78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14,397,355.60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453.29%</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-61,463,795.62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-14,397,355.60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326.91%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17,256,334.54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305,743,665.46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-22,908,608.37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320,891,980.91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3"/>
        <w:ind w:left="573" w:right="0" w:hanging="361"/>
        <w:jc w:val="left"/>
      </w:pPr>
      <w:r>
        <w:rPr>
          <w:rFonts w:ascii="宋体" w:hAnsi="宋体" w:cs="宋体" w:eastAsia="宋体" w:hint="default"/>
        </w:rPr>
        <w:t>1.</w:t>
      </w:r>
      <w:r>
        <w:rPr>
          <w:rFonts w:ascii="宋体" w:hAnsi="宋体" w:cs="宋体" w:eastAsia="宋体" w:hint="default"/>
          <w:spacing w:val="98"/>
        </w:rPr>
        <w:t> </w:t>
      </w:r>
      <w:r>
        <w:rPr>
          <w:spacing w:val="-3"/>
        </w:rPr>
        <w:t>经营活动产生的现金流量净额增加</w:t>
      </w:r>
      <w:r>
        <w:rPr>
          <w:rFonts w:ascii="Times New Roman" w:hAnsi="Times New Roman" w:cs="Times New Roman" w:eastAsia="Times New Roman" w:hint="default"/>
          <w:spacing w:val="-3"/>
        </w:rPr>
        <w:t>77.69</w:t>
      </w:r>
      <w:r>
        <w:rPr>
          <w:spacing w:val="-3"/>
        </w:rPr>
        <w:t>％，主要系报告期内的经营性现金流入较上年同期的增长大于</w:t>
      </w:r>
      <w:r>
        <w:rPr>
          <w:spacing w:val="-98"/>
        </w:rPr>
        <w:t> </w:t>
      </w:r>
      <w:r>
        <w:rPr>
          <w:spacing w:val="-98"/>
        </w:rPr>
      </w:r>
      <w:r>
        <w:rPr/>
        <w:t>同等条件比较的经营性流出所致。</w:t>
      </w:r>
    </w:p>
    <w:p>
      <w:pPr>
        <w:pStyle w:val="BodyText"/>
        <w:spacing w:line="256" w:lineRule="auto" w:before="63"/>
        <w:ind w:left="573" w:right="141" w:hanging="361"/>
        <w:jc w:val="left"/>
      </w:pPr>
      <w:r>
        <w:rPr>
          <w:rFonts w:ascii="宋体" w:hAnsi="宋体" w:cs="宋体" w:eastAsia="宋体" w:hint="default"/>
        </w:rPr>
        <w:t>2.</w:t>
      </w:r>
      <w:r>
        <w:rPr>
          <w:rFonts w:ascii="宋体" w:hAnsi="宋体" w:cs="宋体" w:eastAsia="宋体" w:hint="default"/>
          <w:spacing w:val="70"/>
        </w:rPr>
        <w:t> </w:t>
      </w:r>
      <w:r>
        <w:rPr/>
        <w:t>投资活动产生的现金流量净额较上年净额增加</w:t>
      </w:r>
      <w:r>
        <w:rPr>
          <w:rFonts w:ascii="Times New Roman" w:hAnsi="Times New Roman" w:cs="Times New Roman" w:eastAsia="Times New Roman" w:hint="default"/>
        </w:rPr>
        <w:t>326.91</w:t>
      </w:r>
      <w:r>
        <w:rPr/>
        <w:t>％，主要为公司固定资产项目投资增加以及收购</w:t>
      </w:r>
      <w:r>
        <w:rPr>
          <w:spacing w:val="-103"/>
        </w:rPr>
        <w:t> </w:t>
      </w:r>
      <w:r>
        <w:rPr>
          <w:spacing w:val="-103"/>
        </w:rPr>
      </w:r>
      <w:r>
        <w:rPr/>
        <w:t>控股子公司所致。</w:t>
      </w:r>
    </w:p>
    <w:p>
      <w:pPr>
        <w:pStyle w:val="BodyText"/>
        <w:spacing w:line="240" w:lineRule="auto" w:before="61"/>
        <w:ind w:left="212" w:right="0"/>
        <w:jc w:val="left"/>
      </w:pPr>
      <w:r>
        <w:rPr>
          <w:rFonts w:ascii="宋体" w:hAnsi="宋体" w:cs="宋体" w:eastAsia="宋体" w:hint="default"/>
        </w:rPr>
        <w:t>3.</w:t>
      </w:r>
      <w:r>
        <w:rPr>
          <w:rFonts w:ascii="宋体" w:hAnsi="宋体" w:cs="宋体" w:eastAsia="宋体" w:hint="default"/>
          <w:spacing w:val="42"/>
        </w:rPr>
        <w:t> </w:t>
      </w:r>
      <w:r>
        <w:rPr/>
        <w:t>筹资活动产生的现金流量净额减少</w:t>
      </w:r>
      <w:r>
        <w:rPr>
          <w:rFonts w:ascii="Times New Roman" w:hAnsi="Times New Roman" w:cs="Times New Roman" w:eastAsia="Times New Roman" w:hint="default"/>
        </w:rPr>
        <w:t>104.61%</w:t>
      </w:r>
      <w:r>
        <w:rPr/>
        <w:t>，主要系公司报告期内分红所致。</w:t>
      </w:r>
    </w:p>
    <w:p>
      <w:pPr>
        <w:spacing w:line="240" w:lineRule="auto" w:before="0"/>
        <w:rPr>
          <w:rFonts w:ascii="宋体" w:hAnsi="宋体" w:cs="宋体" w:eastAsia="宋体" w:hint="default"/>
          <w:sz w:val="22"/>
          <w:szCs w:val="22"/>
        </w:rPr>
      </w:pPr>
    </w:p>
    <w:p>
      <w:pPr>
        <w:spacing w:before="147"/>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103,572,103.15</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1"/>
        <w:ind w:left="152" w:right="8154" w:firstLine="0"/>
        <w:jc w:val="left"/>
        <w:rPr>
          <w:rFonts w:ascii="宋体" w:hAnsi="宋体" w:cs="宋体" w:eastAsia="宋体" w:hint="default"/>
          <w:sz w:val="18"/>
          <w:szCs w:val="18"/>
        </w:rPr>
      </w:pPr>
      <w:r>
        <w:rPr/>
        <w:pict>
          <v:shape style="position:absolute;margin-left:263.570007pt;margin-top:60.437721pt;width:270.2pt;height:19.6pt;mso-position-horizontal-relative:page;mso-position-vertical-relative:paragraph;z-index:-82780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60.437721pt;width:262.75pt;height:19.6pt;mso-position-horizontal-relative:page;mso-position-vertical-relative:paragraph;z-index:-827776" coordorigin="5420,1209" coordsize="5255,392">
            <v:shape style="position:absolute;left:5420;top:1209;width:5255;height:392" coordorigin="5420,1209" coordsize="5255,392" path="m5420,1600l10675,1600,10675,1209,5420,1209,5420,1600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47,161,460.39</w:t>
            </w:r>
          </w:p>
        </w:tc>
      </w:tr>
      <w:tr>
        <w:trPr>
          <w:trHeight w:val="401" w:hRule="exact"/>
        </w:trPr>
        <w:tc>
          <w:tcPr>
            <w:tcW w:w="42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2084"/>
        <w:gridCol w:w="2820"/>
        <w:gridCol w:w="2821"/>
      </w:tblGrid>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6" w:right="53" w:hanging="812"/>
              <w:jc w:val="left"/>
              <w:rPr>
                <w:rFonts w:ascii="宋体" w:hAnsi="宋体" w:cs="宋体" w:eastAsia="宋体" w:hint="default"/>
                <w:sz w:val="18"/>
                <w:szCs w:val="18"/>
              </w:rPr>
            </w:pPr>
            <w:r>
              <w:rPr>
                <w:rFonts w:ascii="宋体" w:hAnsi="宋体" w:cs="宋体" w:eastAsia="宋体" w:hint="default"/>
                <w:sz w:val="18"/>
                <w:szCs w:val="18"/>
              </w:rPr>
              <w:t>采购金额或比例与以前年度相比变 化情况的说明</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国际商业机器（中国） 有限公司</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26,160,074.52</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41.38%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市场规模扩大，采购需求增加</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26,160,074.52</w:t>
            </w:r>
          </w:p>
        </w:tc>
        <w:tc>
          <w:tcPr>
            <w:tcW w:w="282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41.38%</w:t>
            </w:r>
          </w:p>
        </w:tc>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96" w:lineRule="auto" w:before="160"/>
        <w:ind w:right="146" w:firstLine="336"/>
        <w:jc w:val="both"/>
      </w:pPr>
      <w:r>
        <w:rPr>
          <w:spacing w:val="-2"/>
        </w:rPr>
        <w:t>公司在《招股说明书》第十二节中</w:t>
      </w:r>
      <w:r>
        <w:rPr>
          <w:rFonts w:ascii="Times New Roman" w:hAnsi="Times New Roman" w:cs="Times New Roman" w:eastAsia="Times New Roman" w:hint="default"/>
          <w:b/>
          <w:bCs/>
          <w:spacing w:val="-2"/>
        </w:rPr>
        <w:t>“</w:t>
      </w:r>
      <w:r>
        <w:rPr>
          <w:spacing w:val="-2"/>
        </w:rPr>
        <w:t>未来发展与规划</w:t>
      </w:r>
      <w:r>
        <w:rPr>
          <w:rFonts w:ascii="Times New Roman" w:hAnsi="Times New Roman" w:cs="Times New Roman" w:eastAsia="Times New Roman" w:hint="default"/>
          <w:b/>
          <w:bCs/>
          <w:spacing w:val="-2"/>
        </w:rPr>
        <w:t>”</w:t>
      </w:r>
      <w:r>
        <w:rPr>
          <w:spacing w:val="-2"/>
        </w:rPr>
        <w:t>为：公司将建立覆盖全国主要城市的服务服务网</w:t>
      </w:r>
      <w:r>
        <w:rPr>
          <w:w w:val="100"/>
        </w:rPr>
        <w:t> </w:t>
      </w:r>
      <w:r>
        <w:rPr>
          <w:spacing w:val="-2"/>
        </w:rPr>
        <w:t>络、服务技术更加先进，服务体系更加完善，从管理和技术两方面提高客户满意度、加强人才储备保障公</w:t>
      </w:r>
      <w:r>
        <w:rPr>
          <w:spacing w:val="-47"/>
        </w:rPr>
        <w:t> </w:t>
      </w:r>
      <w:r>
        <w:rPr>
          <w:spacing w:val="-47"/>
        </w:rPr>
      </w:r>
      <w:r>
        <w:rPr>
          <w:spacing w:val="-2"/>
        </w:rPr>
        <w:t>司快速发展、持续研发符合市场需求的信息服务产品，整合提供相关行业解决方案，建立覆盖全国主要城</w:t>
      </w:r>
      <w:r>
        <w:rPr>
          <w:spacing w:val="-42"/>
        </w:rPr>
        <w:t> </w:t>
      </w:r>
      <w:r>
        <w:rPr>
          <w:spacing w:val="-42"/>
        </w:rPr>
      </w:r>
      <w:r>
        <w:rPr>
          <w:spacing w:val="-2"/>
        </w:rPr>
        <w:t>市的服务营销体系，提高公司的核心竞争力，不断完善、巩固和深化公司在中国</w:t>
      </w:r>
      <w:r>
        <w:rPr>
          <w:rFonts w:ascii="Times New Roman" w:hAnsi="Times New Roman" w:cs="Times New Roman" w:eastAsia="Times New Roman" w:hint="default"/>
          <w:spacing w:val="-2"/>
        </w:rPr>
        <w:t>IT</w:t>
      </w:r>
      <w:r>
        <w:rPr>
          <w:spacing w:val="-2"/>
        </w:rPr>
        <w:t>基础设施第三方服务商</w:t>
      </w:r>
      <w:r>
        <w:rPr>
          <w:spacing w:val="-36"/>
        </w:rPr>
        <w:t> </w:t>
      </w:r>
      <w:r>
        <w:rPr>
          <w:spacing w:val="-36"/>
        </w:rPr>
      </w:r>
      <w:r>
        <w:rPr>
          <w:spacing w:val="-2"/>
        </w:rPr>
        <w:t>中的地位，通过行业复制迅速占领</w:t>
      </w:r>
      <w:r>
        <w:rPr>
          <w:rFonts w:ascii="Times New Roman" w:hAnsi="Times New Roman" w:cs="Times New Roman" w:eastAsia="Times New Roman" w:hint="default"/>
          <w:spacing w:val="-2"/>
        </w:rPr>
        <w:t>IT</w:t>
      </w:r>
      <w:r>
        <w:rPr>
          <w:spacing w:val="-2"/>
        </w:rPr>
        <w:t>应用重点行业市场，快速抢占市场份额，扩大市场规模，持续强化公</w:t>
      </w:r>
      <w:r>
        <w:rPr>
          <w:spacing w:val="-31"/>
        </w:rPr>
        <w:t> </w:t>
      </w:r>
      <w:r>
        <w:rPr>
          <w:spacing w:val="-31"/>
        </w:rPr>
      </w:r>
      <w:r>
        <w:rPr>
          <w:spacing w:val="-2"/>
        </w:rPr>
        <w:t>司在中国</w:t>
      </w:r>
      <w:r>
        <w:rPr>
          <w:rFonts w:ascii="Times New Roman" w:hAnsi="Times New Roman" w:cs="Times New Roman" w:eastAsia="Times New Roman" w:hint="default"/>
          <w:spacing w:val="-2"/>
        </w:rPr>
        <w:t>IT</w:t>
      </w:r>
      <w:r>
        <w:rPr>
          <w:spacing w:val="-2"/>
        </w:rPr>
        <w:t>基础设施第三方服务商中的领先地位。报告期内，公司严格按照《招股说明书》中既定的公司</w:t>
      </w:r>
      <w:r>
        <w:rPr>
          <w:spacing w:val="-30"/>
        </w:rPr>
        <w:t> </w:t>
      </w:r>
      <w:r>
        <w:rPr>
          <w:spacing w:val="-30"/>
        </w:rPr>
      </w:r>
      <w:r>
        <w:rPr>
          <w:spacing w:val="-2"/>
        </w:rPr>
        <w:t>未来发展与规划运行，不断提升研发和营销服务能力，以公司的技术和品牌优势为依托，巩固和深化公司</w:t>
      </w:r>
      <w:r>
        <w:rPr>
          <w:spacing w:val="-43"/>
        </w:rPr>
        <w:t> </w:t>
      </w:r>
      <w:r>
        <w:rPr>
          <w:spacing w:val="-43"/>
        </w:rPr>
      </w:r>
      <w:r>
        <w:rPr/>
        <w:t>在中国</w:t>
      </w:r>
      <w:r>
        <w:rPr>
          <w:rFonts w:ascii="Times New Roman" w:hAnsi="Times New Roman" w:cs="Times New Roman" w:eastAsia="Times New Roman" w:hint="default"/>
        </w:rPr>
        <w:t>IT</w:t>
      </w:r>
      <w:r>
        <w:rPr/>
        <w:t>基础设施第三方服务商中的领先地位。</w:t>
      </w:r>
    </w:p>
    <w:p>
      <w:pPr>
        <w:spacing w:line="240" w:lineRule="auto" w:before="9"/>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spacing w:line="240" w:lineRule="auto" w:before="1"/>
        <w:rPr>
          <w:rFonts w:ascii="宋体" w:hAnsi="宋体" w:cs="宋体" w:eastAsia="宋体" w:hint="default"/>
          <w:sz w:val="13"/>
          <w:szCs w:val="13"/>
        </w:rPr>
      </w:pPr>
    </w:p>
    <w:p>
      <w:pPr>
        <w:spacing w:line="396" w:lineRule="auto" w:before="0"/>
        <w:ind w:left="152" w:right="0" w:firstLine="336"/>
        <w:jc w:val="left"/>
        <w:rPr>
          <w:rFonts w:ascii="宋体" w:hAnsi="宋体" w:cs="宋体" w:eastAsia="宋体" w:hint="default"/>
          <w:sz w:val="18"/>
          <w:szCs w:val="18"/>
        </w:rPr>
      </w:pP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年度，公司围绕董事会制定的发展规划和经营计划，努力稳定和扩大市场占有率，持续改善和提</w:t>
      </w:r>
      <w:r>
        <w:rPr>
          <w:rFonts w:ascii="宋体" w:hAnsi="宋体" w:cs="宋体" w:eastAsia="宋体" w:hint="default"/>
          <w:w w:val="100"/>
          <w:sz w:val="21"/>
          <w:szCs w:val="21"/>
        </w:rPr>
        <w:t> </w:t>
      </w:r>
      <w:r>
        <w:rPr>
          <w:rFonts w:ascii="宋体" w:hAnsi="宋体" w:cs="宋体" w:eastAsia="宋体" w:hint="default"/>
          <w:spacing w:val="-2"/>
          <w:sz w:val="21"/>
          <w:szCs w:val="21"/>
        </w:rPr>
        <w:t>升产品质量，进一步加大研发投入，注重人才队伍建设，不断完善和提高公司治理水平，取得了一定的经</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营成效。但由于受到相关成本、费用的影响，公司业绩出现一定程度的下滑。</w:t>
      </w:r>
      <w:r>
        <w:rPr>
          <w:rFonts w:ascii="宋体" w:hAnsi="宋体" w:cs="宋体" w:eastAsia="宋体" w:hint="default"/>
          <w:w w:val="100"/>
          <w:sz w:val="21"/>
          <w:szCs w:val="21"/>
        </w:rPr>
        <w:t> </w:t>
      </w: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line="221"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 </w:t>
            </w:r>
            <w:r>
              <w:rPr>
                <w:rFonts w:ascii="宋体" w:hAnsi="宋体" w:cs="宋体" w:eastAsia="宋体" w:hint="default"/>
                <w:spacing w:val="2"/>
                <w:sz w:val="18"/>
                <w:szCs w:val="18"/>
              </w:rPr>
              <w:t> </w:t>
            </w:r>
            <w:r>
              <w:rPr>
                <w:rFonts w:ascii="宋体" w:hAnsi="宋体" w:cs="宋体" w:eastAsia="宋体" w:hint="default"/>
                <w:sz w:val="18"/>
                <w:szCs w:val="18"/>
              </w:rPr>
              <w:t>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88,489,163.18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38,345,122.01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84,894,094.08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59,096,136.68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111.55%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 </w:t>
            </w:r>
            <w:r>
              <w:rPr>
                <w:rFonts w:ascii="宋体" w:hAnsi="宋体" w:cs="宋体" w:eastAsia="宋体" w:hint="default"/>
                <w:spacing w:val="2"/>
                <w:sz w:val="18"/>
                <w:szCs w:val="18"/>
              </w:rPr>
              <w:t> </w:t>
            </w:r>
            <w:r>
              <w:rPr>
                <w:rFonts w:ascii="宋体" w:hAnsi="宋体" w:cs="宋体" w:eastAsia="宋体" w:hint="default"/>
                <w:sz w:val="18"/>
                <w:szCs w:val="18"/>
              </w:rPr>
              <w:t>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21,269,233.26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12,390,440.95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能源交通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20,614,952.09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10,743,173.37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-27.02%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97,993,284.65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61,467,279.24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支持与维护服</w:t>
            </w:r>
            <w:r>
              <w:rPr>
                <w:rFonts w:ascii="宋体" w:hAnsi="宋体" w:cs="宋体" w:eastAsia="宋体" w:hint="default"/>
                <w:w w:val="99"/>
                <w:sz w:val="18"/>
                <w:szCs w:val="18"/>
              </w:rPr>
              <w:t> </w:t>
            </w:r>
            <w:r>
              <w:rPr>
                <w:rFonts w:ascii="宋体" w:hAnsi="宋体" w:cs="宋体" w:eastAsia="宋体" w:hint="default"/>
                <w:sz w:val="18"/>
                <w:szCs w:val="18"/>
              </w:rPr>
              <w:t>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145,248,160.61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70,096,023.80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50,090,302.76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25,652,120.41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8,899,056.22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4,302,518.48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36,589,726.23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23,173,694.01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72,433,481.44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58,817,795.55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34.89%</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207,023,376.67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118,165,806.33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40,564,512.54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26,333,887.44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26,637,777.64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15,021,288.98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13,731,102.92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8,206,903.46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-11.8%</w:t>
            </w:r>
            <w:r>
              <w:rPr>
                <w:rFonts w:ascii="Times New Roman"/>
                <w:spacing w:val="-1"/>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11,721,865.94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5,975,493.42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13,237,485.64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8,169,647.29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344,605.91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169,125.33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8"/>
        <w:gridCol w:w="901"/>
        <w:gridCol w:w="1195"/>
        <w:gridCol w:w="1064"/>
        <w:gridCol w:w="797"/>
        <w:gridCol w:w="2919"/>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3" w:right="-3" w:firstLine="62"/>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8"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367,331,032.45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388,862,020.66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96,841,450.66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54,293,533.78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销售规模扩大所致</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23,869,065.91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28,946,180.38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72,977,857.79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59,352,293.70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1,216,716.84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2"/>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76"/>
        <w:gridCol w:w="1041"/>
        <w:gridCol w:w="1218"/>
        <w:gridCol w:w="1041"/>
        <w:gridCol w:w="808"/>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17"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6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6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8"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041" w:type="dxa"/>
            <w:vMerge/>
            <w:tcBorders>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1"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8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2"/>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3"/>
        <w:gridCol w:w="1513"/>
        <w:gridCol w:w="1512"/>
        <w:gridCol w:w="1512"/>
        <w:gridCol w:w="1514"/>
        <w:gridCol w:w="1513"/>
      </w:tblGrid>
      <w:tr>
        <w:trPr>
          <w:trHeight w:val="71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71" w:right="29"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1" w:hRule="exact"/>
        </w:trPr>
        <w:tc>
          <w:tcPr>
            <w:tcW w:w="200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692" w:lineRule="exact" w:before="31"/>
        <w:ind w:left="573" w:right="1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、公司竞争能力重大变化分析</w:t>
      </w:r>
      <w:r>
        <w:rPr>
          <w:rFonts w:ascii="宋体" w:hAnsi="宋体" w:cs="宋体" w:eastAsia="宋体" w:hint="default"/>
          <w:b/>
          <w:bCs/>
          <w:w w:val="100"/>
          <w:sz w:val="21"/>
          <w:szCs w:val="21"/>
        </w:rPr>
        <w:t> </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日成功在深圳交易所创业板挂牌上市后，公司形象、品牌知名度、内部管理水平</w:t>
      </w:r>
    </w:p>
    <w:p>
      <w:pPr>
        <w:pStyle w:val="BodyText"/>
        <w:spacing w:line="408" w:lineRule="auto" w:before="84"/>
        <w:ind w:right="102"/>
        <w:jc w:val="left"/>
      </w:pPr>
      <w:r>
        <w:rPr>
          <w:spacing w:val="-2"/>
        </w:rPr>
        <w:t>等都有了较大程度的提高，得益于公司不断增强的核心竞争力。报告期内，公司竞争能力无重大变化，基</w:t>
      </w:r>
      <w:r>
        <w:rPr>
          <w:spacing w:val="-44"/>
        </w:rPr>
        <w:t> </w:t>
      </w:r>
      <w:r>
        <w:rPr>
          <w:spacing w:val="-44"/>
        </w:rPr>
      </w:r>
      <w:r>
        <w:rPr/>
        <w:t>本情况如下：</w:t>
      </w:r>
    </w:p>
    <w:p>
      <w:pPr>
        <w:pStyle w:val="BodyText"/>
        <w:spacing w:line="240" w:lineRule="auto" w:before="46"/>
        <w:ind w:left="573" w:right="102"/>
        <w:jc w:val="left"/>
      </w:pPr>
      <w:r>
        <w:rPr/>
        <w:t>（</w:t>
      </w:r>
      <w:r>
        <w:rPr>
          <w:rFonts w:ascii="Times New Roman" w:hAnsi="Times New Roman" w:cs="Times New Roman" w:eastAsia="Times New Roman" w:hint="default"/>
        </w:rPr>
        <w:t>1</w:t>
      </w:r>
      <w:r>
        <w:rPr/>
        <w:t>）核心竞争力方面</w:t>
      </w:r>
    </w:p>
    <w:p>
      <w:pPr>
        <w:spacing w:line="386" w:lineRule="auto" w:before="177"/>
        <w:ind w:left="573" w:right="102" w:firstLine="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）客户长期稳定性优势</w:t>
      </w:r>
      <w:r>
        <w:rPr>
          <w:rFonts w:ascii="宋体" w:hAnsi="宋体" w:cs="宋体" w:eastAsia="宋体" w:hint="default"/>
          <w:b/>
          <w:bCs/>
          <w:w w:val="100"/>
          <w:sz w:val="21"/>
          <w:szCs w:val="21"/>
        </w:rPr>
        <w:t> </w:t>
      </w:r>
      <w:r>
        <w:rPr>
          <w:rFonts w:ascii="宋体" w:hAnsi="宋体" w:cs="宋体" w:eastAsia="宋体" w:hint="default"/>
          <w:sz w:val="21"/>
          <w:szCs w:val="21"/>
        </w:rPr>
        <w:t>公司的业务模式脱胎于传统增值代理的业务，将围绕设备销售的传统业务模式，转化为</w:t>
      </w:r>
      <w:r>
        <w:rPr>
          <w:rFonts w:ascii="Times New Roman" w:hAnsi="Times New Roman" w:cs="Times New Roman" w:eastAsia="Times New Roman" w:hint="default"/>
          <w:sz w:val="21"/>
          <w:szCs w:val="21"/>
        </w:rPr>
        <w:t>“</w:t>
      </w:r>
      <w:r>
        <w:rPr>
          <w:rFonts w:ascii="宋体" w:hAnsi="宋体" w:cs="宋体" w:eastAsia="宋体" w:hint="default"/>
          <w:sz w:val="21"/>
          <w:szCs w:val="21"/>
        </w:rPr>
        <w:t>自主创新、</w:t>
      </w:r>
    </w:p>
    <w:p>
      <w:pPr>
        <w:pStyle w:val="BodyText"/>
        <w:spacing w:line="386" w:lineRule="auto" w:before="35"/>
        <w:ind w:right="102"/>
        <w:jc w:val="left"/>
      </w:pPr>
      <w:r>
        <w:rPr>
          <w:spacing w:val="-2"/>
        </w:rPr>
        <w:t>专业服务、长期服务</w:t>
      </w:r>
      <w:r>
        <w:rPr>
          <w:rFonts w:ascii="Times New Roman" w:hAnsi="Times New Roman" w:cs="Times New Roman" w:eastAsia="Times New Roman" w:hint="default"/>
          <w:spacing w:val="-2"/>
        </w:rPr>
        <w:t>”</w:t>
      </w:r>
      <w:r>
        <w:rPr>
          <w:spacing w:val="-2"/>
        </w:rPr>
        <w:t>的新业务模式，为客户实现降低成本、高效运维的价值。随着公司服务形象的提升，</w:t>
      </w:r>
      <w:r>
        <w:rPr>
          <w:spacing w:val="-30"/>
        </w:rPr>
        <w:t> </w:t>
      </w:r>
      <w:r>
        <w:rPr>
          <w:spacing w:val="-30"/>
        </w:rPr>
      </w:r>
      <w:r>
        <w:rPr/>
        <w:t>公司的服务口碑得到了广泛的传播，公司的客户数量快速增长。</w:t>
      </w:r>
    </w:p>
    <w:p>
      <w:pPr>
        <w:pStyle w:val="BodyText"/>
        <w:spacing w:line="386" w:lineRule="auto" w:before="65"/>
        <w:ind w:left="633" w:right="102" w:firstLine="2"/>
        <w:jc w:val="left"/>
      </w:pPr>
      <w:r>
        <w:rPr>
          <w:rFonts w:ascii="Times New Roman" w:hAnsi="Times New Roman" w:cs="Times New Roman" w:eastAsia="Times New Roman" w:hint="default"/>
          <w:b/>
          <w:bCs/>
        </w:rPr>
        <w:t>2</w:t>
      </w:r>
      <w:r>
        <w:rPr>
          <w:rFonts w:ascii="宋体" w:hAnsi="宋体" w:cs="宋体" w:eastAsia="宋体" w:hint="default"/>
          <w:b/>
          <w:bCs/>
        </w:rPr>
        <w:t>）一站式服务优势</w:t>
      </w:r>
      <w:r>
        <w:rPr>
          <w:rFonts w:ascii="宋体" w:hAnsi="宋体" w:cs="宋体" w:eastAsia="宋体" w:hint="default"/>
          <w:b/>
          <w:bCs/>
          <w:w w:val="100"/>
        </w:rPr>
        <w:t> </w:t>
      </w:r>
      <w:r>
        <w:rPr>
          <w:spacing w:val="-3"/>
        </w:rPr>
        <w:t>随着信息化程度的提高，客户的数据中心越来越复杂，一站式服务是国内广大客户所欢迎的</w:t>
      </w:r>
      <w:r>
        <w:rPr>
          <w:rFonts w:ascii="Times New Roman" w:hAnsi="Times New Roman" w:cs="Times New Roman" w:eastAsia="Times New Roman" w:hint="default"/>
          <w:spacing w:val="-3"/>
        </w:rPr>
        <w:t>IT</w:t>
      </w:r>
      <w:r>
        <w:rPr>
          <w:spacing w:val="-3"/>
        </w:rPr>
        <w:t>服务方</w:t>
      </w:r>
    </w:p>
    <w:p>
      <w:pPr>
        <w:pStyle w:val="BodyText"/>
        <w:spacing w:line="386" w:lineRule="auto" w:before="35"/>
        <w:ind w:left="633" w:right="102" w:hanging="481"/>
        <w:jc w:val="left"/>
      </w:pPr>
      <w:r>
        <w:rPr/>
        <w:t>式，而公司是目前国内少数有能力并有规模提供此类服务的专业化第三方</w:t>
      </w:r>
      <w:r>
        <w:rPr>
          <w:rFonts w:ascii="Times New Roman" w:hAnsi="Times New Roman" w:cs="Times New Roman" w:eastAsia="Times New Roman" w:hint="default"/>
        </w:rPr>
        <w:t>IT</w:t>
      </w:r>
      <w:r>
        <w:rPr/>
        <w:t>服务商之一。</w:t>
      </w:r>
      <w:r>
        <w:rPr>
          <w:w w:val="100"/>
        </w:rPr>
        <w:t> </w:t>
      </w:r>
      <w:r>
        <w:rPr>
          <w:spacing w:val="-4"/>
        </w:rPr>
        <w:t>公司提供的一站式服务包括两个方面：一方面是多品牌跨平台一站式服务，主要指为不同硬件品牌和</w:t>
      </w:r>
    </w:p>
    <w:p>
      <w:pPr>
        <w:pStyle w:val="BodyText"/>
        <w:spacing w:line="408" w:lineRule="auto" w:before="65"/>
        <w:ind w:right="102"/>
        <w:jc w:val="left"/>
      </w:pPr>
      <w:r>
        <w:rPr>
          <w:spacing w:val="-2"/>
        </w:rPr>
        <w:t>不同软件平台所提供的综合性服务，区别于单一供应商提供的针对性服务；另一方面是多层次多种类一站</w:t>
      </w:r>
      <w:r>
        <w:rPr>
          <w:spacing w:val="-42"/>
        </w:rPr>
        <w:t> </w:t>
      </w:r>
      <w:r>
        <w:rPr>
          <w:spacing w:val="-42"/>
        </w:rPr>
      </w:r>
      <w:r>
        <w:rPr>
          <w:spacing w:val="-2"/>
        </w:rPr>
        <w:t>式服务，如定期设备和系统环境检查、技术支持响应、故障解决、部件更换等</w:t>
      </w:r>
      <w:r>
        <w:rPr>
          <w:rFonts w:ascii="Times New Roman" w:hAnsi="Times New Roman" w:cs="Times New Roman" w:eastAsia="Times New Roman" w:hint="default"/>
          <w:spacing w:val="-2"/>
        </w:rPr>
        <w:t>IT</w:t>
      </w:r>
      <w:r>
        <w:rPr>
          <w:spacing w:val="-2"/>
        </w:rPr>
        <w:t>支持与维护服务，结构调</w:t>
      </w:r>
    </w:p>
    <w:p>
      <w:pPr>
        <w:spacing w:after="0" w:line="408" w:lineRule="auto"/>
        <w:jc w:val="left"/>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102"/>
        <w:jc w:val="left"/>
      </w:pPr>
      <w:r>
        <w:rPr>
          <w:spacing w:val="-2"/>
        </w:rPr>
        <w:t>整、优化性能、设备搬迁、数据迁移等</w:t>
      </w:r>
      <w:r>
        <w:rPr>
          <w:rFonts w:ascii="Times New Roman" w:hAnsi="Times New Roman" w:cs="Times New Roman" w:eastAsia="Times New Roman" w:hint="default"/>
          <w:spacing w:val="-2"/>
        </w:rPr>
        <w:t>IT</w:t>
      </w:r>
      <w:r>
        <w:rPr>
          <w:spacing w:val="-2"/>
        </w:rPr>
        <w:t>专业服务及专人驻场、远程运维和系统托管运维等多种形式的</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29"/>
        </w:rPr>
        <w:t> </w:t>
      </w:r>
      <w:r>
        <w:rPr/>
        <w:t>外包服务。</w:t>
      </w:r>
    </w:p>
    <w:p>
      <w:pPr>
        <w:pStyle w:val="BodyText"/>
        <w:spacing w:line="408" w:lineRule="auto" w:before="65"/>
        <w:ind w:right="206" w:firstLine="420"/>
        <w:jc w:val="both"/>
      </w:pPr>
      <w:r>
        <w:rPr>
          <w:spacing w:val="-2"/>
        </w:rPr>
        <w:t>一站式服务优势体现在：增加公司业务的延展性，在已有客户中不断推广其他类的产品和服务，有利</w:t>
      </w:r>
      <w:r>
        <w:rPr>
          <w:w w:val="100"/>
        </w:rPr>
        <w:t> </w:t>
      </w:r>
      <w:r>
        <w:rPr/>
        <w:t>于提高客户的稳定性，提升公司的竞争力。</w:t>
      </w:r>
    </w:p>
    <w:p>
      <w:pPr>
        <w:pStyle w:val="BodyText"/>
        <w:spacing w:line="386" w:lineRule="auto" w:before="46"/>
        <w:ind w:left="573" w:right="102" w:firstLine="62"/>
        <w:jc w:val="left"/>
      </w:pPr>
      <w:r>
        <w:rPr>
          <w:rFonts w:ascii="Times New Roman" w:hAnsi="Times New Roman" w:cs="Times New Roman" w:eastAsia="Times New Roman" w:hint="default"/>
          <w:b/>
          <w:bCs/>
        </w:rPr>
        <w:t>3</w:t>
      </w:r>
      <w:r>
        <w:rPr>
          <w:rFonts w:ascii="宋体" w:hAnsi="宋体" w:cs="宋体" w:eastAsia="宋体" w:hint="default"/>
          <w:b/>
          <w:bCs/>
        </w:rPr>
        <w:t>）技术与经验优势</w:t>
      </w:r>
      <w:r>
        <w:rPr>
          <w:rFonts w:ascii="宋体" w:hAnsi="宋体" w:cs="宋体" w:eastAsia="宋体" w:hint="default"/>
          <w:b/>
          <w:bCs/>
          <w:w w:val="100"/>
        </w:rPr>
        <w:t> </w:t>
      </w:r>
      <w:r>
        <w:rPr>
          <w:spacing w:val="-2"/>
        </w:rPr>
        <w:t>公司一直把技术人才的持续培养和服务实施软件工具的研发作为提升公司竞争力的关键。公司在业务</w:t>
      </w:r>
    </w:p>
    <w:p>
      <w:pPr>
        <w:pStyle w:val="BodyText"/>
        <w:spacing w:line="403" w:lineRule="auto" w:before="65"/>
        <w:ind w:right="102"/>
        <w:jc w:val="left"/>
      </w:pPr>
      <w:r>
        <w:rPr>
          <w:spacing w:val="-2"/>
        </w:rPr>
        <w:t>快速成长过程中，为了解决市场上专业技术人才比较稀缺的困难，每年持续投入资金进行人员培训，搭建</w:t>
      </w:r>
      <w:r>
        <w:rPr>
          <w:spacing w:val="-44"/>
        </w:rPr>
        <w:t> </w:t>
      </w:r>
      <w:r>
        <w:rPr>
          <w:spacing w:val="-44"/>
        </w:rPr>
      </w:r>
      <w:r>
        <w:rPr/>
        <w:t>了各类试验设备环境供技术人员实战练习，并成立了专门机构负责公司发展所需各类人才的培养。同时，</w:t>
      </w:r>
      <w:r>
        <w:rPr>
          <w:w w:val="100"/>
        </w:rPr>
        <w:t> </w:t>
      </w:r>
      <w:r>
        <w:rPr>
          <w:spacing w:val="-2"/>
        </w:rPr>
        <w:t>每年还投入固定比例的资金进行专项研发，围绕行业发展的最新趋势，通过自主研发，拥有</w:t>
      </w:r>
      <w:r>
        <w:rPr>
          <w:rFonts w:ascii="Times New Roman" w:hAnsi="Times New Roman" w:cs="Times New Roman" w:eastAsia="Times New Roman" w:hint="default"/>
          <w:spacing w:val="-2"/>
        </w:rPr>
        <w:t>33</w:t>
      </w:r>
      <w:r>
        <w:rPr>
          <w:spacing w:val="-2"/>
        </w:rPr>
        <w:t>项计算机软</w:t>
      </w:r>
      <w:r>
        <w:rPr>
          <w:spacing w:val="-42"/>
        </w:rPr>
        <w:t> </w:t>
      </w:r>
      <w:r>
        <w:rPr>
          <w:spacing w:val="-42"/>
        </w:rPr>
      </w:r>
      <w:r>
        <w:rPr>
          <w:spacing w:val="-5"/>
        </w:rPr>
        <w:t>件著作权登记证书、掌握几十项核心技术，公司的软件产品及核心技术已大量应用于向客户提供的服务中， </w:t>
      </w:r>
      <w:r>
        <w:rPr>
          <w:spacing w:val="-5"/>
        </w:rPr>
      </w:r>
      <w:r>
        <w:rPr/>
        <w:t>增强了公司的业务整合能力和满足客户特殊需求的能力。</w:t>
      </w:r>
    </w:p>
    <w:p>
      <w:pPr>
        <w:pStyle w:val="Heading3"/>
        <w:spacing w:line="240" w:lineRule="auto" w:before="50"/>
        <w:ind w:left="635" w:right="102"/>
        <w:jc w:val="left"/>
        <w:rPr>
          <w:b w:val="0"/>
          <w:bCs w:val="0"/>
        </w:rPr>
      </w:pPr>
      <w:r>
        <w:rPr>
          <w:rFonts w:ascii="Times New Roman" w:hAnsi="Times New Roman" w:cs="Times New Roman" w:eastAsia="Times New Roman" w:hint="default"/>
        </w:rPr>
        <w:t>4</w:t>
      </w:r>
      <w:r>
        <w:rPr/>
        <w:t>）专业化管理优势</w:t>
      </w:r>
      <w:r>
        <w:rPr>
          <w:b w:val="0"/>
          <w:bCs w:val="0"/>
        </w:rPr>
      </w:r>
    </w:p>
    <w:p>
      <w:pPr>
        <w:pStyle w:val="BodyText"/>
        <w:spacing w:line="391" w:lineRule="auto" w:before="177"/>
        <w:ind w:right="206" w:firstLine="480"/>
        <w:jc w:val="both"/>
      </w:pPr>
      <w:r>
        <w:rPr/>
        <w:t>公司管理团队拥有良好的教育背景，公司的管理层及核心技术人员大多具有</w:t>
      </w:r>
      <w:r>
        <w:rPr>
          <w:rFonts w:ascii="Times New Roman" w:hAnsi="Times New Roman" w:cs="Times New Roman" w:eastAsia="Times New Roman" w:hint="default"/>
        </w:rPr>
        <w:t>IT</w:t>
      </w:r>
      <w:r>
        <w:rPr/>
        <w:t>知名跨国企业工作经</w:t>
      </w:r>
      <w:r>
        <w:rPr>
          <w:w w:val="100"/>
        </w:rPr>
        <w:t> </w:t>
      </w:r>
      <w:r>
        <w:rPr>
          <w:spacing w:val="-2"/>
        </w:rPr>
        <w:t>历，积累了丰富的管理和行业工作经验。公司的管理团队具有较强的创新意识、学习能力和执行能力，长</w:t>
      </w:r>
      <w:r>
        <w:rPr>
          <w:spacing w:val="-47"/>
        </w:rPr>
        <w:t> </w:t>
      </w:r>
      <w:r>
        <w:rPr>
          <w:spacing w:val="-47"/>
        </w:rPr>
      </w:r>
      <w:r>
        <w:rPr>
          <w:spacing w:val="-2"/>
        </w:rPr>
        <w:t>期稳定，多年来专注于数据中心的</w:t>
      </w:r>
      <w:r>
        <w:rPr>
          <w:rFonts w:ascii="Times New Roman" w:hAnsi="Times New Roman" w:cs="Times New Roman" w:eastAsia="Times New Roman" w:hint="default"/>
          <w:spacing w:val="-2"/>
        </w:rPr>
        <w:t>IT</w:t>
      </w:r>
      <w:r>
        <w:rPr>
          <w:spacing w:val="-2"/>
        </w:rPr>
        <w:t>基础设施服务领域，对市场发展有着前瞻性的把握，对业务模式进行</w:t>
      </w:r>
      <w:r>
        <w:rPr>
          <w:spacing w:val="-33"/>
        </w:rPr>
        <w:t> </w:t>
      </w:r>
      <w:r>
        <w:rPr>
          <w:spacing w:val="-33"/>
        </w:rPr>
      </w:r>
      <w:r>
        <w:rPr>
          <w:spacing w:val="-2"/>
        </w:rPr>
        <w:t>了改造创新，使公司较早进入</w:t>
      </w:r>
      <w:r>
        <w:rPr>
          <w:rFonts w:ascii="Times New Roman" w:hAnsi="Times New Roman" w:cs="Times New Roman" w:eastAsia="Times New Roman" w:hint="default"/>
          <w:spacing w:val="-2"/>
        </w:rPr>
        <w:t>IT</w:t>
      </w:r>
      <w:r>
        <w:rPr>
          <w:spacing w:val="-2"/>
        </w:rPr>
        <w:t>基础设施第三方服务市场。通过长期努力，使公司成为中国本土数据中心</w:t>
      </w:r>
      <w:r>
        <w:rPr>
          <w:spacing w:val="-28"/>
        </w:rPr>
        <w:t> </w:t>
      </w:r>
      <w:r>
        <w:rPr>
          <w:spacing w:val="-28"/>
        </w:rPr>
      </w:r>
      <w:r>
        <w:rPr>
          <w:rFonts w:ascii="Times New Roman" w:hAnsi="Times New Roman" w:cs="Times New Roman" w:eastAsia="Times New Roman" w:hint="default"/>
        </w:rPr>
        <w:t>IT</w:t>
      </w:r>
      <w:r>
        <w:rPr/>
        <w:t>基础设施第三方服务市场的领先者。</w:t>
      </w:r>
    </w:p>
    <w:p>
      <w:pPr>
        <w:pStyle w:val="BodyText"/>
        <w:spacing w:line="396" w:lineRule="auto" w:before="31"/>
        <w:ind w:right="206" w:firstLine="420"/>
        <w:jc w:val="both"/>
      </w:pPr>
      <w:r>
        <w:rPr>
          <w:spacing w:val="-2"/>
        </w:rPr>
        <w:t>公司专业化管理保证了公司的服务质量。公司通过多年积累，建立了符合客户要求的标准化服务流程</w:t>
      </w:r>
      <w:r>
        <w:rPr>
          <w:w w:val="100"/>
        </w:rPr>
        <w:t> </w:t>
      </w:r>
      <w:r>
        <w:rPr>
          <w:spacing w:val="-4"/>
        </w:rPr>
        <w:t>和完善的服务体系。凭借自主研发的</w:t>
      </w:r>
      <w:r>
        <w:rPr>
          <w:rFonts w:ascii="Times New Roman" w:hAnsi="Times New Roman" w:cs="Times New Roman" w:eastAsia="Times New Roman" w:hint="default"/>
          <w:spacing w:val="-4"/>
        </w:rPr>
        <w:t>ITSM</w:t>
      </w:r>
      <w:r>
        <w:rPr>
          <w:spacing w:val="-4"/>
        </w:rPr>
        <w:t>服务流程管理系统，及时响应客户的服务需求，并将客户信息管</w:t>
      </w:r>
      <w:r>
        <w:rPr>
          <w:spacing w:val="-29"/>
        </w:rPr>
        <w:t> </w:t>
      </w:r>
      <w:r>
        <w:rPr>
          <w:spacing w:val="-29"/>
        </w:rPr>
      </w:r>
      <w:r>
        <w:rPr>
          <w:spacing w:val="-2"/>
        </w:rPr>
        <w:t>理、设备维保管理、接单派单调度等环节整合到统一的体系中，对所涉及到的人员、技术、流程等多种服</w:t>
      </w:r>
      <w:r>
        <w:rPr>
          <w:spacing w:val="-43"/>
        </w:rPr>
        <w:t> </w:t>
      </w:r>
      <w:r>
        <w:rPr>
          <w:spacing w:val="-43"/>
        </w:rPr>
      </w:r>
      <w:r>
        <w:rPr>
          <w:spacing w:val="-3"/>
        </w:rPr>
        <w:t>务资源进行全面、精准、高效的管理；公司建立了完善的客户满意度评估和服务保障机制，拥有</w:t>
      </w:r>
      <w:r>
        <w:rPr>
          <w:rFonts w:ascii="Times New Roman" w:hAnsi="Times New Roman" w:cs="Times New Roman" w:eastAsia="Times New Roman" w:hint="default"/>
          <w:spacing w:val="-3"/>
        </w:rPr>
        <w:t>7×24</w:t>
      </w:r>
      <w:r>
        <w:rPr>
          <w:spacing w:val="-3"/>
        </w:rPr>
        <w:t>小时</w:t>
      </w:r>
      <w:r>
        <w:rPr>
          <w:spacing w:val="-9"/>
        </w:rPr>
        <w:t> </w:t>
      </w:r>
      <w:r>
        <w:rPr>
          <w:spacing w:val="-2"/>
        </w:rPr>
        <w:t>全天候运作的</w:t>
      </w:r>
      <w:r>
        <w:rPr>
          <w:rFonts w:ascii="Times New Roman" w:hAnsi="Times New Roman" w:cs="Times New Roman" w:eastAsia="Times New Roman" w:hint="default"/>
          <w:spacing w:val="-2"/>
        </w:rPr>
        <w:t>800/400</w:t>
      </w:r>
      <w:r>
        <w:rPr>
          <w:spacing w:val="-2"/>
        </w:rPr>
        <w:t>呼叫中心，促使服务实施质量不断提升。公司已取得</w:t>
      </w:r>
      <w:r>
        <w:rPr>
          <w:rFonts w:ascii="Times New Roman" w:hAnsi="Times New Roman" w:cs="Times New Roman" w:eastAsia="Times New Roman" w:hint="default"/>
          <w:spacing w:val="-2"/>
        </w:rPr>
        <w:t>ISO9000</w:t>
      </w:r>
      <w:r>
        <w:rPr>
          <w:spacing w:val="-2"/>
        </w:rPr>
        <w:t>、</w:t>
      </w:r>
      <w:r>
        <w:rPr>
          <w:rFonts w:ascii="Times New Roman" w:hAnsi="Times New Roman" w:cs="Times New Roman" w:eastAsia="Times New Roman" w:hint="default"/>
          <w:spacing w:val="-2"/>
        </w:rPr>
        <w:t>20000</w:t>
      </w:r>
      <w:r>
        <w:rPr>
          <w:spacing w:val="-2"/>
        </w:rPr>
        <w:t>、</w:t>
      </w:r>
      <w:r>
        <w:rPr>
          <w:rFonts w:ascii="Times New Roman" w:hAnsi="Times New Roman" w:cs="Times New Roman" w:eastAsia="Times New Roman" w:hint="default"/>
          <w:spacing w:val="-2"/>
        </w:rPr>
        <w:t>27001</w:t>
      </w:r>
      <w:r>
        <w:rPr>
          <w:spacing w:val="-2"/>
        </w:rPr>
        <w:t>、</w:t>
      </w:r>
      <w:r>
        <w:rPr>
          <w:rFonts w:ascii="Times New Roman" w:hAnsi="Times New Roman" w:cs="Times New Roman" w:eastAsia="Times New Roman" w:hint="default"/>
          <w:spacing w:val="-2"/>
        </w:rPr>
        <w:t>ITSS</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及</w:t>
      </w:r>
      <w:r>
        <w:rPr>
          <w:rFonts w:ascii="Times New Roman" w:hAnsi="Times New Roman" w:cs="Times New Roman" w:eastAsia="Times New Roman" w:hint="default"/>
        </w:rPr>
        <w:t>CMMI</w:t>
      </w:r>
      <w:r>
        <w:rPr/>
        <w:t>三级的资质认证。</w:t>
      </w:r>
    </w:p>
    <w:p>
      <w:pPr>
        <w:spacing w:line="386" w:lineRule="auto" w:before="26"/>
        <w:ind w:left="573" w:right="102" w:firstLine="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）行业地位与品牌优势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公司较早进入并长期专注于数据中心</w:t>
      </w:r>
      <w:r>
        <w:rPr>
          <w:rFonts w:ascii="Times New Roman" w:hAnsi="Times New Roman" w:cs="Times New Roman" w:eastAsia="Times New Roman" w:hint="default"/>
          <w:spacing w:val="-2"/>
          <w:sz w:val="21"/>
          <w:szCs w:val="21"/>
        </w:rPr>
        <w:t>IT</w:t>
      </w:r>
      <w:r>
        <w:rPr>
          <w:rFonts w:ascii="宋体" w:hAnsi="宋体" w:cs="宋体" w:eastAsia="宋体" w:hint="default"/>
          <w:spacing w:val="-2"/>
          <w:sz w:val="21"/>
          <w:szCs w:val="21"/>
        </w:rPr>
        <w:t>基础设施第三方服务市场，在中国数据中心</w:t>
      </w:r>
      <w:r>
        <w:rPr>
          <w:rFonts w:ascii="Times New Roman" w:hAnsi="Times New Roman" w:cs="Times New Roman" w:eastAsia="Times New Roman" w:hint="default"/>
          <w:spacing w:val="-2"/>
          <w:sz w:val="21"/>
          <w:szCs w:val="21"/>
        </w:rPr>
        <w:t>IT</w:t>
      </w:r>
      <w:r>
        <w:rPr>
          <w:rFonts w:ascii="宋体" w:hAnsi="宋体" w:cs="宋体" w:eastAsia="宋体" w:hint="default"/>
          <w:spacing w:val="-2"/>
          <w:sz w:val="21"/>
          <w:szCs w:val="21"/>
        </w:rPr>
        <w:t>基础设施第三方</w:t>
      </w:r>
    </w:p>
    <w:p>
      <w:pPr>
        <w:pStyle w:val="BodyText"/>
        <w:spacing w:line="386" w:lineRule="auto" w:before="36"/>
        <w:ind w:right="206"/>
        <w:jc w:val="both"/>
      </w:pPr>
      <w:r>
        <w:rPr>
          <w:spacing w:val="-2"/>
        </w:rPr>
        <w:t>服务公司排名中居于前列。公司已经完成必要的专业团队建设、</w:t>
      </w:r>
      <w:r>
        <w:rPr>
          <w:rFonts w:ascii="Times New Roman" w:hAnsi="Times New Roman" w:cs="Times New Roman" w:eastAsia="Times New Roman" w:hint="default"/>
          <w:spacing w:val="-2"/>
        </w:rPr>
        <w:t>IT</w:t>
      </w:r>
      <w:r>
        <w:rPr>
          <w:spacing w:val="-2"/>
        </w:rPr>
        <w:t>基础设施管理和技术实施软件工具开发</w:t>
      </w:r>
      <w:r>
        <w:rPr>
          <w:spacing w:val="-30"/>
        </w:rPr>
        <w:t> </w:t>
      </w:r>
      <w:r>
        <w:rPr>
          <w:spacing w:val="-30"/>
        </w:rPr>
      </w:r>
      <w:r>
        <w:rPr>
          <w:spacing w:val="-2"/>
        </w:rPr>
        <w:t>能力、大型客户成功案例的积累，而行业的后进入者需要较长时间才能完成上述积累。目前</w:t>
      </w:r>
      <w:r>
        <w:rPr>
          <w:rFonts w:ascii="Times New Roman" w:hAnsi="Times New Roman" w:cs="Times New Roman" w:eastAsia="Times New Roman" w:hint="default"/>
          <w:spacing w:val="-2"/>
        </w:rPr>
        <w:t>“</w:t>
      </w:r>
      <w:r>
        <w:rPr>
          <w:spacing w:val="-2"/>
        </w:rPr>
        <w:t>天玑科技</w:t>
      </w:r>
      <w:r>
        <w:rPr>
          <w:rFonts w:ascii="Times New Roman" w:hAnsi="Times New Roman" w:cs="Times New Roman" w:eastAsia="Times New Roman" w:hint="default"/>
          <w:spacing w:val="-2"/>
        </w:rPr>
        <w:t>”</w:t>
      </w:r>
      <w:r>
        <w:rPr>
          <w:spacing w:val="-2"/>
        </w:rPr>
        <w:t>品</w:t>
      </w:r>
      <w:r>
        <w:rPr>
          <w:spacing w:val="-17"/>
        </w:rPr>
        <w:t> </w:t>
      </w:r>
      <w:r>
        <w:rPr/>
        <w:t>牌在数据中心</w:t>
      </w:r>
      <w:r>
        <w:rPr>
          <w:rFonts w:ascii="Times New Roman" w:hAnsi="Times New Roman" w:cs="Times New Roman" w:eastAsia="Times New Roman" w:hint="default"/>
        </w:rPr>
        <w:t>IT</w:t>
      </w:r>
      <w:r>
        <w:rPr/>
        <w:t>基础设施第三方服务市场已树立良好的品牌形象。</w:t>
      </w:r>
    </w:p>
    <w:p>
      <w:pPr>
        <w:pStyle w:val="BodyText"/>
        <w:spacing w:line="240" w:lineRule="auto" w:before="35"/>
        <w:ind w:left="573" w:right="102"/>
        <w:jc w:val="left"/>
      </w:pPr>
      <w:r>
        <w:rPr/>
        <w:t>（</w:t>
      </w:r>
      <w:r>
        <w:rPr>
          <w:rFonts w:ascii="Times New Roman" w:hAnsi="Times New Roman" w:cs="Times New Roman" w:eastAsia="Times New Roman" w:hint="default"/>
        </w:rPr>
        <w:t>2</w:t>
      </w:r>
      <w:r>
        <w:rPr/>
        <w:t>）无形资产情况</w:t>
      </w:r>
    </w:p>
    <w:p>
      <w:pPr>
        <w:pStyle w:val="BodyText"/>
        <w:spacing w:line="240" w:lineRule="auto" w:before="177"/>
        <w:ind w:left="573" w:right="102"/>
        <w:jc w:val="left"/>
      </w:pPr>
      <w:r>
        <w:rPr>
          <w:rFonts w:ascii="Times New Roman" w:hAnsi="Times New Roman" w:cs="Times New Roman" w:eastAsia="Times New Roman" w:hint="default"/>
        </w:rPr>
        <w:t>1</w:t>
      </w:r>
      <w:r>
        <w:rPr/>
        <w:t>）土地使用权</w:t>
      </w:r>
    </w:p>
    <w:p>
      <w:pPr>
        <w:spacing w:after="0" w:line="240" w:lineRule="auto"/>
        <w:jc w:val="left"/>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t>截至报告期末，公司拥有土地使用权一宗，具体情况如下：</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853"/>
        <w:gridCol w:w="1136"/>
        <w:gridCol w:w="1133"/>
        <w:gridCol w:w="1560"/>
        <w:gridCol w:w="1560"/>
        <w:gridCol w:w="1558"/>
      </w:tblGrid>
      <w:tr>
        <w:trPr>
          <w:trHeight w:val="514" w:hRule="exact"/>
        </w:trPr>
        <w:tc>
          <w:tcPr>
            <w:tcW w:w="1853"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sz w:val="21"/>
                <w:szCs w:val="21"/>
              </w:rPr>
              <w:t>证号</w:t>
            </w:r>
          </w:p>
        </w:tc>
        <w:tc>
          <w:tcPr>
            <w:tcW w:w="113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13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left="-1" w:right="0"/>
              <w:jc w:val="left"/>
              <w:rPr>
                <w:rFonts w:ascii="宋体" w:hAnsi="宋体" w:cs="宋体" w:eastAsia="宋体" w:hint="default"/>
                <w:sz w:val="21"/>
                <w:szCs w:val="21"/>
              </w:rPr>
            </w:pPr>
            <w:r>
              <w:rPr>
                <w:rFonts w:ascii="宋体" w:hAnsi="宋体" w:cs="宋体" w:eastAsia="宋体" w:hint="default"/>
                <w:sz w:val="21"/>
                <w:szCs w:val="21"/>
              </w:rPr>
              <w:t>取得方式</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土地位置</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right="0"/>
              <w:jc w:val="left"/>
              <w:rPr>
                <w:rFonts w:ascii="宋体" w:hAnsi="宋体" w:cs="宋体" w:eastAsia="宋体" w:hint="default"/>
                <w:sz w:val="21"/>
                <w:szCs w:val="21"/>
              </w:rPr>
            </w:pPr>
            <w:r>
              <w:rPr>
                <w:rFonts w:ascii="宋体" w:hAnsi="宋体" w:cs="宋体" w:eastAsia="宋体" w:hint="default"/>
                <w:sz w:val="21"/>
                <w:szCs w:val="21"/>
              </w:rPr>
              <w:t>终止日期</w:t>
            </w:r>
          </w:p>
        </w:tc>
        <w:tc>
          <w:tcPr>
            <w:tcW w:w="155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right="0"/>
              <w:jc w:val="left"/>
              <w:rPr>
                <w:rFonts w:ascii="宋体" w:hAnsi="宋体" w:cs="宋体" w:eastAsia="宋体" w:hint="default"/>
                <w:sz w:val="21"/>
                <w:szCs w:val="21"/>
              </w:rPr>
            </w:pPr>
            <w:r>
              <w:rPr>
                <w:rFonts w:ascii="宋体" w:hAnsi="宋体" w:cs="宋体" w:eastAsia="宋体" w:hint="default"/>
                <w:sz w:val="21"/>
                <w:szCs w:val="21"/>
              </w:rPr>
              <w:t>土地面积</w:t>
            </w:r>
          </w:p>
        </w:tc>
      </w:tr>
      <w:tr>
        <w:trPr>
          <w:trHeight w:val="977" w:hRule="exact"/>
        </w:trPr>
        <w:tc>
          <w:tcPr>
            <w:tcW w:w="1853" w:type="dxa"/>
            <w:tcBorders>
              <w:top w:val="single" w:sz="12" w:space="0" w:color="000000"/>
              <w:left w:val="single" w:sz="6" w:space="0" w:color="000000"/>
              <w:bottom w:val="single" w:sz="12" w:space="0" w:color="000000"/>
              <w:right w:val="single" w:sz="8" w:space="0" w:color="000000"/>
            </w:tcBorders>
          </w:tcPr>
          <w:p>
            <w:pPr>
              <w:pStyle w:val="TableParagraph"/>
              <w:spacing w:line="386" w:lineRule="auto" w:before="64"/>
              <w:ind w:left="4" w:right="-22"/>
              <w:jc w:val="left"/>
              <w:rPr>
                <w:rFonts w:ascii="宋体" w:hAnsi="宋体" w:cs="宋体" w:eastAsia="宋体" w:hint="default"/>
                <w:sz w:val="21"/>
                <w:szCs w:val="21"/>
              </w:rPr>
            </w:pPr>
            <w:r>
              <w:rPr>
                <w:rFonts w:ascii="宋体" w:hAnsi="宋体" w:cs="宋体" w:eastAsia="宋体" w:hint="default"/>
                <w:spacing w:val="-5"/>
                <w:sz w:val="21"/>
                <w:szCs w:val="21"/>
              </w:rPr>
              <w:t>沪房地青字（</w:t>
            </w:r>
            <w:r>
              <w:rPr>
                <w:rFonts w:ascii="Times New Roman" w:hAnsi="Times New Roman" w:cs="Times New Roman" w:eastAsia="Times New Roman" w:hint="default"/>
                <w:spacing w:val="-5"/>
                <w:sz w:val="21"/>
                <w:szCs w:val="21"/>
              </w:rPr>
              <w:t>2012</w:t>
            </w:r>
            <w:r>
              <w:rPr>
                <w:rFonts w:ascii="宋体" w:hAnsi="宋体" w:cs="宋体" w:eastAsia="宋体" w:hint="default"/>
                <w:spacing w:val="-5"/>
                <w:sz w:val="21"/>
                <w:szCs w:val="21"/>
              </w:rPr>
              <w:t>）</w:t>
            </w:r>
            <w:r>
              <w:rPr>
                <w:rFonts w:ascii="宋体" w:hAnsi="宋体" w:cs="宋体" w:eastAsia="宋体" w:hint="default"/>
                <w:spacing w:val="-91"/>
                <w:sz w:val="21"/>
                <w:szCs w:val="21"/>
              </w:rPr>
              <w:t> </w:t>
            </w:r>
            <w:r>
              <w:rPr>
                <w:rFonts w:ascii="宋体" w:hAnsi="宋体" w:cs="宋体" w:eastAsia="宋体" w:hint="default"/>
                <w:sz w:val="21"/>
                <w:szCs w:val="21"/>
              </w:rPr>
              <w:t>第</w:t>
            </w:r>
            <w:r>
              <w:rPr>
                <w:rFonts w:ascii="Times New Roman" w:hAnsi="Times New Roman" w:cs="Times New Roman" w:eastAsia="Times New Roman" w:hint="default"/>
                <w:sz w:val="21"/>
                <w:szCs w:val="21"/>
              </w:rPr>
              <w:t>007616</w:t>
            </w:r>
            <w:r>
              <w:rPr>
                <w:rFonts w:ascii="宋体" w:hAnsi="宋体" w:cs="宋体" w:eastAsia="宋体" w:hint="default"/>
                <w:sz w:val="21"/>
                <w:szCs w:val="21"/>
              </w:rPr>
              <w:t>号</w:t>
            </w:r>
          </w:p>
        </w:tc>
        <w:tc>
          <w:tcPr>
            <w:tcW w:w="1136" w:type="dxa"/>
            <w:tcBorders>
              <w:top w:val="single" w:sz="12" w:space="0" w:color="000000"/>
              <w:left w:val="single" w:sz="8" w:space="0" w:color="000000"/>
              <w:bottom w:val="single" w:sz="12" w:space="0" w:color="000000"/>
              <w:right w:val="single" w:sz="8" w:space="0" w:color="000000"/>
            </w:tcBorders>
          </w:tcPr>
          <w:p>
            <w:pPr>
              <w:pStyle w:val="TableParagraph"/>
              <w:spacing w:line="408" w:lineRule="auto" w:before="64"/>
              <w:ind w:left="2" w:right="-1"/>
              <w:jc w:val="left"/>
              <w:rPr>
                <w:rFonts w:ascii="宋体" w:hAnsi="宋体" w:cs="宋体" w:eastAsia="宋体" w:hint="default"/>
                <w:sz w:val="21"/>
                <w:szCs w:val="21"/>
              </w:rPr>
            </w:pPr>
            <w:r>
              <w:rPr>
                <w:rFonts w:ascii="宋体" w:hAnsi="宋体" w:cs="宋体" w:eastAsia="宋体" w:hint="default"/>
                <w:spacing w:val="10"/>
                <w:sz w:val="21"/>
                <w:szCs w:val="21"/>
              </w:rPr>
              <w:t>国有建设用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地使用权</w:t>
            </w:r>
          </w:p>
        </w:tc>
        <w:tc>
          <w:tcPr>
            <w:tcW w:w="113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4"/>
              <w:ind w:left="-1" w:right="0"/>
              <w:jc w:val="left"/>
              <w:rPr>
                <w:rFonts w:ascii="宋体" w:hAnsi="宋体" w:cs="宋体" w:eastAsia="宋体" w:hint="default"/>
                <w:sz w:val="21"/>
                <w:szCs w:val="21"/>
              </w:rPr>
            </w:pPr>
            <w:r>
              <w:rPr>
                <w:rFonts w:ascii="宋体" w:hAnsi="宋体" w:cs="宋体" w:eastAsia="宋体" w:hint="default"/>
                <w:sz w:val="21"/>
                <w:szCs w:val="21"/>
              </w:rPr>
              <w:t>转让取得</w:t>
            </w:r>
          </w:p>
        </w:tc>
        <w:tc>
          <w:tcPr>
            <w:tcW w:w="15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4"/>
              <w:ind w:left="2" w:right="-1"/>
              <w:jc w:val="left"/>
              <w:rPr>
                <w:rFonts w:ascii="宋体" w:hAnsi="宋体" w:cs="宋体" w:eastAsia="宋体" w:hint="default"/>
                <w:sz w:val="21"/>
                <w:szCs w:val="21"/>
              </w:rPr>
            </w:pPr>
            <w:r>
              <w:rPr>
                <w:rFonts w:ascii="宋体" w:hAnsi="宋体" w:cs="宋体" w:eastAsia="宋体" w:hint="default"/>
                <w:spacing w:val="7"/>
                <w:sz w:val="21"/>
                <w:szCs w:val="21"/>
              </w:rPr>
              <w:t>青浦区青浦镇胜</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利村（</w:t>
            </w:r>
            <w:r>
              <w:rPr>
                <w:rFonts w:ascii="Times New Roman" w:hAnsi="Times New Roman" w:cs="Times New Roman" w:eastAsia="Times New Roman" w:hint="default"/>
                <w:sz w:val="21"/>
                <w:szCs w:val="21"/>
              </w:rPr>
              <w:t>10-8</w:t>
            </w:r>
            <w:r>
              <w:rPr>
                <w:rFonts w:ascii="宋体" w:hAnsi="宋体" w:cs="宋体" w:eastAsia="宋体" w:hint="default"/>
                <w:sz w:val="21"/>
                <w:szCs w:val="21"/>
              </w:rPr>
              <w:t>）丘</w:t>
            </w:r>
          </w:p>
        </w:tc>
        <w:tc>
          <w:tcPr>
            <w:tcW w:w="15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2052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155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18625.9</w:t>
            </w:r>
            <w:r>
              <w:rPr>
                <w:rFonts w:ascii="宋体" w:hAnsi="宋体" w:cs="宋体" w:eastAsia="宋体" w:hint="default"/>
                <w:sz w:val="21"/>
                <w:szCs w:val="21"/>
              </w:rPr>
              <w:t>平方米</w:t>
            </w:r>
          </w:p>
        </w:tc>
      </w:tr>
    </w:tbl>
    <w:p>
      <w:pPr>
        <w:pStyle w:val="BodyText"/>
        <w:spacing w:line="386" w:lineRule="auto" w:before="64"/>
        <w:ind w:left="573" w:right="0"/>
        <w:jc w:val="left"/>
      </w:pPr>
      <w:r>
        <w:rPr>
          <w:rFonts w:ascii="Times New Roman" w:hAnsi="Times New Roman" w:cs="Times New Roman" w:eastAsia="Times New Roman" w:hint="default"/>
        </w:rPr>
        <w:t>2</w:t>
      </w:r>
      <w:r>
        <w:rPr/>
        <w:t>）软件著作权</w:t>
      </w:r>
      <w:r>
        <w:rPr>
          <w:w w:val="100"/>
        </w:rPr>
        <w:t> </w:t>
      </w:r>
      <w:r>
        <w:rPr>
          <w:spacing w:val="-2"/>
        </w:rPr>
        <w:t>报告期内，公司新增</w:t>
      </w:r>
      <w:r>
        <w:rPr>
          <w:rFonts w:ascii="Times New Roman" w:hAnsi="Times New Roman" w:cs="Times New Roman" w:eastAsia="Times New Roman" w:hint="default"/>
          <w:spacing w:val="-2"/>
        </w:rPr>
        <w:t>10</w:t>
      </w:r>
      <w:r>
        <w:rPr>
          <w:spacing w:val="-2"/>
        </w:rPr>
        <w:t>项软件著作权，截止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日总计拥有</w:t>
      </w:r>
      <w:r>
        <w:rPr>
          <w:rFonts w:ascii="Times New Roman" w:hAnsi="Times New Roman" w:cs="Times New Roman" w:eastAsia="Times New Roman" w:hint="default"/>
          <w:spacing w:val="-2"/>
        </w:rPr>
        <w:t>33</w:t>
      </w:r>
      <w:r>
        <w:rPr>
          <w:spacing w:val="-2"/>
        </w:rPr>
        <w:t>项软件著作权。具体新增软件</w:t>
      </w:r>
    </w:p>
    <w:p>
      <w:pPr>
        <w:pStyle w:val="BodyText"/>
        <w:spacing w:line="240" w:lineRule="auto" w:before="35"/>
        <w:ind w:right="0"/>
        <w:jc w:val="left"/>
      </w:pPr>
      <w:r>
        <w:rPr/>
        <w:t>著作权如下：</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639"/>
        <w:gridCol w:w="2931"/>
        <w:gridCol w:w="1550"/>
        <w:gridCol w:w="1200"/>
        <w:gridCol w:w="1426"/>
        <w:gridCol w:w="1119"/>
      </w:tblGrid>
      <w:tr>
        <w:trPr>
          <w:trHeight w:val="509" w:hRule="exact"/>
        </w:trPr>
        <w:tc>
          <w:tcPr>
            <w:tcW w:w="6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left="6"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93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right="1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55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20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right="3"/>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42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left="273"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11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right="3"/>
              <w:jc w:val="center"/>
              <w:rPr>
                <w:rFonts w:ascii="宋体" w:hAnsi="宋体" w:cs="宋体" w:eastAsia="宋体" w:hint="default"/>
                <w:sz w:val="21"/>
                <w:szCs w:val="21"/>
              </w:rPr>
            </w:pPr>
            <w:r>
              <w:rPr>
                <w:rFonts w:ascii="宋体" w:hAnsi="宋体" w:cs="宋体" w:eastAsia="宋体" w:hint="default"/>
                <w:b/>
                <w:bCs/>
                <w:sz w:val="21"/>
                <w:szCs w:val="21"/>
              </w:rPr>
              <w:t>著作权人</w:t>
            </w:r>
            <w:r>
              <w:rPr>
                <w:rFonts w:ascii="宋体" w:hAnsi="宋体" w:cs="宋体" w:eastAsia="宋体" w:hint="default"/>
                <w:sz w:val="21"/>
                <w:szCs w:val="21"/>
              </w:rPr>
            </w:r>
          </w:p>
        </w:tc>
      </w:tr>
      <w:tr>
        <w:trPr>
          <w:trHeight w:val="977"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4"/>
              <w:ind w:left="7" w:right="0"/>
              <w:jc w:val="center"/>
              <w:rPr>
                <w:rFonts w:ascii="Times New Roman" w:hAnsi="Times New Roman" w:cs="Times New Roman" w:eastAsia="Times New Roman" w:hint="default"/>
                <w:sz w:val="21"/>
                <w:szCs w:val="21"/>
              </w:rPr>
            </w:pPr>
            <w:r>
              <w:rPr>
                <w:rFonts w:ascii="Times New Roman"/>
                <w:w w:val="100"/>
                <w:sz w:val="21"/>
              </w:rPr>
              <w:t>1</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7"/>
              <w:ind w:left="-5" w:right="0"/>
              <w:jc w:val="left"/>
              <w:rPr>
                <w:rFonts w:ascii="宋体" w:hAnsi="宋体" w:cs="宋体" w:eastAsia="宋体" w:hint="default"/>
                <w:sz w:val="21"/>
                <w:szCs w:val="21"/>
              </w:rPr>
            </w:pPr>
            <w:r>
              <w:rPr>
                <w:rFonts w:ascii="宋体" w:hAnsi="宋体" w:cs="宋体" w:eastAsia="宋体" w:hint="default"/>
                <w:sz w:val="21"/>
                <w:szCs w:val="21"/>
              </w:rPr>
              <w:t>天玑业务管理</w:t>
            </w:r>
            <w:r>
              <w:rPr>
                <w:rFonts w:ascii="Times New Roman" w:hAnsi="Times New Roman" w:cs="Times New Roman" w:eastAsia="Times New Roman" w:hint="default"/>
                <w:sz w:val="21"/>
                <w:szCs w:val="21"/>
              </w:rPr>
              <w:t>ERP+CRM</w:t>
            </w:r>
            <w:r>
              <w:rPr>
                <w:rFonts w:ascii="宋体" w:hAnsi="宋体" w:cs="宋体" w:eastAsia="宋体" w:hint="default"/>
                <w:sz w:val="21"/>
                <w:szCs w:val="21"/>
              </w:rPr>
              <w:t>软件</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 w:right="0"/>
              <w:jc w:val="left"/>
              <w:rPr>
                <w:rFonts w:ascii="Times New Roman" w:hAnsi="Times New Roman" w:cs="Times New Roman" w:eastAsia="Times New Roman" w:hint="default"/>
                <w:sz w:val="21"/>
                <w:szCs w:val="21"/>
              </w:rPr>
            </w:pPr>
            <w:r>
              <w:rPr>
                <w:rFonts w:ascii="Times New Roman"/>
                <w:sz w:val="21"/>
              </w:rPr>
              <w:t>V3.0</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4"/>
              <w:ind w:right="7"/>
              <w:jc w:val="center"/>
              <w:rPr>
                <w:rFonts w:ascii="Times New Roman" w:hAnsi="Times New Roman" w:cs="Times New Roman" w:eastAsia="Times New Roman" w:hint="default"/>
                <w:sz w:val="21"/>
                <w:szCs w:val="21"/>
              </w:rPr>
            </w:pPr>
            <w:r>
              <w:rPr>
                <w:rFonts w:ascii="Times New Roman"/>
                <w:sz w:val="21"/>
              </w:rPr>
              <w:t>2012SR120140</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7"/>
              <w:ind w:left="78"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4"/>
              <w:ind w:left="273" w:right="0"/>
              <w:jc w:val="left"/>
              <w:rPr>
                <w:rFonts w:ascii="Times New Roman" w:hAnsi="Times New Roman" w:cs="Times New Roman" w:eastAsia="Times New Roman" w:hint="default"/>
                <w:sz w:val="21"/>
                <w:szCs w:val="21"/>
              </w:rPr>
            </w:pPr>
            <w:r>
              <w:rPr>
                <w:rFonts w:ascii="Times New Roman"/>
                <w:sz w:val="21"/>
              </w:rPr>
              <w:t>2012.12.6</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7"/>
              <w:ind w:right="5"/>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509"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7" w:right="0"/>
              <w:jc w:val="center"/>
              <w:rPr>
                <w:rFonts w:ascii="Times New Roman" w:hAnsi="Times New Roman" w:cs="Times New Roman" w:eastAsia="Times New Roman" w:hint="default"/>
                <w:sz w:val="21"/>
                <w:szCs w:val="21"/>
              </w:rPr>
            </w:pPr>
            <w:r>
              <w:rPr>
                <w:rFonts w:ascii="Times New Roman"/>
                <w:w w:val="100"/>
                <w:sz w:val="21"/>
              </w:rPr>
              <w:t>2</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5" w:right="0"/>
              <w:jc w:val="left"/>
              <w:rPr>
                <w:rFonts w:ascii="宋体" w:hAnsi="宋体" w:cs="宋体" w:eastAsia="宋体" w:hint="default"/>
                <w:sz w:val="21"/>
                <w:szCs w:val="21"/>
              </w:rPr>
            </w:pPr>
            <w:r>
              <w:rPr>
                <w:rFonts w:ascii="宋体" w:hAnsi="宋体" w:cs="宋体" w:eastAsia="宋体" w:hint="default"/>
                <w:sz w:val="21"/>
                <w:szCs w:val="21"/>
              </w:rPr>
              <w:t>天玑自动巡检工具软件</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7"/>
              <w:jc w:val="center"/>
              <w:rPr>
                <w:rFonts w:ascii="Times New Roman" w:hAnsi="Times New Roman" w:cs="Times New Roman" w:eastAsia="Times New Roman" w:hint="default"/>
                <w:sz w:val="21"/>
                <w:szCs w:val="21"/>
              </w:rPr>
            </w:pPr>
            <w:r>
              <w:rPr>
                <w:rFonts w:ascii="Times New Roman"/>
                <w:sz w:val="21"/>
              </w:rPr>
              <w:t>2012SR121521</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left="220" w:right="0"/>
              <w:jc w:val="left"/>
              <w:rPr>
                <w:rFonts w:ascii="Times New Roman" w:hAnsi="Times New Roman" w:cs="Times New Roman" w:eastAsia="Times New Roman" w:hint="default"/>
                <w:sz w:val="21"/>
                <w:szCs w:val="21"/>
              </w:rPr>
            </w:pPr>
            <w:r>
              <w:rPr>
                <w:rFonts w:ascii="Times New Roman"/>
                <w:sz w:val="21"/>
              </w:rPr>
              <w:t>2012.12.10</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506"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w w:val="100"/>
                <w:sz w:val="21"/>
              </w:rPr>
              <w:t>3</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5" w:right="0"/>
              <w:jc w:val="left"/>
              <w:rPr>
                <w:rFonts w:ascii="宋体" w:hAnsi="宋体" w:cs="宋体" w:eastAsia="宋体" w:hint="default"/>
                <w:sz w:val="21"/>
                <w:szCs w:val="21"/>
              </w:rPr>
            </w:pPr>
            <w:r>
              <w:rPr>
                <w:rFonts w:ascii="宋体" w:hAnsi="宋体" w:cs="宋体" w:eastAsia="宋体" w:hint="default"/>
                <w:sz w:val="21"/>
                <w:szCs w:val="21"/>
              </w:rPr>
              <w:t>天玑</w:t>
            </w:r>
            <w:r>
              <w:rPr>
                <w:rFonts w:ascii="Times New Roman" w:hAnsi="Times New Roman" w:cs="Times New Roman" w:eastAsia="Times New Roman" w:hint="default"/>
                <w:sz w:val="21"/>
                <w:szCs w:val="21"/>
              </w:rPr>
              <w:t>IT</w:t>
            </w:r>
            <w:r>
              <w:rPr>
                <w:rFonts w:ascii="宋体" w:hAnsi="宋体" w:cs="宋体" w:eastAsia="宋体" w:hint="default"/>
                <w:sz w:val="21"/>
                <w:szCs w:val="21"/>
              </w:rPr>
              <w:t>服务流程管理软件</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7"/>
              <w:jc w:val="center"/>
              <w:rPr>
                <w:rFonts w:ascii="Times New Roman" w:hAnsi="Times New Roman" w:cs="Times New Roman" w:eastAsia="Times New Roman" w:hint="default"/>
                <w:sz w:val="21"/>
                <w:szCs w:val="21"/>
              </w:rPr>
            </w:pPr>
            <w:r>
              <w:rPr>
                <w:rFonts w:ascii="Times New Roman"/>
                <w:sz w:val="21"/>
              </w:rPr>
              <w:t>2012SR120027</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left="273" w:right="0"/>
              <w:jc w:val="left"/>
              <w:rPr>
                <w:rFonts w:ascii="Times New Roman" w:hAnsi="Times New Roman" w:cs="Times New Roman" w:eastAsia="Times New Roman" w:hint="default"/>
                <w:sz w:val="21"/>
                <w:szCs w:val="21"/>
              </w:rPr>
            </w:pPr>
            <w:r>
              <w:rPr>
                <w:rFonts w:ascii="Times New Roman"/>
                <w:sz w:val="21"/>
              </w:rPr>
              <w:t>2012.12.6</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977"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7" w:right="0"/>
              <w:jc w:val="center"/>
              <w:rPr>
                <w:rFonts w:ascii="Times New Roman" w:hAnsi="Times New Roman" w:cs="Times New Roman" w:eastAsia="Times New Roman" w:hint="default"/>
                <w:sz w:val="21"/>
                <w:szCs w:val="21"/>
              </w:rPr>
            </w:pPr>
            <w:r>
              <w:rPr>
                <w:rFonts w:ascii="Times New Roman"/>
                <w:w w:val="100"/>
                <w:sz w:val="21"/>
              </w:rPr>
              <w:t>4</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5" w:right="0"/>
              <w:jc w:val="left"/>
              <w:rPr>
                <w:rFonts w:ascii="宋体" w:hAnsi="宋体" w:cs="宋体" w:eastAsia="宋体" w:hint="default"/>
                <w:sz w:val="21"/>
                <w:szCs w:val="21"/>
              </w:rPr>
            </w:pPr>
            <w:r>
              <w:rPr>
                <w:rFonts w:ascii="宋体" w:hAnsi="宋体" w:cs="宋体" w:eastAsia="宋体" w:hint="default"/>
                <w:sz w:val="21"/>
                <w:szCs w:val="21"/>
              </w:rPr>
              <w:t>天玑</w:t>
            </w:r>
            <w:r>
              <w:rPr>
                <w:rFonts w:ascii="Times New Roman" w:hAnsi="Times New Roman" w:cs="Times New Roman" w:eastAsia="Times New Roman" w:hint="default"/>
                <w:sz w:val="21"/>
                <w:szCs w:val="21"/>
              </w:rPr>
              <w:t>IT</w:t>
            </w:r>
            <w:r>
              <w:rPr>
                <w:rFonts w:ascii="宋体" w:hAnsi="宋体" w:cs="宋体" w:eastAsia="宋体" w:hint="default"/>
                <w:sz w:val="21"/>
                <w:szCs w:val="21"/>
              </w:rPr>
              <w:t>服务管理移动应用软件</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 w:right="0"/>
              <w:jc w:val="left"/>
              <w:rPr>
                <w:rFonts w:ascii="Times New Roman" w:hAnsi="Times New Roman" w:cs="Times New Roman" w:eastAsia="Times New Roman" w:hint="default"/>
                <w:sz w:val="21"/>
                <w:szCs w:val="21"/>
              </w:rPr>
            </w:pPr>
            <w:r>
              <w:rPr>
                <w:rFonts w:ascii="Times New Roman"/>
                <w:sz w:val="21"/>
              </w:rPr>
              <w:t>V2.0</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7"/>
              <w:jc w:val="center"/>
              <w:rPr>
                <w:rFonts w:ascii="Times New Roman" w:hAnsi="Times New Roman" w:cs="Times New Roman" w:eastAsia="Times New Roman" w:hint="default"/>
                <w:sz w:val="21"/>
                <w:szCs w:val="21"/>
              </w:rPr>
            </w:pPr>
            <w:r>
              <w:rPr>
                <w:rFonts w:ascii="Times New Roman"/>
                <w:sz w:val="21"/>
              </w:rPr>
              <w:t>2012SR120024</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left="273" w:right="0"/>
              <w:jc w:val="left"/>
              <w:rPr>
                <w:rFonts w:ascii="Times New Roman" w:hAnsi="Times New Roman" w:cs="Times New Roman" w:eastAsia="Times New Roman" w:hint="default"/>
                <w:sz w:val="21"/>
                <w:szCs w:val="21"/>
              </w:rPr>
            </w:pPr>
            <w:r>
              <w:rPr>
                <w:rFonts w:ascii="Times New Roman"/>
                <w:sz w:val="21"/>
              </w:rPr>
              <w:t>2012.12.6</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509"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7" w:right="0"/>
              <w:jc w:val="center"/>
              <w:rPr>
                <w:rFonts w:ascii="Times New Roman" w:hAnsi="Times New Roman" w:cs="Times New Roman" w:eastAsia="Times New Roman" w:hint="default"/>
                <w:sz w:val="21"/>
                <w:szCs w:val="21"/>
              </w:rPr>
            </w:pPr>
            <w:r>
              <w:rPr>
                <w:rFonts w:ascii="Times New Roman"/>
                <w:w w:val="100"/>
                <w:sz w:val="21"/>
              </w:rPr>
              <w:t>5</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天玑系统与网络监控软件</w:t>
            </w:r>
            <w:r>
              <w:rPr>
                <w:rFonts w:ascii="Times New Roman" w:hAnsi="Times New Roman" w:cs="Times New Roman" w:eastAsia="Times New Roman" w:hint="default"/>
                <w:sz w:val="21"/>
                <w:szCs w:val="21"/>
              </w:rPr>
              <w:t>V4.0</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7"/>
              <w:jc w:val="center"/>
              <w:rPr>
                <w:rFonts w:ascii="Times New Roman" w:hAnsi="Times New Roman" w:cs="Times New Roman" w:eastAsia="Times New Roman" w:hint="default"/>
                <w:sz w:val="21"/>
                <w:szCs w:val="21"/>
              </w:rPr>
            </w:pPr>
            <w:r>
              <w:rPr>
                <w:rFonts w:ascii="Times New Roman"/>
                <w:sz w:val="21"/>
              </w:rPr>
              <w:t>2012SR121692</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left="220" w:right="0"/>
              <w:jc w:val="left"/>
              <w:rPr>
                <w:rFonts w:ascii="Times New Roman" w:hAnsi="Times New Roman" w:cs="Times New Roman" w:eastAsia="Times New Roman" w:hint="default"/>
                <w:sz w:val="21"/>
                <w:szCs w:val="21"/>
              </w:rPr>
            </w:pPr>
            <w:r>
              <w:rPr>
                <w:rFonts w:ascii="Times New Roman"/>
                <w:sz w:val="21"/>
              </w:rPr>
              <w:t>2012.12.10</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天玑科技</w:t>
            </w:r>
          </w:p>
        </w:tc>
      </w:tr>
      <w:tr>
        <w:trPr>
          <w:trHeight w:val="1056"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w w:val="100"/>
                <w:sz w:val="21"/>
              </w:rPr>
              <w:t>6</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386" w:lineRule="auto" w:before="105"/>
              <w:ind w:left="-5" w:right="5"/>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复深蓝</w:t>
            </w:r>
            <w:r>
              <w:rPr>
                <w:rFonts w:ascii="Times New Roman" w:hAnsi="Times New Roman" w:cs="Times New Roman" w:eastAsia="Times New Roman" w:hint="default"/>
                <w:spacing w:val="10"/>
                <w:sz w:val="21"/>
                <w:szCs w:val="21"/>
              </w:rPr>
              <w:t>IT</w:t>
            </w:r>
            <w:r>
              <w:rPr>
                <w:rFonts w:ascii="宋体" w:hAnsi="宋体" w:cs="宋体" w:eastAsia="宋体" w:hint="default"/>
                <w:spacing w:val="10"/>
                <w:sz w:val="21"/>
                <w:szCs w:val="21"/>
              </w:rPr>
              <w:t>部门常规作业协同管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理软件</w:t>
            </w:r>
            <w:r>
              <w:rPr>
                <w:rFonts w:ascii="Times New Roman" w:hAnsi="Times New Roman" w:cs="Times New Roman" w:eastAsia="Times New Roman" w:hint="default"/>
                <w:sz w:val="21"/>
                <w:szCs w:val="21"/>
              </w:rPr>
              <w:t>V1.0</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7"/>
              <w:jc w:val="center"/>
              <w:rPr>
                <w:rFonts w:ascii="Times New Roman" w:hAnsi="Times New Roman" w:cs="Times New Roman" w:eastAsia="Times New Roman" w:hint="default"/>
                <w:sz w:val="21"/>
                <w:szCs w:val="21"/>
              </w:rPr>
            </w:pPr>
            <w:r>
              <w:rPr>
                <w:rFonts w:ascii="Times New Roman"/>
                <w:sz w:val="21"/>
              </w:rPr>
              <w:t>2012SR121345</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left="220" w:right="0"/>
              <w:jc w:val="left"/>
              <w:rPr>
                <w:rFonts w:ascii="Times New Roman" w:hAnsi="Times New Roman" w:cs="Times New Roman" w:eastAsia="Times New Roman" w:hint="default"/>
                <w:sz w:val="21"/>
                <w:szCs w:val="21"/>
              </w:rPr>
            </w:pPr>
            <w:r>
              <w:rPr>
                <w:rFonts w:ascii="Times New Roman"/>
                <w:sz w:val="21"/>
              </w:rPr>
              <w:t>2012.12.10</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复深蓝</w:t>
            </w:r>
          </w:p>
        </w:tc>
      </w:tr>
      <w:tr>
        <w:trPr>
          <w:trHeight w:val="1056"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w w:val="100"/>
                <w:sz w:val="21"/>
              </w:rPr>
              <w:t>7</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5"/>
              <w:ind w:left="-5" w:right="0"/>
              <w:jc w:val="left"/>
              <w:rPr>
                <w:rFonts w:ascii="宋体" w:hAnsi="宋体" w:cs="宋体" w:eastAsia="宋体" w:hint="default"/>
                <w:sz w:val="21"/>
                <w:szCs w:val="21"/>
              </w:rPr>
            </w:pPr>
            <w:r>
              <w:rPr>
                <w:rFonts w:ascii="宋体" w:hAnsi="宋体" w:cs="宋体" w:eastAsia="宋体" w:hint="default"/>
                <w:spacing w:val="10"/>
                <w:sz w:val="21"/>
                <w:szCs w:val="21"/>
              </w:rPr>
              <w:t>复深蓝测试数据管理平台软件</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left"/>
              <w:rPr>
                <w:rFonts w:ascii="Times New Roman" w:hAnsi="Times New Roman" w:cs="Times New Roman" w:eastAsia="Times New Roman" w:hint="default"/>
                <w:sz w:val="21"/>
                <w:szCs w:val="21"/>
              </w:rPr>
            </w:pPr>
            <w:r>
              <w:rPr>
                <w:rFonts w:ascii="Times New Roman"/>
                <w:sz w:val="21"/>
              </w:rPr>
              <w:t>V1.0</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7"/>
              <w:jc w:val="center"/>
              <w:rPr>
                <w:rFonts w:ascii="Times New Roman" w:hAnsi="Times New Roman" w:cs="Times New Roman" w:eastAsia="Times New Roman" w:hint="default"/>
                <w:sz w:val="21"/>
                <w:szCs w:val="21"/>
              </w:rPr>
            </w:pPr>
            <w:r>
              <w:rPr>
                <w:rFonts w:ascii="Times New Roman"/>
                <w:sz w:val="21"/>
              </w:rPr>
              <w:t>2012SR121342</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left="220" w:right="0"/>
              <w:jc w:val="left"/>
              <w:rPr>
                <w:rFonts w:ascii="Times New Roman" w:hAnsi="Times New Roman" w:cs="Times New Roman" w:eastAsia="Times New Roman" w:hint="default"/>
                <w:sz w:val="21"/>
                <w:szCs w:val="21"/>
              </w:rPr>
            </w:pPr>
            <w:r>
              <w:rPr>
                <w:rFonts w:ascii="Times New Roman"/>
                <w:sz w:val="21"/>
              </w:rPr>
              <w:t>2012.12.10</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复深蓝</w:t>
            </w:r>
          </w:p>
        </w:tc>
      </w:tr>
      <w:tr>
        <w:trPr>
          <w:trHeight w:val="588"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w w:val="100"/>
                <w:sz w:val="21"/>
              </w:rPr>
              <w:t>8</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5"/>
              <w:ind w:left="-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复深蓝需求管理软件</w:t>
            </w:r>
            <w:r>
              <w:rPr>
                <w:rFonts w:ascii="Times New Roman" w:hAnsi="Times New Roman" w:cs="Times New Roman" w:eastAsia="Times New Roman" w:hint="default"/>
                <w:sz w:val="21"/>
                <w:szCs w:val="21"/>
              </w:rPr>
              <w:t>V1.0</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7"/>
              <w:jc w:val="center"/>
              <w:rPr>
                <w:rFonts w:ascii="Times New Roman" w:hAnsi="Times New Roman" w:cs="Times New Roman" w:eastAsia="Times New Roman" w:hint="default"/>
                <w:sz w:val="21"/>
                <w:szCs w:val="21"/>
              </w:rPr>
            </w:pPr>
            <w:r>
              <w:rPr>
                <w:rFonts w:ascii="Times New Roman"/>
                <w:sz w:val="21"/>
              </w:rPr>
              <w:t>2012SR121411</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left="220" w:right="0"/>
              <w:jc w:val="left"/>
              <w:rPr>
                <w:rFonts w:ascii="Times New Roman" w:hAnsi="Times New Roman" w:cs="Times New Roman" w:eastAsia="Times New Roman" w:hint="default"/>
                <w:sz w:val="21"/>
                <w:szCs w:val="21"/>
              </w:rPr>
            </w:pPr>
            <w:r>
              <w:rPr>
                <w:rFonts w:ascii="Times New Roman"/>
                <w:sz w:val="21"/>
              </w:rPr>
              <w:t>2012.12.10</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复深蓝</w:t>
            </w:r>
          </w:p>
        </w:tc>
      </w:tr>
      <w:tr>
        <w:trPr>
          <w:trHeight w:val="588"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w w:val="100"/>
                <w:sz w:val="21"/>
              </w:rPr>
              <w:t>9</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5"/>
              <w:ind w:left="-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复深蓝移动办公平台软件</w:t>
            </w:r>
            <w:r>
              <w:rPr>
                <w:rFonts w:ascii="Times New Roman" w:hAnsi="Times New Roman" w:cs="Times New Roman" w:eastAsia="Times New Roman" w:hint="default"/>
                <w:sz w:val="21"/>
                <w:szCs w:val="21"/>
              </w:rPr>
              <w:t>V1.0</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7"/>
              <w:jc w:val="center"/>
              <w:rPr>
                <w:rFonts w:ascii="Times New Roman" w:hAnsi="Times New Roman" w:cs="Times New Roman" w:eastAsia="Times New Roman" w:hint="default"/>
                <w:sz w:val="21"/>
                <w:szCs w:val="21"/>
              </w:rPr>
            </w:pPr>
            <w:r>
              <w:rPr>
                <w:rFonts w:ascii="Times New Roman"/>
                <w:sz w:val="21"/>
              </w:rPr>
              <w:t>2012SR121348</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left="220" w:right="0"/>
              <w:jc w:val="left"/>
              <w:rPr>
                <w:rFonts w:ascii="Times New Roman" w:hAnsi="Times New Roman" w:cs="Times New Roman" w:eastAsia="Times New Roman" w:hint="default"/>
                <w:sz w:val="21"/>
                <w:szCs w:val="21"/>
              </w:rPr>
            </w:pPr>
            <w:r>
              <w:rPr>
                <w:rFonts w:ascii="Times New Roman"/>
                <w:sz w:val="21"/>
              </w:rPr>
              <w:t>2012.12.10</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复深蓝</w:t>
            </w:r>
          </w:p>
        </w:tc>
      </w:tr>
      <w:tr>
        <w:trPr>
          <w:trHeight w:val="1056" w:hRule="exact"/>
        </w:trPr>
        <w:tc>
          <w:tcPr>
            <w:tcW w:w="63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10</w:t>
            </w:r>
          </w:p>
        </w:tc>
        <w:tc>
          <w:tcPr>
            <w:tcW w:w="29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5"/>
              <w:ind w:left="-5" w:right="-29"/>
              <w:jc w:val="left"/>
              <w:rPr>
                <w:rFonts w:ascii="宋体" w:hAnsi="宋体" w:cs="宋体" w:eastAsia="宋体" w:hint="default"/>
                <w:sz w:val="21"/>
                <w:szCs w:val="21"/>
              </w:rPr>
            </w:pPr>
            <w:r>
              <w:rPr>
                <w:rFonts w:ascii="宋体" w:hAnsi="宋体" w:cs="宋体" w:eastAsia="宋体" w:hint="default"/>
                <w:spacing w:val="28"/>
                <w:sz w:val="21"/>
                <w:szCs w:val="21"/>
              </w:rPr>
              <w:t>复深蓝云资源管理平台</w:t>
            </w:r>
            <w:r>
              <w:rPr>
                <w:rFonts w:ascii="宋体" w:hAnsi="宋体" w:cs="宋体" w:eastAsia="宋体" w:hint="default"/>
                <w:spacing w:val="-42"/>
                <w:sz w:val="21"/>
                <w:szCs w:val="21"/>
              </w:rPr>
              <w:t> </w:t>
            </w:r>
            <w:r>
              <w:rPr>
                <w:rFonts w:ascii="宋体" w:hAnsi="宋体" w:cs="宋体" w:eastAsia="宋体" w:hint="default"/>
                <w:spacing w:val="16"/>
                <w:sz w:val="21"/>
                <w:szCs w:val="21"/>
              </w:rPr>
              <w:t>软件</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left"/>
              <w:rPr>
                <w:rFonts w:ascii="Times New Roman" w:hAnsi="Times New Roman" w:cs="Times New Roman" w:eastAsia="Times New Roman" w:hint="default"/>
                <w:sz w:val="21"/>
                <w:szCs w:val="21"/>
              </w:rPr>
            </w:pPr>
            <w:r>
              <w:rPr>
                <w:rFonts w:ascii="Times New Roman"/>
                <w:sz w:val="21"/>
              </w:rPr>
              <w:t>V1.0</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7"/>
              <w:jc w:val="center"/>
              <w:rPr>
                <w:rFonts w:ascii="Times New Roman" w:hAnsi="Times New Roman" w:cs="Times New Roman" w:eastAsia="Times New Roman" w:hint="default"/>
                <w:sz w:val="21"/>
                <w:szCs w:val="21"/>
              </w:rPr>
            </w:pPr>
            <w:r>
              <w:rPr>
                <w:rFonts w:ascii="Times New Roman"/>
                <w:sz w:val="21"/>
              </w:rPr>
              <w:t>2012SR058341</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直接取得</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left="220" w:right="0"/>
              <w:jc w:val="left"/>
              <w:rPr>
                <w:rFonts w:ascii="Times New Roman" w:hAnsi="Times New Roman" w:cs="Times New Roman" w:eastAsia="Times New Roman" w:hint="default"/>
                <w:sz w:val="21"/>
                <w:szCs w:val="21"/>
              </w:rPr>
            </w:pPr>
            <w:r>
              <w:rPr>
                <w:rFonts w:ascii="Times New Roman"/>
                <w:sz w:val="21"/>
              </w:rPr>
              <w:t>2012.07.03</w:t>
            </w:r>
          </w:p>
        </w:tc>
        <w:tc>
          <w:tcPr>
            <w:tcW w:w="11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复深蓝</w:t>
            </w:r>
          </w:p>
        </w:tc>
      </w:tr>
    </w:tbl>
    <w:p>
      <w:pPr>
        <w:pStyle w:val="BodyText"/>
        <w:spacing w:line="386" w:lineRule="auto" w:before="65"/>
        <w:ind w:left="573" w:right="0"/>
        <w:jc w:val="left"/>
      </w:pPr>
      <w:r>
        <w:rPr/>
        <w:pict>
          <v:shape style="position:absolute;margin-left:56.279999pt;margin-top:46.833649pt;width:444.85pt;height:60.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0"/>
                    <w:gridCol w:w="1277"/>
                    <w:gridCol w:w="1133"/>
                    <w:gridCol w:w="1135"/>
                    <w:gridCol w:w="1133"/>
                    <w:gridCol w:w="1334"/>
                    <w:gridCol w:w="1217"/>
                  </w:tblGrid>
                  <w:tr>
                    <w:trPr>
                      <w:trHeight w:val="514" w:hRule="exact"/>
                    </w:trPr>
                    <w:tc>
                      <w:tcPr>
                        <w:tcW w:w="1640"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76"/>
                          <w:ind w:left="4" w:right="0"/>
                          <w:jc w:val="left"/>
                          <w:rPr>
                            <w:rFonts w:ascii="宋体" w:hAnsi="宋体" w:cs="宋体" w:eastAsia="宋体" w:hint="default"/>
                            <w:sz w:val="21"/>
                            <w:szCs w:val="21"/>
                          </w:rPr>
                        </w:pPr>
                        <w:r>
                          <w:rPr>
                            <w:rFonts w:ascii="宋体" w:hAnsi="宋体" w:cs="宋体" w:eastAsia="宋体" w:hint="default"/>
                            <w:sz w:val="21"/>
                            <w:szCs w:val="21"/>
                          </w:rPr>
                          <w:t>注册证号</w:t>
                        </w:r>
                      </w:p>
                    </w:tc>
                    <w:tc>
                      <w:tcPr>
                        <w:tcW w:w="127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6"/>
                          <w:ind w:left="2" w:right="0"/>
                          <w:jc w:val="left"/>
                          <w:rPr>
                            <w:rFonts w:ascii="宋体" w:hAnsi="宋体" w:cs="宋体" w:eastAsia="宋体" w:hint="default"/>
                            <w:sz w:val="21"/>
                            <w:szCs w:val="21"/>
                          </w:rPr>
                        </w:pPr>
                        <w:r>
                          <w:rPr>
                            <w:rFonts w:ascii="宋体" w:hAnsi="宋体" w:cs="宋体" w:eastAsia="宋体" w:hint="default"/>
                            <w:sz w:val="21"/>
                            <w:szCs w:val="21"/>
                          </w:rPr>
                          <w:t>商标内容</w:t>
                        </w:r>
                      </w:p>
                    </w:tc>
                    <w:tc>
                      <w:tcPr>
                        <w:tcW w:w="113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6"/>
                          <w:ind w:left="-1"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13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6"/>
                          <w:ind w:left="2" w:right="0"/>
                          <w:jc w:val="left"/>
                          <w:rPr>
                            <w:rFonts w:ascii="宋体" w:hAnsi="宋体" w:cs="宋体" w:eastAsia="宋体" w:hint="default"/>
                            <w:sz w:val="21"/>
                            <w:szCs w:val="21"/>
                          </w:rPr>
                        </w:pPr>
                        <w:r>
                          <w:rPr>
                            <w:rFonts w:ascii="宋体" w:hAnsi="宋体" w:cs="宋体" w:eastAsia="宋体" w:hint="default"/>
                            <w:sz w:val="21"/>
                            <w:szCs w:val="21"/>
                          </w:rPr>
                          <w:t>权利人</w:t>
                        </w:r>
                      </w:p>
                    </w:tc>
                    <w:tc>
                      <w:tcPr>
                        <w:tcW w:w="113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6"/>
                          <w:ind w:left="-1" w:right="0"/>
                          <w:jc w:val="left"/>
                          <w:rPr>
                            <w:rFonts w:ascii="宋体" w:hAnsi="宋体" w:cs="宋体" w:eastAsia="宋体" w:hint="default"/>
                            <w:sz w:val="21"/>
                            <w:szCs w:val="21"/>
                          </w:rPr>
                        </w:pPr>
                        <w:r>
                          <w:rPr>
                            <w:rFonts w:ascii="宋体" w:hAnsi="宋体" w:cs="宋体" w:eastAsia="宋体" w:hint="default"/>
                            <w:sz w:val="21"/>
                            <w:szCs w:val="21"/>
                          </w:rPr>
                          <w:t>取得方式</w:t>
                        </w:r>
                      </w:p>
                    </w:tc>
                    <w:tc>
                      <w:tcPr>
                        <w:tcW w:w="13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6"/>
                          <w:ind w:left="2" w:right="0"/>
                          <w:jc w:val="left"/>
                          <w:rPr>
                            <w:rFonts w:ascii="宋体" w:hAnsi="宋体" w:cs="宋体" w:eastAsia="宋体" w:hint="default"/>
                            <w:sz w:val="21"/>
                            <w:szCs w:val="21"/>
                          </w:rPr>
                        </w:pPr>
                        <w:r>
                          <w:rPr>
                            <w:rFonts w:ascii="宋体" w:hAnsi="宋体" w:cs="宋体" w:eastAsia="宋体" w:hint="default"/>
                            <w:sz w:val="21"/>
                            <w:szCs w:val="21"/>
                          </w:rPr>
                          <w:t>有效期限</w:t>
                        </w:r>
                      </w:p>
                    </w:tc>
                    <w:tc>
                      <w:tcPr>
                        <w:tcW w:w="121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6"/>
                          <w:ind w:left="2" w:right="0"/>
                          <w:jc w:val="left"/>
                          <w:rPr>
                            <w:rFonts w:ascii="宋体" w:hAnsi="宋体" w:cs="宋体" w:eastAsia="宋体" w:hint="default"/>
                            <w:sz w:val="21"/>
                            <w:szCs w:val="21"/>
                          </w:rPr>
                        </w:pPr>
                        <w:r>
                          <w:rPr>
                            <w:rFonts w:ascii="宋体" w:hAnsi="宋体" w:cs="宋体" w:eastAsia="宋体" w:hint="default"/>
                            <w:sz w:val="21"/>
                            <w:szCs w:val="21"/>
                          </w:rPr>
                          <w:t>他项权利</w:t>
                        </w:r>
                      </w:p>
                    </w:tc>
                  </w:tr>
                  <w:tr>
                    <w:trPr>
                      <w:trHeight w:val="665" w:hRule="exact"/>
                    </w:trPr>
                    <w:tc>
                      <w:tcPr>
                        <w:tcW w:w="1640" w:type="dxa"/>
                        <w:tcBorders>
                          <w:top w:val="single" w:sz="12" w:space="0" w:color="000000"/>
                          <w:left w:val="single" w:sz="6" w:space="0" w:color="000000"/>
                          <w:bottom w:val="single" w:sz="12" w:space="0" w:color="000000"/>
                          <w:right w:val="single" w:sz="8" w:space="0" w:color="000000"/>
                        </w:tcBorders>
                      </w:tcPr>
                      <w:p>
                        <w:pPr>
                          <w:pStyle w:val="TableParagraph"/>
                          <w:spacing w:line="240" w:lineRule="auto" w:before="64"/>
                          <w:ind w:left="4" w:right="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8731568</w:t>
                        </w:r>
                        <w:r>
                          <w:rPr>
                            <w:rFonts w:ascii="宋体" w:hAnsi="宋体" w:cs="宋体" w:eastAsia="宋体" w:hint="default"/>
                            <w:sz w:val="21"/>
                            <w:szCs w:val="21"/>
                          </w:rPr>
                          <w:t>号</w:t>
                        </w:r>
                      </w:p>
                    </w:tc>
                    <w:tc>
                      <w:tcPr>
                        <w:tcW w:w="1277"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tc>
                    <w:tc>
                      <w:tcPr>
                        <w:tcW w:w="113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4"/>
                          <w:ind w:left="-1" w:right="0"/>
                          <w:jc w:val="left"/>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35</w:t>
                        </w:r>
                        <w:r>
                          <w:rPr>
                            <w:rFonts w:ascii="宋体" w:hAnsi="宋体" w:cs="宋体" w:eastAsia="宋体" w:hint="default"/>
                            <w:sz w:val="21"/>
                            <w:szCs w:val="21"/>
                          </w:rPr>
                          <w:t>类</w:t>
                        </w:r>
                      </w:p>
                    </w:tc>
                    <w:tc>
                      <w:tcPr>
                        <w:tcW w:w="113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sz w:val="21"/>
                            <w:szCs w:val="21"/>
                          </w:rPr>
                          <w:t>天玑科技</w:t>
                        </w:r>
                      </w:p>
                    </w:tc>
                    <w:tc>
                      <w:tcPr>
                        <w:tcW w:w="113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4"/>
                          <w:ind w:left="-1" w:right="0"/>
                          <w:jc w:val="left"/>
                          <w:rPr>
                            <w:rFonts w:ascii="宋体" w:hAnsi="宋体" w:cs="宋体" w:eastAsia="宋体" w:hint="default"/>
                            <w:sz w:val="21"/>
                            <w:szCs w:val="21"/>
                          </w:rPr>
                        </w:pPr>
                        <w:r>
                          <w:rPr>
                            <w:rFonts w:ascii="宋体" w:hAnsi="宋体" w:cs="宋体" w:eastAsia="宋体" w:hint="default"/>
                            <w:sz w:val="21"/>
                            <w:szCs w:val="21"/>
                          </w:rPr>
                          <w:t>自行申请</w:t>
                        </w:r>
                      </w:p>
                    </w:tc>
                    <w:tc>
                      <w:tcPr>
                        <w:tcW w:w="1334"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11"/>
                          <w:ind w:left="2" w:right="0"/>
                          <w:jc w:val="left"/>
                          <w:rPr>
                            <w:rFonts w:ascii="Times New Roman" w:hAnsi="Times New Roman" w:cs="Times New Roman" w:eastAsia="Times New Roman" w:hint="default"/>
                            <w:sz w:val="21"/>
                            <w:szCs w:val="21"/>
                          </w:rPr>
                        </w:pPr>
                        <w:r>
                          <w:rPr>
                            <w:rFonts w:ascii="Times New Roman"/>
                            <w:sz w:val="21"/>
                          </w:rPr>
                          <w:t>2012/2/21-202</w:t>
                        </w:r>
                      </w:p>
                    </w:tc>
                    <w:tc>
                      <w:tcPr>
                        <w:tcW w:w="1217"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4"/>
                          <w:ind w:left="2"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rFonts w:ascii="Times New Roman" w:hAnsi="Times New Roman" w:cs="Times New Roman" w:eastAsia="Times New Roman" w:hint="default"/>
        </w:rPr>
        <w:t>3</w:t>
      </w:r>
      <w:r>
        <w:rPr/>
        <w:t>）商标</w:t>
      </w:r>
      <w:r>
        <w:rPr>
          <w:w w:val="100"/>
        </w:rPr>
        <w:t> </w:t>
      </w:r>
      <w:r>
        <w:rPr>
          <w:spacing w:val="-2"/>
        </w:rPr>
        <w:t>报告期内，公司新增一项注册商标。截止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日总计拥有</w:t>
      </w:r>
      <w:r>
        <w:rPr>
          <w:rFonts w:ascii="Times New Roman" w:hAnsi="Times New Roman" w:cs="Times New Roman" w:eastAsia="Times New Roman" w:hint="default"/>
          <w:spacing w:val="-2"/>
        </w:rPr>
        <w:t>22</w:t>
      </w:r>
      <w:r>
        <w:rPr>
          <w:spacing w:val="-2"/>
        </w:rPr>
        <w:t>项商标。具体新增商标如下：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line="417" w:lineRule="exact"/>
        <w:ind w:left="1804"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5510" cy="2651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625510" cy="265175"/>
                    </a:xfrm>
                    <a:prstGeom prst="rect">
                      <a:avLst/>
                    </a:prstGeom>
                  </pic:spPr>
                </pic:pic>
              </a:graphicData>
            </a:graphic>
          </wp:inline>
        </w:drawing>
      </w:r>
      <w:r>
        <w:rPr>
          <w:rFonts w:ascii="宋体" w:hAnsi="宋体" w:cs="宋体" w:eastAsia="宋体" w:hint="default"/>
          <w:position w:val="-7"/>
          <w:sz w:val="20"/>
          <w:szCs w:val="20"/>
        </w:rPr>
      </w:r>
    </w:p>
    <w:p>
      <w:pPr>
        <w:spacing w:after="0" w:line="417" w:lineRule="exact"/>
        <w:rPr>
          <w:rFonts w:ascii="宋体" w:hAnsi="宋体" w:cs="宋体" w:eastAsia="宋体" w:hint="default"/>
          <w:sz w:val="20"/>
          <w:szCs w:val="20"/>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640"/>
        <w:gridCol w:w="1277"/>
        <w:gridCol w:w="1133"/>
        <w:gridCol w:w="1135"/>
        <w:gridCol w:w="1133"/>
        <w:gridCol w:w="1334"/>
        <w:gridCol w:w="1217"/>
      </w:tblGrid>
      <w:tr>
        <w:trPr>
          <w:trHeight w:val="514" w:hRule="exact"/>
        </w:trPr>
        <w:tc>
          <w:tcPr>
            <w:tcW w:w="1640" w:type="dxa"/>
            <w:tcBorders>
              <w:top w:val="single" w:sz="8" w:space="0" w:color="000000"/>
              <w:left w:val="single" w:sz="6" w:space="0" w:color="000000"/>
              <w:bottom w:val="single" w:sz="12" w:space="0" w:color="000000"/>
              <w:right w:val="single" w:sz="8" w:space="0" w:color="000000"/>
            </w:tcBorders>
          </w:tcPr>
          <w:p>
            <w:pPr/>
          </w:p>
        </w:tc>
        <w:tc>
          <w:tcPr>
            <w:tcW w:w="1277" w:type="dxa"/>
            <w:tcBorders>
              <w:top w:val="single" w:sz="8" w:space="0" w:color="000000"/>
              <w:left w:val="single" w:sz="8" w:space="0" w:color="000000"/>
              <w:bottom w:val="single" w:sz="12" w:space="0" w:color="000000"/>
              <w:right w:val="single" w:sz="8" w:space="0" w:color="000000"/>
            </w:tcBorders>
          </w:tcPr>
          <w:p>
            <w:pPr/>
          </w:p>
        </w:tc>
        <w:tc>
          <w:tcPr>
            <w:tcW w:w="1133" w:type="dxa"/>
            <w:tcBorders>
              <w:top w:val="single" w:sz="8" w:space="0" w:color="000000"/>
              <w:left w:val="single" w:sz="8" w:space="0" w:color="000000"/>
              <w:bottom w:val="single" w:sz="12" w:space="0" w:color="000000"/>
              <w:right w:val="single" w:sz="8" w:space="0" w:color="000000"/>
            </w:tcBorders>
          </w:tcPr>
          <w:p>
            <w:pPr/>
          </w:p>
        </w:tc>
        <w:tc>
          <w:tcPr>
            <w:tcW w:w="1135" w:type="dxa"/>
            <w:tcBorders>
              <w:top w:val="single" w:sz="8" w:space="0" w:color="000000"/>
              <w:left w:val="single" w:sz="8" w:space="0" w:color="000000"/>
              <w:bottom w:val="single" w:sz="12" w:space="0" w:color="000000"/>
              <w:right w:val="single" w:sz="8" w:space="0" w:color="000000"/>
            </w:tcBorders>
          </w:tcPr>
          <w:p>
            <w:pPr/>
          </w:p>
        </w:tc>
        <w:tc>
          <w:tcPr>
            <w:tcW w:w="1133" w:type="dxa"/>
            <w:tcBorders>
              <w:top w:val="single" w:sz="8" w:space="0" w:color="000000"/>
              <w:left w:val="single" w:sz="8" w:space="0" w:color="000000"/>
              <w:bottom w:val="single" w:sz="12" w:space="0" w:color="000000"/>
              <w:right w:val="single" w:sz="8" w:space="0" w:color="000000"/>
            </w:tcBorders>
          </w:tcPr>
          <w:p>
            <w:pPr/>
          </w:p>
        </w:tc>
        <w:tc>
          <w:tcPr>
            <w:tcW w:w="13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2/2/20</w:t>
            </w:r>
          </w:p>
        </w:tc>
        <w:tc>
          <w:tcPr>
            <w:tcW w:w="1217" w:type="dxa"/>
            <w:tcBorders>
              <w:top w:val="single" w:sz="8" w:space="0" w:color="000000"/>
              <w:left w:val="single" w:sz="8" w:space="0" w:color="000000"/>
              <w:bottom w:val="single" w:sz="12" w:space="0" w:color="000000"/>
              <w:right w:val="single" w:sz="8" w:space="0" w:color="000000"/>
            </w:tcBorders>
          </w:tcPr>
          <w:p>
            <w:pPr/>
          </w:p>
        </w:tc>
      </w:tr>
    </w:tbl>
    <w:p>
      <w:pPr>
        <w:pStyle w:val="BodyText"/>
        <w:spacing w:line="386" w:lineRule="auto" w:before="64"/>
        <w:ind w:left="573" w:right="5454"/>
        <w:jc w:val="left"/>
      </w:pPr>
      <w:r>
        <w:rPr/>
        <w:pict>
          <v:shape style="position:absolute;margin-left:56.279999pt;margin-top:46.783649pt;width:383.95pt;height:91.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2069"/>
                    <w:gridCol w:w="1459"/>
                    <w:gridCol w:w="2081"/>
                    <w:gridCol w:w="1195"/>
                  </w:tblGrid>
                  <w:tr>
                    <w:trPr>
                      <w:trHeight w:val="50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389"/>
                          <w:jc w:val="right"/>
                          <w:rPr>
                            <w:rFonts w:ascii="宋体" w:hAnsi="宋体" w:cs="宋体" w:eastAsia="宋体" w:hint="default"/>
                            <w:sz w:val="22"/>
                            <w:szCs w:val="22"/>
                          </w:rPr>
                        </w:pPr>
                        <w:r>
                          <w:rPr>
                            <w:rFonts w:ascii="宋体" w:hAnsi="宋体" w:cs="宋体" w:eastAsia="宋体" w:hint="default"/>
                            <w:sz w:val="22"/>
                            <w:szCs w:val="22"/>
                          </w:rPr>
                          <w:t>序号</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22"/>
                            <w:szCs w:val="22"/>
                          </w:rPr>
                        </w:pPr>
                        <w:r>
                          <w:rPr>
                            <w:rFonts w:ascii="宋体" w:hAnsi="宋体" w:cs="宋体" w:eastAsia="宋体" w:hint="default"/>
                            <w:sz w:val="22"/>
                            <w:szCs w:val="22"/>
                          </w:rPr>
                          <w:t>版权图样</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22"/>
                            <w:szCs w:val="22"/>
                          </w:rPr>
                        </w:pPr>
                        <w:r>
                          <w:rPr>
                            <w:rFonts w:ascii="宋体" w:hAnsi="宋体" w:cs="宋体" w:eastAsia="宋体" w:hint="default"/>
                            <w:sz w:val="22"/>
                            <w:szCs w:val="22"/>
                          </w:rPr>
                          <w:t>登记日期</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left"/>
                          <w:rPr>
                            <w:rFonts w:ascii="宋体" w:hAnsi="宋体" w:cs="宋体" w:eastAsia="宋体" w:hint="default"/>
                            <w:sz w:val="22"/>
                            <w:szCs w:val="22"/>
                          </w:rPr>
                        </w:pPr>
                        <w:r>
                          <w:rPr>
                            <w:rFonts w:ascii="宋体" w:hAnsi="宋体" w:cs="宋体" w:eastAsia="宋体" w:hint="default"/>
                            <w:sz w:val="22"/>
                            <w:szCs w:val="22"/>
                          </w:rPr>
                          <w:t>登记号</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22"/>
                            <w:szCs w:val="22"/>
                          </w:rPr>
                        </w:pPr>
                        <w:r>
                          <w:rPr>
                            <w:rFonts w:ascii="宋体" w:hAnsi="宋体" w:cs="宋体" w:eastAsia="宋体" w:hint="default"/>
                            <w:sz w:val="22"/>
                            <w:szCs w:val="22"/>
                          </w:rPr>
                          <w:t>有效期</w:t>
                        </w:r>
                      </w:p>
                    </w:tc>
                  </w:tr>
                  <w:tr>
                    <w:trPr>
                      <w:trHeight w:val="65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360"/>
                          <w:jc w:val="right"/>
                          <w:rPr>
                            <w:rFonts w:ascii="Times New Roman" w:hAnsi="Times New Roman" w:cs="Times New Roman" w:eastAsia="Times New Roman" w:hint="default"/>
                            <w:sz w:val="22"/>
                            <w:szCs w:val="22"/>
                          </w:rPr>
                        </w:pPr>
                        <w:r>
                          <w:rPr>
                            <w:rFonts w:ascii="Times New Roman"/>
                            <w:w w:val="100"/>
                            <w:sz w:val="22"/>
                          </w:rPr>
                          <w:t>1</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264"/>
                          <w:jc w:val="right"/>
                          <w:rPr>
                            <w:rFonts w:ascii="Times New Roman" w:hAnsi="Times New Roman" w:cs="Times New Roman" w:eastAsia="Times New Roman" w:hint="default"/>
                            <w:sz w:val="22"/>
                            <w:szCs w:val="22"/>
                          </w:rPr>
                        </w:pPr>
                        <w:r>
                          <w:rPr>
                            <w:rFonts w:ascii="Times New Roman"/>
                            <w:spacing w:val="-1"/>
                            <w:sz w:val="22"/>
                          </w:rPr>
                          <w:t>2013-1-22</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237"/>
                          <w:jc w:val="right"/>
                          <w:rPr>
                            <w:rFonts w:ascii="Times New Roman" w:hAnsi="Times New Roman" w:cs="Times New Roman" w:eastAsia="Times New Roman" w:hint="default"/>
                            <w:sz w:val="22"/>
                            <w:szCs w:val="22"/>
                          </w:rPr>
                        </w:pPr>
                        <w:r>
                          <w:rPr>
                            <w:rFonts w:ascii="Times New Roman"/>
                            <w:spacing w:val="-1"/>
                            <w:sz w:val="22"/>
                          </w:rPr>
                          <w:t>2013-F-00082450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67"/>
                          <w:jc w:val="right"/>
                          <w:rPr>
                            <w:rFonts w:ascii="宋体" w:hAnsi="宋体" w:cs="宋体" w:eastAsia="宋体" w:hint="default"/>
                            <w:sz w:val="22"/>
                            <w:szCs w:val="22"/>
                          </w:rPr>
                        </w:pPr>
                        <w:r>
                          <w:rPr>
                            <w:rFonts w:ascii="Times New Roman" w:hAnsi="Times New Roman" w:cs="Times New Roman" w:eastAsia="Times New Roman" w:hint="default"/>
                            <w:sz w:val="22"/>
                            <w:szCs w:val="22"/>
                          </w:rPr>
                          <w:t>50</w:t>
                        </w:r>
                        <w:r>
                          <w:rPr>
                            <w:rFonts w:ascii="宋体" w:hAnsi="宋体" w:cs="宋体" w:eastAsia="宋体" w:hint="default"/>
                            <w:sz w:val="22"/>
                            <w:szCs w:val="22"/>
                          </w:rPr>
                          <w:t>年</w:t>
                        </w:r>
                      </w:p>
                    </w:tc>
                  </w:tr>
                  <w:tr>
                    <w:trPr>
                      <w:trHeight w:val="66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360"/>
                          <w:jc w:val="right"/>
                          <w:rPr>
                            <w:rFonts w:ascii="Times New Roman" w:hAnsi="Times New Roman" w:cs="Times New Roman" w:eastAsia="Times New Roman" w:hint="default"/>
                            <w:sz w:val="22"/>
                            <w:szCs w:val="22"/>
                          </w:rPr>
                        </w:pPr>
                        <w:r>
                          <w:rPr>
                            <w:rFonts w:ascii="Times New Roman"/>
                            <w:w w:val="100"/>
                            <w:sz w:val="22"/>
                          </w:rPr>
                          <w:t>2</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264"/>
                          <w:jc w:val="right"/>
                          <w:rPr>
                            <w:rFonts w:ascii="Times New Roman" w:hAnsi="Times New Roman" w:cs="Times New Roman" w:eastAsia="Times New Roman" w:hint="default"/>
                            <w:sz w:val="22"/>
                            <w:szCs w:val="22"/>
                          </w:rPr>
                        </w:pPr>
                        <w:r>
                          <w:rPr>
                            <w:rFonts w:ascii="Times New Roman"/>
                            <w:spacing w:val="-1"/>
                            <w:sz w:val="22"/>
                          </w:rPr>
                          <w:t>2013-1-22</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237"/>
                          <w:jc w:val="right"/>
                          <w:rPr>
                            <w:rFonts w:ascii="Times New Roman" w:hAnsi="Times New Roman" w:cs="Times New Roman" w:eastAsia="Times New Roman" w:hint="default"/>
                            <w:sz w:val="22"/>
                            <w:szCs w:val="22"/>
                          </w:rPr>
                        </w:pPr>
                        <w:r>
                          <w:rPr>
                            <w:rFonts w:ascii="Times New Roman"/>
                            <w:spacing w:val="-1"/>
                            <w:sz w:val="22"/>
                          </w:rPr>
                          <w:t>2013-F-00082449</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367"/>
                          <w:jc w:val="right"/>
                          <w:rPr>
                            <w:rFonts w:ascii="宋体" w:hAnsi="宋体" w:cs="宋体" w:eastAsia="宋体" w:hint="default"/>
                            <w:sz w:val="22"/>
                            <w:szCs w:val="22"/>
                          </w:rPr>
                        </w:pPr>
                        <w:r>
                          <w:rPr>
                            <w:rFonts w:ascii="Times New Roman" w:hAnsi="Times New Roman" w:cs="Times New Roman" w:eastAsia="Times New Roman" w:hint="default"/>
                            <w:sz w:val="22"/>
                            <w:szCs w:val="22"/>
                          </w:rPr>
                          <w:t>50</w:t>
                        </w:r>
                        <w:r>
                          <w:rPr>
                            <w:rFonts w:ascii="宋体" w:hAnsi="宋体" w:cs="宋体" w:eastAsia="宋体" w:hint="default"/>
                            <w:sz w:val="22"/>
                            <w:szCs w:val="22"/>
                          </w:rPr>
                          <w:t>年</w:t>
                        </w:r>
                      </w:p>
                    </w:tc>
                  </w:tr>
                </w:tbl>
                <w:p>
                  <w:pPr/>
                </w:p>
              </w:txbxContent>
            </v:textbox>
            <w10:wrap type="none"/>
          </v:shape>
        </w:pict>
      </w:r>
      <w:r>
        <w:rPr>
          <w:rFonts w:ascii="Times New Roman" w:hAnsi="Times New Roman" w:cs="Times New Roman" w:eastAsia="Times New Roman" w:hint="default"/>
        </w:rPr>
        <w:t>4</w:t>
      </w:r>
      <w:r>
        <w:rPr/>
        <w:t>）版权</w:t>
      </w:r>
      <w:r>
        <w:rPr>
          <w:w w:val="100"/>
        </w:rPr>
        <w:t> </w:t>
      </w:r>
      <w:r>
        <w:rPr>
          <w:spacing w:val="-2"/>
        </w:rPr>
        <w:t>报告期内，公司新增</w:t>
      </w:r>
      <w:r>
        <w:rPr>
          <w:rFonts w:ascii="Times New Roman" w:hAnsi="Times New Roman" w:cs="Times New Roman" w:eastAsia="Times New Roman" w:hint="default"/>
          <w:spacing w:val="-2"/>
        </w:rPr>
        <w:t>2</w:t>
      </w:r>
      <w:r>
        <w:rPr>
          <w:spacing w:val="-2"/>
        </w:rPr>
        <w:t>项版权。具体如下：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420" w:lineRule="exact"/>
        <w:ind w:left="1535"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38810" cy="26670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638810" cy="266700"/>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3"/>
        <w:rPr>
          <w:rFonts w:ascii="宋体" w:hAnsi="宋体" w:cs="宋体" w:eastAsia="宋体" w:hint="default"/>
          <w:sz w:val="16"/>
          <w:szCs w:val="16"/>
        </w:rPr>
      </w:pPr>
    </w:p>
    <w:p>
      <w:pPr>
        <w:spacing w:line="477" w:lineRule="exact"/>
        <w:ind w:left="1790" w:right="0" w:firstLine="0"/>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315158" cy="30308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315158" cy="303085"/>
                    </a:xfrm>
                    <a:prstGeom prst="rect">
                      <a:avLst/>
                    </a:prstGeom>
                  </pic:spPr>
                </pic:pic>
              </a:graphicData>
            </a:graphic>
          </wp:inline>
        </w:drawing>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31,601.9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6,855.97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7,423.21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4" w:firstLine="362"/>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1035 </w:t>
            </w:r>
            <w:r>
              <w:rPr>
                <w:rFonts w:ascii="宋体" w:hAnsi="宋体" w:cs="宋体" w:eastAsia="宋体" w:hint="default"/>
                <w:sz w:val="18"/>
                <w:szCs w:val="18"/>
              </w:rPr>
              <w:t>号</w:t>
            </w:r>
            <w:r>
              <w:rPr>
                <w:rFonts w:ascii="宋体" w:hAnsi="宋体" w:cs="宋体" w:eastAsia="宋体" w:hint="default"/>
                <w:spacing w:val="-11"/>
                <w:sz w:val="18"/>
                <w:szCs w:val="18"/>
              </w:rPr>
              <w:t> </w:t>
            </w:r>
            <w:r>
              <w:rPr>
                <w:rFonts w:ascii="宋体" w:hAnsi="宋体" w:cs="宋体" w:eastAsia="宋体" w:hint="default"/>
                <w:sz w:val="18"/>
                <w:szCs w:val="18"/>
              </w:rPr>
              <w:t>《关于核准上海天玑科技股份有限公司首次公开发行股票并在</w:t>
            </w:r>
            <w:r>
              <w:rPr>
                <w:rFonts w:ascii="宋体" w:hAnsi="宋体" w:cs="宋体" w:eastAsia="宋体" w:hint="default"/>
                <w:sz w:val="18"/>
                <w:szCs w:val="18"/>
              </w:rPr>
              <w:t> 创业板上市的批复》核准，发行人民币普通股（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1,700 </w:t>
            </w:r>
            <w:r>
              <w:rPr>
                <w:rFonts w:ascii="宋体" w:hAnsi="宋体" w:cs="宋体" w:eastAsia="宋体" w:hint="default"/>
                <w:sz w:val="18"/>
                <w:szCs w:val="18"/>
              </w:rPr>
              <w:t>万股，每股面值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元，发行价格为人民币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元，募</w:t>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元。扣除发行费用合计人民币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23,981,000.00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元，实际募集资金净额为人民币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316,019,000.00 </w:t>
            </w:r>
            <w:r>
              <w:rPr>
                <w:rFonts w:ascii="宋体" w:hAnsi="宋体" w:cs="宋体" w:eastAsia="宋体" w:hint="default"/>
                <w:sz w:val="18"/>
                <w:szCs w:val="18"/>
              </w:rPr>
              <w:t>元。公司在报告期内共计投入募集资金 </w:t>
            </w:r>
            <w:r>
              <w:rPr>
                <w:rFonts w:ascii="Times New Roman" w:hAnsi="Times New Roman" w:cs="Times New Roman" w:eastAsia="Times New Roman" w:hint="default"/>
                <w:sz w:val="18"/>
                <w:szCs w:val="18"/>
              </w:rPr>
              <w:t>6,855.97  </w:t>
            </w:r>
            <w:r>
              <w:rPr>
                <w:rFonts w:ascii="宋体" w:hAnsi="宋体" w:cs="宋体" w:eastAsia="宋体" w:hint="default"/>
                <w:sz w:val="18"/>
                <w:szCs w:val="18"/>
              </w:rPr>
              <w:t>万元，截止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日，已累计使用募集资金</w:t>
            </w:r>
          </w:p>
          <w:p>
            <w:pPr>
              <w:pStyle w:val="TableParagraph"/>
              <w:spacing w:line="300" w:lineRule="auto" w:before="63"/>
              <w:ind w:left="24"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7,423.21 </w:t>
            </w:r>
            <w:r>
              <w:rPr>
                <w:rFonts w:ascii="宋体" w:hAnsi="宋体" w:cs="宋体" w:eastAsia="宋体" w:hint="default"/>
                <w:sz w:val="18"/>
                <w:szCs w:val="18"/>
              </w:rPr>
              <w:t>万元用于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管理外包服务项目、天玑科技数据中心创新服务项目、 购买青浦土地、收购复深蓝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股权等建设项目。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0"/>
        <w:gridCol w:w="781"/>
        <w:gridCol w:w="780"/>
      </w:tblGrid>
      <w:tr>
        <w:trPr>
          <w:trHeight w:val="134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基础设施支持与维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9,500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9,500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2,738.49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3,305.73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34.8%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6.9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67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护服务区域扩展项目</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管理外包服务项目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天玑科技数据中心创 新服务项目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3,191.97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3,759.21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未确认使用投向的超 募资金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28.18%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31,601.9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6,855.97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7,423.21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0"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公司实际超募资金为人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日第一届董事会第二十</w:t>
                        </w:r>
                        <w:r>
                          <w:rPr>
                            <w:rFonts w:ascii="宋体" w:hAnsi="宋体" w:cs="宋体" w:eastAsia="宋体" w:hint="default"/>
                            <w:spacing w:val="-3"/>
                            <w:sz w:val="18"/>
                            <w:szCs w:val="18"/>
                          </w:rPr>
                          <w:t>二</w:t>
                        </w:r>
                        <w:r>
                          <w:rPr>
                            <w:rFonts w:ascii="宋体" w:hAnsi="宋体" w:cs="宋体" w:eastAsia="宋体" w:hint="default"/>
                            <w:sz w:val="18"/>
                            <w:szCs w:val="18"/>
                          </w:rPr>
                          <w:t>次会议</w:t>
                        </w:r>
                      </w:p>
                      <w:p>
                        <w:pPr>
                          <w:pStyle w:val="TableParagraph"/>
                          <w:spacing w:line="309" w:lineRule="auto" w:before="63"/>
                          <w:ind w:left="16" w:right="21"/>
                          <w:jc w:val="left"/>
                          <w:rPr>
                            <w:rFonts w:ascii="宋体" w:hAnsi="宋体" w:cs="宋体" w:eastAsia="宋体" w:hint="default"/>
                            <w:sz w:val="18"/>
                            <w:szCs w:val="18"/>
                          </w:rPr>
                        </w:pPr>
                        <w:r>
                          <w:rPr>
                            <w:rFonts w:ascii="宋体" w:hAnsi="宋体" w:cs="宋体" w:eastAsia="宋体" w:hint="default"/>
                            <w:spacing w:val="-9"/>
                            <w:sz w:val="18"/>
                            <w:szCs w:val="18"/>
                          </w:rPr>
                          <w:t>审议通过了《关于使用部分超募资金购买土地使用权》，同意使用超募资金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880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万元购买土地使用权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另审议通过了《关于使用部分超募资金收购上海复深蓝信息技术有限公司部分股权并增资的议案》</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3,640 </w:t>
                        </w:r>
                        <w:r>
                          <w:rPr>
                            <w:rFonts w:ascii="宋体" w:hAnsi="宋体" w:cs="宋体" w:eastAsia="宋体" w:hint="default"/>
                            <w:sz w:val="18"/>
                            <w:szCs w:val="18"/>
                          </w:rPr>
                          <w:t>万元收购上海复深蓝信息技术有限公司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 </w:t>
                        </w:r>
                        <w:r>
                          <w:rPr>
                            <w:rFonts w:ascii="宋体" w:hAnsi="宋体" w:cs="宋体" w:eastAsia="宋体" w:hint="default"/>
                            <w:spacing w:val="-5"/>
                            <w:sz w:val="18"/>
                            <w:szCs w:val="18"/>
                          </w:rPr>
                          <w:t>届董事会第二十五次会议审议通过了《关于使用部分超募资金临时补充流动资金的议案》，同意使用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部分超募资金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万元暂时补充流动资金。</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83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42"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63"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日第一届董事会第二十五次会议审议通过了《关于变更</w:t>
                        </w:r>
                        <w:r>
                          <w:rPr>
                            <w:rFonts w:ascii="Times New Roman" w:hAnsi="Times New Roman" w:cs="Times New Roman" w:eastAsia="Times New Roman" w:hint="default"/>
                            <w:spacing w:val="-3"/>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基础设施支持与维护服务 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部分募投实施地点的议案》同意将</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基础设施支持与维护区域扩展项目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在成都的 实施地点变更为重庆。</w:t>
                        </w:r>
                      </w:p>
                    </w:tc>
                  </w:tr>
                  <w:tr>
                    <w:trPr>
                      <w:trHeight w:val="56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
                          <w:ind w:left="24"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日第一届董事会第二十五次会议审议通过了《关于使用部分超募资金临时补充流动</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资金的议案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同意使用部分</w:t>
                        </w:r>
                        <w:r>
                          <w:rPr>
                            <w:rFonts w:ascii="宋体" w:hAnsi="宋体" w:cs="宋体" w:eastAsia="宋体" w:hint="default"/>
                            <w:spacing w:val="2"/>
                            <w:sz w:val="18"/>
                            <w:szCs w:val="18"/>
                          </w:rPr>
                          <w:t>超</w:t>
                        </w:r>
                        <w:r>
                          <w:rPr>
                            <w:rFonts w:ascii="宋体" w:hAnsi="宋体" w:cs="宋体" w:eastAsia="宋体" w:hint="default"/>
                            <w:sz w:val="18"/>
                            <w:szCs w:val="18"/>
                          </w:rPr>
                          <w:t>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w:t>
                        </w:r>
                        <w:r>
                          <w:rPr>
                            <w:rFonts w:ascii="宋体" w:hAnsi="宋体" w:cs="宋体" w:eastAsia="宋体" w:hint="default"/>
                            <w:spacing w:val="-3"/>
                            <w:sz w:val="18"/>
                            <w:szCs w:val="18"/>
                          </w:rPr>
                          <w:t>流</w:t>
                        </w:r>
                        <w:r>
                          <w:rPr>
                            <w:rFonts w:ascii="宋体" w:hAnsi="宋体" w:cs="宋体" w:eastAsia="宋体" w:hint="default"/>
                            <w:sz w:val="18"/>
                            <w:szCs w:val="18"/>
                          </w:rPr>
                          <w:t>动资金</w:t>
                        </w:r>
                        <w:r>
                          <w:rPr>
                            <w:rFonts w:ascii="宋体" w:hAnsi="宋体" w:cs="宋体" w:eastAsia="宋体" w:hint="default"/>
                            <w:spacing w:val="-20"/>
                            <w:sz w:val="18"/>
                            <w:szCs w:val="18"/>
                          </w:rPr>
                          <w:t>。</w:t>
                        </w:r>
                        <w:r>
                          <w:rPr>
                            <w:rFonts w:ascii="宋体" w:hAnsi="宋体" w:cs="宋体" w:eastAsia="宋体" w:hint="default"/>
                            <w:sz w:val="18"/>
                            <w:szCs w:val="18"/>
                          </w:rPr>
                          <w:t>该超募资金已于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日归还。</w:t>
                        </w:r>
                      </w:p>
                    </w:tc>
                  </w:tr>
                  <w:tr>
                    <w:trPr>
                      <w:trHeight w:val="36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公司尚未使用的募集资金，以活期和定期存款形式存放募集专用专户中。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6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0" w:top="1060" w:bottom="28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334" w:hRule="exact"/>
        </w:trPr>
        <w:tc>
          <w:tcPr>
            <w:tcW w:w="1770" w:type="dxa"/>
            <w:tcBorders>
              <w:top w:val="single" w:sz="6" w:space="0" w:color="000000"/>
              <w:left w:val="nil" w:sz="6" w:space="0" w:color="auto"/>
              <w:bottom w:val="single" w:sz="4" w:space="0" w:color="000000"/>
              <w:right w:val="nil" w:sz="6" w:space="0" w:color="auto"/>
            </w:tcBorders>
          </w:tcPr>
          <w:p>
            <w:pPr/>
          </w:p>
        </w:tc>
        <w:tc>
          <w:tcPr>
            <w:tcW w:w="7799" w:type="dxa"/>
            <w:tcBorders>
              <w:top w:val="single" w:sz="6" w:space="0" w:color="000000"/>
              <w:left w:val="nil" w:sz="6" w:space="0" w:color="auto"/>
              <w:bottom w:val="single" w:sz="4" w:space="0" w:color="000000"/>
              <w:right w:val="nil" w:sz="6" w:space="0" w:color="auto"/>
            </w:tcBorders>
          </w:tcPr>
          <w:p>
            <w:pP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公司已披露的相关信息不存在未及时、真实、准确、完整披露的情况。</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4"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4"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72"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20" w:type="dxa"/>
        <w:tblLayout w:type="fixed"/>
        <w:tblCellMar>
          <w:top w:w="0" w:type="dxa"/>
          <w:left w:w="0" w:type="dxa"/>
          <w:bottom w:w="0" w:type="dxa"/>
          <w:right w:w="0" w:type="dxa"/>
        </w:tblCellMar>
        <w:tblLook w:val="01E0"/>
      </w:tblPr>
      <w:tblGrid>
        <w:gridCol w:w="658"/>
        <w:gridCol w:w="1195"/>
        <w:gridCol w:w="1198"/>
        <w:gridCol w:w="1205"/>
        <w:gridCol w:w="1068"/>
        <w:gridCol w:w="1064"/>
        <w:gridCol w:w="1066"/>
        <w:gridCol w:w="1064"/>
        <w:gridCol w:w="1042"/>
      </w:tblGrid>
      <w:tr>
        <w:trPr>
          <w:trHeight w:val="163" w:hRule="exact"/>
        </w:trPr>
        <w:tc>
          <w:tcPr>
            <w:tcW w:w="65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占期末证券 总投资比例</w:t>
            </w:r>
          </w:p>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65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8" w:right="75" w:hanging="92"/>
              <w:jc w:val="left"/>
              <w:rPr>
                <w:rFonts w:ascii="宋体" w:hAnsi="宋体" w:cs="宋体" w:eastAsia="宋体" w:hint="default"/>
                <w:sz w:val="18"/>
                <w:szCs w:val="18"/>
              </w:rPr>
            </w:pPr>
            <w:r>
              <w:rPr>
                <w:rFonts w:ascii="宋体" w:hAnsi="宋体" w:cs="宋体" w:eastAsia="宋体" w:hint="default"/>
                <w:sz w:val="18"/>
                <w:szCs w:val="18"/>
              </w:rPr>
              <w:t>期末持有数 量（股）</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7" w:right="77" w:hanging="92"/>
              <w:jc w:val="left"/>
              <w:rPr>
                <w:rFonts w:ascii="宋体" w:hAnsi="宋体" w:cs="宋体" w:eastAsia="宋体" w:hint="default"/>
                <w:sz w:val="18"/>
                <w:szCs w:val="18"/>
              </w:rPr>
            </w:pPr>
            <w:r>
              <w:rPr>
                <w:rFonts w:ascii="宋体" w:hAnsi="宋体" w:cs="宋体" w:eastAsia="宋体" w:hint="default"/>
                <w:sz w:val="18"/>
                <w:szCs w:val="18"/>
              </w:rPr>
              <w:t>期末账面价 值（元）</w:t>
            </w:r>
          </w:p>
        </w:tc>
        <w:tc>
          <w:tcPr>
            <w:tcW w:w="1064" w:type="dxa"/>
            <w:vMerge/>
            <w:tcBorders>
              <w:left w:val="single" w:sz="4" w:space="0" w:color="000000"/>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91" w:hRule="exact"/>
        </w:trPr>
        <w:tc>
          <w:tcPr>
            <w:tcW w:w="6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68"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42" w:type="dxa"/>
            <w:vMerge/>
            <w:tcBorders>
              <w:left w:val="single" w:sz="4" w:space="0" w:color="000000"/>
              <w:right w:val="single" w:sz="4" w:space="0" w:color="000000"/>
            </w:tcBorders>
            <w:shd w:val="clear" w:color="auto" w:fill="D2D2D2"/>
          </w:tcPr>
          <w:p>
            <w:pPr/>
          </w:p>
        </w:tc>
      </w:tr>
      <w:tr>
        <w:trPr>
          <w:trHeight w:val="156" w:hRule="exact"/>
        </w:trPr>
        <w:tc>
          <w:tcPr>
            <w:tcW w:w="658"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5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1195" w:type="dxa"/>
            <w:tcBorders>
              <w:top w:val="single" w:sz="4" w:space="0" w:color="000000"/>
              <w:left w:val="single" w:sz="12"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06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68" w:right="0"/>
              <w:jc w:val="left"/>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8" w:right="0"/>
              <w:jc w:val="left"/>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c>
          <w:tcPr>
            <w:tcW w:w="10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证券投资情况的说明</w:t>
      </w:r>
    </w:p>
    <w:p>
      <w:pPr>
        <w:spacing w:line="240" w:lineRule="auto" w:before="0"/>
        <w:rPr>
          <w:rFonts w:ascii="宋体" w:hAnsi="宋体" w:cs="宋体" w:eastAsia="宋体" w:hint="default"/>
          <w:sz w:val="18"/>
          <w:szCs w:val="18"/>
        </w:rPr>
      </w:pPr>
    </w:p>
    <w:p>
      <w:pPr>
        <w:pStyle w:val="Heading3"/>
        <w:spacing w:line="240" w:lineRule="auto" w:before="118"/>
        <w:ind w:left="112"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20" w:type="dxa"/>
        <w:tblLayout w:type="fixed"/>
        <w:tblCellMar>
          <w:top w:w="0" w:type="dxa"/>
          <w:left w:w="0" w:type="dxa"/>
          <w:bottom w:w="0" w:type="dxa"/>
          <w:right w:w="0" w:type="dxa"/>
        </w:tblCellMar>
        <w:tblLook w:val="01E0"/>
      </w:tblPr>
      <w:tblGrid>
        <w:gridCol w:w="866"/>
        <w:gridCol w:w="880"/>
        <w:gridCol w:w="870"/>
        <w:gridCol w:w="871"/>
        <w:gridCol w:w="870"/>
        <w:gridCol w:w="869"/>
        <w:gridCol w:w="869"/>
        <w:gridCol w:w="869"/>
        <w:gridCol w:w="869"/>
        <w:gridCol w:w="869"/>
        <w:gridCol w:w="853"/>
      </w:tblGrid>
      <w:tr>
        <w:trPr>
          <w:trHeight w:val="37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62"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7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期末账面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本期收益</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会计核算</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61" w:right="0"/>
              <w:jc w:val="left"/>
              <w:rPr>
                <w:rFonts w:ascii="宋体" w:hAnsi="宋体" w:cs="宋体" w:eastAsia="宋体" w:hint="default"/>
                <w:sz w:val="18"/>
                <w:szCs w:val="18"/>
              </w:rPr>
            </w:pPr>
            <w:r>
              <w:rPr>
                <w:rFonts w:ascii="宋体" w:hAnsi="宋体" w:cs="宋体" w:eastAsia="宋体" w:hint="default"/>
                <w:sz w:val="18"/>
                <w:szCs w:val="18"/>
              </w:rPr>
              <w:t>股份来源</w:t>
            </w:r>
          </w:p>
        </w:tc>
      </w:tr>
    </w:tbl>
    <w:p>
      <w:pPr>
        <w:spacing w:after="0" w:line="240" w:lineRule="auto"/>
        <w:jc w:val="left"/>
        <w:rPr>
          <w:rFonts w:ascii="宋体" w:hAnsi="宋体" w:cs="宋体" w:eastAsia="宋体" w:hint="default"/>
          <w:sz w:val="18"/>
          <w:szCs w:val="18"/>
        </w:rPr>
        <w:sectPr>
          <w:pgSz w:w="11910" w:h="16840"/>
          <w:pgMar w:header="745" w:footer="0" w:top="1060" w:bottom="280" w:left="1020" w:right="102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69"/>
        <w:gridCol w:w="872"/>
        <w:gridCol w:w="869"/>
        <w:gridCol w:w="869"/>
        <w:gridCol w:w="869"/>
        <w:gridCol w:w="869"/>
        <w:gridCol w:w="869"/>
        <w:gridCol w:w="869"/>
        <w:gridCol w:w="854"/>
      </w:tblGrid>
      <w:tr>
        <w:trPr>
          <w:trHeight w:val="362"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4"/>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4"/>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sz w:val="18"/>
                <w:szCs w:val="18"/>
              </w:rPr>
              <w:t>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87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pict>
          <v:shape style="position:absolute;margin-left:145.940002pt;margin-top:-58.338268pt;width:84.15pt;height:17.650pt;mso-position-horizontal-relative:page;mso-position-vertical-relative:paragraph;z-index:-82765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成本（元）</w:t>
                  </w:r>
                </w:p>
              </w:txbxContent>
            </v:textbox>
            <w10:wrap type="none"/>
          </v:shape>
        </w:pict>
      </w:r>
      <w:r>
        <w:rPr/>
        <w:pict>
          <v:shape style="position:absolute;margin-left:189.380005pt;margin-top:-58.338268pt;width:84.3pt;height:17.650pt;mso-position-horizontal-relative:page;mso-position-vertical-relative:paragraph;z-index:-82763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pict>
          <v:shape style="position:absolute;margin-left:276.410004pt;margin-top:-58.338268pt;width:84.15pt;height:17.650pt;mso-position-horizontal-relative:page;mso-position-vertical-relative:paragraph;z-index:-82760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rFonts w:ascii="宋体" w:hAnsi="宋体" w:cs="宋体" w:eastAsia="宋体" w:hint="default"/>
          <w:sz w:val="18"/>
          <w:szCs w:val="18"/>
        </w:rPr>
        <w:t>持有其他上市公司股权情况的说明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68"/>
        <w:gridCol w:w="960"/>
        <w:gridCol w:w="961"/>
        <w:gridCol w:w="955"/>
        <w:gridCol w:w="958"/>
        <w:gridCol w:w="958"/>
        <w:gridCol w:w="958"/>
        <w:gridCol w:w="955"/>
        <w:gridCol w:w="958"/>
        <w:gridCol w:w="941"/>
      </w:tblGrid>
      <w:tr>
        <w:trPr>
          <w:trHeight w:val="715"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9" w:right="27" w:hanging="361"/>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24"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26" w:hanging="92"/>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19" w:hanging="106"/>
              <w:jc w:val="left"/>
              <w:rPr>
                <w:rFonts w:ascii="宋体" w:hAnsi="宋体" w:cs="宋体" w:eastAsia="宋体" w:hint="default"/>
                <w:sz w:val="18"/>
                <w:szCs w:val="18"/>
              </w:rPr>
            </w:pPr>
            <w:r>
              <w:rPr>
                <w:rFonts w:ascii="宋体" w:hAnsi="宋体" w:cs="宋体" w:eastAsia="宋体" w:hint="default"/>
                <w:sz w:val="18"/>
                <w:szCs w:val="18"/>
              </w:rPr>
              <w:t>期初持股比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22" w:hanging="106"/>
              <w:jc w:val="left"/>
              <w:rPr>
                <w:rFonts w:ascii="宋体" w:hAnsi="宋体" w:cs="宋体" w:eastAsia="宋体" w:hint="default"/>
                <w:sz w:val="18"/>
                <w:szCs w:val="18"/>
              </w:rPr>
            </w:pPr>
            <w:r>
              <w:rPr>
                <w:rFonts w:ascii="宋体" w:hAnsi="宋体" w:cs="宋体" w:eastAsia="宋体" w:hint="default"/>
                <w:sz w:val="18"/>
                <w:szCs w:val="18"/>
              </w:rPr>
              <w:t>期末持股比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2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1" w:hRule="exact"/>
        </w:trPr>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持有非上市金融企业股权情况的说明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期初股份数量</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50" w:hanging="92"/>
              <w:jc w:val="left"/>
              <w:rPr>
                <w:rFonts w:ascii="宋体" w:hAnsi="宋体" w:cs="宋体" w:eastAsia="宋体" w:hint="default"/>
                <w:sz w:val="18"/>
                <w:szCs w:val="18"/>
              </w:rPr>
            </w:pPr>
            <w:r>
              <w:rPr>
                <w:rFonts w:ascii="宋体" w:hAnsi="宋体" w:cs="宋体" w:eastAsia="宋体" w:hint="default"/>
                <w:sz w:val="18"/>
                <w:szCs w:val="18"/>
              </w:rPr>
              <w:t>报告期买入出股 份数量（股）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报告期买卖出股 份数量（股）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期末股份数量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使用的资金数量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产生的投资收益</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报告期内卖出申购取得的新股产生的投资收益总额元。 买卖其他上市公司股份的情况的说明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2"/>
        <w:gridCol w:w="1657"/>
        <w:gridCol w:w="1591"/>
        <w:gridCol w:w="1594"/>
        <w:gridCol w:w="1594"/>
        <w:gridCol w:w="1589"/>
      </w:tblGrid>
      <w:tr>
        <w:trPr>
          <w:trHeight w:val="713"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67"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0" w:right="70"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7"/>
        <w:rPr>
          <w:rFonts w:ascii="宋体" w:hAnsi="宋体" w:cs="宋体" w:eastAsia="宋体" w:hint="default"/>
          <w:b/>
          <w:bCs/>
          <w:sz w:val="24"/>
          <w:szCs w:val="24"/>
        </w:rPr>
      </w:pPr>
    </w:p>
    <w:p>
      <w:pPr>
        <w:spacing w:line="290" w:lineRule="auto" w:before="0"/>
        <w:ind w:left="578" w:right="5814" w:hanging="426"/>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、上海天玑信息技术服务有限公司</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500</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法定代表人：姜蓓蓓</w:t>
      </w:r>
    </w:p>
    <w:p>
      <w:pPr>
        <w:pStyle w:val="BodyText"/>
        <w:spacing w:line="290" w:lineRule="auto" w:before="34"/>
        <w:ind w:left="578" w:right="1674"/>
        <w:jc w:val="left"/>
      </w:pPr>
      <w:r>
        <w:rPr>
          <w:spacing w:val="-2"/>
        </w:rPr>
        <w:t>注册地址：上海市松江区新桥镇莘砖公路</w:t>
      </w:r>
      <w:r>
        <w:rPr>
          <w:rFonts w:ascii="Times New Roman" w:hAnsi="Times New Roman" w:cs="Times New Roman" w:eastAsia="Times New Roman" w:hint="default"/>
          <w:spacing w:val="-2"/>
        </w:rPr>
        <w:t>518</w:t>
      </w:r>
      <w:r>
        <w:rPr>
          <w:spacing w:val="-2"/>
        </w:rPr>
        <w:t>号</w:t>
      </w:r>
      <w:r>
        <w:rPr>
          <w:rFonts w:ascii="Times New Roman" w:hAnsi="Times New Roman" w:cs="Times New Roman" w:eastAsia="Times New Roman" w:hint="default"/>
          <w:spacing w:val="-2"/>
        </w:rPr>
        <w:t>28</w:t>
      </w:r>
      <w:r>
        <w:rPr>
          <w:spacing w:val="-2"/>
        </w:rPr>
        <w:t>幢</w:t>
      </w:r>
      <w:r>
        <w:rPr>
          <w:rFonts w:ascii="Times New Roman" w:hAnsi="Times New Roman" w:cs="Times New Roman" w:eastAsia="Times New Roman" w:hint="default"/>
          <w:spacing w:val="-2"/>
        </w:rPr>
        <w:t>201</w:t>
      </w:r>
      <w:r>
        <w:rPr>
          <w:spacing w:val="-2"/>
        </w:rPr>
        <w:t>室</w:t>
      </w:r>
      <w:r>
        <w:rPr>
          <w:spacing w:val="-50"/>
        </w:rPr>
        <w:t> </w:t>
      </w:r>
      <w:r>
        <w:rPr/>
        <w:t>主要生产基地：上海市桂平路</w:t>
      </w:r>
      <w:r>
        <w:rPr>
          <w:rFonts w:ascii="Times New Roman" w:hAnsi="Times New Roman" w:cs="Times New Roman" w:eastAsia="Times New Roman" w:hint="default"/>
        </w:rPr>
        <w:t>481</w:t>
      </w:r>
      <w:r>
        <w:rPr/>
        <w:t>号</w:t>
      </w:r>
      <w:r>
        <w:rPr>
          <w:rFonts w:ascii="Times New Roman" w:hAnsi="Times New Roman" w:cs="Times New Roman" w:eastAsia="Times New Roman" w:hint="default"/>
        </w:rPr>
        <w:t>18</w:t>
      </w:r>
      <w:r>
        <w:rPr/>
        <w:t>号楼</w:t>
      </w:r>
      <w:r>
        <w:rPr>
          <w:rFonts w:ascii="Times New Roman" w:hAnsi="Times New Roman" w:cs="Times New Roman" w:eastAsia="Times New Roman" w:hint="default"/>
        </w:rPr>
        <w:t>4</w:t>
      </w:r>
      <w:r>
        <w:rPr/>
        <w:t>楼</w:t>
      </w:r>
      <w:r>
        <w:rPr>
          <w:w w:val="100"/>
        </w:rPr>
        <w:t> </w:t>
      </w:r>
      <w:r>
        <w:rPr/>
        <w:t>股东构成及控制情况：公司持有其</w:t>
      </w:r>
      <w:r>
        <w:rPr>
          <w:rFonts w:ascii="Times New Roman" w:hAnsi="Times New Roman" w:cs="Times New Roman" w:eastAsia="Times New Roman" w:hint="default"/>
        </w:rPr>
        <w:t>100%</w:t>
      </w:r>
      <w:r>
        <w:rPr/>
        <w:t>的股权</w:t>
      </w:r>
    </w:p>
    <w:p>
      <w:pPr>
        <w:pStyle w:val="BodyText"/>
        <w:spacing w:line="273" w:lineRule="auto" w:before="13"/>
        <w:ind w:left="578" w:right="148"/>
        <w:jc w:val="both"/>
      </w:pPr>
      <w:r>
        <w:rPr>
          <w:spacing w:val="-3"/>
        </w:rPr>
        <w:t>公司经营范围：计算机专业技术领域内的技术研究，计算机网络工程（除专项审批），计算机软硬件</w:t>
      </w:r>
      <w:r>
        <w:rPr>
          <w:spacing w:val="-11"/>
        </w:rPr>
        <w:t> </w:t>
      </w:r>
      <w:r>
        <w:rPr>
          <w:spacing w:val="-11"/>
        </w:rPr>
      </w:r>
      <w:r>
        <w:rPr>
          <w:spacing w:val="-3"/>
        </w:rPr>
        <w:t>开发，系统集成，商务信息咨询，计算机及通信设备的安装、调试及维修及租赁，销售计算机软硬件</w:t>
      </w:r>
      <w:r>
        <w:rPr>
          <w:spacing w:val="-14"/>
        </w:rPr>
        <w:t> </w:t>
      </w:r>
      <w:r>
        <w:rPr>
          <w:spacing w:val="-14"/>
        </w:rPr>
      </w:r>
      <w:r>
        <w:rPr/>
        <w:t>电子产品、通信设备、五金交电、机电设备。（涉及行政许可的，凭许可证经营）</w:t>
      </w:r>
    </w:p>
    <w:p>
      <w:pPr>
        <w:spacing w:after="0" w:line="273" w:lineRule="auto"/>
        <w:jc w:val="both"/>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489" w:right="102"/>
        <w:jc w:val="left"/>
      </w:pPr>
      <w:r>
        <w:rPr/>
        <w:t>经营情况：截止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日，上海天玑总资产</w:t>
      </w:r>
      <w:r>
        <w:rPr>
          <w:rFonts w:ascii="Times New Roman" w:hAnsi="Times New Roman" w:cs="Times New Roman" w:eastAsia="Times New Roman" w:hint="default"/>
        </w:rPr>
        <w:t>8,613,337.94</w:t>
      </w:r>
      <w:r>
        <w:rPr/>
        <w:t>元，净资产</w:t>
      </w:r>
      <w:r>
        <w:rPr>
          <w:rFonts w:ascii="Times New Roman" w:hAnsi="Times New Roman" w:cs="Times New Roman" w:eastAsia="Times New Roman" w:hint="default"/>
        </w:rPr>
        <w:t>8,100,985.88</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净利润</w:t>
      </w:r>
    </w:p>
    <w:p>
      <w:pPr>
        <w:pStyle w:val="BodyText"/>
        <w:spacing w:line="240" w:lineRule="auto" w:before="21"/>
        <w:ind w:left="467" w:right="102"/>
        <w:jc w:val="left"/>
      </w:pPr>
      <w:r>
        <w:rPr>
          <w:rFonts w:ascii="Times New Roman" w:hAnsi="Times New Roman" w:cs="Times New Roman" w:eastAsia="Times New Roman" w:hint="default"/>
        </w:rPr>
        <w:t>196,979.77</w:t>
      </w:r>
      <w:r>
        <w:rPr/>
        <w:t>元</w:t>
      </w:r>
    </w:p>
    <w:p>
      <w:pPr>
        <w:spacing w:line="240" w:lineRule="auto" w:before="7"/>
        <w:rPr>
          <w:rFonts w:ascii="宋体" w:hAnsi="宋体" w:cs="宋体" w:eastAsia="宋体" w:hint="default"/>
          <w:sz w:val="31"/>
          <w:szCs w:val="31"/>
        </w:rPr>
      </w:pPr>
    </w:p>
    <w:p>
      <w:pPr>
        <w:spacing w:line="290" w:lineRule="auto" w:before="0"/>
        <w:ind w:left="578" w:right="7002" w:hanging="426"/>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、上海力克数码科技有限公司</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pacing w:val="-1"/>
          <w:sz w:val="21"/>
          <w:szCs w:val="21"/>
        </w:rPr>
        <w:t>成立时间：</w:t>
      </w: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26</w:t>
      </w:r>
      <w:r>
        <w:rPr>
          <w:rFonts w:ascii="宋体" w:hAnsi="宋体" w:cs="宋体" w:eastAsia="宋体" w:hint="default"/>
          <w:spacing w:val="-1"/>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1,500</w:t>
      </w:r>
      <w:r>
        <w:rPr>
          <w:rFonts w:ascii="宋体" w:hAnsi="宋体" w:cs="宋体" w:eastAsia="宋体" w:hint="default"/>
          <w:sz w:val="21"/>
          <w:szCs w:val="21"/>
        </w:rPr>
        <w:t>万元</w:t>
      </w:r>
      <w:r>
        <w:rPr>
          <w:rFonts w:ascii="宋体" w:hAnsi="宋体" w:cs="宋体" w:eastAsia="宋体" w:hint="default"/>
          <w:spacing w:val="-3"/>
          <w:w w:val="100"/>
          <w:sz w:val="21"/>
          <w:szCs w:val="21"/>
        </w:rPr>
        <w:t> </w:t>
      </w:r>
      <w:r>
        <w:rPr>
          <w:rFonts w:ascii="宋体" w:hAnsi="宋体" w:cs="宋体" w:eastAsia="宋体" w:hint="default"/>
          <w:sz w:val="21"/>
          <w:szCs w:val="21"/>
        </w:rPr>
        <w:t>法定代表人：赵永齐</w:t>
      </w:r>
    </w:p>
    <w:p>
      <w:pPr>
        <w:pStyle w:val="BodyText"/>
        <w:spacing w:line="288" w:lineRule="auto" w:before="34"/>
        <w:ind w:left="578" w:right="102"/>
        <w:jc w:val="left"/>
      </w:pPr>
      <w:r>
        <w:rPr/>
        <w:t>注册地址：上海市松江区新桥镇莘砖公路</w:t>
      </w:r>
      <w:r>
        <w:rPr>
          <w:rFonts w:ascii="Times New Roman" w:hAnsi="Times New Roman" w:cs="Times New Roman" w:eastAsia="Times New Roman" w:hint="default"/>
        </w:rPr>
        <w:t>518</w:t>
      </w:r>
      <w:r>
        <w:rPr/>
        <w:t>号</w:t>
      </w:r>
      <w:r>
        <w:rPr>
          <w:rFonts w:ascii="Times New Roman" w:hAnsi="Times New Roman" w:cs="Times New Roman" w:eastAsia="Times New Roman" w:hint="default"/>
        </w:rPr>
        <w:t>28</w:t>
      </w:r>
      <w:r>
        <w:rPr/>
        <w:t>幢</w:t>
      </w:r>
      <w:r>
        <w:rPr>
          <w:rFonts w:ascii="Times New Roman" w:hAnsi="Times New Roman" w:cs="Times New Roman" w:eastAsia="Times New Roman" w:hint="default"/>
        </w:rPr>
        <w:t>101</w:t>
      </w:r>
      <w:r>
        <w:rPr/>
        <w:t>室</w:t>
      </w:r>
      <w:r>
        <w:rPr>
          <w:w w:val="100"/>
        </w:rPr>
        <w:t> </w:t>
      </w:r>
      <w:r>
        <w:rPr/>
        <w:t>主要生产基地：上海市松江区新桥镇莘砖公路</w:t>
      </w:r>
      <w:r>
        <w:rPr>
          <w:rFonts w:ascii="Times New Roman" w:hAnsi="Times New Roman" w:cs="Times New Roman" w:eastAsia="Times New Roman" w:hint="default"/>
        </w:rPr>
        <w:t>518</w:t>
      </w:r>
      <w:r>
        <w:rPr/>
        <w:t>号</w:t>
      </w:r>
      <w:r>
        <w:rPr>
          <w:rFonts w:ascii="Times New Roman" w:hAnsi="Times New Roman" w:cs="Times New Roman" w:eastAsia="Times New Roman" w:hint="default"/>
        </w:rPr>
        <w:t>28</w:t>
      </w:r>
      <w:r>
        <w:rPr/>
        <w:t>幢</w:t>
      </w:r>
      <w:r>
        <w:rPr>
          <w:w w:val="100"/>
        </w:rPr>
        <w:t> </w:t>
      </w:r>
      <w:r>
        <w:rPr/>
        <w:t>股东构成及控制情况：公司持有其</w:t>
      </w:r>
      <w:r>
        <w:rPr>
          <w:rFonts w:ascii="Times New Roman" w:hAnsi="Times New Roman" w:cs="Times New Roman" w:eastAsia="Times New Roman" w:hint="default"/>
        </w:rPr>
        <w:t>100%</w:t>
      </w:r>
      <w:r>
        <w:rPr/>
        <w:t>的股权</w:t>
      </w:r>
      <w:r>
        <w:rPr>
          <w:w w:val="100"/>
        </w:rPr>
        <w:t> </w:t>
      </w:r>
      <w:r>
        <w:rPr>
          <w:spacing w:val="-3"/>
        </w:rPr>
        <w:t>公司经营范围：计算机软硬件开发、维护、计算机信息系统集成，计算机软硬件（除计算机信息系统</w:t>
      </w:r>
      <w:r>
        <w:rPr>
          <w:spacing w:val="-14"/>
        </w:rPr>
        <w:t> </w:t>
      </w:r>
      <w:r>
        <w:rPr>
          <w:spacing w:val="-14"/>
        </w:rPr>
      </w:r>
      <w:r>
        <w:rPr>
          <w:spacing w:val="-3"/>
        </w:rPr>
        <w:t>安全专业产品）批发、零售，通讯设备（不含卫星广播电视地面接收设施）批发、零售、维修及相关</w:t>
      </w:r>
      <w:r>
        <w:rPr>
          <w:spacing w:val="-12"/>
        </w:rPr>
        <w:t> </w:t>
      </w:r>
      <w:r>
        <w:rPr>
          <w:spacing w:val="-12"/>
        </w:rPr>
      </w:r>
      <w:r>
        <w:rPr/>
        <w:t>的技术咨询、技术服务，从事货物及技术的进出口业务、自有设备租赁。</w:t>
      </w:r>
      <w:r>
        <w:rPr>
          <w:w w:val="100"/>
        </w:rPr>
        <w:t> </w:t>
      </w:r>
      <w:r>
        <w:rPr/>
        <w:t>经营情况：截止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日，力克数码总资产</w:t>
      </w:r>
      <w:r>
        <w:rPr>
          <w:rFonts w:ascii="Times New Roman" w:hAnsi="Times New Roman" w:cs="Times New Roman" w:eastAsia="Times New Roman" w:hint="default"/>
        </w:rPr>
        <w:t>38,306,529.54</w:t>
      </w:r>
      <w:r>
        <w:rPr/>
        <w:t>元，净资产</w:t>
      </w:r>
      <w:r>
        <w:rPr>
          <w:rFonts w:ascii="Times New Roman" w:hAnsi="Times New Roman" w:cs="Times New Roman" w:eastAsia="Times New Roman" w:hint="default"/>
        </w:rPr>
        <w:t>15,746,908.29</w:t>
      </w:r>
      <w:r>
        <w:rPr/>
        <w:t>元，净利润</w:t>
      </w:r>
    </w:p>
    <w:p>
      <w:pPr>
        <w:pStyle w:val="BodyText"/>
        <w:spacing w:line="265" w:lineRule="exact"/>
        <w:ind w:left="578" w:right="102"/>
        <w:jc w:val="left"/>
      </w:pPr>
      <w:r>
        <w:rPr>
          <w:rFonts w:ascii="Times New Roman" w:hAnsi="Times New Roman" w:cs="Times New Roman" w:eastAsia="Times New Roman" w:hint="default"/>
        </w:rPr>
        <w:t>994,856.08</w:t>
      </w:r>
      <w:r>
        <w:rPr/>
        <w:t>元</w:t>
      </w:r>
    </w:p>
    <w:p>
      <w:pPr>
        <w:spacing w:line="240" w:lineRule="auto" w:before="7"/>
        <w:rPr>
          <w:rFonts w:ascii="宋体" w:hAnsi="宋体" w:cs="宋体" w:eastAsia="宋体" w:hint="default"/>
          <w:sz w:val="31"/>
          <w:szCs w:val="31"/>
        </w:rPr>
      </w:pPr>
    </w:p>
    <w:p>
      <w:pPr>
        <w:spacing w:line="290" w:lineRule="auto" w:before="0"/>
        <w:ind w:left="578" w:right="5983" w:hanging="426"/>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、上海领卓企业管理咨询有限公司</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200</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法定代表人：梁晟</w:t>
      </w:r>
    </w:p>
    <w:p>
      <w:pPr>
        <w:pStyle w:val="BodyText"/>
        <w:spacing w:line="290" w:lineRule="auto" w:before="34"/>
        <w:ind w:left="578" w:right="102"/>
        <w:jc w:val="left"/>
      </w:pPr>
      <w:r>
        <w:rPr/>
        <w:t>注册地址：上海市青浦区西虹街</w:t>
      </w:r>
      <w:r>
        <w:rPr>
          <w:rFonts w:ascii="Times New Roman" w:hAnsi="Times New Roman" w:cs="Times New Roman" w:eastAsia="Times New Roman" w:hint="default"/>
        </w:rPr>
        <w:t>349</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2</w:t>
      </w:r>
      <w:r>
        <w:rPr/>
        <w:t>层</w:t>
      </w:r>
      <w:r>
        <w:rPr>
          <w:rFonts w:ascii="Times New Roman" w:hAnsi="Times New Roman" w:cs="Times New Roman" w:eastAsia="Times New Roman" w:hint="default"/>
        </w:rPr>
        <w:t>C</w:t>
      </w:r>
      <w:r>
        <w:rPr/>
        <w:t>区</w:t>
      </w:r>
      <w:r>
        <w:rPr>
          <w:rFonts w:ascii="Times New Roman" w:hAnsi="Times New Roman" w:cs="Times New Roman" w:eastAsia="Times New Roman" w:hint="default"/>
        </w:rPr>
        <w:t>205</w:t>
      </w:r>
      <w:r>
        <w:rPr/>
        <w:t>室</w:t>
      </w:r>
      <w:r>
        <w:rPr>
          <w:w w:val="100"/>
        </w:rPr>
        <w:t> </w:t>
      </w:r>
      <w:r>
        <w:rPr/>
        <w:t>主要生产基地：上海市普陀区常德路</w:t>
      </w:r>
      <w:r>
        <w:rPr>
          <w:rFonts w:ascii="Times New Roman" w:hAnsi="Times New Roman" w:cs="Times New Roman" w:eastAsia="Times New Roman" w:hint="default"/>
        </w:rPr>
        <w:t>1211</w:t>
      </w:r>
      <w:r>
        <w:rPr/>
        <w:t>号宝华大厦</w:t>
      </w:r>
      <w:r>
        <w:rPr>
          <w:rFonts w:ascii="Times New Roman" w:hAnsi="Times New Roman" w:cs="Times New Roman" w:eastAsia="Times New Roman" w:hint="default"/>
        </w:rPr>
        <w:t>510</w:t>
      </w:r>
      <w:r>
        <w:rPr/>
        <w:t>室</w:t>
      </w:r>
      <w:r>
        <w:rPr>
          <w:w w:val="100"/>
        </w:rPr>
        <w:t> </w:t>
      </w:r>
      <w:r>
        <w:rPr/>
        <w:t>股东构成及控制情况：公司持有其</w:t>
      </w:r>
      <w:r>
        <w:rPr>
          <w:rFonts w:ascii="Times New Roman" w:hAnsi="Times New Roman" w:cs="Times New Roman" w:eastAsia="Times New Roman" w:hint="default"/>
        </w:rPr>
        <w:t>100%</w:t>
      </w:r>
      <w:r>
        <w:rPr/>
        <w:t>的股权</w:t>
      </w:r>
      <w:r>
        <w:rPr>
          <w:w w:val="100"/>
        </w:rPr>
        <w:t> </w:t>
      </w:r>
      <w:r>
        <w:rPr>
          <w:spacing w:val="-5"/>
        </w:rPr>
        <w:t>公司经营范围：企业管理咨询、科学技术咨询（不得从事经纪），计算机专业技术领域内的技术研究，</w:t>
      </w:r>
      <w:r>
        <w:rPr>
          <w:spacing w:val="-17"/>
        </w:rPr>
        <w:t> </w:t>
      </w:r>
      <w:r>
        <w:rPr>
          <w:spacing w:val="-17"/>
        </w:rPr>
      </w:r>
      <w:r>
        <w:rPr/>
        <w:t>计算机软硬件开发，系统集成，计算机及通信设备的安装、调试及维修，销售计算机软硬件。</w:t>
      </w:r>
      <w:r>
        <w:rPr>
          <w:w w:val="100"/>
        </w:rPr>
        <w:t> </w:t>
      </w:r>
      <w:r>
        <w:rPr>
          <w:spacing w:val="3"/>
        </w:rPr>
        <w:t>经营情况：截止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日，领卓咨询总资产</w:t>
      </w:r>
      <w:r>
        <w:rPr>
          <w:rFonts w:ascii="Times New Roman" w:hAnsi="Times New Roman" w:cs="Times New Roman" w:eastAsia="Times New Roman" w:hint="default"/>
          <w:spacing w:val="3"/>
        </w:rPr>
        <w:t>3,628,791.59</w:t>
      </w:r>
      <w:r>
        <w:rPr>
          <w:spacing w:val="3"/>
        </w:rPr>
        <w:t>元，净资产</w:t>
      </w:r>
      <w:r>
        <w:rPr>
          <w:rFonts w:ascii="Times New Roman" w:hAnsi="Times New Roman" w:cs="Times New Roman" w:eastAsia="Times New Roman" w:hint="default"/>
          <w:spacing w:val="3"/>
        </w:rPr>
        <w:t>1,959,954.46</w:t>
      </w:r>
      <w:r>
        <w:rPr>
          <w:spacing w:val="3"/>
        </w:rPr>
        <w:t>元，净利润</w:t>
      </w:r>
    </w:p>
    <w:p>
      <w:pPr>
        <w:pStyle w:val="BodyText"/>
        <w:spacing w:line="263" w:lineRule="exact"/>
        <w:ind w:left="578" w:right="102"/>
        <w:jc w:val="left"/>
      </w:pPr>
      <w:r>
        <w:rPr>
          <w:rFonts w:ascii="Times New Roman" w:hAnsi="Times New Roman" w:cs="Times New Roman" w:eastAsia="Times New Roman" w:hint="default"/>
        </w:rPr>
        <w:t>1,227,282.09</w:t>
      </w:r>
      <w:r>
        <w:rPr/>
        <w:t>元</w:t>
      </w:r>
    </w:p>
    <w:p>
      <w:pPr>
        <w:spacing w:line="240" w:lineRule="auto" w:before="9"/>
        <w:rPr>
          <w:rFonts w:ascii="宋体" w:hAnsi="宋体" w:cs="宋体" w:eastAsia="宋体" w:hint="default"/>
          <w:sz w:val="31"/>
          <w:szCs w:val="31"/>
        </w:rPr>
      </w:pPr>
    </w:p>
    <w:p>
      <w:pPr>
        <w:spacing w:line="290" w:lineRule="auto" w:before="0"/>
        <w:ind w:left="578" w:right="5983" w:hanging="426"/>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、极品数据系统有限公司（美国）</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50.00</w:t>
      </w:r>
      <w:r>
        <w:rPr>
          <w:rFonts w:ascii="宋体" w:hAnsi="宋体" w:cs="宋体" w:eastAsia="宋体" w:hint="default"/>
          <w:sz w:val="21"/>
          <w:szCs w:val="21"/>
        </w:rPr>
        <w:t>万美元</w:t>
      </w:r>
    </w:p>
    <w:p>
      <w:pPr>
        <w:pStyle w:val="BodyText"/>
        <w:spacing w:line="240" w:lineRule="auto" w:before="13"/>
        <w:ind w:left="578" w:right="102"/>
        <w:jc w:val="left"/>
        <w:rPr>
          <w:rFonts w:ascii="Times New Roman" w:hAnsi="Times New Roman" w:cs="Times New Roman" w:eastAsia="Times New Roman" w:hint="default"/>
        </w:rPr>
      </w:pPr>
      <w:r>
        <w:rPr/>
        <w:t>注册地址：</w:t>
      </w:r>
      <w:r>
        <w:rPr>
          <w:rFonts w:ascii="Times New Roman" w:hAnsi="Times New Roman" w:cs="Times New Roman" w:eastAsia="Times New Roman" w:hint="default"/>
        </w:rPr>
        <w:t>6644 S 196TH ST Suite T103, Kent, WA 98032,</w:t>
      </w:r>
      <w:r>
        <w:rPr>
          <w:rFonts w:ascii="Times New Roman" w:hAnsi="Times New Roman" w:cs="Times New Roman" w:eastAsia="Times New Roman" w:hint="default"/>
          <w:spacing w:val="-16"/>
        </w:rPr>
        <w:t> </w:t>
      </w:r>
      <w:r>
        <w:rPr>
          <w:rFonts w:ascii="Times New Roman" w:hAnsi="Times New Roman" w:cs="Times New Roman" w:eastAsia="Times New Roman" w:hint="default"/>
        </w:rPr>
        <w:t>USA</w:t>
      </w:r>
    </w:p>
    <w:p>
      <w:pPr>
        <w:pStyle w:val="BodyText"/>
        <w:spacing w:line="290" w:lineRule="auto" w:before="59"/>
        <w:ind w:left="578" w:right="3365"/>
        <w:jc w:val="left"/>
      </w:pPr>
      <w:r>
        <w:rPr/>
        <w:t>主要生产基地：</w:t>
      </w:r>
      <w:r>
        <w:rPr>
          <w:rFonts w:ascii="Times New Roman" w:hAnsi="Times New Roman" w:cs="Times New Roman" w:eastAsia="Times New Roman" w:hint="default"/>
        </w:rPr>
        <w:t>6644 S 196TH ST Suite T103, Kent, WA 98032,</w:t>
      </w:r>
      <w:r>
        <w:rPr>
          <w:rFonts w:ascii="Times New Roman" w:hAnsi="Times New Roman" w:cs="Times New Roman" w:eastAsia="Times New Roman" w:hint="default"/>
          <w:spacing w:val="-12"/>
        </w:rPr>
        <w:t> </w:t>
      </w:r>
      <w:r>
        <w:rPr>
          <w:rFonts w:ascii="Times New Roman" w:hAnsi="Times New Roman" w:cs="Times New Roman" w:eastAsia="Times New Roman" w:hint="default"/>
        </w:rPr>
        <w:t>USA</w:t>
      </w:r>
      <w:r>
        <w:rPr>
          <w:rFonts w:ascii="Times New Roman" w:hAnsi="Times New Roman" w:cs="Times New Roman" w:eastAsia="Times New Roman" w:hint="default"/>
          <w:w w:val="100"/>
        </w:rPr>
        <w:t> </w:t>
      </w:r>
      <w:r>
        <w:rPr/>
        <w:t>股东构成及控制情况：公司持有其</w:t>
      </w:r>
      <w:r>
        <w:rPr>
          <w:rFonts w:ascii="Times New Roman" w:hAnsi="Times New Roman" w:cs="Times New Roman" w:eastAsia="Times New Roman" w:hint="default"/>
        </w:rPr>
        <w:t>100%</w:t>
      </w:r>
      <w:r>
        <w:rPr/>
        <w:t>的股权</w:t>
      </w:r>
      <w:r>
        <w:rPr>
          <w:w w:val="100"/>
        </w:rPr>
        <w:t> </w:t>
      </w:r>
      <w:r>
        <w:rPr/>
        <w:t>公司经营范围：备品、备件的采购和销售。</w:t>
      </w:r>
    </w:p>
    <w:p>
      <w:pPr>
        <w:pStyle w:val="BodyText"/>
        <w:spacing w:line="256" w:lineRule="auto" w:before="31"/>
        <w:ind w:left="578" w:right="211"/>
        <w:jc w:val="left"/>
      </w:pPr>
      <w:r>
        <w:rPr>
          <w:spacing w:val="-5"/>
        </w:rPr>
        <w:t>经营情况：截止</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日，极品数据总资产</w:t>
      </w:r>
      <w:r>
        <w:rPr>
          <w:rFonts w:ascii="Times New Roman" w:hAnsi="Times New Roman" w:cs="Times New Roman" w:eastAsia="Times New Roman" w:hint="default"/>
          <w:spacing w:val="-5"/>
        </w:rPr>
        <w:t>961,364.59</w:t>
      </w:r>
      <w:r>
        <w:rPr>
          <w:spacing w:val="-5"/>
        </w:rPr>
        <w:t>元，净资产</w:t>
      </w:r>
      <w:r>
        <w:rPr>
          <w:rFonts w:ascii="Times New Roman" w:hAnsi="Times New Roman" w:cs="Times New Roman" w:eastAsia="Times New Roman" w:hint="default"/>
          <w:spacing w:val="-5"/>
        </w:rPr>
        <w:t>584,234.59</w:t>
      </w:r>
      <w:r>
        <w:rPr>
          <w:spacing w:val="-5"/>
        </w:rPr>
        <w:t>元，净利润</w:t>
      </w:r>
      <w:r>
        <w:rPr>
          <w:rFonts w:ascii="Times New Roman" w:hAnsi="Times New Roman" w:cs="Times New Roman" w:eastAsia="Times New Roman" w:hint="default"/>
          <w:spacing w:val="-5"/>
        </w:rPr>
        <w:t>107,461.8</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元</w:t>
      </w:r>
    </w:p>
    <w:p>
      <w:pPr>
        <w:spacing w:line="240" w:lineRule="auto" w:before="0"/>
        <w:rPr>
          <w:rFonts w:ascii="宋体" w:hAnsi="宋体" w:cs="宋体" w:eastAsia="宋体" w:hint="default"/>
          <w:sz w:val="20"/>
          <w:szCs w:val="20"/>
        </w:rPr>
      </w:pPr>
    </w:p>
    <w:p>
      <w:pPr>
        <w:spacing w:line="290" w:lineRule="auto" w:before="154"/>
        <w:ind w:left="578" w:right="5983" w:hanging="426"/>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、极品数据系统（香港）有限公司</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p>
      <w:pPr>
        <w:spacing w:after="0" w:line="290" w:lineRule="auto"/>
        <w:jc w:val="left"/>
        <w:rPr>
          <w:rFonts w:ascii="宋体" w:hAnsi="宋体" w:cs="宋体" w:eastAsia="宋体" w:hint="default"/>
          <w:sz w:val="21"/>
          <w:szCs w:val="21"/>
        </w:rPr>
        <w:sectPr>
          <w:pgSz w:w="11910" w:h="16840"/>
          <w:pgMar w:header="745" w:footer="0" w:top="1060" w:bottom="280" w:left="980" w:right="920"/>
        </w:sectPr>
      </w:pPr>
    </w:p>
    <w:p>
      <w:pPr>
        <w:spacing w:line="240" w:lineRule="auto" w:before="10"/>
        <w:rPr>
          <w:rFonts w:ascii="宋体" w:hAnsi="宋体" w:cs="宋体" w:eastAsia="宋体" w:hint="default"/>
          <w:sz w:val="24"/>
          <w:szCs w:val="24"/>
        </w:rPr>
      </w:pPr>
    </w:p>
    <w:p>
      <w:pPr>
        <w:pStyle w:val="BodyText"/>
        <w:spacing w:line="240" w:lineRule="auto" w:before="36"/>
        <w:ind w:left="578" w:right="102"/>
        <w:jc w:val="left"/>
      </w:pPr>
      <w:r>
        <w:rPr/>
        <w:t>注册资本：</w:t>
      </w:r>
      <w:r>
        <w:rPr>
          <w:spacing w:val="-21"/>
        </w:rPr>
        <w:t> </w:t>
      </w:r>
      <w:r>
        <w:rPr>
          <w:rFonts w:ascii="Times New Roman" w:hAnsi="Times New Roman" w:cs="Times New Roman" w:eastAsia="Times New Roman" w:hint="default"/>
        </w:rPr>
        <w:t>20.00</w:t>
      </w:r>
      <w:r>
        <w:rPr/>
        <w:t>万美元</w:t>
      </w:r>
    </w:p>
    <w:p>
      <w:pPr>
        <w:pStyle w:val="BodyText"/>
        <w:spacing w:line="240" w:lineRule="auto" w:before="62"/>
        <w:ind w:left="578" w:right="102"/>
        <w:jc w:val="left"/>
        <w:rPr>
          <w:rFonts w:ascii="Times New Roman" w:hAnsi="Times New Roman" w:cs="Times New Roman" w:eastAsia="Times New Roman" w:hint="default"/>
        </w:rPr>
      </w:pPr>
      <w:r>
        <w:rPr/>
        <w:t>注册地址：</w:t>
      </w:r>
      <w:r>
        <w:rPr>
          <w:rFonts w:ascii="Times New Roman" w:hAnsi="Times New Roman" w:cs="Times New Roman" w:eastAsia="Times New Roman" w:hint="default"/>
        </w:rPr>
        <w:t>GREENWICH CENTRE 260 KING’S RD NORTH</w:t>
      </w:r>
      <w:r>
        <w:rPr>
          <w:rFonts w:ascii="Times New Roman" w:hAnsi="Times New Roman" w:cs="Times New Roman" w:eastAsia="Times New Roman" w:hint="default"/>
          <w:spacing w:val="-20"/>
        </w:rPr>
        <w:t> </w:t>
      </w:r>
      <w:r>
        <w:rPr>
          <w:rFonts w:ascii="Times New Roman" w:hAnsi="Times New Roman" w:cs="Times New Roman" w:eastAsia="Times New Roman" w:hint="default"/>
        </w:rPr>
        <w:t>POINT,HK</w:t>
      </w:r>
    </w:p>
    <w:p>
      <w:pPr>
        <w:pStyle w:val="BodyText"/>
        <w:spacing w:line="240" w:lineRule="auto" w:before="59"/>
        <w:ind w:left="578" w:right="102"/>
        <w:jc w:val="left"/>
        <w:rPr>
          <w:rFonts w:ascii="Times New Roman" w:hAnsi="Times New Roman" w:cs="Times New Roman" w:eastAsia="Times New Roman" w:hint="default"/>
        </w:rPr>
      </w:pPr>
      <w:r>
        <w:rPr/>
        <w:t>主要生产基地：</w:t>
      </w:r>
      <w:r>
        <w:rPr>
          <w:rFonts w:ascii="Times New Roman" w:hAnsi="Times New Roman" w:cs="Times New Roman" w:eastAsia="Times New Roman" w:hint="default"/>
        </w:rPr>
        <w:t>GREENWICH CENTRE 260 KING’S RD NORTH</w:t>
      </w:r>
      <w:r>
        <w:rPr>
          <w:rFonts w:ascii="Times New Roman" w:hAnsi="Times New Roman" w:cs="Times New Roman" w:eastAsia="Times New Roman" w:hint="default"/>
          <w:spacing w:val="-19"/>
        </w:rPr>
        <w:t> </w:t>
      </w:r>
      <w:r>
        <w:rPr>
          <w:rFonts w:ascii="Times New Roman" w:hAnsi="Times New Roman" w:cs="Times New Roman" w:eastAsia="Times New Roman" w:hint="default"/>
        </w:rPr>
        <w:t>POINT,HK</w:t>
      </w:r>
    </w:p>
    <w:p>
      <w:pPr>
        <w:pStyle w:val="BodyText"/>
        <w:spacing w:line="290" w:lineRule="auto" w:before="62"/>
        <w:ind w:left="578" w:right="102"/>
        <w:jc w:val="left"/>
      </w:pPr>
      <w:r>
        <w:rPr/>
        <w:t>股东构成及控制情况：公司持有其</w:t>
      </w:r>
      <w:r>
        <w:rPr>
          <w:rFonts w:ascii="Times New Roman" w:hAnsi="Times New Roman" w:cs="Times New Roman" w:eastAsia="Times New Roman" w:hint="default"/>
        </w:rPr>
        <w:t>100%</w:t>
      </w:r>
      <w:r>
        <w:rPr/>
        <w:t>的股权</w:t>
      </w:r>
      <w:r>
        <w:rPr>
          <w:w w:val="100"/>
        </w:rPr>
        <w:t> </w:t>
      </w:r>
      <w:r>
        <w:rPr/>
        <w:t>公司经营范围：计算机备件采购，销售，维修，技术咨询，服务外包及进出口业务。</w:t>
      </w:r>
    </w:p>
    <w:p>
      <w:pPr>
        <w:pStyle w:val="BodyText"/>
        <w:spacing w:line="256" w:lineRule="auto" w:before="31"/>
        <w:ind w:left="578" w:right="211"/>
        <w:jc w:val="left"/>
      </w:pPr>
      <w:r>
        <w:rPr/>
        <w:t>经营情况：截止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日，极品数据（香港）总资产</w:t>
      </w:r>
      <w:r>
        <w:rPr>
          <w:rFonts w:ascii="Times New Roman" w:hAnsi="Times New Roman" w:cs="Times New Roman" w:eastAsia="Times New Roman" w:hint="default"/>
        </w:rPr>
        <w:t>1,264,891.14</w:t>
      </w:r>
      <w:r>
        <w:rPr/>
        <w:t>元，净资产</w:t>
      </w:r>
      <w:r>
        <w:rPr>
          <w:rFonts w:ascii="Times New Roman" w:hAnsi="Times New Roman" w:cs="Times New Roman" w:eastAsia="Times New Roman" w:hint="default"/>
        </w:rPr>
        <w:t>1,254,752.63</w:t>
      </w:r>
      <w:r>
        <w:rPr/>
        <w:t>元，</w:t>
      </w:r>
      <w:r>
        <w:rPr>
          <w:spacing w:val="-34"/>
        </w:rPr>
        <w:t> </w:t>
      </w:r>
      <w:r>
        <w:rPr>
          <w:spacing w:val="-34"/>
        </w:rPr>
      </w:r>
      <w:r>
        <w:rPr/>
        <w:t>净利润</w:t>
      </w:r>
      <w:r>
        <w:rPr>
          <w:rFonts w:ascii="Times New Roman" w:hAnsi="Times New Roman" w:cs="Times New Roman" w:eastAsia="Times New Roman" w:hint="default"/>
        </w:rPr>
        <w:t>-88,816.85</w:t>
      </w:r>
      <w:r>
        <w:rPr/>
        <w:t>元</w:t>
      </w:r>
    </w:p>
    <w:p>
      <w:pPr>
        <w:spacing w:line="240" w:lineRule="auto" w:before="6"/>
        <w:rPr>
          <w:rFonts w:ascii="宋体" w:hAnsi="宋体" w:cs="宋体" w:eastAsia="宋体" w:hint="default"/>
          <w:sz w:val="30"/>
          <w:szCs w:val="30"/>
        </w:rPr>
      </w:pPr>
    </w:p>
    <w:p>
      <w:pPr>
        <w:spacing w:line="290" w:lineRule="auto" w:before="0"/>
        <w:ind w:left="578" w:right="6687" w:hanging="4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5"/>
          <w:sz w:val="21"/>
          <w:szCs w:val="21"/>
        </w:rPr>
        <w:t> </w:t>
      </w:r>
      <w:r>
        <w:rPr>
          <w:rFonts w:ascii="宋体" w:hAnsi="宋体" w:cs="宋体" w:eastAsia="宋体" w:hint="default"/>
          <w:b/>
          <w:bCs/>
          <w:sz w:val="21"/>
          <w:szCs w:val="21"/>
        </w:rPr>
        <w:t>上海复深蓝信息技术有限公司</w:t>
      </w:r>
      <w:r>
        <w:rPr>
          <w:rFonts w:ascii="宋体" w:hAnsi="宋体" w:cs="宋体" w:eastAsia="宋体" w:hint="default"/>
          <w:b/>
          <w:bCs/>
          <w:w w:val="100"/>
          <w:sz w:val="21"/>
          <w:szCs w:val="21"/>
        </w:rPr>
        <w:t> </w:t>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2004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2,000</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法定代表人：杨万强</w:t>
      </w:r>
    </w:p>
    <w:p>
      <w:pPr>
        <w:pStyle w:val="BodyText"/>
        <w:spacing w:line="285" w:lineRule="auto" w:before="32"/>
        <w:ind w:left="489" w:right="542" w:firstLine="88"/>
        <w:jc w:val="left"/>
      </w:pPr>
      <w:r>
        <w:rPr/>
        <w:t>注册地址：上海市徐汇区虹梅路</w:t>
      </w:r>
      <w:r>
        <w:rPr>
          <w:rFonts w:ascii="Times New Roman" w:hAnsi="Times New Roman" w:cs="Times New Roman" w:eastAsia="Times New Roman" w:hint="default"/>
        </w:rPr>
        <w:t>2007</w:t>
      </w:r>
      <w:r>
        <w:rPr/>
        <w:t>号</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6</w:t>
      </w:r>
      <w:r>
        <w:rPr/>
        <w:t>楼</w:t>
      </w:r>
      <w:r>
        <w:rPr>
          <w:w w:val="100"/>
        </w:rPr>
        <w:t> </w:t>
      </w:r>
      <w:r>
        <w:rPr/>
        <w:t>主要生产基地：上海市徐汇区虹梅路</w:t>
      </w:r>
      <w:r>
        <w:rPr>
          <w:rFonts w:ascii="Times New Roman" w:hAnsi="Times New Roman" w:cs="Times New Roman" w:eastAsia="Times New Roman" w:hint="default"/>
        </w:rPr>
        <w:t>2007</w:t>
      </w:r>
      <w:r>
        <w:rPr/>
        <w:t>号</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6</w:t>
      </w:r>
      <w:r>
        <w:rPr/>
        <w:t>楼</w:t>
      </w:r>
      <w:r>
        <w:rPr>
          <w:w w:val="100"/>
        </w:rPr>
        <w:t> </w:t>
      </w:r>
      <w:r>
        <w:rPr/>
        <w:t>股东构成及控制情况：公司持有其</w:t>
      </w:r>
      <w:r>
        <w:rPr>
          <w:rFonts w:ascii="Times New Roman" w:hAnsi="Times New Roman" w:cs="Times New Roman" w:eastAsia="Times New Roman" w:hint="default"/>
        </w:rPr>
        <w:t>60%</w:t>
      </w:r>
      <w:r>
        <w:rPr/>
        <w:t>的股权</w:t>
      </w:r>
      <w:r>
        <w:rPr>
          <w:w w:val="100"/>
        </w:rPr>
        <w:t> </w:t>
      </w:r>
      <w:r>
        <w:rPr/>
        <w:t>公司经营范围：计算机软硬件、网络、电信专业领域内的八技服务，商务信息咨询，计算机软硬</w:t>
      </w:r>
      <w:r>
        <w:rPr>
          <w:spacing w:val="-47"/>
        </w:rPr>
        <w:t> </w:t>
      </w:r>
      <w:r>
        <w:rPr>
          <w:spacing w:val="-47"/>
        </w:rPr>
      </w:r>
      <w:r>
        <w:rPr/>
        <w:t>件销售。</w:t>
      </w:r>
    </w:p>
    <w:p>
      <w:pPr>
        <w:pStyle w:val="BodyText"/>
        <w:spacing w:line="256" w:lineRule="auto" w:before="38"/>
        <w:ind w:left="578" w:right="102"/>
        <w:jc w:val="left"/>
      </w:pPr>
      <w:r>
        <w:rPr/>
        <w:t>经营情况：截止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日，上海复深蓝总资产</w:t>
      </w:r>
      <w:r>
        <w:rPr>
          <w:rFonts w:ascii="Times New Roman" w:hAnsi="Times New Roman" w:cs="Times New Roman" w:eastAsia="Times New Roman" w:hint="default"/>
        </w:rPr>
        <w:t>35,060,061.21</w:t>
      </w:r>
      <w:r>
        <w:rPr/>
        <w:t>元，净资产</w:t>
      </w:r>
      <w:r>
        <w:rPr>
          <w:rFonts w:ascii="Times New Roman" w:hAnsi="Times New Roman" w:cs="Times New Roman" w:eastAsia="Times New Roman" w:hint="default"/>
        </w:rPr>
        <w:t>26,242,316.64</w:t>
      </w:r>
      <w:r>
        <w:rPr/>
        <w:t>元，净利</w:t>
      </w:r>
      <w:r>
        <w:rPr>
          <w:spacing w:val="-26"/>
        </w:rPr>
        <w:t> </w:t>
      </w:r>
      <w:r>
        <w:rPr>
          <w:spacing w:val="-26"/>
        </w:rPr>
      </w:r>
      <w:r>
        <w:rPr/>
        <w:t>润</w:t>
      </w:r>
      <w:r>
        <w:rPr>
          <w:rFonts w:ascii="Times New Roman" w:hAnsi="Times New Roman" w:cs="Times New Roman" w:eastAsia="Times New Roman" w:hint="default"/>
        </w:rPr>
        <w:t>5,309,248.92</w:t>
      </w:r>
      <w:r>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3"/>
        <w:spacing w:line="240" w:lineRule="auto"/>
        <w:ind w:right="102"/>
        <w:jc w:val="left"/>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2"/>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before="0"/>
        <w:ind w:right="102"/>
        <w:jc w:val="left"/>
        <w:rPr>
          <w:b w:val="0"/>
          <w:bCs w:val="0"/>
        </w:rPr>
      </w:pPr>
      <w:r>
        <w:rPr/>
        <w:t>三、公司未来发展的展望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102"/>
        <w:jc w:val="left"/>
      </w:pPr>
      <w:r>
        <w:rPr/>
        <w:t>（一）行业发展趋势</w:t>
      </w:r>
    </w:p>
    <w:p>
      <w:pPr>
        <w:spacing w:line="240" w:lineRule="auto" w:before="10"/>
        <w:rPr>
          <w:rFonts w:ascii="宋体" w:hAnsi="宋体" w:cs="宋体" w:eastAsia="宋体" w:hint="default"/>
          <w:sz w:val="14"/>
          <w:szCs w:val="14"/>
        </w:rPr>
      </w:pPr>
    </w:p>
    <w:p>
      <w:pPr>
        <w:pStyle w:val="BodyText"/>
        <w:spacing w:line="391" w:lineRule="auto"/>
        <w:ind w:right="102" w:firstLine="420"/>
        <w:jc w:val="left"/>
      </w:pPr>
      <w:r>
        <w:rPr>
          <w:rFonts w:ascii="Times New Roman" w:hAnsi="Times New Roman" w:cs="Times New Roman" w:eastAsia="Times New Roman" w:hint="default"/>
          <w:spacing w:val="-4"/>
        </w:rPr>
        <w:t>2012</w:t>
      </w:r>
      <w:r>
        <w:rPr>
          <w:spacing w:val="-4"/>
        </w:rPr>
        <w:t>年是</w:t>
      </w:r>
      <w:r>
        <w:rPr>
          <w:rFonts w:ascii="Times New Roman" w:hAnsi="Times New Roman" w:cs="Times New Roman" w:eastAsia="Times New Roman" w:hint="default"/>
          <w:spacing w:val="-4"/>
        </w:rPr>
        <w:t>“</w:t>
      </w:r>
      <w:r>
        <w:rPr>
          <w:spacing w:val="-4"/>
        </w:rPr>
        <w:t>十二五</w:t>
      </w:r>
      <w:r>
        <w:rPr>
          <w:rFonts w:ascii="Times New Roman" w:hAnsi="Times New Roman" w:cs="Times New Roman" w:eastAsia="Times New Roman" w:hint="default"/>
          <w:spacing w:val="-4"/>
        </w:rPr>
        <w:t>”</w:t>
      </w:r>
      <w:r>
        <w:rPr>
          <w:spacing w:val="-4"/>
        </w:rPr>
        <w:t>规划的第二年，中国经济在前三个季度的增速梯次由</w:t>
      </w:r>
      <w:r>
        <w:rPr>
          <w:rFonts w:ascii="Times New Roman" w:hAnsi="Times New Roman" w:cs="Times New Roman" w:eastAsia="Times New Roman" w:hint="default"/>
          <w:spacing w:val="-4"/>
        </w:rPr>
        <w:t>8.1%</w:t>
      </w:r>
      <w:r>
        <w:rPr>
          <w:spacing w:val="-4"/>
        </w:rPr>
        <w:t>、</w:t>
      </w:r>
      <w:r>
        <w:rPr>
          <w:rFonts w:ascii="Times New Roman" w:hAnsi="Times New Roman" w:cs="Times New Roman" w:eastAsia="Times New Roman" w:hint="default"/>
          <w:spacing w:val="-4"/>
        </w:rPr>
        <w:t>7.6%</w:t>
      </w:r>
      <w:r>
        <w:rPr>
          <w:spacing w:val="-4"/>
        </w:rPr>
        <w:t>和</w:t>
      </w:r>
      <w:r>
        <w:rPr>
          <w:rFonts w:ascii="Times New Roman" w:hAnsi="Times New Roman" w:cs="Times New Roman" w:eastAsia="Times New Roman" w:hint="default"/>
          <w:spacing w:val="-4"/>
        </w:rPr>
        <w:t>7.4%“</w:t>
      </w:r>
      <w:r>
        <w:rPr>
          <w:spacing w:val="-4"/>
        </w:rPr>
        <w:t>连降三级</w:t>
      </w:r>
      <w:r>
        <w:rPr>
          <w:rFonts w:ascii="Times New Roman" w:hAnsi="Times New Roman" w:cs="Times New Roman" w:eastAsia="Times New Roman" w:hint="default"/>
          <w:spacing w:val="-4"/>
        </w:rPr>
        <w:t>”</w:t>
      </w:r>
      <w:r>
        <w:rPr>
          <w:spacing w:val="-4"/>
        </w:rPr>
        <w:t>。</w:t>
      </w:r>
      <w:r>
        <w:rPr>
          <w:w w:val="100"/>
        </w:rPr>
        <w:t> </w:t>
      </w:r>
      <w:r>
        <w:rPr/>
        <w:t>但总体而言，</w:t>
      </w:r>
      <w:r>
        <w:rPr>
          <w:rFonts w:ascii="Times New Roman" w:hAnsi="Times New Roman" w:cs="Times New Roman" w:eastAsia="Times New Roman" w:hint="default"/>
        </w:rPr>
        <w:t>2012</w:t>
      </w:r>
      <w:r>
        <w:rPr/>
        <w:t>年我国</w:t>
      </w:r>
      <w:r>
        <w:rPr>
          <w:rFonts w:ascii="Times New Roman" w:hAnsi="Times New Roman" w:cs="Times New Roman" w:eastAsia="Times New Roman" w:hint="default"/>
        </w:rPr>
        <w:t>IT</w:t>
      </w:r>
      <w:r>
        <w:rPr/>
        <w:t>服务市场保持较快增长。权威调研数据表明，</w:t>
      </w:r>
      <w:r>
        <w:rPr>
          <w:rFonts w:ascii="Times New Roman" w:hAnsi="Times New Roman" w:cs="Times New Roman" w:eastAsia="Times New Roman" w:hint="default"/>
        </w:rPr>
        <w:t>2012</w:t>
      </w:r>
      <w:r>
        <w:rPr/>
        <w:t>年中国</w:t>
      </w:r>
      <w:r>
        <w:rPr>
          <w:rFonts w:ascii="Times New Roman" w:hAnsi="Times New Roman" w:cs="Times New Roman" w:eastAsia="Times New Roman" w:hint="default"/>
        </w:rPr>
        <w:t>IT</w:t>
      </w:r>
      <w:r>
        <w:rPr/>
        <w:t>服务总体市场规模</w:t>
      </w:r>
      <w:r>
        <w:rPr>
          <w:w w:val="100"/>
        </w:rPr>
        <w:t> </w:t>
      </w:r>
      <w:r>
        <w:rPr/>
        <w:t>为</w:t>
      </w:r>
      <w:r>
        <w:rPr>
          <w:rFonts w:ascii="Times New Roman" w:hAnsi="Times New Roman" w:cs="Times New Roman" w:eastAsia="Times New Roman" w:hint="default"/>
        </w:rPr>
        <w:t>1766</w:t>
      </w:r>
      <w:r>
        <w:rPr/>
        <w:t>亿元人民币，同比增长</w:t>
      </w:r>
      <w:r>
        <w:rPr>
          <w:rFonts w:ascii="Times New Roman" w:hAnsi="Times New Roman" w:cs="Times New Roman" w:eastAsia="Times New Roman" w:hint="default"/>
        </w:rPr>
        <w:t>19.1%</w:t>
      </w:r>
      <w:r>
        <w:rPr/>
        <w:t>，其中重点领域集中在金融和电信行业。目前我国金融和电信行业的</w:t>
      </w:r>
      <w:r>
        <w:rPr>
          <w:spacing w:val="-43"/>
        </w:rPr>
        <w:t> </w:t>
      </w:r>
      <w:r>
        <w:rPr>
          <w:spacing w:val="-43"/>
        </w:rPr>
      </w:r>
      <w:r>
        <w:rPr>
          <w:spacing w:val="-2"/>
        </w:rPr>
        <w:t>信息化应用程度较高，金融行业基于数据大集中等行业监管需求的一系列应用集成、系统整合、业务创新</w:t>
      </w:r>
      <w:r>
        <w:rPr>
          <w:spacing w:val="-44"/>
        </w:rPr>
        <w:t> </w:t>
      </w:r>
      <w:r>
        <w:rPr>
          <w:spacing w:val="-44"/>
        </w:rPr>
      </w:r>
      <w:r>
        <w:rPr>
          <w:spacing w:val="-4"/>
        </w:rPr>
        <w:t>开始成为</w:t>
      </w:r>
      <w:r>
        <w:rPr>
          <w:rFonts w:ascii="Times New Roman" w:hAnsi="Times New Roman" w:cs="Times New Roman" w:eastAsia="Times New Roman" w:hint="default"/>
          <w:spacing w:val="-4"/>
        </w:rPr>
        <w:t>IT</w:t>
      </w:r>
      <w:r>
        <w:rPr>
          <w:spacing w:val="-4"/>
        </w:rPr>
        <w:t>新的增长点，电信行业受全业务运营需要以及</w:t>
      </w:r>
      <w:r>
        <w:rPr>
          <w:rFonts w:ascii="Times New Roman" w:hAnsi="Times New Roman" w:cs="Times New Roman" w:eastAsia="Times New Roman" w:hint="default"/>
          <w:spacing w:val="-4"/>
        </w:rPr>
        <w:t>3G</w:t>
      </w:r>
      <w:r>
        <w:rPr>
          <w:spacing w:val="-4"/>
        </w:rPr>
        <w:t>业务支撑需要，以及</w:t>
      </w:r>
      <w:r>
        <w:rPr>
          <w:rFonts w:ascii="Times New Roman" w:hAnsi="Times New Roman" w:cs="Times New Roman" w:eastAsia="Times New Roman" w:hint="default"/>
          <w:spacing w:val="-4"/>
        </w:rPr>
        <w:t>4G</w:t>
      </w:r>
      <w:r>
        <w:rPr>
          <w:spacing w:val="-4"/>
        </w:rPr>
        <w:t>网络建设的预期，电信</w:t>
      </w:r>
      <w:r>
        <w:rPr>
          <w:spacing w:val="-21"/>
        </w:rPr>
        <w:t> </w:t>
      </w:r>
      <w:r>
        <w:rPr>
          <w:spacing w:val="-21"/>
        </w:rPr>
      </w:r>
      <w:r>
        <w:rPr/>
        <w:t>运营商在信息化系统投资方面平稳增长。</w:t>
      </w:r>
      <w:r>
        <w:rPr>
          <w:rFonts w:ascii="Times New Roman" w:hAnsi="Times New Roman" w:cs="Times New Roman" w:eastAsia="Times New Roman" w:hint="default"/>
        </w:rPr>
        <w:t>2012</w:t>
      </w:r>
      <w:r>
        <w:rPr/>
        <w:t>年电信行业和金融行业</w:t>
      </w:r>
      <w:r>
        <w:rPr>
          <w:rFonts w:ascii="Times New Roman" w:hAnsi="Times New Roman" w:cs="Times New Roman" w:eastAsia="Times New Roman" w:hint="default"/>
        </w:rPr>
        <w:t>IT</w:t>
      </w:r>
      <w:r>
        <w:rPr/>
        <w:t>服务市场所占比重有明显上升，电</w:t>
      </w:r>
      <w:r>
        <w:rPr>
          <w:w w:val="100"/>
        </w:rPr>
        <w:t> </w:t>
      </w:r>
      <w:r>
        <w:rPr/>
        <w:t>信、金融的</w:t>
      </w:r>
      <w:r>
        <w:rPr>
          <w:rFonts w:ascii="Times New Roman" w:hAnsi="Times New Roman" w:cs="Times New Roman" w:eastAsia="Times New Roman" w:hint="default"/>
        </w:rPr>
        <w:t>IT</w:t>
      </w:r>
      <w:r>
        <w:rPr/>
        <w:t>服务市场仍将是</w:t>
      </w:r>
      <w:r>
        <w:rPr>
          <w:rFonts w:ascii="Times New Roman" w:hAnsi="Times New Roman" w:cs="Times New Roman" w:eastAsia="Times New Roman" w:hint="default"/>
        </w:rPr>
        <w:t>IT</w:t>
      </w:r>
      <w:r>
        <w:rPr/>
        <w:t>服务需求的主要行业市场。</w:t>
      </w:r>
    </w:p>
    <w:p>
      <w:pPr>
        <w:pStyle w:val="BodyText"/>
        <w:spacing w:line="386" w:lineRule="auto" w:before="30"/>
        <w:ind w:right="102" w:firstLine="420"/>
        <w:jc w:val="left"/>
      </w:pPr>
      <w:r>
        <w:rPr>
          <w:spacing w:val="-1"/>
        </w:rPr>
        <w:t>随着</w:t>
      </w:r>
      <w:r>
        <w:rPr>
          <w:rFonts w:ascii="Times New Roman" w:hAnsi="Times New Roman" w:cs="Times New Roman" w:eastAsia="Times New Roman" w:hint="default"/>
          <w:spacing w:val="-1"/>
        </w:rPr>
        <w:t>“</w:t>
      </w:r>
      <w:r>
        <w:rPr>
          <w:spacing w:val="-1"/>
        </w:rPr>
        <w:t>两化深度融合</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战略性新兴产业</w:t>
      </w:r>
      <w:r>
        <w:rPr>
          <w:rFonts w:ascii="Times New Roman" w:hAnsi="Times New Roman" w:cs="Times New Roman" w:eastAsia="Times New Roman" w:hint="default"/>
          <w:spacing w:val="-1"/>
        </w:rPr>
        <w:t>”</w:t>
      </w:r>
      <w:r>
        <w:rPr>
          <w:spacing w:val="-1"/>
        </w:rPr>
        <w:t>等一系列产业信息化扶持政策的出台，信息化已经成为行业</w:t>
      </w:r>
      <w:r>
        <w:rPr>
          <w:w w:val="100"/>
        </w:rPr>
        <w:t> </w:t>
      </w:r>
      <w:r>
        <w:rPr>
          <w:spacing w:val="-2"/>
        </w:rPr>
        <w:t>发展必不可缺的一环，行业信息化应用的范围日益广泛和深入，信息化应用水平已经逐渐成为企业核心竞</w:t>
      </w:r>
    </w:p>
    <w:p>
      <w:pPr>
        <w:spacing w:after="0" w:line="386" w:lineRule="auto"/>
        <w:jc w:val="left"/>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396" w:lineRule="auto" w:before="175"/>
        <w:ind w:right="102"/>
        <w:jc w:val="left"/>
      </w:pPr>
      <w:r>
        <w:rPr>
          <w:spacing w:val="-2"/>
        </w:rPr>
        <w:t>争力的重要体现。在各行业信息化建设中，数据中心是行业应用信息化的基础，数据中心是政府及企业的</w:t>
      </w:r>
      <w:r>
        <w:rPr>
          <w:spacing w:val="-44"/>
        </w:rPr>
        <w:t> </w:t>
      </w:r>
      <w:r>
        <w:rPr>
          <w:spacing w:val="-44"/>
        </w:rPr>
      </w:r>
      <w:r>
        <w:rPr>
          <w:spacing w:val="-2"/>
        </w:rPr>
        <w:t>信息数据存储及信息化后台支撑系统的聚集地，是传统的机房概念的延伸和升级。近年来随着数据中心规</w:t>
      </w:r>
      <w:r>
        <w:rPr>
          <w:spacing w:val="-43"/>
        </w:rPr>
        <w:t> </w:t>
      </w:r>
      <w:r>
        <w:rPr>
          <w:spacing w:val="-43"/>
        </w:rPr>
      </w:r>
      <w:r>
        <w:rPr/>
        <w:t>模的扩容，数据中心拥有越来越多数量的</w:t>
      </w:r>
      <w:r>
        <w:rPr>
          <w:rFonts w:ascii="Times New Roman" w:hAnsi="Times New Roman" w:cs="Times New Roman" w:eastAsia="Times New Roman" w:hint="default"/>
        </w:rPr>
        <w:t>IT</w:t>
      </w:r>
      <w:r>
        <w:rPr/>
        <w:t>设备，这些</w:t>
      </w:r>
      <w:r>
        <w:rPr>
          <w:rFonts w:ascii="Times New Roman" w:hAnsi="Times New Roman" w:cs="Times New Roman" w:eastAsia="Times New Roman" w:hint="default"/>
        </w:rPr>
        <w:t>IT</w:t>
      </w:r>
      <w:r>
        <w:rPr/>
        <w:t>设备在种类、品牌上呈现多样化的特点，其所实</w:t>
      </w:r>
      <w:r>
        <w:rPr>
          <w:w w:val="100"/>
        </w:rPr>
        <w:t> </w:t>
      </w:r>
      <w:r>
        <w:rPr/>
        <w:t>现的功能也各不相同。同时应用的</w:t>
      </w:r>
      <w:r>
        <w:rPr>
          <w:rFonts w:ascii="Times New Roman" w:hAnsi="Times New Roman" w:cs="Times New Roman" w:eastAsia="Times New Roman" w:hint="default"/>
        </w:rPr>
        <w:t>IT</w:t>
      </w:r>
      <w:r>
        <w:rPr/>
        <w:t>系统也越来越多，</w:t>
      </w:r>
      <w:r>
        <w:rPr>
          <w:rFonts w:ascii="Times New Roman" w:hAnsi="Times New Roman" w:cs="Times New Roman" w:eastAsia="Times New Roman" w:hint="default"/>
        </w:rPr>
        <w:t>IT</w:t>
      </w:r>
      <w:r>
        <w:rPr/>
        <w:t>设备、</w:t>
      </w:r>
      <w:r>
        <w:rPr>
          <w:rFonts w:ascii="Times New Roman" w:hAnsi="Times New Roman" w:cs="Times New Roman" w:eastAsia="Times New Roman" w:hint="default"/>
        </w:rPr>
        <w:t>IT</w:t>
      </w:r>
      <w:r>
        <w:rPr/>
        <w:t>系统、基础资源之间的关系错综复杂，</w:t>
      </w:r>
      <w:r>
        <w:rPr>
          <w:spacing w:val="-102"/>
        </w:rPr>
        <w:t> </w:t>
      </w:r>
      <w:r>
        <w:rPr>
          <w:spacing w:val="-102"/>
        </w:rPr>
      </w:r>
      <w:r>
        <w:rPr/>
        <w:t>因此数据中心</w:t>
      </w:r>
      <w:r>
        <w:rPr>
          <w:rFonts w:ascii="Times New Roman" w:hAnsi="Times New Roman" w:cs="Times New Roman" w:eastAsia="Times New Roman" w:hint="default"/>
        </w:rPr>
        <w:t>IT</w:t>
      </w:r>
      <w:r>
        <w:rPr/>
        <w:t>基础设施复杂度越来越高，用户对于数据中心的要求开始发生了变化，不再仅限于满足业</w:t>
      </w:r>
      <w:r>
        <w:rPr>
          <w:w w:val="100"/>
        </w:rPr>
        <w:t> </w:t>
      </w:r>
      <w:r>
        <w:rPr>
          <w:spacing w:val="-2"/>
        </w:rPr>
        <w:t>务运行，而是要求数据中心具有高可用性、可持续性，同时由于信息孤岛、数据安全、节能环保、成本控</w:t>
      </w:r>
      <w:r>
        <w:rPr>
          <w:spacing w:val="-42"/>
        </w:rPr>
        <w:t> </w:t>
      </w:r>
      <w:r>
        <w:rPr>
          <w:spacing w:val="-42"/>
        </w:rPr>
      </w:r>
      <w:r>
        <w:rPr>
          <w:spacing w:val="-4"/>
        </w:rPr>
        <w:t>制、运营效率等问题纷至沓来，而用户普遍在</w:t>
      </w:r>
      <w:r>
        <w:rPr>
          <w:rFonts w:ascii="Times New Roman" w:hAnsi="Times New Roman" w:cs="Times New Roman" w:eastAsia="Times New Roman" w:hint="default"/>
          <w:spacing w:val="-4"/>
        </w:rPr>
        <w:t>IT</w:t>
      </w:r>
      <w:r>
        <w:rPr>
          <w:spacing w:val="-4"/>
        </w:rPr>
        <w:t>专业性、管理水平、运维人才、运营经验等方面存在不足，</w:t>
      </w:r>
      <w:r>
        <w:rPr>
          <w:spacing w:val="-40"/>
        </w:rPr>
        <w:t> </w:t>
      </w:r>
      <w:r>
        <w:rPr>
          <w:spacing w:val="-40"/>
        </w:rPr>
      </w:r>
      <w:r>
        <w:rPr>
          <w:rFonts w:ascii="Times New Roman" w:hAnsi="Times New Roman" w:cs="Times New Roman" w:eastAsia="Times New Roman" w:hint="default"/>
        </w:rPr>
        <w:t>IT</w:t>
      </w:r>
      <w:r>
        <w:rPr/>
        <w:t>基础设施外包服务可以有效解决这些问题，用户对数据中心</w:t>
      </w:r>
      <w:r>
        <w:rPr>
          <w:rFonts w:ascii="Times New Roman" w:hAnsi="Times New Roman" w:cs="Times New Roman" w:eastAsia="Times New Roman" w:hint="default"/>
        </w:rPr>
        <w:t>IT</w:t>
      </w:r>
      <w:r>
        <w:rPr/>
        <w:t>基础设施的服务需求日益迫切，从而带动</w:t>
      </w:r>
      <w:r>
        <w:rPr>
          <w:w w:val="100"/>
        </w:rPr>
        <w:t> </w:t>
      </w:r>
      <w:r>
        <w:rPr/>
        <w:t>数据中心</w:t>
      </w:r>
      <w:r>
        <w:rPr>
          <w:rFonts w:ascii="Times New Roman" w:hAnsi="Times New Roman" w:cs="Times New Roman" w:eastAsia="Times New Roman" w:hint="default"/>
        </w:rPr>
        <w:t>IT</w:t>
      </w:r>
      <w:r>
        <w:rPr/>
        <w:t>基础设施服务市场快速增长。</w:t>
      </w:r>
    </w:p>
    <w:p>
      <w:pPr>
        <w:spacing w:line="240" w:lineRule="auto" w:before="5"/>
        <w:rPr>
          <w:rFonts w:ascii="宋体" w:hAnsi="宋体" w:cs="宋体" w:eastAsia="宋体" w:hint="default"/>
          <w:sz w:val="20"/>
          <w:szCs w:val="20"/>
        </w:rPr>
      </w:pPr>
    </w:p>
    <w:p>
      <w:pPr>
        <w:pStyle w:val="BodyText"/>
        <w:spacing w:line="386" w:lineRule="auto"/>
        <w:ind w:right="329" w:firstLine="420"/>
        <w:jc w:val="both"/>
      </w:pPr>
      <w:r>
        <w:rPr/>
        <w:t>目前数据中心</w:t>
      </w:r>
      <w:r>
        <w:rPr>
          <w:rFonts w:ascii="Times New Roman" w:hAnsi="Times New Roman" w:cs="Times New Roman" w:eastAsia="Times New Roman" w:hint="default"/>
        </w:rPr>
        <w:t>IT</w:t>
      </w:r>
      <w:r>
        <w:rPr>
          <w:rFonts w:ascii="Times New Roman" w:hAnsi="Times New Roman" w:cs="Times New Roman" w:eastAsia="Times New Roman" w:hint="default"/>
          <w:spacing w:val="20"/>
        </w:rPr>
        <w:t> </w:t>
      </w:r>
      <w:r>
        <w:rPr/>
        <w:t>基础设施服务提供商主要包括设备原厂商和第三方服务商。</w:t>
      </w:r>
      <w:r>
        <w:rPr>
          <w:rFonts w:ascii="Times New Roman" w:hAnsi="Times New Roman" w:cs="Times New Roman" w:eastAsia="Times New Roman" w:hint="default"/>
        </w:rPr>
        <w:t>2012</w:t>
      </w:r>
      <w:r>
        <w:rPr/>
        <w:t>年中国数据中心</w:t>
      </w:r>
      <w:r>
        <w:rPr>
          <w:rFonts w:ascii="Times New Roman" w:hAnsi="Times New Roman" w:cs="Times New Roman" w:eastAsia="Times New Roman" w:hint="default"/>
        </w:rPr>
        <w:t>IT</w:t>
      </w:r>
      <w:r>
        <w:rPr>
          <w:rFonts w:ascii="Times New Roman" w:hAnsi="Times New Roman" w:cs="Times New Roman" w:eastAsia="Times New Roman" w:hint="default"/>
          <w:spacing w:val="-4"/>
          <w:w w:val="100"/>
        </w:rPr>
        <w:t> </w:t>
      </w:r>
      <w:r>
        <w:rPr>
          <w:spacing w:val="-2"/>
        </w:rPr>
        <w:t>基础设施服务市场中，原厂商服务市场规模为</w:t>
      </w:r>
      <w:r>
        <w:rPr>
          <w:rFonts w:ascii="Times New Roman" w:hAnsi="Times New Roman" w:cs="Times New Roman" w:eastAsia="Times New Roman" w:hint="default"/>
          <w:spacing w:val="-2"/>
        </w:rPr>
        <w:t>262.1</w:t>
      </w:r>
      <w:r>
        <w:rPr>
          <w:spacing w:val="-2"/>
        </w:rPr>
        <w:t>亿元人民币，同比增长</w:t>
      </w:r>
      <w:r>
        <w:rPr>
          <w:rFonts w:ascii="Times New Roman" w:hAnsi="Times New Roman" w:cs="Times New Roman" w:eastAsia="Times New Roman" w:hint="default"/>
          <w:spacing w:val="-2"/>
        </w:rPr>
        <w:t>5.1%</w:t>
      </w:r>
      <w:r>
        <w:rPr>
          <w:spacing w:val="-2"/>
        </w:rPr>
        <w:t>；第三方服务市场规模为</w:t>
      </w:r>
      <w:r>
        <w:rPr>
          <w:spacing w:val="-17"/>
        </w:rPr>
        <w:t> </w:t>
      </w:r>
      <w:r>
        <w:rPr>
          <w:spacing w:val="-17"/>
        </w:rPr>
      </w:r>
      <w:r>
        <w:rPr>
          <w:rFonts w:ascii="Times New Roman" w:hAnsi="Times New Roman" w:cs="Times New Roman" w:eastAsia="Times New Roman" w:hint="default"/>
        </w:rPr>
        <w:t>214.2</w:t>
      </w:r>
      <w:r>
        <w:rPr/>
        <w:t>亿元人民币，同比增长</w:t>
      </w:r>
      <w:r>
        <w:rPr>
          <w:rFonts w:ascii="Times New Roman" w:hAnsi="Times New Roman" w:cs="Times New Roman" w:eastAsia="Times New Roman" w:hint="default"/>
        </w:rPr>
        <w:t>18.6%</w:t>
      </w:r>
      <w:r>
        <w:rPr/>
        <w:t>，第三方服务市场增长率明显高于原厂商服务。</w:t>
      </w:r>
    </w:p>
    <w:p>
      <w:pPr>
        <w:pStyle w:val="BodyText"/>
        <w:spacing w:line="386" w:lineRule="auto" w:before="95"/>
        <w:ind w:right="208" w:firstLine="420"/>
        <w:jc w:val="both"/>
      </w:pPr>
      <w:r>
        <w:rPr>
          <w:spacing w:val="-1"/>
        </w:rPr>
        <w:t>据计世资讯调查显示，</w:t>
      </w:r>
      <w:r>
        <w:rPr>
          <w:rFonts w:ascii="Times New Roman" w:hAnsi="Times New Roman" w:cs="Times New Roman" w:eastAsia="Times New Roman" w:hint="default"/>
          <w:spacing w:val="-1"/>
        </w:rPr>
        <w:t>2013</w:t>
      </w:r>
      <w:r>
        <w:rPr>
          <w:spacing w:val="-1"/>
        </w:rPr>
        <w:t>年数据中心</w:t>
      </w:r>
      <w:r>
        <w:rPr>
          <w:rFonts w:ascii="Times New Roman" w:hAnsi="Times New Roman" w:cs="Times New Roman" w:eastAsia="Times New Roman" w:hint="default"/>
          <w:spacing w:val="-1"/>
        </w:rPr>
        <w:t>IT</w:t>
      </w:r>
      <w:r>
        <w:rPr>
          <w:spacing w:val="-1"/>
        </w:rPr>
        <w:t>服务市场规模达到</w:t>
      </w:r>
      <w:r>
        <w:rPr>
          <w:rFonts w:ascii="Times New Roman" w:hAnsi="Times New Roman" w:cs="Times New Roman" w:eastAsia="Times New Roman" w:hint="default"/>
          <w:spacing w:val="-1"/>
        </w:rPr>
        <w:t>564.8</w:t>
      </w:r>
      <w:r>
        <w:rPr>
          <w:spacing w:val="-1"/>
        </w:rPr>
        <w:t>亿元人民币，增长率为</w:t>
      </w:r>
      <w:r>
        <w:rPr>
          <w:rFonts w:ascii="Times New Roman" w:hAnsi="Times New Roman" w:cs="Times New Roman" w:eastAsia="Times New Roman" w:hint="default"/>
          <w:spacing w:val="-1"/>
        </w:rPr>
        <w:t>18.6%</w:t>
      </w:r>
      <w:r>
        <w:rPr>
          <w:spacing w:val="-1"/>
        </w:rPr>
        <w:t>。预计</w:t>
      </w:r>
      <w:r>
        <w:rPr>
          <w:w w:val="100"/>
        </w:rPr>
        <w:t> </w:t>
      </w:r>
      <w:r>
        <w:rPr>
          <w:spacing w:val="-3"/>
        </w:rPr>
        <w:t>到</w:t>
      </w:r>
      <w:r>
        <w:rPr>
          <w:rFonts w:ascii="Times New Roman" w:hAnsi="Times New Roman" w:cs="Times New Roman" w:eastAsia="Times New Roman" w:hint="default"/>
          <w:spacing w:val="-3"/>
        </w:rPr>
        <w:t>2017</w:t>
      </w:r>
      <w:r>
        <w:rPr>
          <w:spacing w:val="-3"/>
        </w:rPr>
        <w:t>年，市场规模将达到</w:t>
      </w:r>
      <w:r>
        <w:rPr>
          <w:rFonts w:ascii="Times New Roman" w:hAnsi="Times New Roman" w:cs="Times New Roman" w:eastAsia="Times New Roman" w:hint="default"/>
          <w:spacing w:val="-3"/>
        </w:rPr>
        <w:t>1063.8</w:t>
      </w:r>
      <w:r>
        <w:rPr>
          <w:spacing w:val="-3"/>
        </w:rPr>
        <w:t>亿元人民币。</w:t>
      </w:r>
      <w:r>
        <w:rPr>
          <w:rFonts w:ascii="Times New Roman" w:hAnsi="Times New Roman" w:cs="Times New Roman" w:eastAsia="Times New Roman" w:hint="default"/>
          <w:spacing w:val="-3"/>
        </w:rPr>
        <w:t>2012</w:t>
      </w:r>
      <w:r>
        <w:rPr>
          <w:spacing w:val="-3"/>
        </w:rPr>
        <w:t>至</w:t>
      </w:r>
      <w:r>
        <w:rPr>
          <w:rFonts w:ascii="Times New Roman" w:hAnsi="Times New Roman" w:cs="Times New Roman" w:eastAsia="Times New Roman" w:hint="default"/>
          <w:spacing w:val="-3"/>
        </w:rPr>
        <w:t>2017</w:t>
      </w:r>
      <w:r>
        <w:rPr>
          <w:spacing w:val="-3"/>
        </w:rPr>
        <w:t>年复合增长率</w:t>
      </w:r>
      <w:r>
        <w:rPr>
          <w:rFonts w:ascii="Times New Roman" w:hAnsi="Times New Roman" w:cs="Times New Roman" w:eastAsia="Times New Roman" w:hint="default"/>
          <w:spacing w:val="-3"/>
        </w:rPr>
        <w:t>17.4%</w:t>
      </w:r>
      <w:r>
        <w:rPr>
          <w:spacing w:val="-3"/>
        </w:rPr>
        <w:t>。其中，</w:t>
      </w:r>
      <w:r>
        <w:rPr>
          <w:rFonts w:ascii="Times New Roman" w:hAnsi="Times New Roman" w:cs="Times New Roman" w:eastAsia="Times New Roman" w:hint="default"/>
          <w:spacing w:val="-3"/>
        </w:rPr>
        <w:t>2013</w:t>
      </w:r>
      <w:r>
        <w:rPr>
          <w:spacing w:val="-3"/>
        </w:rPr>
        <w:t>年数据中心</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29"/>
        </w:rPr>
        <w:t> </w:t>
      </w:r>
      <w:r>
        <w:rPr>
          <w:spacing w:val="-6"/>
          <w:w w:val="100"/>
        </w:rPr>
        <w:t>基础设施第三方服务市场规模达到</w:t>
      </w:r>
      <w:r>
        <w:rPr>
          <w:rFonts w:ascii="Times New Roman" w:hAnsi="Times New Roman" w:cs="Times New Roman" w:eastAsia="Times New Roman" w:hint="default"/>
          <w:spacing w:val="-6"/>
          <w:w w:val="100"/>
        </w:rPr>
        <w:t>261.5</w:t>
      </w:r>
      <w:r>
        <w:rPr>
          <w:spacing w:val="-6"/>
          <w:w w:val="100"/>
        </w:rPr>
        <w:t>亿元人民币，增长率为</w:t>
      </w:r>
      <w:r>
        <w:rPr>
          <w:rFonts w:ascii="Times New Roman" w:hAnsi="Times New Roman" w:cs="Times New Roman" w:eastAsia="Times New Roman" w:hint="default"/>
          <w:spacing w:val="-6"/>
          <w:w w:val="100"/>
        </w:rPr>
        <w:t>22.1%</w:t>
      </w:r>
      <w:r>
        <w:rPr>
          <w:spacing w:val="-6"/>
          <w:w w:val="100"/>
        </w:rPr>
        <w:t>，预计到</w:t>
      </w:r>
      <w:r>
        <w:rPr>
          <w:rFonts w:ascii="Times New Roman" w:hAnsi="Times New Roman" w:cs="Times New Roman" w:eastAsia="Times New Roman" w:hint="default"/>
          <w:spacing w:val="-6"/>
          <w:w w:val="100"/>
        </w:rPr>
        <w:t>2017</w:t>
      </w:r>
      <w:r>
        <w:rPr>
          <w:spacing w:val="-6"/>
          <w:w w:val="100"/>
        </w:rPr>
        <w:t>年，市场规模将达到</w:t>
      </w:r>
      <w:r>
        <w:rPr>
          <w:rFonts w:ascii="Times New Roman" w:hAnsi="Times New Roman" w:cs="Times New Roman" w:eastAsia="Times New Roman" w:hint="default"/>
          <w:spacing w:val="-6"/>
          <w:w w:val="100"/>
        </w:rPr>
        <w:t>529.1</w:t>
      </w:r>
      <w:r>
        <w:rPr>
          <w:rFonts w:ascii="Times New Roman" w:hAnsi="Times New Roman" w:cs="Times New Roman" w:eastAsia="Times New Roman" w:hint="default"/>
          <w:spacing w:val="-33"/>
          <w:w w:val="100"/>
        </w:rPr>
        <w:t> </w:t>
      </w:r>
      <w:r>
        <w:rPr>
          <w:rFonts w:ascii="Times New Roman" w:hAnsi="Times New Roman" w:cs="Times New Roman" w:eastAsia="Times New Roman" w:hint="default"/>
          <w:spacing w:val="-33"/>
          <w:w w:val="100"/>
        </w:rPr>
      </w:r>
      <w:r>
        <w:rPr/>
        <w:t>亿元人民币，</w:t>
      </w:r>
      <w:r>
        <w:rPr>
          <w:rFonts w:ascii="Times New Roman" w:hAnsi="Times New Roman" w:cs="Times New Roman" w:eastAsia="Times New Roman" w:hint="default"/>
        </w:rPr>
        <w:t>2012-2017</w:t>
      </w:r>
      <w:r>
        <w:rPr/>
        <w:t>年复合增长率</w:t>
      </w:r>
      <w:r>
        <w:rPr>
          <w:rFonts w:ascii="Times New Roman" w:hAnsi="Times New Roman" w:cs="Times New Roman" w:eastAsia="Times New Roman" w:hint="default"/>
        </w:rPr>
        <w:t>19.8%</w:t>
      </w:r>
      <w:r>
        <w:rPr/>
        <w:t>。</w:t>
      </w:r>
    </w:p>
    <w:p>
      <w:pPr>
        <w:pStyle w:val="BodyText"/>
        <w:spacing w:line="386" w:lineRule="auto" w:before="36"/>
        <w:ind w:right="206" w:firstLine="420"/>
        <w:jc w:val="both"/>
      </w:pPr>
      <w:r>
        <w:rPr>
          <w:rFonts w:ascii="Times New Roman" w:hAnsi="Times New Roman" w:cs="Times New Roman" w:eastAsia="Times New Roman" w:hint="default"/>
          <w:spacing w:val="-2"/>
        </w:rPr>
        <w:t>2012</w:t>
      </w:r>
      <w:r>
        <w:rPr>
          <w:spacing w:val="-2"/>
        </w:rPr>
        <w:t>至</w:t>
      </w:r>
      <w:r>
        <w:rPr>
          <w:rFonts w:ascii="Times New Roman" w:hAnsi="Times New Roman" w:cs="Times New Roman" w:eastAsia="Times New Roman" w:hint="default"/>
          <w:spacing w:val="-2"/>
        </w:rPr>
        <w:t>2017</w:t>
      </w:r>
      <w:r>
        <w:rPr>
          <w:spacing w:val="-2"/>
        </w:rPr>
        <w:t>年期间数据中心</w:t>
      </w:r>
      <w:r>
        <w:rPr>
          <w:rFonts w:ascii="Times New Roman" w:hAnsi="Times New Roman" w:cs="Times New Roman" w:eastAsia="Times New Roman" w:hint="default"/>
          <w:spacing w:val="-2"/>
        </w:rPr>
        <w:t>IT</w:t>
      </w:r>
      <w:r>
        <w:rPr>
          <w:spacing w:val="-2"/>
        </w:rPr>
        <w:t>基础设施第三方服务市场保持快速增长态势，快速增长的原因主要有以</w:t>
      </w:r>
      <w:r>
        <w:rPr>
          <w:w w:val="100"/>
        </w:rPr>
        <w:t> </w:t>
      </w:r>
      <w:r>
        <w:rPr/>
        <w:t>下几方面：</w:t>
      </w:r>
    </w:p>
    <w:p>
      <w:pPr>
        <w:pStyle w:val="BodyText"/>
        <w:spacing w:line="386" w:lineRule="auto" w:before="65"/>
        <w:ind w:right="206" w:firstLine="42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期间将继续推动</w:t>
      </w:r>
      <w:r>
        <w:rPr>
          <w:rFonts w:ascii="Times New Roman" w:hAnsi="Times New Roman" w:cs="Times New Roman" w:eastAsia="Times New Roman" w:hint="default"/>
          <w:spacing w:val="-3"/>
        </w:rPr>
        <w:t>“</w:t>
      </w:r>
      <w:r>
        <w:rPr>
          <w:spacing w:val="-3"/>
        </w:rPr>
        <w:t>两化融合</w:t>
      </w:r>
      <w:r>
        <w:rPr>
          <w:rFonts w:ascii="Times New Roman" w:hAnsi="Times New Roman" w:cs="Times New Roman" w:eastAsia="Times New Roman" w:hint="default"/>
          <w:spacing w:val="-3"/>
        </w:rPr>
        <w:t>”</w:t>
      </w:r>
      <w:r>
        <w:rPr>
          <w:spacing w:val="-3"/>
        </w:rPr>
        <w:t>，重点行业</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规划均明确了信息化及数据中心建设工</w:t>
      </w:r>
      <w:r>
        <w:rPr>
          <w:w w:val="100"/>
        </w:rPr>
        <w:t> </w:t>
      </w:r>
      <w:r>
        <w:rPr/>
        <w:t>作；</w:t>
      </w:r>
    </w:p>
    <w:p>
      <w:pPr>
        <w:pStyle w:val="BodyText"/>
        <w:spacing w:line="386" w:lineRule="auto" w:before="65"/>
        <w:ind w:right="216" w:firstLine="420"/>
        <w:jc w:val="both"/>
      </w:pPr>
      <w:r>
        <w:rPr/>
        <w:t>（</w:t>
      </w:r>
      <w:r>
        <w:rPr>
          <w:rFonts w:ascii="Times New Roman" w:hAnsi="Times New Roman" w:cs="Times New Roman" w:eastAsia="Times New Roman" w:hint="default"/>
        </w:rPr>
        <w:t>2</w:t>
      </w:r>
      <w:r>
        <w:rPr/>
        <w:t>）固定网络的稳定增长，移动网络数据的快速增长，海量异构数据对数据中心服务的需求旺盛，</w:t>
      </w:r>
      <w:r>
        <w:rPr>
          <w:w w:val="100"/>
        </w:rPr>
        <w:t> </w:t>
      </w:r>
      <w:r>
        <w:rPr/>
        <w:t>要求更高；</w:t>
      </w:r>
    </w:p>
    <w:p>
      <w:pPr>
        <w:pStyle w:val="BodyText"/>
        <w:spacing w:line="386" w:lineRule="auto" w:before="65"/>
        <w:ind w:right="216" w:firstLine="420"/>
        <w:jc w:val="both"/>
      </w:pPr>
      <w:r>
        <w:rPr/>
        <w:t>（</w:t>
      </w:r>
      <w:r>
        <w:rPr>
          <w:rFonts w:ascii="Times New Roman" w:hAnsi="Times New Roman" w:cs="Times New Roman" w:eastAsia="Times New Roman" w:hint="default"/>
        </w:rPr>
        <w:t>3</w:t>
      </w:r>
      <w:r>
        <w:rPr/>
        <w:t>）工信部发布《关于数据中心建设布局的指导意见》，标准规范将促进数据中心市场有序快速发</w:t>
      </w:r>
      <w:r>
        <w:rPr>
          <w:w w:val="100"/>
        </w:rPr>
        <w:t> </w:t>
      </w:r>
      <w:r>
        <w:rPr/>
        <w:t>展；</w:t>
      </w:r>
    </w:p>
    <w:p>
      <w:pPr>
        <w:pStyle w:val="BodyText"/>
        <w:spacing w:line="240" w:lineRule="auto" w:before="65"/>
        <w:ind w:left="573" w:right="102"/>
        <w:jc w:val="left"/>
      </w:pPr>
      <w:r>
        <w:rPr/>
        <w:t>（</w:t>
      </w:r>
      <w:r>
        <w:rPr>
          <w:rFonts w:ascii="Times New Roman" w:hAnsi="Times New Roman" w:cs="Times New Roman" w:eastAsia="Times New Roman" w:hint="default"/>
        </w:rPr>
        <w:t>4</w:t>
      </w:r>
      <w:r>
        <w:rPr/>
        <w:t>）信息技术服务标准</w:t>
      </w:r>
      <w:r>
        <w:rPr>
          <w:rFonts w:ascii="Times New Roman" w:hAnsi="Times New Roman" w:cs="Times New Roman" w:eastAsia="Times New Roman" w:hint="default"/>
        </w:rPr>
        <w:t>(ITSS)</w:t>
      </w:r>
      <w:r>
        <w:rPr/>
        <w:t>体系框架</w:t>
      </w:r>
      <w:r>
        <w:rPr>
          <w:rFonts w:ascii="Times New Roman" w:hAnsi="Times New Roman" w:cs="Times New Roman" w:eastAsia="Times New Roman" w:hint="default"/>
        </w:rPr>
        <w:t>3.0</w:t>
      </w:r>
      <w:r>
        <w:rPr/>
        <w:t>版本的制定，将继续推动行业服务规范化和标准化；</w:t>
      </w:r>
    </w:p>
    <w:p>
      <w:pPr>
        <w:pStyle w:val="BodyText"/>
        <w:spacing w:line="386" w:lineRule="auto" w:before="177"/>
        <w:ind w:right="208" w:firstLine="420"/>
        <w:jc w:val="both"/>
      </w:pPr>
      <w:r>
        <w:rPr/>
        <w:t>（</w:t>
      </w:r>
      <w:r>
        <w:rPr>
          <w:rFonts w:ascii="Times New Roman" w:hAnsi="Times New Roman" w:cs="Times New Roman" w:eastAsia="Times New Roman" w:hint="default"/>
        </w:rPr>
        <w:t>5</w:t>
      </w:r>
      <w:r>
        <w:rPr/>
        <w:t>）经过多年的发展，数据中心基础设施服务市场逐步得到市场的充分认可，一批数据中心</w:t>
      </w:r>
      <w:r>
        <w:rPr>
          <w:rFonts w:ascii="Times New Roman" w:hAnsi="Times New Roman" w:cs="Times New Roman" w:eastAsia="Times New Roman" w:hint="default"/>
        </w:rPr>
        <w:t>IT</w:t>
      </w:r>
      <w:r>
        <w:rPr/>
        <w:t>基础</w:t>
      </w:r>
      <w:r>
        <w:rPr>
          <w:w w:val="100"/>
        </w:rPr>
        <w:t> </w:t>
      </w:r>
      <w:r>
        <w:rPr/>
        <w:t>设施服务厂商成功上市，得到了资本市场的高度认同；</w:t>
      </w:r>
    </w:p>
    <w:p>
      <w:pPr>
        <w:pStyle w:val="BodyText"/>
        <w:spacing w:line="240" w:lineRule="auto" w:before="65"/>
        <w:ind w:left="573" w:right="102"/>
        <w:jc w:val="left"/>
      </w:pPr>
      <w:r>
        <w:rPr/>
        <w:t>（</w:t>
      </w:r>
      <w:r>
        <w:rPr>
          <w:rFonts w:ascii="Times New Roman" w:hAnsi="Times New Roman" w:cs="Times New Roman" w:eastAsia="Times New Roman" w:hint="default"/>
        </w:rPr>
        <w:t>6</w:t>
      </w:r>
      <w:r>
        <w:rPr/>
        <w:t>）数据中心</w:t>
      </w:r>
      <w:r>
        <w:rPr>
          <w:rFonts w:ascii="Times New Roman" w:hAnsi="Times New Roman" w:cs="Times New Roman" w:eastAsia="Times New Roman" w:hint="default"/>
        </w:rPr>
        <w:t>IT</w:t>
      </w:r>
      <w:r>
        <w:rPr/>
        <w:t>基础设施第三方服务市场随着我国信息化建设和升级改造而持续增长；</w:t>
      </w:r>
    </w:p>
    <w:p>
      <w:pPr>
        <w:pStyle w:val="BodyText"/>
        <w:spacing w:line="240" w:lineRule="auto" w:before="177"/>
        <w:ind w:left="573" w:right="102"/>
        <w:jc w:val="left"/>
      </w:pPr>
      <w:r>
        <w:rPr/>
        <w:t>（</w:t>
      </w:r>
      <w:r>
        <w:rPr>
          <w:rFonts w:ascii="Times New Roman" w:hAnsi="Times New Roman" w:cs="Times New Roman" w:eastAsia="Times New Roman" w:hint="default"/>
        </w:rPr>
        <w:t>7</w:t>
      </w:r>
      <w:r>
        <w:rPr/>
        <w:t>）绿色数据中心带来的市场机会；</w:t>
      </w:r>
    </w:p>
    <w:p>
      <w:pPr>
        <w:spacing w:after="0" w:line="240" w:lineRule="auto"/>
        <w:jc w:val="left"/>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left="573" w:right="102"/>
        <w:jc w:val="left"/>
      </w:pPr>
      <w:r>
        <w:rPr/>
        <w:t>（</w:t>
      </w:r>
      <w:r>
        <w:rPr>
          <w:rFonts w:ascii="Times New Roman" w:hAnsi="Times New Roman" w:cs="Times New Roman" w:eastAsia="Times New Roman" w:hint="default"/>
        </w:rPr>
        <w:t>8</w:t>
      </w:r>
      <w:r>
        <w:rPr/>
        <w:t>）物联网、云计算、大数据等新技术的落地实施形成巨大的驱动力。</w:t>
      </w:r>
    </w:p>
    <w:p>
      <w:pPr>
        <w:spacing w:line="240" w:lineRule="auto" w:before="1"/>
        <w:rPr>
          <w:rFonts w:ascii="宋体" w:hAnsi="宋体" w:cs="宋体" w:eastAsia="宋体" w:hint="default"/>
          <w:sz w:val="26"/>
          <w:szCs w:val="26"/>
        </w:rPr>
      </w:pPr>
    </w:p>
    <w:p>
      <w:pPr>
        <w:pStyle w:val="BodyText"/>
        <w:spacing w:line="240" w:lineRule="auto"/>
        <w:ind w:left="405" w:right="102"/>
        <w:jc w:val="left"/>
      </w:pPr>
      <w:r>
        <w:rPr/>
        <w:t>（二）</w:t>
      </w:r>
      <w:r>
        <w:rPr>
          <w:rFonts w:ascii="Times New Roman" w:hAnsi="Times New Roman" w:cs="Times New Roman" w:eastAsia="Times New Roman" w:hint="default"/>
        </w:rPr>
        <w:t>2013</w:t>
      </w:r>
      <w:r>
        <w:rPr/>
        <w:t>年公司总体战略方针和经营目标</w:t>
      </w:r>
    </w:p>
    <w:p>
      <w:pPr>
        <w:pStyle w:val="BodyText"/>
        <w:spacing w:line="386" w:lineRule="auto" w:before="158"/>
        <w:ind w:right="102" w:firstLine="420"/>
        <w:jc w:val="left"/>
      </w:pPr>
      <w:r>
        <w:rPr>
          <w:rFonts w:ascii="Times New Roman" w:hAnsi="Times New Roman" w:cs="Times New Roman" w:eastAsia="Times New Roman" w:hint="default"/>
          <w:spacing w:val="-4"/>
        </w:rPr>
        <w:t>2013</w:t>
      </w:r>
      <w:r>
        <w:rPr>
          <w:spacing w:val="-4"/>
        </w:rPr>
        <w:t>年天玑科技的战略方针为：围绕</w:t>
      </w:r>
      <w:r>
        <w:rPr>
          <w:rFonts w:ascii="Times New Roman" w:hAnsi="Times New Roman" w:cs="Times New Roman" w:eastAsia="Times New Roman" w:hint="default"/>
          <w:spacing w:val="-4"/>
        </w:rPr>
        <w:t>“</w:t>
      </w:r>
      <w:r>
        <w:rPr>
          <w:spacing w:val="-4"/>
        </w:rPr>
        <w:t>整体运营专家和软件外包专家</w:t>
      </w:r>
      <w:r>
        <w:rPr>
          <w:rFonts w:ascii="Times New Roman" w:hAnsi="Times New Roman" w:cs="Times New Roman" w:eastAsia="Times New Roman" w:hint="default"/>
          <w:spacing w:val="-4"/>
        </w:rPr>
        <w:t>”</w:t>
      </w:r>
      <w:r>
        <w:rPr>
          <w:spacing w:val="-4"/>
        </w:rPr>
        <w:t>的战略定位，通过优化业务结构，</w:t>
      </w:r>
      <w:r>
        <w:rPr>
          <w:w w:val="100"/>
        </w:rPr>
        <w:t> </w:t>
      </w:r>
      <w:r>
        <w:rPr>
          <w:spacing w:val="-5"/>
        </w:rPr>
        <w:t>加速业务支撑系统建设，提高管理和运营效率，积极推进产品创新和业务创新，逐步强化公司核心竞争力。</w:t>
      </w:r>
    </w:p>
    <w:p>
      <w:pPr>
        <w:pStyle w:val="BodyText"/>
        <w:spacing w:line="240" w:lineRule="auto" w:before="106"/>
        <w:ind w:left="573" w:right="102"/>
        <w:jc w:val="left"/>
      </w:pPr>
      <w:r>
        <w:rPr>
          <w:rFonts w:ascii="Times New Roman" w:hAnsi="Times New Roman" w:cs="Times New Roman" w:eastAsia="Times New Roman" w:hint="default"/>
        </w:rPr>
        <w:t>2013</w:t>
      </w:r>
      <w:r>
        <w:rPr/>
        <w:t>年公司未来发展展望及主要经营计划为：</w:t>
      </w:r>
    </w:p>
    <w:p>
      <w:pPr>
        <w:spacing w:line="240" w:lineRule="auto" w:before="6"/>
        <w:rPr>
          <w:rFonts w:ascii="宋体" w:hAnsi="宋体" w:cs="宋体" w:eastAsia="宋体" w:hint="default"/>
          <w:sz w:val="16"/>
          <w:szCs w:val="16"/>
        </w:rPr>
      </w:pPr>
    </w:p>
    <w:p>
      <w:pPr>
        <w:pStyle w:val="BodyText"/>
        <w:spacing w:line="444" w:lineRule="auto"/>
        <w:ind w:left="573" w:right="102"/>
        <w:jc w:val="left"/>
      </w:pPr>
      <w:r>
        <w:rPr>
          <w:rFonts w:ascii="宋体" w:hAnsi="宋体" w:cs="宋体" w:eastAsia="宋体" w:hint="default"/>
        </w:rPr>
        <w:t>1</w:t>
      </w:r>
      <w:r>
        <w:rPr/>
        <w:t>、</w:t>
      </w:r>
      <w:r>
        <w:rPr>
          <w:spacing w:val="-2"/>
        </w:rPr>
        <w:t> </w:t>
      </w:r>
      <w:r>
        <w:rPr/>
        <w:t>加强重点营销网络建设、积极巩固拓展运营商及大金融行业。</w:t>
      </w:r>
      <w:r>
        <w:rPr>
          <w:w w:val="100"/>
        </w:rPr>
        <w:t> </w:t>
      </w:r>
      <w:r>
        <w:rPr>
          <w:spacing w:val="-2"/>
        </w:rPr>
        <w:t>加强销售团队及营销网络的建设，采用内部培养和外部招聘相结合的方式储备高素质的销售人员，推</w:t>
      </w:r>
    </w:p>
    <w:p>
      <w:pPr>
        <w:pStyle w:val="BodyText"/>
        <w:spacing w:line="408" w:lineRule="auto" w:before="14"/>
        <w:ind w:right="206"/>
        <w:jc w:val="both"/>
      </w:pPr>
      <w:r>
        <w:rPr>
          <w:spacing w:val="-2"/>
        </w:rPr>
        <w:t>动公司销售业绩的进一步提升；加大对各细分下游行业的研究，充分挖掘公司现有具有竞争优势的细分市</w:t>
      </w:r>
      <w:r>
        <w:rPr>
          <w:spacing w:val="-43"/>
        </w:rPr>
        <w:t> </w:t>
      </w:r>
      <w:r>
        <w:rPr>
          <w:spacing w:val="-43"/>
        </w:rPr>
      </w:r>
      <w:r>
        <w:rPr>
          <w:spacing w:val="-2"/>
        </w:rPr>
        <w:t>场，形成在细分市场领域的强大竞争优势，使公司核心竞争力的产品在细分市场领域具有的强大的品牌影</w:t>
      </w:r>
      <w:r>
        <w:rPr>
          <w:spacing w:val="-44"/>
        </w:rPr>
        <w:t> </w:t>
      </w:r>
      <w:r>
        <w:rPr>
          <w:spacing w:val="-44"/>
        </w:rPr>
      </w:r>
      <w:r>
        <w:rPr>
          <w:spacing w:val="-2"/>
        </w:rPr>
        <w:t>响力和绝对的市场占有地位；加速全国销售区域的扩展，根据公司业务发展需要，积极开拓新的市场。业</w:t>
      </w:r>
      <w:r>
        <w:rPr>
          <w:spacing w:val="-47"/>
        </w:rPr>
        <w:t> </w:t>
      </w:r>
      <w:r>
        <w:rPr>
          <w:spacing w:val="-47"/>
        </w:rPr>
      </w:r>
      <w:r>
        <w:rPr>
          <w:spacing w:val="-2"/>
        </w:rPr>
        <w:t>务布局方面，在巩固运营商市场份额的前提下，重点布局大金融行业的服务业务，形成两个优势行业互为</w:t>
      </w:r>
      <w:r>
        <w:rPr>
          <w:spacing w:val="-44"/>
        </w:rPr>
        <w:t> </w:t>
      </w:r>
      <w:r>
        <w:rPr>
          <w:spacing w:val="-44"/>
        </w:rPr>
      </w:r>
      <w:r>
        <w:rPr/>
        <w:t>补充的格局。</w:t>
      </w:r>
    </w:p>
    <w:p>
      <w:pPr>
        <w:pStyle w:val="BodyText"/>
        <w:spacing w:line="441" w:lineRule="auto" w:before="87"/>
        <w:ind w:left="573" w:right="102"/>
        <w:jc w:val="left"/>
      </w:pPr>
      <w:r>
        <w:rPr>
          <w:rFonts w:ascii="宋体" w:hAnsi="宋体" w:cs="宋体" w:eastAsia="宋体" w:hint="default"/>
        </w:rPr>
        <w:t>2</w:t>
      </w:r>
      <w:r>
        <w:rPr/>
        <w:t>、增加创新能力、继续加大对研发及新产品的投入</w:t>
      </w:r>
      <w:r>
        <w:rPr>
          <w:w w:val="100"/>
        </w:rPr>
        <w:t> </w:t>
      </w:r>
      <w:r>
        <w:rPr>
          <w:spacing w:val="-3"/>
        </w:rPr>
        <w:t>强化公司创新能力、加大研发的投入，以不断开发、拓展与客户需求相适应的产品或服务。同时积极</w:t>
      </w:r>
    </w:p>
    <w:p>
      <w:pPr>
        <w:pStyle w:val="BodyText"/>
        <w:spacing w:line="408" w:lineRule="auto" w:before="16"/>
        <w:ind w:right="206"/>
        <w:jc w:val="both"/>
      </w:pPr>
      <w:r>
        <w:rPr>
          <w:spacing w:val="-2"/>
        </w:rPr>
        <w:t>整合与复深蓝的协同效应，有效发挥复深蓝的软件研发能力，不断将研发项目产品化，以进一步提高公司</w:t>
      </w:r>
      <w:r>
        <w:rPr>
          <w:spacing w:val="-44"/>
        </w:rPr>
        <w:t> </w:t>
      </w:r>
      <w:r>
        <w:rPr>
          <w:spacing w:val="-44"/>
        </w:rPr>
      </w:r>
      <w:r>
        <w:rPr/>
        <w:t>核心竞争力。</w:t>
      </w:r>
    </w:p>
    <w:p>
      <w:pPr>
        <w:pStyle w:val="BodyText"/>
        <w:spacing w:line="444" w:lineRule="auto" w:before="87"/>
        <w:ind w:left="573" w:right="102"/>
        <w:jc w:val="left"/>
      </w:pPr>
      <w:r>
        <w:rPr>
          <w:rFonts w:ascii="宋体" w:hAnsi="宋体" w:cs="宋体" w:eastAsia="宋体" w:hint="default"/>
        </w:rPr>
        <w:t>3</w:t>
      </w:r>
      <w:r>
        <w:rPr/>
        <w:t>、</w:t>
      </w:r>
      <w:r>
        <w:rPr>
          <w:spacing w:val="-62"/>
        </w:rPr>
        <w:t> </w:t>
      </w:r>
      <w:r>
        <w:rPr/>
        <w:t>加强完善内部管理，提高综合竞争能力。</w:t>
      </w:r>
      <w:r>
        <w:rPr>
          <w:spacing w:val="-103"/>
        </w:rPr>
        <w:t> </w:t>
      </w:r>
      <w:r>
        <w:rPr>
          <w:spacing w:val="-103"/>
        </w:rPr>
      </w:r>
      <w:r>
        <w:rPr>
          <w:spacing w:val="-2"/>
        </w:rPr>
        <w:t>不断完善公司治理结构，通过建章立制和流程改造、设计，进一步完善公司内部控制体系，促使公司</w:t>
      </w:r>
    </w:p>
    <w:p>
      <w:pPr>
        <w:pStyle w:val="BodyText"/>
        <w:spacing w:line="444" w:lineRule="auto" w:before="53"/>
        <w:ind w:left="573" w:right="4567" w:hanging="421"/>
        <w:jc w:val="left"/>
      </w:pPr>
      <w:r>
        <w:rPr>
          <w:spacing w:val="-2"/>
        </w:rPr>
        <w:t>管理工作逐步走向标准化、制度化、规范化、流程化。</w:t>
      </w:r>
      <w:r>
        <w:rPr>
          <w:spacing w:val="-59"/>
        </w:rPr>
        <w:t> </w:t>
      </w:r>
      <w:r>
        <w:rPr>
          <w:spacing w:val="-59"/>
        </w:rPr>
      </w:r>
      <w:r>
        <w:rPr>
          <w:rFonts w:ascii="宋体" w:hAnsi="宋体" w:cs="宋体" w:eastAsia="宋体" w:hint="default"/>
        </w:rPr>
        <w:t>4</w:t>
      </w:r>
      <w:r>
        <w:rPr/>
        <w:t>、</w:t>
      </w:r>
      <w:r>
        <w:rPr>
          <w:spacing w:val="-59"/>
        </w:rPr>
        <w:t> </w:t>
      </w:r>
      <w:r>
        <w:rPr/>
        <w:t>优化产业结构</w:t>
      </w:r>
    </w:p>
    <w:p>
      <w:pPr>
        <w:pStyle w:val="BodyText"/>
        <w:spacing w:line="398" w:lineRule="auto" w:before="55"/>
        <w:ind w:right="206" w:firstLine="420"/>
        <w:jc w:val="both"/>
      </w:pPr>
      <w:r>
        <w:rPr>
          <w:rFonts w:ascii="Times New Roman" w:hAnsi="Times New Roman" w:cs="Times New Roman" w:eastAsia="Times New Roman" w:hint="default"/>
          <w:spacing w:val="-2"/>
        </w:rPr>
        <w:t>2013</w:t>
      </w:r>
      <w:r>
        <w:rPr>
          <w:spacing w:val="-2"/>
        </w:rPr>
        <w:t>年公司将进一步优化自身的产业结构，对新兴技术和相关业务领域展开前瞻性的信息收集分析和</w:t>
      </w:r>
      <w:r>
        <w:rPr>
          <w:w w:val="100"/>
        </w:rPr>
        <w:t> </w:t>
      </w:r>
      <w:r>
        <w:rPr>
          <w:spacing w:val="-2"/>
        </w:rPr>
        <w:t>研究探索，并积极寻找战略合作机会，采取必要的兼并收购来完善业务组成。以提升公司竞争力，将天玑</w:t>
      </w:r>
      <w:r>
        <w:rPr>
          <w:spacing w:val="-46"/>
        </w:rPr>
        <w:t> </w:t>
      </w:r>
      <w:r>
        <w:rPr>
          <w:spacing w:val="-46"/>
        </w:rPr>
      </w:r>
      <w:r>
        <w:rPr/>
        <w:t>科技打造成真正具备行业解决方案能力的专业一站式</w:t>
      </w:r>
      <w:r>
        <w:rPr>
          <w:rFonts w:ascii="Times New Roman" w:hAnsi="Times New Roman" w:cs="Times New Roman" w:eastAsia="Times New Roman" w:hint="default"/>
        </w:rPr>
        <w:t>IT</w:t>
      </w:r>
      <w:r>
        <w:rPr/>
        <w:t>服务商。</w:t>
      </w:r>
    </w:p>
    <w:p>
      <w:pPr>
        <w:pStyle w:val="BodyText"/>
        <w:spacing w:line="444" w:lineRule="auto" w:before="62"/>
        <w:ind w:left="573" w:right="102"/>
        <w:jc w:val="left"/>
      </w:pPr>
      <w:r>
        <w:rPr>
          <w:rFonts w:ascii="宋体" w:hAnsi="宋体" w:cs="宋体" w:eastAsia="宋体" w:hint="default"/>
        </w:rPr>
        <w:t>5</w:t>
      </w:r>
      <w:r>
        <w:rPr/>
        <w:t>、</w:t>
      </w:r>
      <w:r>
        <w:rPr>
          <w:spacing w:val="-62"/>
        </w:rPr>
        <w:t> </w:t>
      </w:r>
      <w:r>
        <w:rPr/>
        <w:t>吸收和培养优秀人才</w:t>
      </w:r>
      <w:r>
        <w:rPr>
          <w:spacing w:val="-102"/>
        </w:rPr>
        <w:t> </w:t>
      </w:r>
      <w:r>
        <w:rPr>
          <w:spacing w:val="-102"/>
        </w:rPr>
      </w:r>
      <w:r>
        <w:rPr>
          <w:spacing w:val="-2"/>
        </w:rPr>
        <w:t>公司今后将在员工薪资待遇和福利、员工招聘和聘用、员工职业目标规划、人才培养和培训计划等方</w:t>
      </w:r>
    </w:p>
    <w:p>
      <w:pPr>
        <w:pStyle w:val="BodyText"/>
        <w:spacing w:line="444" w:lineRule="auto" w:before="14"/>
        <w:ind w:left="573" w:right="102" w:hanging="421"/>
        <w:jc w:val="left"/>
      </w:pPr>
      <w:r>
        <w:rPr/>
        <w:t>面进一步建立和健全相关制度，以建立良好的员工激励机制。</w:t>
      </w:r>
      <w:r>
        <w:rPr>
          <w:w w:val="100"/>
        </w:rPr>
        <w:t> </w:t>
      </w:r>
      <w:r>
        <w:rPr>
          <w:rFonts w:ascii="宋体" w:hAnsi="宋体" w:cs="宋体" w:eastAsia="宋体" w:hint="default"/>
          <w:spacing w:val="-2"/>
        </w:rPr>
        <w:t>2013</w:t>
      </w:r>
      <w:r>
        <w:rPr>
          <w:spacing w:val="-2"/>
        </w:rPr>
        <w:t>年内我们将总结过去的经验与教训，并结合当前的市场环境，对内进行规范化运营，注重产品研</w:t>
      </w:r>
    </w:p>
    <w:p>
      <w:pPr>
        <w:pStyle w:val="BodyText"/>
        <w:spacing w:line="240" w:lineRule="auto" w:before="14"/>
        <w:ind w:right="102"/>
        <w:jc w:val="left"/>
      </w:pPr>
      <w:r>
        <w:rPr/>
        <w:t>发和服务创新，提升各方面工作效率；对外积极开拓市场，努力提升客户满意度，为把天玑科技努力打造</w:t>
      </w:r>
    </w:p>
    <w:p>
      <w:pPr>
        <w:spacing w:after="0" w:line="240" w:lineRule="auto"/>
        <w:jc w:val="left"/>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102"/>
        <w:jc w:val="left"/>
      </w:pPr>
      <w:r>
        <w:rPr/>
        <w:t>成为具备行业解决方案能力的专业一站式</w:t>
      </w:r>
      <w:r>
        <w:rPr>
          <w:rFonts w:ascii="宋体" w:hAnsi="宋体" w:cs="宋体" w:eastAsia="宋体" w:hint="default"/>
        </w:rPr>
        <w:t>IT</w:t>
      </w:r>
      <w:r>
        <w:rPr/>
        <w:t>服务商而不懈奋斗。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0"/>
        <w:ind w:right="102"/>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before="0"/>
        <w:ind w:right="102"/>
        <w:jc w:val="left"/>
        <w:rPr>
          <w:b w:val="0"/>
          <w:bCs w:val="0"/>
        </w:rPr>
      </w:pPr>
      <w:r>
        <w:rPr/>
        <w:t>五、董事会关于报告期会计政策、会计估计变更或重要前期差错更正的说明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before="0"/>
        <w:ind w:right="102"/>
        <w:jc w:val="left"/>
        <w:rPr>
          <w:b w:val="0"/>
          <w:bCs w:val="0"/>
        </w:rPr>
      </w:pPr>
      <w:r>
        <w:rPr/>
        <w:t>六、公司利润分配及分红派息情况</w:t>
      </w:r>
      <w:r>
        <w:rPr>
          <w:b w:val="0"/>
          <w:bCs w:val="0"/>
        </w:rPr>
      </w:r>
    </w:p>
    <w:p>
      <w:pPr>
        <w:spacing w:line="240" w:lineRule="auto" w:before="4"/>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240" w:lineRule="auto" w:before="3"/>
        <w:rPr>
          <w:rFonts w:ascii="宋体" w:hAnsi="宋体" w:cs="宋体" w:eastAsia="宋体" w:hint="default"/>
          <w:sz w:val="13"/>
          <w:szCs w:val="13"/>
        </w:rPr>
      </w:pPr>
    </w:p>
    <w:p>
      <w:pPr>
        <w:pStyle w:val="BodyText"/>
        <w:spacing w:line="408" w:lineRule="auto"/>
        <w:ind w:right="102" w:firstLine="394"/>
        <w:jc w:val="left"/>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9</w:t>
      </w:r>
      <w:r>
        <w:rPr/>
        <w:t>日公司第一届董事会第二十三次会议审议通过了《公司</w:t>
      </w:r>
      <w:r>
        <w:rPr>
          <w:rFonts w:ascii="宋体" w:hAnsi="宋体" w:cs="宋体" w:eastAsia="宋体" w:hint="default"/>
        </w:rPr>
        <w:t>2011</w:t>
      </w:r>
      <w:r>
        <w:rPr/>
        <w:t>年度利润分配及公积金转增股</w:t>
      </w:r>
      <w:r>
        <w:rPr>
          <w:w w:val="100"/>
        </w:rPr>
        <w:t> </w:t>
      </w:r>
      <w:r>
        <w:rPr>
          <w:spacing w:val="-5"/>
        </w:rPr>
        <w:t>本的预案》，公司重视对投资者的合理投资回报，在制定利润分配方案过程中，董事会结合公司盈利情况、</w:t>
      </w:r>
      <w:r>
        <w:rPr>
          <w:spacing w:val="-8"/>
        </w:rPr>
        <w:t> </w:t>
      </w:r>
      <w:r>
        <w:rPr>
          <w:spacing w:val="-8"/>
        </w:rPr>
      </w:r>
      <w:r>
        <w:rPr>
          <w:spacing w:val="-5"/>
        </w:rPr>
        <w:t>资金需求，与独立董事、监事充分讨论，并通过多种渠道充分听取中小股东意见，在考虑对全体股东持续、</w:t>
      </w:r>
      <w:r>
        <w:rPr>
          <w:spacing w:val="-10"/>
        </w:rPr>
        <w:t> </w:t>
      </w:r>
      <w:r>
        <w:rPr>
          <w:spacing w:val="-10"/>
        </w:rPr>
      </w:r>
      <w:r>
        <w:rPr/>
        <w:t>稳定、科学的回报基础上制订或修改利润分配方案。独立董事对</w:t>
      </w:r>
      <w:r>
        <w:rPr>
          <w:rFonts w:ascii="宋体" w:hAnsi="宋体" w:cs="宋体" w:eastAsia="宋体" w:hint="default"/>
        </w:rPr>
        <w:t>2011</w:t>
      </w:r>
      <w:r>
        <w:rPr/>
        <w:t>年度利润分配方案发表了独立意见。</w:t>
      </w:r>
      <w:r>
        <w:rPr>
          <w:w w:val="100"/>
        </w:rPr>
        <w:t> </w:t>
      </w:r>
      <w:r>
        <w:rPr>
          <w:spacing w:val="-2"/>
        </w:rPr>
        <w:t>监事会对董事会和管理层制定和执行公司利润分配方案的情况及决策程序进行监督。</w:t>
      </w:r>
      <w:r>
        <w:rPr>
          <w:rFonts w:ascii="宋体" w:hAnsi="宋体" w:cs="宋体" w:eastAsia="宋体" w:hint="default"/>
          <w:spacing w:val="-2"/>
        </w:rPr>
        <w:t>2011</w:t>
      </w:r>
      <w:r>
        <w:rPr>
          <w:spacing w:val="-2"/>
        </w:rPr>
        <w:t>年度利润分配方</w:t>
      </w:r>
      <w:r>
        <w:rPr>
          <w:spacing w:val="-38"/>
        </w:rPr>
        <w:t> </w:t>
      </w:r>
      <w:r>
        <w:rPr>
          <w:spacing w:val="-38"/>
        </w:rPr>
      </w:r>
      <w:r>
        <w:rPr/>
        <w:t>案于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6</w:t>
      </w:r>
      <w:r>
        <w:rPr/>
        <w:t>日经</w:t>
      </w:r>
      <w:r>
        <w:rPr>
          <w:rFonts w:ascii="宋体" w:hAnsi="宋体" w:cs="宋体" w:eastAsia="宋体" w:hint="default"/>
        </w:rPr>
        <w:t>2011</w:t>
      </w:r>
      <w:r>
        <w:rPr/>
        <w:t>年年度股东大会审议并经出席股东大会的股东所持表决权的二分之一以上通过，</w:t>
      </w:r>
      <w:r>
        <w:rPr>
          <w:w w:val="100"/>
        </w:rPr>
        <w:t> </w:t>
      </w:r>
      <w:r>
        <w:rPr/>
        <w:t>同意以公司截止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67,000,000</w:t>
      </w:r>
      <w:r>
        <w:rPr/>
        <w:t>股为基数，向全体股东以每</w:t>
      </w:r>
      <w:r>
        <w:rPr>
          <w:rFonts w:ascii="宋体" w:hAnsi="宋体" w:cs="宋体" w:eastAsia="宋体" w:hint="default"/>
        </w:rPr>
        <w:t>10</w:t>
      </w:r>
      <w:r>
        <w:rPr/>
        <w:t>股派人民币现金</w:t>
      </w:r>
      <w:r>
        <w:rPr>
          <w:rFonts w:ascii="宋体" w:hAnsi="宋体" w:cs="宋体" w:eastAsia="宋体" w:hint="default"/>
        </w:rPr>
        <w:t>2</w:t>
      </w:r>
      <w:r>
        <w:rPr/>
        <w:t>元（含</w:t>
      </w:r>
      <w:r>
        <w:rPr>
          <w:spacing w:val="-3"/>
          <w:w w:val="100"/>
        </w:rPr>
        <w:t> </w:t>
      </w:r>
      <w:r>
        <w:rPr/>
        <w:t>税），共分配现金股利</w:t>
      </w:r>
      <w:r>
        <w:rPr>
          <w:rFonts w:ascii="宋体" w:hAnsi="宋体" w:cs="宋体" w:eastAsia="宋体" w:hint="default"/>
        </w:rPr>
        <w:t>1,340</w:t>
      </w:r>
      <w:r>
        <w:rPr/>
        <w:t>万元，剩余未分配利润结转以后年度；同时，以资本公积金向全体股东每</w:t>
      </w:r>
      <w:r>
        <w:rPr>
          <w:rFonts w:ascii="宋体" w:hAnsi="宋体" w:cs="宋体" w:eastAsia="宋体" w:hint="default"/>
        </w:rPr>
        <w:t>10</w:t>
      </w:r>
      <w:r>
        <w:rPr>
          <w:rFonts w:ascii="宋体" w:hAnsi="宋体" w:cs="宋体" w:eastAsia="宋体" w:hint="default"/>
          <w:spacing w:val="-3"/>
          <w:w w:val="100"/>
        </w:rPr>
        <w:t> </w:t>
      </w:r>
      <w:r>
        <w:rPr/>
        <w:t>股转增</w:t>
      </w:r>
      <w:r>
        <w:rPr>
          <w:rFonts w:ascii="宋体" w:hAnsi="宋体" w:cs="宋体" w:eastAsia="宋体" w:hint="default"/>
        </w:rPr>
        <w:t>10</w:t>
      </w:r>
      <w:r>
        <w:rPr/>
        <w:t>股</w:t>
      </w:r>
      <w:r>
        <w:rPr>
          <w:rFonts w:ascii="宋体" w:hAnsi="宋体" w:cs="宋体" w:eastAsia="宋体" w:hint="default"/>
        </w:rPr>
        <w:t>,</w:t>
      </w:r>
      <w:r>
        <w:rPr/>
        <w:t>共计转增</w:t>
      </w:r>
      <w:r>
        <w:rPr>
          <w:rFonts w:ascii="宋体" w:hAnsi="宋体" w:cs="宋体" w:eastAsia="宋体" w:hint="default"/>
        </w:rPr>
        <w:t>6,700</w:t>
      </w:r>
      <w:r>
        <w:rPr/>
        <w:t>万股，转增后公司总股本将增加至</w:t>
      </w:r>
      <w:r>
        <w:rPr>
          <w:rFonts w:ascii="宋体" w:hAnsi="宋体" w:cs="宋体" w:eastAsia="宋体" w:hint="default"/>
        </w:rPr>
        <w:t>13,400</w:t>
      </w:r>
      <w:r>
        <w:rPr/>
        <w:t>万股。该分派方案于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24</w:t>
      </w:r>
      <w:r>
        <w:rPr/>
        <w:t>日</w:t>
      </w:r>
      <w:r>
        <w:rPr>
          <w:w w:val="100"/>
        </w:rPr>
        <w:t> </w:t>
      </w:r>
      <w:r>
        <w:rPr/>
        <w:t>实施完毕。</w:t>
      </w:r>
    </w:p>
    <w:p>
      <w:pPr>
        <w:pStyle w:val="BodyText"/>
        <w:spacing w:line="408" w:lineRule="auto" w:before="87"/>
        <w:ind w:right="211" w:firstLine="422"/>
        <w:jc w:val="both"/>
      </w:pP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23</w:t>
      </w:r>
      <w:r>
        <w:rPr/>
        <w:t>日公司第二届董事会第二次会议审议通过了《利润分配管理制度》、《股东三年回报规</w:t>
      </w:r>
      <w:r>
        <w:rPr>
          <w:w w:val="100"/>
        </w:rPr>
        <w:t> </w:t>
      </w:r>
      <w:r>
        <w:rPr/>
        <w:t>划（</w:t>
      </w:r>
      <w:r>
        <w:rPr>
          <w:rFonts w:ascii="宋体" w:hAnsi="宋体" w:cs="宋体" w:eastAsia="宋体" w:hint="default"/>
        </w:rPr>
        <w:t>2012-2014</w:t>
      </w:r>
      <w:r>
        <w:rPr/>
        <w:t>）》、《关于修订</w:t>
      </w:r>
      <w:r>
        <w:rPr>
          <w:rFonts w:ascii="宋体" w:hAnsi="宋体" w:cs="宋体" w:eastAsia="宋体" w:hint="default"/>
        </w:rPr>
        <w:t>&lt;</w:t>
      </w:r>
      <w:r>
        <w:rPr/>
        <w:t>公司章程</w:t>
      </w:r>
      <w:r>
        <w:rPr>
          <w:rFonts w:ascii="宋体" w:hAnsi="宋体" w:cs="宋体" w:eastAsia="宋体" w:hint="default"/>
        </w:rPr>
        <w:t>&gt;</w:t>
      </w:r>
      <w:r>
        <w:rPr/>
        <w:t>的议案》，明确“公司应保持利润分配政策的连续性与稳定</w:t>
      </w:r>
      <w:r>
        <w:rPr>
          <w:spacing w:val="-26"/>
        </w:rPr>
        <w:t> </w:t>
      </w:r>
      <w:r>
        <w:rPr>
          <w:spacing w:val="-26"/>
        </w:rPr>
      </w:r>
      <w:r>
        <w:rPr/>
        <w:t>性，原则上每年以现金方式分配的利润应不低于当年实现的可分配利润的</w:t>
      </w:r>
      <w:r>
        <w:rPr>
          <w:rFonts w:ascii="宋体" w:hAnsi="宋体" w:cs="宋体" w:eastAsia="宋体" w:hint="default"/>
        </w:rPr>
        <w:t>10%</w:t>
      </w:r>
      <w:r>
        <w:rPr/>
        <w:t>”。同时明确了利润分配原</w:t>
      </w:r>
    </w:p>
    <w:p>
      <w:pPr>
        <w:pStyle w:val="BodyText"/>
        <w:spacing w:line="240" w:lineRule="auto" w:before="46"/>
        <w:ind w:right="102"/>
        <w:jc w:val="left"/>
      </w:pPr>
      <w:r>
        <w:rPr>
          <w:spacing w:val="-5"/>
        </w:rPr>
        <w:t>则、利润分配形式、现金分红条件、现金分红比例，并完善了决策程序和机制。独立董事发表了独立意见。</w:t>
      </w:r>
    </w:p>
    <w:p>
      <w:pPr>
        <w:spacing w:line="240" w:lineRule="auto" w:before="10"/>
        <w:rPr>
          <w:rFonts w:ascii="宋体" w:hAnsi="宋体" w:cs="宋体" w:eastAsia="宋体" w:hint="default"/>
          <w:sz w:val="14"/>
          <w:szCs w:val="14"/>
        </w:rPr>
      </w:pPr>
    </w:p>
    <w:p>
      <w:pPr>
        <w:pStyle w:val="BodyText"/>
        <w:spacing w:line="410" w:lineRule="auto"/>
        <w:ind w:right="102"/>
        <w:jc w:val="left"/>
      </w:pPr>
      <w:r>
        <w:rPr/>
        <w:t>《利润分配管理制度》、《未来三年股东回报规划（</w:t>
      </w:r>
      <w:r>
        <w:rPr>
          <w:rFonts w:ascii="宋体" w:hAnsi="宋体" w:cs="宋体" w:eastAsia="宋体" w:hint="default"/>
        </w:rPr>
        <w:t>2012-2014</w:t>
      </w:r>
      <w:r>
        <w:rPr/>
        <w:t>）》、《关于修订</w:t>
      </w:r>
      <w:r>
        <w:rPr>
          <w:rFonts w:ascii="宋体" w:hAnsi="宋体" w:cs="宋体" w:eastAsia="宋体" w:hint="default"/>
        </w:rPr>
        <w:t>&lt;</w:t>
      </w:r>
      <w:r>
        <w:rPr/>
        <w:t>公司章程</w:t>
      </w:r>
      <w:r>
        <w:rPr>
          <w:rFonts w:ascii="宋体" w:hAnsi="宋体" w:cs="宋体" w:eastAsia="宋体" w:hint="default"/>
        </w:rPr>
        <w:t>&gt;</w:t>
      </w:r>
      <w:r>
        <w:rPr/>
        <w:t>的议案》将</w:t>
      </w:r>
      <w:r>
        <w:rPr>
          <w:spacing w:val="-25"/>
        </w:rPr>
        <w:t> </w:t>
      </w:r>
      <w:r>
        <w:rPr>
          <w:spacing w:val="-25"/>
        </w:rPr>
      </w:r>
      <w:r>
        <w:rPr/>
        <w:t>提交股东大会审议。</w:t>
      </w:r>
    </w:p>
    <w:p>
      <w:pPr>
        <w:spacing w:line="240" w:lineRule="auto" w:before="13"/>
        <w:rPr>
          <w:rFonts w:ascii="宋体" w:hAnsi="宋体" w:cs="宋体" w:eastAsia="宋体" w:hint="default"/>
          <w:sz w:val="28"/>
          <w:szCs w:val="28"/>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2" w:right="3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after="0" w:line="348" w:lineRule="auto"/>
        <w:jc w:val="left"/>
        <w:rPr>
          <w:rFonts w:ascii="宋体" w:hAnsi="宋体" w:cs="宋体" w:eastAsia="宋体" w:hint="default"/>
          <w:sz w:val="18"/>
          <w:szCs w:val="18"/>
        </w:rPr>
        <w:sectPr>
          <w:pgSz w:w="11910" w:h="16840"/>
          <w:pgMar w:header="745" w:footer="0" w:top="1060" w:bottom="28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132,244,353.03</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司总股份</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万股为基数</w:t>
            </w:r>
            <w:r>
              <w:rPr>
                <w:rFonts w:ascii="宋体" w:hAnsi="宋体" w:cs="宋体" w:eastAsia="宋体" w:hint="default"/>
                <w:spacing w:val="-13"/>
                <w:sz w:val="18"/>
                <w:szCs w:val="18"/>
              </w:rPr>
              <w:t>，</w:t>
            </w:r>
            <w:r>
              <w:rPr>
                <w:rFonts w:ascii="宋体" w:hAnsi="宋体" w:cs="宋体" w:eastAsia="宋体" w:hint="default"/>
                <w:sz w:val="18"/>
                <w:szCs w:val="18"/>
              </w:rPr>
              <w:t>向全体股东按每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股派发</w:t>
            </w:r>
            <w:r>
              <w:rPr>
                <w:rFonts w:ascii="宋体" w:hAnsi="宋体" w:cs="宋体" w:eastAsia="宋体" w:hint="default"/>
                <w:spacing w:val="-3"/>
                <w:sz w:val="18"/>
                <w:szCs w:val="18"/>
              </w:rPr>
              <w:t>现</w:t>
            </w:r>
            <w:r>
              <w:rPr>
                <w:rFonts w:ascii="宋体" w:hAnsi="宋体" w:cs="宋体" w:eastAsia="宋体" w:hint="default"/>
                <w:sz w:val="18"/>
                <w:szCs w:val="18"/>
              </w:rPr>
              <w:t>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共计派发</w:t>
            </w:r>
          </w:p>
          <w:p>
            <w:pPr>
              <w:pStyle w:val="TableParagraph"/>
              <w:spacing w:line="240" w:lineRule="auto" w:before="60"/>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万元（含税</w:t>
            </w:r>
            <w:r>
              <w:rPr>
                <w:rFonts w:ascii="宋体" w:hAnsi="宋体" w:cs="宋体" w:eastAsia="宋体" w:hint="default"/>
                <w:spacing w:val="-92"/>
                <w:sz w:val="18"/>
                <w:szCs w:val="18"/>
              </w:rPr>
              <w:t>）</w:t>
            </w:r>
            <w:r>
              <w:rPr>
                <w:rFonts w:ascii="宋体" w:hAnsi="宋体" w:cs="宋体" w:eastAsia="宋体" w:hint="default"/>
                <w:sz w:val="18"/>
                <w:szCs w:val="18"/>
              </w:rPr>
              <w:t>，剩余未分配利润结转下一年度。</w:t>
            </w:r>
          </w:p>
        </w:tc>
      </w:tr>
    </w:tbl>
    <w:p>
      <w:pPr>
        <w:pStyle w:val="BodyText"/>
        <w:spacing w:line="388" w:lineRule="auto" w:before="49"/>
        <w:ind w:right="0"/>
        <w:jc w:val="left"/>
      </w:pPr>
      <w:r>
        <w:rPr>
          <w:sz w:val="18"/>
          <w:szCs w:val="18"/>
        </w:rPr>
        <w:t>公司近</w:t>
      </w:r>
      <w:r>
        <w:rPr>
          <w:spacing w:val="-44"/>
          <w:sz w:val="18"/>
          <w:szCs w:val="18"/>
        </w:rPr>
        <w:t> </w:t>
      </w:r>
      <w:r>
        <w:rPr>
          <w:rFonts w:ascii="Times New Roman" w:hAnsi="Times New Roman" w:cs="Times New Roman" w:eastAsia="Times New Roman" w:hint="default"/>
          <w:sz w:val="18"/>
          <w:szCs w:val="18"/>
        </w:rPr>
        <w:t>3 </w:t>
      </w:r>
      <w:r>
        <w:rPr>
          <w:sz w:val="18"/>
          <w:szCs w:val="18"/>
        </w:rPr>
        <w:t>年（含报告期）的利润分配方案及资本公积金转增股本方案情况 </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8</w:t>
      </w:r>
      <w:r>
        <w:rPr>
          <w:spacing w:val="-4"/>
        </w:rPr>
        <w:t>日，公司召开第二届董事会第五次会议，审议通过了</w:t>
      </w:r>
      <w:r>
        <w:rPr>
          <w:rFonts w:ascii="Times New Roman" w:hAnsi="Times New Roman" w:cs="Times New Roman" w:eastAsia="Times New Roman" w:hint="default"/>
          <w:spacing w:val="-4"/>
        </w:rPr>
        <w:t>2012</w:t>
      </w:r>
      <w:r>
        <w:rPr>
          <w:spacing w:val="-4"/>
        </w:rPr>
        <w:t>年年度利润分配方案：以公司</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3"/>
        </w:rPr>
        <w:t>年末总股本</w:t>
      </w:r>
      <w:r>
        <w:rPr>
          <w:rFonts w:ascii="Times New Roman" w:hAnsi="Times New Roman" w:cs="Times New Roman" w:eastAsia="Times New Roman" w:hint="default"/>
          <w:spacing w:val="-3"/>
        </w:rPr>
        <w:t>13,400</w:t>
      </w:r>
      <w:r>
        <w:rPr>
          <w:spacing w:val="-3"/>
        </w:rPr>
        <w:t>万股为基数，向全体股东每</w:t>
      </w:r>
      <w:r>
        <w:rPr>
          <w:rFonts w:ascii="Times New Roman" w:hAnsi="Times New Roman" w:cs="Times New Roman" w:eastAsia="Times New Roman" w:hint="default"/>
          <w:spacing w:val="-3"/>
        </w:rPr>
        <w:t>10</w:t>
      </w:r>
      <w:r>
        <w:rPr>
          <w:spacing w:val="-3"/>
        </w:rPr>
        <w:t>股派发人民币</w:t>
      </w:r>
      <w:r>
        <w:rPr>
          <w:rFonts w:ascii="Times New Roman" w:hAnsi="Times New Roman" w:cs="Times New Roman" w:eastAsia="Times New Roman" w:hint="default"/>
          <w:spacing w:val="-3"/>
        </w:rPr>
        <w:t>1</w:t>
      </w:r>
      <w:r>
        <w:rPr>
          <w:spacing w:val="-3"/>
        </w:rPr>
        <w:t>元现金（含税）（该议案尚需提交</w:t>
      </w:r>
      <w:r>
        <w:rPr>
          <w:rFonts w:ascii="Times New Roman" w:hAnsi="Times New Roman" w:cs="Times New Roman" w:eastAsia="Times New Roman" w:hint="default"/>
          <w:spacing w:val="-3"/>
        </w:rPr>
        <w:t>2012</w:t>
      </w:r>
      <w:r>
        <w:rPr>
          <w:spacing w:val="-3"/>
        </w:rPr>
        <w:t>年度</w:t>
      </w:r>
      <w:r>
        <w:rPr>
          <w:spacing w:val="-30"/>
        </w:rPr>
        <w:t> </w:t>
      </w:r>
      <w:r>
        <w:rPr/>
        <w:t>股东大会审议通过）</w:t>
      </w:r>
      <w:r>
        <w:rPr>
          <w:w w:val="10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日经</w:t>
      </w:r>
      <w:r>
        <w:rPr>
          <w:rFonts w:ascii="Times New Roman" w:hAnsi="Times New Roman" w:cs="Times New Roman" w:eastAsia="Times New Roman" w:hint="default"/>
        </w:rPr>
        <w:t>2011</w:t>
      </w:r>
      <w:r>
        <w:rPr/>
        <w:t>年年度股东大会审议并经出席股东大会的股东所持表决</w:t>
      </w:r>
      <w:r>
        <w:rPr>
          <w:w w:val="100"/>
        </w:rPr>
        <w:t> </w:t>
      </w:r>
      <w:r>
        <w:rPr/>
        <w:t>权的二分之一以上通过，同意以公司截止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67,000,000</w:t>
      </w:r>
      <w:r>
        <w:rPr/>
        <w:t>股为基数，向全体股东以每</w:t>
      </w:r>
      <w:r>
        <w:rPr>
          <w:rFonts w:ascii="Times New Roman" w:hAnsi="Times New Roman" w:cs="Times New Roman" w:eastAsia="Times New Roman" w:hint="default"/>
        </w:rPr>
        <w:t>10</w:t>
      </w:r>
      <w:r>
        <w:rPr>
          <w:rFonts w:ascii="Times New Roman" w:hAnsi="Times New Roman" w:cs="Times New Roman" w:eastAsia="Times New Roman" w:hint="default"/>
          <w:spacing w:val="-3"/>
          <w:w w:val="100"/>
        </w:rPr>
        <w:t> </w:t>
      </w:r>
      <w:r>
        <w:rPr>
          <w:spacing w:val="-2"/>
        </w:rPr>
        <w:t>股派人民币现金</w:t>
      </w:r>
      <w:r>
        <w:rPr>
          <w:rFonts w:ascii="Times New Roman" w:hAnsi="Times New Roman" w:cs="Times New Roman" w:eastAsia="Times New Roman" w:hint="default"/>
          <w:spacing w:val="-2"/>
        </w:rPr>
        <w:t>2</w:t>
      </w:r>
      <w:r>
        <w:rPr>
          <w:spacing w:val="-2"/>
        </w:rPr>
        <w:t>元（含税），共分配现金股利</w:t>
      </w:r>
      <w:r>
        <w:rPr>
          <w:rFonts w:ascii="Times New Roman" w:hAnsi="Times New Roman" w:cs="Times New Roman" w:eastAsia="Times New Roman" w:hint="default"/>
          <w:spacing w:val="-2"/>
        </w:rPr>
        <w:t>1,340</w:t>
      </w:r>
      <w:r>
        <w:rPr>
          <w:spacing w:val="-2"/>
        </w:rPr>
        <w:t>万元，剩余未分配利润结转以后年度；同时，以资本</w:t>
      </w:r>
      <w:r>
        <w:rPr>
          <w:spacing w:val="-18"/>
        </w:rPr>
        <w:t> </w:t>
      </w:r>
      <w:r>
        <w:rPr>
          <w:spacing w:val="-18"/>
        </w:rPr>
      </w:r>
      <w:r>
        <w:rPr>
          <w:spacing w:val="-3"/>
        </w:rPr>
        <w:t>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w:t>
      </w:r>
      <w:r>
        <w:rPr>
          <w:rFonts w:ascii="Times New Roman" w:hAnsi="Times New Roman" w:cs="Times New Roman" w:eastAsia="Times New Roman" w:hint="default"/>
          <w:spacing w:val="-3"/>
        </w:rPr>
        <w:t>,</w:t>
      </w:r>
      <w:r>
        <w:rPr>
          <w:spacing w:val="-3"/>
        </w:rPr>
        <w:t>共计转增</w:t>
      </w:r>
      <w:r>
        <w:rPr>
          <w:rFonts w:ascii="Times New Roman" w:hAnsi="Times New Roman" w:cs="Times New Roman" w:eastAsia="Times New Roman" w:hint="default"/>
          <w:spacing w:val="-3"/>
        </w:rPr>
        <w:t>6,700</w:t>
      </w:r>
      <w:r>
        <w:rPr>
          <w:spacing w:val="-3"/>
        </w:rPr>
        <w:t>万股，转增后公司总股本将增加至</w:t>
      </w:r>
      <w:r>
        <w:rPr>
          <w:rFonts w:ascii="Times New Roman" w:hAnsi="Times New Roman" w:cs="Times New Roman" w:eastAsia="Times New Roman" w:hint="default"/>
          <w:spacing w:val="-3"/>
        </w:rPr>
        <w:t>13,400</w:t>
      </w:r>
      <w:r>
        <w:rPr>
          <w:spacing w:val="-3"/>
        </w:rPr>
        <w:t>万股。该分派方</w:t>
      </w:r>
      <w:r>
        <w:rPr>
          <w:spacing w:val="-27"/>
        </w:rPr>
        <w:t> </w:t>
      </w:r>
      <w:r>
        <w:rPr>
          <w:spacing w:val="-27"/>
        </w:rPr>
      </w:r>
      <w:r>
        <w:rPr/>
        <w:t>案于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日实施完毕。</w:t>
      </w:r>
    </w:p>
    <w:p>
      <w:pPr>
        <w:pStyle w:val="BodyText"/>
        <w:spacing w:line="240" w:lineRule="auto" w:before="3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年度未分红。</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3"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48,207,495.51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53,464,777.82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25.06%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43,661,220.98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七、内幕信息知情人管理制度的建立和执行情况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13" w:right="0" w:hanging="361"/>
        <w:jc w:val="left"/>
      </w:pPr>
      <w:r>
        <w:rPr/>
        <w:t>（一）</w:t>
      </w:r>
      <w:r>
        <w:rPr>
          <w:spacing w:val="-23"/>
        </w:rPr>
        <w:t> </w:t>
      </w:r>
      <w:r>
        <w:rPr/>
        <w:t>内幕知情人登记管理制度建立情况</w:t>
      </w:r>
      <w:r>
        <w:rPr>
          <w:spacing w:val="-102"/>
        </w:rPr>
        <w:t> </w:t>
      </w:r>
      <w:r>
        <w:rPr>
          <w:spacing w:val="-102"/>
        </w:rPr>
      </w:r>
      <w:r>
        <w:rPr>
          <w:spacing w:val="-2"/>
        </w:rPr>
        <w:t>为规范公司内幕信息管理，加强保密工作维护披露的公开、公平、公正原则，保护广大投资者的合法</w:t>
      </w:r>
    </w:p>
    <w:p>
      <w:pPr>
        <w:spacing w:after="0" w:line="408" w:lineRule="auto"/>
        <w:jc w:val="left"/>
        <w:sectPr>
          <w:pgSz w:w="11910" w:h="16840"/>
          <w:pgMar w:header="745" w:footer="0" w:top="1060" w:bottom="280" w:left="980" w:right="980"/>
        </w:sectPr>
      </w:pPr>
    </w:p>
    <w:p>
      <w:pPr>
        <w:spacing w:line="240" w:lineRule="auto" w:before="0"/>
        <w:rPr>
          <w:rFonts w:ascii="宋体" w:hAnsi="宋体" w:cs="宋体" w:eastAsia="宋体" w:hint="default"/>
          <w:sz w:val="20"/>
          <w:szCs w:val="20"/>
        </w:rPr>
      </w:pPr>
    </w:p>
    <w:p>
      <w:pPr>
        <w:pStyle w:val="BodyText"/>
        <w:spacing w:line="386" w:lineRule="auto" w:before="175"/>
        <w:ind w:right="0"/>
        <w:jc w:val="left"/>
      </w:pPr>
      <w:r>
        <w:rPr>
          <w:spacing w:val="-2"/>
        </w:rPr>
        <w:t>权益，公司专门制订了《内幕信息知情人管理制度》并经</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日召开的公司第一届董事会第十九</w:t>
      </w:r>
      <w:r>
        <w:rPr>
          <w:spacing w:val="-15"/>
        </w:rPr>
        <w:t> </w:t>
      </w:r>
      <w:r>
        <w:rPr>
          <w:spacing w:val="-15"/>
        </w:rPr>
      </w:r>
      <w:r>
        <w:rPr/>
        <w:t>次会议审议通过。</w:t>
      </w:r>
    </w:p>
    <w:p>
      <w:pPr>
        <w:pStyle w:val="BodyText"/>
        <w:spacing w:line="240" w:lineRule="auto" w:before="65"/>
        <w:ind w:right="0"/>
        <w:jc w:val="left"/>
      </w:pPr>
      <w:r>
        <w:rPr/>
        <w:t>（二）</w:t>
      </w:r>
      <w:r>
        <w:rPr>
          <w:spacing w:val="-20"/>
        </w:rPr>
        <w:t> </w:t>
      </w:r>
      <w:r>
        <w:rPr/>
        <w:t>内幕知情人登记管理制度执行情况</w:t>
      </w:r>
    </w:p>
    <w:p>
      <w:pPr>
        <w:spacing w:line="240" w:lineRule="auto" w:before="10"/>
        <w:rPr>
          <w:rFonts w:ascii="宋体" w:hAnsi="宋体" w:cs="宋体" w:eastAsia="宋体" w:hint="default"/>
          <w:sz w:val="14"/>
          <w:szCs w:val="14"/>
        </w:rPr>
      </w:pPr>
    </w:p>
    <w:p>
      <w:pPr>
        <w:pStyle w:val="BodyText"/>
        <w:spacing w:line="386" w:lineRule="auto"/>
        <w:ind w:left="513" w:right="0" w:hanging="361"/>
        <w:jc w:val="left"/>
      </w:pPr>
      <w:r>
        <w:rPr>
          <w:rFonts w:ascii="Times New Roman" w:hAnsi="Times New Roman" w:cs="Times New Roman" w:eastAsia="Times New Roman" w:hint="default"/>
          <w:b/>
          <w:bCs/>
        </w:rPr>
        <w:t>1</w:t>
      </w:r>
      <w:r>
        <w:rPr/>
        <w:t>、公司重大事项的信息保密工作</w:t>
      </w:r>
      <w:r>
        <w:rPr>
          <w:w w:val="100"/>
        </w:rPr>
        <w:t> </w:t>
      </w:r>
      <w:r>
        <w:rPr>
          <w:spacing w:val="-2"/>
        </w:rPr>
        <w:t>报告期内，公司严格执行内幕信息登记管理制度，严格规范信息传递流程，在定期报告披露期间和临</w:t>
      </w:r>
    </w:p>
    <w:p>
      <w:pPr>
        <w:pStyle w:val="BodyText"/>
        <w:spacing w:line="408" w:lineRule="auto" w:before="65"/>
        <w:ind w:right="146"/>
        <w:jc w:val="both"/>
      </w:pPr>
      <w:r>
        <w:rPr>
          <w:spacing w:val="-7"/>
        </w:rPr>
        <w:t>时公告披露期间，对未公开信息，公司证券投资部都会严格控制知情人范围并组织相关内幕知情人填写《内</w:t>
      </w:r>
      <w:r>
        <w:rPr>
          <w:spacing w:val="-17"/>
        </w:rPr>
        <w:t> </w:t>
      </w:r>
      <w:r>
        <w:rPr>
          <w:spacing w:val="-17"/>
        </w:rPr>
      </w:r>
      <w:r>
        <w:rPr>
          <w:spacing w:val="-2"/>
        </w:rPr>
        <w:t>幕信息知情人登记表》，如实、完整记录上述信息在公开前的所有内幕信息知情人名单，以及知情人知悉</w:t>
      </w:r>
      <w:r>
        <w:rPr>
          <w:spacing w:val="-47"/>
        </w:rPr>
        <w:t> </w:t>
      </w:r>
      <w:r>
        <w:rPr>
          <w:spacing w:val="-47"/>
        </w:rPr>
      </w:r>
      <w:r>
        <w:rPr>
          <w:spacing w:val="-2"/>
        </w:rPr>
        <w:t>内幕信息的时间等。按照相关法规规定向深圳证券交易所和证监局报送定期报告和临时报告相关资料的同</w:t>
      </w:r>
      <w:r>
        <w:rPr>
          <w:spacing w:val="-43"/>
        </w:rPr>
        <w:t> </w:t>
      </w:r>
      <w:r>
        <w:rPr>
          <w:spacing w:val="-43"/>
        </w:rPr>
      </w:r>
      <w:r>
        <w:rPr/>
        <w:t>时报备内幕信息知情人登记情况。</w:t>
      </w:r>
    </w:p>
    <w:p>
      <w:pPr>
        <w:pStyle w:val="BodyText"/>
        <w:spacing w:line="386" w:lineRule="auto" w:before="46"/>
        <w:ind w:left="513" w:right="0" w:hanging="361"/>
        <w:jc w:val="left"/>
      </w:pPr>
      <w:r>
        <w:rPr>
          <w:rFonts w:ascii="Times New Roman" w:hAnsi="Times New Roman" w:cs="Times New Roman" w:eastAsia="Times New Roman" w:hint="default"/>
          <w:b/>
          <w:bCs/>
        </w:rPr>
        <w:t>2</w:t>
      </w:r>
      <w:r>
        <w:rPr/>
        <w:t>、内幕知情人在敏感期买卖本公司股票情况</w:t>
      </w:r>
      <w:r>
        <w:rPr>
          <w:w w:val="100"/>
        </w:rPr>
        <w:t> </w:t>
      </w:r>
      <w:r>
        <w:rPr>
          <w:spacing w:val="-2"/>
        </w:rPr>
        <w:t>报告期内，公司董事、监事和高管及其配偶、父母、子女等直系亲属未有在敏感期买卖公司股票的行</w:t>
      </w:r>
    </w:p>
    <w:p>
      <w:pPr>
        <w:pStyle w:val="BodyText"/>
        <w:spacing w:line="400" w:lineRule="auto" w:before="65"/>
        <w:ind w:right="0"/>
        <w:jc w:val="left"/>
      </w:pPr>
      <w:r>
        <w:rPr/>
        <w:t>为发生。</w:t>
      </w:r>
      <w:r>
        <w:rPr>
          <w:w w:val="100"/>
        </w:rPr>
        <w:t> </w:t>
      </w:r>
      <w:r>
        <w:rPr>
          <w:rFonts w:ascii="Times New Roman" w:hAnsi="Times New Roman" w:cs="Times New Roman" w:eastAsia="Times New Roman" w:hint="default"/>
          <w:b/>
          <w:bCs/>
        </w:rPr>
        <w:t>3</w:t>
      </w:r>
      <w:r>
        <w:rPr/>
        <w:t>、对董事、监事、高级管理人进行内幕信息相关法律培训。为了提高董事、监事、高级管理人员对内幕</w:t>
      </w:r>
      <w:r>
        <w:rPr>
          <w:w w:val="100"/>
        </w:rPr>
        <w:t> </w:t>
      </w:r>
      <w:r>
        <w:rPr>
          <w:spacing w:val="-2"/>
        </w:rPr>
        <w:t>信息重要性的认识，公司证券部组织董监高及相关人员进行内部培训并参加了证监局组织的内募交易警示</w:t>
      </w:r>
      <w:r>
        <w:rPr>
          <w:spacing w:val="-43"/>
        </w:rPr>
        <w:t> </w:t>
      </w:r>
      <w:r>
        <w:rPr>
          <w:spacing w:val="-43"/>
        </w:rPr>
      </w:r>
      <w:r>
        <w:rPr/>
        <w:t>录的参观学习。</w:t>
      </w:r>
    </w:p>
    <w:p>
      <w:pPr>
        <w:pStyle w:val="BodyText"/>
        <w:spacing w:line="386" w:lineRule="auto" w:before="52"/>
        <w:ind w:left="513" w:right="0" w:hanging="361"/>
        <w:jc w:val="left"/>
      </w:pPr>
      <w:r>
        <w:rPr>
          <w:rFonts w:ascii="Times New Roman" w:hAnsi="Times New Roman" w:cs="Times New Roman" w:eastAsia="Times New Roman" w:hint="default"/>
          <w:b/>
          <w:bCs/>
        </w:rPr>
        <w:t>4</w:t>
      </w:r>
      <w:r>
        <w:rPr/>
        <w:t>、公司对调研（或采访）信息管理的落实情况</w:t>
      </w:r>
      <w:r>
        <w:rPr>
          <w:w w:val="100"/>
        </w:rPr>
        <w:t> </w:t>
      </w:r>
      <w:r>
        <w:rPr>
          <w:spacing w:val="-2"/>
        </w:rPr>
        <w:t>公司根据《深交所创业板上市公司信息披露指引》的规定，对来公司调研（或采访）的机构和人员均</w:t>
      </w:r>
    </w:p>
    <w:p>
      <w:pPr>
        <w:pStyle w:val="BodyText"/>
        <w:spacing w:line="408" w:lineRule="auto" w:before="65"/>
        <w:ind w:right="0"/>
        <w:jc w:val="left"/>
      </w:pPr>
      <w:r>
        <w:rPr>
          <w:spacing w:val="-2"/>
        </w:rPr>
        <w:t>事先要求其签署《承诺书》，并要求调研（或采访）的机构和人员在调研会议纪要上签字确认，以保证机</w:t>
      </w:r>
      <w:r>
        <w:rPr>
          <w:spacing w:val="-45"/>
        </w:rPr>
        <w:t> </w:t>
      </w:r>
      <w:r>
        <w:rPr>
          <w:spacing w:val="-45"/>
        </w:rPr>
      </w:r>
      <w:r>
        <w:rPr/>
        <w:t>构调研（或采访）人员能遵守相关规定和公司相关信息按规定渠道披露。</w:t>
      </w:r>
    </w:p>
    <w:p>
      <w:pPr>
        <w:pStyle w:val="BodyText"/>
        <w:spacing w:line="386" w:lineRule="auto" w:before="46"/>
        <w:ind w:left="513" w:right="0" w:hanging="361"/>
        <w:jc w:val="left"/>
      </w:pPr>
      <w:r>
        <w:rPr>
          <w:rFonts w:ascii="Times New Roman" w:hAnsi="Times New Roman" w:cs="Times New Roman" w:eastAsia="Times New Roman" w:hint="default"/>
          <w:b/>
          <w:bCs/>
        </w:rPr>
        <w:t>5</w:t>
      </w:r>
      <w:r>
        <w:rPr/>
        <w:t>、对内幕信息资料的管理情况</w:t>
      </w:r>
      <w:r>
        <w:rPr>
          <w:w w:val="100"/>
        </w:rPr>
        <w:t> </w:t>
      </w:r>
      <w:r>
        <w:rPr>
          <w:spacing w:val="-2"/>
        </w:rPr>
        <w:t>公司证券部门负责内幕信息管理，对内幕信息的使用进行登记、归档和备查，能够按照《内幕知情人</w:t>
      </w:r>
    </w:p>
    <w:p>
      <w:pPr>
        <w:pStyle w:val="BodyText"/>
        <w:spacing w:line="240" w:lineRule="auto" w:before="65"/>
        <w:ind w:right="0"/>
        <w:jc w:val="left"/>
      </w:pPr>
      <w:r>
        <w:rPr/>
        <w:t>登记管理制度》严格控制知情人范围。特别是定期报告中的内幕知情人都按要求向深交所和监管局报备。</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b/>
          <w:bCs/>
        </w:rPr>
        <w:t>6</w:t>
      </w:r>
      <w:r>
        <w:rPr/>
        <w:t>、报告期内，公司未发生受到监管部门查处和整改的情形。</w:t>
      </w:r>
    </w:p>
    <w:p>
      <w:pPr>
        <w:pStyle w:val="BodyText"/>
        <w:spacing w:line="240" w:lineRule="auto" w:before="177"/>
        <w:ind w:right="0"/>
        <w:jc w:val="left"/>
      </w:pPr>
      <w:r>
        <w:rPr>
          <w:rFonts w:ascii="Times New Roman" w:hAnsi="Times New Roman" w:cs="Times New Roman" w:eastAsia="Times New Roman" w:hint="default"/>
          <w:b/>
          <w:bCs/>
        </w:rPr>
        <w:t>7</w:t>
      </w:r>
      <w:r>
        <w:rPr/>
        <w:t>、报告期内，公司不存在向大股东、实际控股人提供未公开信息等公司治理非规范情况。</w:t>
      </w:r>
    </w:p>
    <w:p>
      <w:pPr>
        <w:pStyle w:val="BodyText"/>
        <w:spacing w:line="410" w:lineRule="auto" w:before="177"/>
        <w:ind w:left="513" w:right="0" w:hanging="361"/>
        <w:jc w:val="left"/>
      </w:pPr>
      <w:r>
        <w:rPr/>
        <w:t>（三）</w:t>
      </w:r>
      <w:r>
        <w:rPr>
          <w:spacing w:val="-23"/>
        </w:rPr>
        <w:t> </w:t>
      </w:r>
      <w:r>
        <w:rPr/>
        <w:t>报告期内，自查内幕信息知情人涉嫌内幕交易以及监管部门的查处和整改情况</w:t>
      </w:r>
      <w:r>
        <w:rPr>
          <w:w w:val="100"/>
        </w:rPr>
        <w:t> </w:t>
      </w:r>
      <w:r>
        <w:rPr>
          <w:spacing w:val="-2"/>
        </w:rPr>
        <w:t>报告期内，公司董事、监事、高级管理人员及其他相关人员严格遵守内幕信息知情人管理制度，未发</w:t>
      </w:r>
    </w:p>
    <w:p>
      <w:pPr>
        <w:pStyle w:val="BodyText"/>
        <w:spacing w:line="408" w:lineRule="auto" w:before="44"/>
        <w:ind w:right="0"/>
        <w:jc w:val="left"/>
      </w:pPr>
      <w:r>
        <w:rPr>
          <w:spacing w:val="-2"/>
        </w:rPr>
        <w:t>现有内幕信息知情人利用内幕信息买卖公司股票的情况。报告期内，未发生因内幕信息知情人涉嫌内幕交</w:t>
      </w:r>
      <w:r>
        <w:rPr>
          <w:spacing w:val="-42"/>
        </w:rPr>
        <w:t> </w:t>
      </w:r>
      <w:r>
        <w:rPr>
          <w:spacing w:val="-42"/>
        </w:rPr>
      </w:r>
      <w:r>
        <w:rPr/>
        <w:t>易受到监管部门查处情况。</w:t>
      </w:r>
    </w:p>
    <w:p>
      <w:pPr>
        <w:spacing w:after="0" w:line="408" w:lineRule="auto"/>
        <w:jc w:val="left"/>
        <w:sectPr>
          <w:pgSz w:w="11910" w:h="16840"/>
          <w:pgMar w:header="745" w:footer="0" w:top="1060" w:bottom="280" w:left="980" w:right="98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八、报告期内接待调研、沟通、采访等活动登记表</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万家基金、中信证 券、华泰柏瑞基金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业绩情况</w:t>
            </w:r>
            <w:r>
              <w:rPr>
                <w:rFonts w:ascii="Times New Roman" w:hAnsi="Times New Roman" w:cs="Times New Roman" w:eastAsia="Times New Roman" w:hint="default"/>
                <w:sz w:val="18"/>
                <w:szCs w:val="18"/>
              </w:rPr>
              <w:t>\</w:t>
            </w:r>
            <w:r>
              <w:rPr>
                <w:rFonts w:ascii="宋体" w:hAnsi="宋体" w:cs="宋体" w:eastAsia="宋体" w:hint="default"/>
                <w:sz w:val="18"/>
                <w:szCs w:val="18"/>
              </w:rPr>
              <w:t>金融行业开拓情 况</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大数据业务开展情况</w:t>
            </w:r>
            <w:r>
              <w:rPr>
                <w:rFonts w:ascii="Times New Roman" w:hAnsi="Times New Roman" w:cs="Times New Roman" w:eastAsia="Times New Roman" w:hint="default"/>
                <w:sz w:val="18"/>
                <w:szCs w:val="18"/>
              </w:rPr>
              <w:t>\ </w:t>
            </w:r>
            <w:r>
              <w:rPr>
                <w:rFonts w:ascii="宋体" w:hAnsi="宋体" w:cs="宋体" w:eastAsia="宋体" w:hint="default"/>
                <w:sz w:val="18"/>
                <w:szCs w:val="18"/>
              </w:rPr>
              <w:t>公司发展战略情况等</w:t>
            </w:r>
          </w:p>
        </w:tc>
      </w:tr>
      <w:tr>
        <w:trPr>
          <w:trHeight w:val="414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国金证券股份有限 公司、安信基金管 理有限公司、上海 世诚投资管理有限 公司、海通证券股 份有限公司、国泰 君安证券、上海惠 理投资管理有限公 司、东吴基金、西 部证券资管、东方 证券资产管理公 司、光大证券、普 尔投资、中海基金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19"/>
              <w:ind w:left="23"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年人员规模情况</w:t>
            </w:r>
            <w:r>
              <w:rPr>
                <w:rFonts w:ascii="Times New Roman" w:hAnsi="Times New Roman" w:cs="Times New Roman" w:eastAsia="Times New Roman" w:hint="default"/>
                <w:sz w:val="18"/>
                <w:szCs w:val="18"/>
              </w:rPr>
              <w:t>\</w:t>
            </w:r>
            <w:r>
              <w:rPr>
                <w:rFonts w:ascii="宋体" w:hAnsi="宋体" w:cs="宋体" w:eastAsia="宋体" w:hint="default"/>
                <w:sz w:val="18"/>
                <w:szCs w:val="18"/>
              </w:rPr>
              <w:t>客 户数量情况</w:t>
            </w:r>
            <w:r>
              <w:rPr>
                <w:rFonts w:ascii="Times New Roman" w:hAnsi="Times New Roman" w:cs="Times New Roman" w:eastAsia="Times New Roman" w:hint="default"/>
                <w:sz w:val="18"/>
                <w:szCs w:val="18"/>
              </w:rPr>
              <w:t>\</w:t>
            </w:r>
            <w:r>
              <w:rPr>
                <w:rFonts w:ascii="宋体" w:hAnsi="宋体" w:cs="宋体" w:eastAsia="宋体" w:hint="default"/>
                <w:sz w:val="18"/>
                <w:szCs w:val="18"/>
              </w:rPr>
              <w:t>服务内容</w:t>
            </w:r>
            <w:r>
              <w:rPr>
                <w:rFonts w:ascii="Times New Roman" w:hAnsi="Times New Roman" w:cs="Times New Roman" w:eastAsia="Times New Roman" w:hint="default"/>
                <w:sz w:val="18"/>
                <w:szCs w:val="18"/>
              </w:rPr>
              <w:t>\</w:t>
            </w:r>
            <w:r>
              <w:rPr>
                <w:rFonts w:ascii="宋体" w:hAnsi="宋体" w:cs="宋体" w:eastAsia="宋体" w:hint="default"/>
                <w:sz w:val="18"/>
                <w:szCs w:val="18"/>
              </w:rPr>
              <w:t>市 场竞争情况</w:t>
            </w:r>
            <w:r>
              <w:rPr>
                <w:rFonts w:ascii="Times New Roman" w:hAnsi="Times New Roman" w:cs="Times New Roman" w:eastAsia="Times New Roman" w:hint="default"/>
                <w:sz w:val="18"/>
                <w:szCs w:val="18"/>
              </w:rPr>
              <w:t>\</w:t>
            </w:r>
            <w:r>
              <w:rPr>
                <w:rFonts w:ascii="宋体" w:hAnsi="宋体" w:cs="宋体" w:eastAsia="宋体" w:hint="default"/>
                <w:sz w:val="18"/>
                <w:szCs w:val="18"/>
              </w:rPr>
              <w:t>人员成本</w:t>
            </w:r>
            <w:r>
              <w:rPr>
                <w:rFonts w:ascii="Times New Roman" w:hAnsi="Times New Roman" w:cs="Times New Roman" w:eastAsia="Times New Roman" w:hint="default"/>
                <w:sz w:val="18"/>
                <w:szCs w:val="18"/>
              </w:rPr>
              <w:t>\</w:t>
            </w:r>
            <w:r>
              <w:rPr>
                <w:rFonts w:ascii="宋体" w:hAnsi="宋体" w:cs="宋体" w:eastAsia="宋体" w:hint="default"/>
                <w:sz w:val="18"/>
                <w:szCs w:val="18"/>
              </w:rPr>
              <w:t>业 绩情况</w:t>
            </w:r>
            <w:r>
              <w:rPr>
                <w:rFonts w:ascii="Times New Roman" w:hAnsi="Times New Roman" w:cs="Times New Roman" w:eastAsia="Times New Roman" w:hint="default"/>
                <w:sz w:val="18"/>
                <w:szCs w:val="18"/>
              </w:rPr>
              <w:t>\</w:t>
            </w:r>
            <w:r>
              <w:rPr>
                <w:rFonts w:ascii="宋体" w:hAnsi="宋体" w:cs="宋体" w:eastAsia="宋体" w:hint="default"/>
                <w:sz w:val="18"/>
                <w:szCs w:val="18"/>
              </w:rPr>
              <w:t>复深蓝情况</w:t>
            </w:r>
            <w:r>
              <w:rPr>
                <w:rFonts w:ascii="Times New Roman" w:hAnsi="Times New Roman" w:cs="Times New Roman" w:eastAsia="Times New Roman" w:hint="default"/>
                <w:sz w:val="18"/>
                <w:szCs w:val="18"/>
              </w:rPr>
              <w:t>\</w:t>
            </w:r>
            <w:r>
              <w:rPr>
                <w:rFonts w:ascii="宋体" w:hAnsi="宋体" w:cs="宋体" w:eastAsia="宋体" w:hint="default"/>
                <w:sz w:val="18"/>
                <w:szCs w:val="18"/>
              </w:rPr>
              <w:t>备件 情况等</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融通基金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公司业务情况</w:t>
            </w:r>
            <w:r>
              <w:rPr>
                <w:rFonts w:ascii="Times New Roman" w:hAnsi="Times New Roman" w:cs="Times New Roman" w:eastAsia="Times New Roman" w:hint="default"/>
                <w:sz w:val="18"/>
                <w:szCs w:val="18"/>
              </w:rPr>
              <w:t>\</w:t>
            </w:r>
            <w:r>
              <w:rPr>
                <w:rFonts w:ascii="宋体" w:hAnsi="宋体" w:cs="宋体" w:eastAsia="宋体" w:hint="default"/>
                <w:sz w:val="18"/>
                <w:szCs w:val="18"/>
              </w:rPr>
              <w:t>人员规模情 况</w:t>
            </w:r>
            <w:r>
              <w:rPr>
                <w:rFonts w:ascii="Times New Roman" w:hAnsi="Times New Roman" w:cs="Times New Roman" w:eastAsia="Times New Roman" w:hint="default"/>
                <w:sz w:val="18"/>
                <w:szCs w:val="18"/>
              </w:rPr>
              <w:t>\</w:t>
            </w:r>
            <w:r>
              <w:rPr>
                <w:rFonts w:ascii="宋体" w:hAnsi="宋体" w:cs="宋体" w:eastAsia="宋体" w:hint="default"/>
                <w:sz w:val="18"/>
                <w:szCs w:val="18"/>
              </w:rPr>
              <w:t>募投项目建设情况</w:t>
            </w:r>
            <w:r>
              <w:rPr>
                <w:rFonts w:ascii="Times New Roman" w:hAnsi="Times New Roman" w:cs="Times New Roman" w:eastAsia="Times New Roman" w:hint="default"/>
                <w:sz w:val="18"/>
                <w:szCs w:val="18"/>
              </w:rPr>
              <w:t>\</w:t>
            </w:r>
            <w:r>
              <w:rPr>
                <w:rFonts w:ascii="宋体" w:hAnsi="宋体" w:cs="宋体" w:eastAsia="宋体" w:hint="default"/>
                <w:sz w:val="18"/>
                <w:szCs w:val="18"/>
              </w:rPr>
              <w:t>超 募资金使用计划情况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业绩 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公司发展战略情况等</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华泰证券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公司业绩情况</w:t>
            </w:r>
            <w:r>
              <w:rPr>
                <w:rFonts w:ascii="Times New Roman" w:hAnsi="Times New Roman" w:cs="Times New Roman" w:eastAsia="Times New Roman" w:hint="default"/>
                <w:sz w:val="18"/>
                <w:szCs w:val="18"/>
              </w:rPr>
              <w:t>\</w:t>
            </w:r>
            <w:r>
              <w:rPr>
                <w:rFonts w:ascii="宋体" w:hAnsi="宋体" w:cs="宋体" w:eastAsia="宋体" w:hint="default"/>
                <w:sz w:val="18"/>
                <w:szCs w:val="18"/>
              </w:rPr>
              <w:t>电信行业拓 展情况</w:t>
            </w:r>
            <w:r>
              <w:rPr>
                <w:rFonts w:ascii="Times New Roman" w:hAnsi="Times New Roman" w:cs="Times New Roman" w:eastAsia="Times New Roman" w:hint="default"/>
                <w:sz w:val="18"/>
                <w:szCs w:val="18"/>
              </w:rPr>
              <w:t>\</w:t>
            </w:r>
            <w:r>
              <w:rPr>
                <w:rFonts w:ascii="宋体" w:hAnsi="宋体" w:cs="宋体" w:eastAsia="宋体" w:hint="default"/>
                <w:sz w:val="18"/>
                <w:szCs w:val="18"/>
              </w:rPr>
              <w:t>人员成本情况</w:t>
            </w:r>
            <w:r>
              <w:rPr>
                <w:rFonts w:ascii="Times New Roman" w:hAnsi="Times New Roman" w:cs="Times New Roman" w:eastAsia="Times New Roman" w:hint="default"/>
                <w:sz w:val="18"/>
                <w:szCs w:val="18"/>
              </w:rPr>
              <w:t>\</w:t>
            </w:r>
            <w:r>
              <w:rPr>
                <w:rFonts w:ascii="宋体" w:hAnsi="宋体" w:cs="宋体" w:eastAsia="宋体" w:hint="default"/>
                <w:sz w:val="18"/>
                <w:szCs w:val="18"/>
              </w:rPr>
              <w:t>募 投项目进展情况等</w:t>
            </w:r>
          </w:p>
        </w:tc>
      </w:tr>
      <w:tr>
        <w:trPr>
          <w:trHeight w:val="320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国泰君安证券、汇 添富基金管理有限 公司、上海原君投 资管理有限公司、 中海基金管理有限 公司、长信基金管 理有限责任公司、 西部证券股份有限 公司、厚远投资管 理有限公司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19"/>
              <w:ind w:left="23" w:right="23"/>
              <w:jc w:val="left"/>
              <w:rPr>
                <w:rFonts w:ascii="宋体" w:hAnsi="宋体" w:cs="宋体" w:eastAsia="宋体" w:hint="default"/>
                <w:sz w:val="18"/>
                <w:szCs w:val="18"/>
              </w:rPr>
            </w:pPr>
            <w:r>
              <w:rPr>
                <w:rFonts w:ascii="宋体" w:hAnsi="宋体" w:cs="宋体" w:eastAsia="宋体" w:hint="default"/>
                <w:sz w:val="18"/>
                <w:szCs w:val="18"/>
              </w:rPr>
              <w:t>公司业绩情况</w:t>
            </w:r>
            <w:r>
              <w:rPr>
                <w:rFonts w:ascii="Times New Roman" w:hAnsi="Times New Roman" w:cs="Times New Roman" w:eastAsia="Times New Roman" w:hint="default"/>
                <w:sz w:val="18"/>
                <w:szCs w:val="18"/>
              </w:rPr>
              <w:t>\</w:t>
            </w:r>
            <w:r>
              <w:rPr>
                <w:rFonts w:ascii="宋体" w:hAnsi="宋体" w:cs="宋体" w:eastAsia="宋体" w:hint="default"/>
                <w:sz w:val="18"/>
                <w:szCs w:val="18"/>
              </w:rPr>
              <w:t>人员薪酬情 况</w:t>
            </w:r>
            <w:r>
              <w:rPr>
                <w:rFonts w:ascii="Times New Roman" w:hAnsi="Times New Roman" w:cs="Times New Roman" w:eastAsia="Times New Roman" w:hint="default"/>
                <w:sz w:val="18"/>
                <w:szCs w:val="18"/>
              </w:rPr>
              <w:t>\</w:t>
            </w:r>
            <w:r>
              <w:rPr>
                <w:rFonts w:ascii="宋体" w:hAnsi="宋体" w:cs="宋体" w:eastAsia="宋体" w:hint="default"/>
                <w:sz w:val="18"/>
                <w:szCs w:val="18"/>
              </w:rPr>
              <w:t>业务拓展情况等</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东方证券资产管理 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公司业绩情况</w:t>
            </w:r>
            <w:r>
              <w:rPr>
                <w:rFonts w:ascii="Times New Roman" w:hAnsi="Times New Roman" w:cs="Times New Roman" w:eastAsia="Times New Roman" w:hint="default"/>
                <w:sz w:val="18"/>
                <w:szCs w:val="18"/>
              </w:rPr>
              <w:t>\</w:t>
            </w:r>
            <w:r>
              <w:rPr>
                <w:rFonts w:ascii="宋体" w:hAnsi="宋体" w:cs="宋体" w:eastAsia="宋体" w:hint="default"/>
                <w:sz w:val="18"/>
                <w:szCs w:val="18"/>
              </w:rPr>
              <w:t>外包发展趋 势情况</w:t>
            </w:r>
            <w:r>
              <w:rPr>
                <w:rFonts w:ascii="Times New Roman" w:hAnsi="Times New Roman" w:cs="Times New Roman" w:eastAsia="Times New Roman" w:hint="default"/>
                <w:sz w:val="18"/>
                <w:szCs w:val="18"/>
              </w:rPr>
              <w:t>\</w:t>
            </w:r>
            <w:r>
              <w:rPr>
                <w:rFonts w:ascii="宋体" w:hAnsi="宋体" w:cs="宋体" w:eastAsia="宋体" w:hint="default"/>
                <w:sz w:val="18"/>
                <w:szCs w:val="18"/>
              </w:rPr>
              <w:t>毛利率情况</w:t>
            </w:r>
            <w:r>
              <w:rPr>
                <w:rFonts w:ascii="Times New Roman" w:hAnsi="Times New Roman" w:cs="Times New Roman" w:eastAsia="Times New Roman" w:hint="default"/>
                <w:sz w:val="18"/>
                <w:szCs w:val="18"/>
              </w:rPr>
              <w:t>\</w:t>
            </w:r>
            <w:r>
              <w:rPr>
                <w:rFonts w:ascii="宋体" w:hAnsi="宋体" w:cs="宋体" w:eastAsia="宋体" w:hint="default"/>
                <w:sz w:val="18"/>
                <w:szCs w:val="18"/>
              </w:rPr>
              <w:t>新增 客户情况等</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中信证券股份有限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公司业务类型</w:t>
            </w:r>
            <w:r>
              <w:rPr>
                <w:rFonts w:ascii="Times New Roman" w:hAnsi="Times New Roman" w:cs="Times New Roman" w:eastAsia="Times New Roman" w:hint="default"/>
                <w:sz w:val="18"/>
                <w:szCs w:val="18"/>
              </w:rPr>
              <w:t>\</w:t>
            </w:r>
            <w:r>
              <w:rPr>
                <w:rFonts w:ascii="宋体" w:hAnsi="宋体" w:cs="宋体" w:eastAsia="宋体" w:hint="default"/>
                <w:sz w:val="18"/>
                <w:szCs w:val="18"/>
              </w:rPr>
              <w:t>工程师情况</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人员成本情况</w:t>
            </w:r>
            <w:r>
              <w:rPr>
                <w:rFonts w:ascii="Times New Roman" w:hAnsi="Times New Roman" w:cs="Times New Roman" w:eastAsia="Times New Roman" w:hint="default"/>
                <w:sz w:val="18"/>
                <w:szCs w:val="18"/>
              </w:rPr>
              <w:t>\</w:t>
            </w:r>
            <w:r>
              <w:rPr>
                <w:rFonts w:ascii="宋体" w:hAnsi="宋体" w:cs="宋体" w:eastAsia="宋体" w:hint="default"/>
                <w:sz w:val="18"/>
                <w:szCs w:val="18"/>
              </w:rPr>
              <w:t>行业拓展</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362"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情况等</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日新证券有限责任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公司业绩情况</w:t>
            </w:r>
            <w:r>
              <w:rPr>
                <w:rFonts w:ascii="Times New Roman" w:hAnsi="Times New Roman" w:cs="Times New Roman" w:eastAsia="Times New Roman" w:hint="default"/>
                <w:sz w:val="18"/>
                <w:szCs w:val="18"/>
              </w:rPr>
              <w:t>\</w:t>
            </w:r>
            <w:r>
              <w:rPr>
                <w:rFonts w:ascii="宋体" w:hAnsi="宋体" w:cs="宋体" w:eastAsia="宋体" w:hint="default"/>
                <w:sz w:val="18"/>
                <w:szCs w:val="18"/>
              </w:rPr>
              <w:t>复深蓝情况</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客户付款情况等</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Heading1"/>
        <w:spacing w:line="240" w:lineRule="auto"/>
        <w:ind w:right="451"/>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before="0"/>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spacing w:line="350" w:lineRule="auto" w:before="0"/>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会计师事务所对资金占用的专项审核意见 无</w:t>
      </w:r>
    </w:p>
    <w:p>
      <w:pPr>
        <w:spacing w:line="240" w:lineRule="auto" w:before="12"/>
        <w:rPr>
          <w:rFonts w:ascii="宋体" w:hAnsi="宋体" w:cs="宋体" w:eastAsia="宋体" w:hint="default"/>
          <w:sz w:val="18"/>
          <w:szCs w:val="18"/>
        </w:rPr>
      </w:pPr>
    </w:p>
    <w:p>
      <w:pPr>
        <w:pStyle w:val="Heading2"/>
        <w:spacing w:line="240" w:lineRule="auto" w:before="0"/>
        <w:ind w:right="0"/>
        <w:jc w:val="left"/>
        <w:rPr>
          <w:b w:val="0"/>
          <w:bCs w:val="0"/>
        </w:rPr>
      </w:pPr>
      <w:r>
        <w:rPr/>
        <w:t>三、破产重整相关事项</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无 破产重整相关事项临时报告披露网站查询</w:t>
      </w: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bl>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7"/>
        <w:gridCol w:w="737"/>
        <w:gridCol w:w="734"/>
        <w:gridCol w:w="737"/>
        <w:gridCol w:w="734"/>
        <w:gridCol w:w="737"/>
        <w:gridCol w:w="734"/>
        <w:gridCol w:w="734"/>
        <w:gridCol w:w="737"/>
        <w:gridCol w:w="735"/>
        <w:gridCol w:w="737"/>
      </w:tblGrid>
      <w:tr>
        <w:trPr>
          <w:trHeight w:val="4148"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6" w:lineRule="auto"/>
              <w:ind w:left="92" w:right="8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9"/>
              <w:ind w:left="4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9" w:lineRule="auto" w:before="76"/>
              <w:ind w:left="23" w:right="-20"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7" w:hanging="41"/>
              <w:jc w:val="center"/>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23"/>
                <w:sz w:val="18"/>
                <w:szCs w:val="18"/>
              </w:rPr>
              <w:t>元）（适</w:t>
            </w:r>
            <w:r>
              <w:rPr>
                <w:rFonts w:ascii="宋体" w:hAnsi="宋体" w:cs="宋体" w:eastAsia="宋体" w:hint="default"/>
                <w:sz w:val="18"/>
                <w:szCs w:val="18"/>
              </w:rPr>
              <w:t> 用于同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3"/>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5"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3" w:right="-19" w:hanging="40"/>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16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上海复 深蓝信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3,640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325.22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325.22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15"/>
              <w:jc w:val="both"/>
              <w:rPr>
                <w:rFonts w:ascii="Times New Roman" w:hAnsi="Times New Roman" w:cs="Times New Roman" w:eastAsia="Times New Roman" w:hint="default"/>
                <w:sz w:val="18"/>
                <w:szCs w:val="18"/>
              </w:rPr>
            </w:pPr>
            <w:r>
              <w:rPr>
                <w:rFonts w:ascii="宋体" w:hAnsi="宋体" w:cs="宋体" w:eastAsia="宋体" w:hint="default"/>
                <w:sz w:val="18"/>
                <w:szCs w:val="18"/>
              </w:rPr>
              <w:t>以复深 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年预期 业绩指 标为依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6.75%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7"/>
        <w:gridCol w:w="737"/>
        <w:gridCol w:w="734"/>
        <w:gridCol w:w="737"/>
        <w:gridCol w:w="734"/>
        <w:gridCol w:w="737"/>
        <w:gridCol w:w="734"/>
        <w:gridCol w:w="734"/>
        <w:gridCol w:w="737"/>
        <w:gridCol w:w="735"/>
        <w:gridCol w:w="737"/>
      </w:tblGrid>
      <w:tr>
        <w:trPr>
          <w:trHeight w:val="320" w:hRule="exact"/>
        </w:trPr>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据</w:t>
            </w:r>
            <w:r>
              <w:rPr>
                <w:rFonts w:ascii="宋体" w:hAnsi="宋体" w:cs="宋体" w:eastAsia="宋体" w:hint="default"/>
                <w:spacing w:val="-87"/>
                <w:sz w:val="18"/>
                <w:szCs w:val="18"/>
              </w:rPr>
              <w:t>，</w:t>
            </w: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307" w:hRule="exact"/>
        </w:trPr>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倍左右</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12" w:hRule="exact"/>
        </w:trPr>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的动态</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12" w:hRule="exact"/>
        </w:trPr>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市盈率</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12" w:hRule="exact"/>
        </w:trPr>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进行估</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12" w:hRule="exact"/>
        </w:trPr>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1"/>
                <w:sz w:val="18"/>
                <w:szCs w:val="18"/>
              </w:rPr>
              <w:t>值，确定</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12" w:hRule="exact"/>
        </w:trPr>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交易价</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60" w:hRule="exact"/>
        </w:trPr>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w:t>
            </w: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收购资产情况说明</w:t>
      </w:r>
    </w:p>
    <w:p>
      <w:pPr>
        <w:spacing w:line="240" w:lineRule="auto" w:before="1"/>
        <w:rPr>
          <w:rFonts w:ascii="宋体" w:hAnsi="宋体" w:cs="宋体" w:eastAsia="宋体" w:hint="default"/>
          <w:sz w:val="13"/>
          <w:szCs w:val="13"/>
        </w:rPr>
      </w:pPr>
    </w:p>
    <w:p>
      <w:pPr>
        <w:pStyle w:val="BodyText"/>
        <w:spacing w:line="386" w:lineRule="auto"/>
        <w:ind w:right="108" w:firstLine="300"/>
        <w:jc w:val="both"/>
      </w:pPr>
      <w:r>
        <w:rPr>
          <w:spacing w:val="-2"/>
        </w:rPr>
        <w:t>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日第一届董事会第二十二次会议审议通过《关于使用部分超募资金收购上海复深蓝信</w:t>
      </w:r>
      <w:r>
        <w:rPr>
          <w:w w:val="100"/>
        </w:rPr>
        <w:t> </w:t>
      </w:r>
      <w:r>
        <w:rPr>
          <w:spacing w:val="-3"/>
        </w:rPr>
        <w:t>息技术有限公司部分股权并增资》的议案，同意使用超募资金</w:t>
      </w:r>
      <w:r>
        <w:rPr>
          <w:rFonts w:ascii="Times New Roman" w:hAnsi="Times New Roman" w:cs="Times New Roman" w:eastAsia="Times New Roman" w:hint="default"/>
          <w:spacing w:val="-3"/>
        </w:rPr>
        <w:t>3,640</w:t>
      </w:r>
      <w:r>
        <w:rPr>
          <w:spacing w:val="-3"/>
        </w:rPr>
        <w:t>万元，通过受让上海复深蓝信息技术有</w:t>
      </w:r>
      <w:r>
        <w:rPr>
          <w:spacing w:val="-42"/>
        </w:rPr>
        <w:t> </w:t>
      </w:r>
      <w:r>
        <w:rPr>
          <w:spacing w:val="-42"/>
        </w:rPr>
      </w:r>
      <w:r>
        <w:rPr>
          <w:spacing w:val="-2"/>
        </w:rPr>
        <w:t>限公司原股东股权及增资结合的方式，获得复深蓝公司</w:t>
      </w:r>
      <w:r>
        <w:rPr>
          <w:rFonts w:ascii="Times New Roman" w:hAnsi="Times New Roman" w:cs="Times New Roman" w:eastAsia="Times New Roman" w:hint="default"/>
          <w:spacing w:val="-2"/>
        </w:rPr>
        <w:t>60%</w:t>
      </w:r>
      <w:r>
        <w:rPr>
          <w:spacing w:val="-2"/>
        </w:rPr>
        <w:t>的股权。其中</w:t>
      </w:r>
      <w:r>
        <w:rPr>
          <w:rFonts w:ascii="Times New Roman" w:hAnsi="Times New Roman" w:cs="Times New Roman" w:eastAsia="Times New Roman" w:hint="default"/>
          <w:spacing w:val="-2"/>
        </w:rPr>
        <w:t>1,500</w:t>
      </w:r>
      <w:r>
        <w:rPr>
          <w:spacing w:val="-2"/>
        </w:rPr>
        <w:t>万元用于向标的公司增资，</w:t>
      </w:r>
      <w:r>
        <w:rPr>
          <w:spacing w:val="-15"/>
        </w:rPr>
        <w:t> </w:t>
      </w:r>
      <w:r>
        <w:rPr>
          <w:spacing w:val="-15"/>
        </w:rPr>
      </w:r>
      <w:r>
        <w:rPr>
          <w:spacing w:val="-3"/>
        </w:rPr>
        <w:t>其余</w:t>
      </w:r>
      <w:r>
        <w:rPr>
          <w:rFonts w:ascii="Times New Roman" w:hAnsi="Times New Roman" w:cs="Times New Roman" w:eastAsia="Times New Roman" w:hint="default"/>
          <w:spacing w:val="-3"/>
        </w:rPr>
        <w:t>2,140</w:t>
      </w:r>
      <w:r>
        <w:rPr>
          <w:spacing w:val="-3"/>
        </w:rPr>
        <w:t>万元用于收购原股东持有的复深蓝公司的股权。截止</w:t>
      </w:r>
      <w:r>
        <w:rPr>
          <w:rFonts w:ascii="Times New Roman" w:hAnsi="Times New Roman" w:cs="Times New Roman" w:eastAsia="Times New Roman" w:hint="default"/>
          <w:spacing w:val="-3"/>
        </w:rPr>
        <w:t>2012</w:t>
      </w:r>
      <w:r>
        <w:rPr>
          <w:spacing w:val="-3"/>
        </w:rPr>
        <w:t>年三月末，已完成工商登记变更、支付</w:t>
      </w:r>
      <w:r>
        <w:rPr>
          <w:spacing w:val="-42"/>
        </w:rPr>
        <w:t> </w:t>
      </w:r>
      <w:r>
        <w:rPr>
          <w:spacing w:val="-42"/>
        </w:rPr>
      </w:r>
      <w:r>
        <w:rPr/>
        <w:t>增资款及首笔股权转让款、财务人员委派等控制行为，故将</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日作为购买日（合并日）。</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1"/>
        <w:gridCol w:w="734"/>
        <w:gridCol w:w="737"/>
        <w:gridCol w:w="737"/>
        <w:gridCol w:w="737"/>
        <w:gridCol w:w="734"/>
        <w:gridCol w:w="737"/>
        <w:gridCol w:w="735"/>
        <w:gridCol w:w="737"/>
        <w:gridCol w:w="737"/>
        <w:gridCol w:w="737"/>
        <w:gridCol w:w="735"/>
        <w:gridCol w:w="737"/>
      </w:tblGrid>
      <w:tr>
        <w:trPr>
          <w:trHeight w:val="2898"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70" w:right="89"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184" w:right="89"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9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9"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93" w:right="89"/>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50" w:right="46"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资产出 售为上 市公司 贡献的 净利润 占利润 总额的 比例</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9" w:hanging="40"/>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spacing w:line="357" w:lineRule="auto" w:before="50"/>
        <w:ind w:left="152" w:right="8194" w:firstLine="0"/>
        <w:jc w:val="left"/>
        <w:rPr>
          <w:rFonts w:ascii="宋体" w:hAnsi="宋体" w:cs="宋体" w:eastAsia="宋体" w:hint="default"/>
          <w:sz w:val="18"/>
          <w:szCs w:val="18"/>
        </w:rPr>
      </w:pPr>
      <w:r>
        <w:rPr>
          <w:rFonts w:ascii="宋体" w:hAnsi="宋体" w:cs="宋体" w:eastAsia="宋体" w:hint="default"/>
          <w:sz w:val="18"/>
          <w:szCs w:val="18"/>
        </w:rPr>
        <w:t>出售资产情况说明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59" w:lineRule="auto" w:before="120"/>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35"/>
        <w:ind w:right="146" w:firstLine="367"/>
        <w:jc w:val="both"/>
      </w:pP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日公司第一届董事会第二十二次会议、</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日公司第一届监事会第九次会议审议</w:t>
      </w:r>
      <w:r>
        <w:rPr>
          <w:w w:val="100"/>
        </w:rPr>
        <w:t> </w:t>
      </w:r>
      <w:r>
        <w:rPr>
          <w:spacing w:val="-2"/>
        </w:rPr>
        <w:t>分别通过了《关于使用部分超募资金收购上海复深蓝信息技术有限公司部分股权并增资的议案》，根据会</w:t>
      </w:r>
      <w:r>
        <w:rPr>
          <w:spacing w:val="-42"/>
        </w:rPr>
        <w:t> </w:t>
      </w:r>
      <w:r>
        <w:rPr>
          <w:spacing w:val="-42"/>
        </w:rPr>
      </w:r>
      <w:r>
        <w:rPr/>
        <w:t>议决议使用超募资金人民币</w:t>
      </w:r>
      <w:r>
        <w:rPr>
          <w:rFonts w:ascii="宋体" w:hAnsi="宋体" w:cs="宋体" w:eastAsia="宋体" w:hint="default"/>
        </w:rPr>
        <w:t>3,640</w:t>
      </w:r>
      <w:r>
        <w:rPr/>
        <w:t>万元，通过受让上海复深蓝信息技术有限公司原股东股权及增资结合的</w:t>
      </w:r>
    </w:p>
    <w:p>
      <w:pPr>
        <w:spacing w:after="0" w:line="408" w:lineRule="auto"/>
        <w:jc w:val="both"/>
        <w:sectPr>
          <w:pgSz w:w="11910" w:h="16840"/>
          <w:pgMar w:header="745" w:footer="0" w:top="1060" w:bottom="2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48"/>
        <w:jc w:val="both"/>
      </w:pPr>
      <w:r>
        <w:rPr>
          <w:spacing w:val="-2"/>
        </w:rPr>
        <w:t>方式，获得上海复深蓝信息技术有限公司</w:t>
      </w:r>
      <w:r>
        <w:rPr>
          <w:rFonts w:ascii="宋体" w:hAnsi="宋体" w:cs="宋体" w:eastAsia="宋体" w:hint="default"/>
          <w:spacing w:val="-2"/>
        </w:rPr>
        <w:t>60%</w:t>
      </w:r>
      <w:r>
        <w:rPr>
          <w:spacing w:val="-2"/>
        </w:rPr>
        <w:t>的股权。其中</w:t>
      </w:r>
      <w:r>
        <w:rPr>
          <w:rFonts w:ascii="宋体" w:hAnsi="宋体" w:cs="宋体" w:eastAsia="宋体" w:hint="default"/>
          <w:spacing w:val="-2"/>
        </w:rPr>
        <w:t>1,500</w:t>
      </w:r>
      <w:r>
        <w:rPr>
          <w:spacing w:val="-2"/>
        </w:rPr>
        <w:t>万元用于向上海复深蓝信息技术有限公司</w:t>
      </w:r>
      <w:r>
        <w:rPr>
          <w:spacing w:val="-38"/>
        </w:rPr>
        <w:t> </w:t>
      </w:r>
      <w:r>
        <w:rPr>
          <w:spacing w:val="-38"/>
        </w:rPr>
      </w:r>
      <w:r>
        <w:rPr>
          <w:spacing w:val="-2"/>
        </w:rPr>
        <w:t>增资，其余</w:t>
      </w:r>
      <w:r>
        <w:rPr>
          <w:rFonts w:ascii="宋体" w:hAnsi="宋体" w:cs="宋体" w:eastAsia="宋体" w:hint="default"/>
          <w:spacing w:val="-2"/>
        </w:rPr>
        <w:t>2,140</w:t>
      </w:r>
      <w:r>
        <w:rPr>
          <w:spacing w:val="-2"/>
        </w:rPr>
        <w:t>万元用于收购原股东持有的上海复深蓝信息技术有限公司的股权。</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月末复深蓝已</w:t>
      </w:r>
      <w:r>
        <w:rPr>
          <w:spacing w:val="-35"/>
        </w:rPr>
        <w:t> </w:t>
      </w:r>
      <w:r>
        <w:rPr>
          <w:spacing w:val="-35"/>
        </w:rPr>
      </w:r>
      <w:r>
        <w:rPr/>
        <w:t>完成工商登记，按照股权转让协议约定，已支付</w:t>
      </w:r>
      <w:r>
        <w:rPr>
          <w:rFonts w:ascii="宋体" w:hAnsi="宋体" w:cs="宋体" w:eastAsia="宋体" w:hint="default"/>
        </w:rPr>
        <w:t>2,784</w:t>
      </w:r>
      <w:r>
        <w:rPr/>
        <w:t>万元。</w:t>
      </w:r>
    </w:p>
    <w:p>
      <w:pPr>
        <w:spacing w:line="240" w:lineRule="auto" w:before="8"/>
        <w:rPr>
          <w:rFonts w:ascii="宋体" w:hAnsi="宋体" w:cs="宋体" w:eastAsia="宋体" w:hint="default"/>
          <w:sz w:val="18"/>
          <w:szCs w:val="18"/>
        </w:rPr>
      </w:pPr>
    </w:p>
    <w:p>
      <w:pPr>
        <w:pStyle w:val="Heading2"/>
        <w:spacing w:line="240" w:lineRule="auto" w:before="0"/>
        <w:ind w:right="0"/>
        <w:jc w:val="both"/>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公司尚未实施股权激励。 股权激励事项临时报告披露网站查询</w:t>
      </w: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bl>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六、重大关联交易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1"/>
        <w:gridCol w:w="799"/>
        <w:gridCol w:w="794"/>
        <w:gridCol w:w="817"/>
        <w:gridCol w:w="797"/>
        <w:gridCol w:w="799"/>
        <w:gridCol w:w="797"/>
        <w:gridCol w:w="799"/>
        <w:gridCol w:w="797"/>
        <w:gridCol w:w="799"/>
        <w:gridCol w:w="797"/>
        <w:gridCol w:w="785"/>
      </w:tblGrid>
      <w:tr>
        <w:trPr>
          <w:trHeight w:val="1649"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01"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16"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6"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5" w:right="31"/>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报告期内公司向关联方销售（采购）产品和提供（接受）劳务的情况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8"/>
        <w:gridCol w:w="1881"/>
        <w:gridCol w:w="1833"/>
        <w:gridCol w:w="1838"/>
        <w:gridCol w:w="1817"/>
      </w:tblGrid>
      <w:tr>
        <w:trPr>
          <w:trHeight w:val="396" w:hRule="exact"/>
        </w:trPr>
        <w:tc>
          <w:tcPr>
            <w:tcW w:w="2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2"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3"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166" w:hRule="exact"/>
        </w:trPr>
        <w:tc>
          <w:tcPr>
            <w:tcW w:w="2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占同类交易金额的比例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1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85" w:right="8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占同类交易金额的比 例</w:t>
            </w:r>
            <w:r>
              <w:rPr>
                <w:rFonts w:ascii="Times New Roman" w:hAnsi="Times New Roman" w:cs="Times New Roman" w:eastAsia="Times New Roman" w:hint="default"/>
                <w:sz w:val="18"/>
                <w:szCs w:val="18"/>
              </w:rPr>
              <w:t>(%)</w:t>
            </w:r>
          </w:p>
        </w:tc>
      </w:tr>
      <w:tr>
        <w:trPr>
          <w:trHeight w:val="192" w:hRule="exact"/>
        </w:trPr>
        <w:tc>
          <w:tcPr>
            <w:tcW w:w="2188" w:type="dxa"/>
            <w:vMerge/>
            <w:tcBorders>
              <w:left w:val="single" w:sz="4" w:space="0" w:color="000000"/>
              <w:bottom w:val="nil" w:sz="6" w:space="0" w:color="auto"/>
              <w:right w:val="single" w:sz="4" w:space="0" w:color="000000"/>
            </w:tcBorders>
            <w:shd w:val="clear" w:color="auto" w:fill="D2D2D2"/>
          </w:tcPr>
          <w:p>
            <w:pPr/>
          </w:p>
        </w:tc>
        <w:tc>
          <w:tcPr>
            <w:tcW w:w="18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4"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3" w:type="dxa"/>
            <w:vMerge/>
            <w:tcBorders>
              <w:left w:val="single" w:sz="4" w:space="0" w:color="000000"/>
              <w:right w:val="single" w:sz="4" w:space="0" w:color="000000"/>
            </w:tcBorders>
            <w:shd w:val="clear" w:color="auto" w:fill="D2D2D2"/>
          </w:tcPr>
          <w:p>
            <w:pPr/>
          </w:p>
        </w:tc>
        <w:tc>
          <w:tcPr>
            <w:tcW w:w="18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17" w:type="dxa"/>
            <w:vMerge/>
            <w:tcBorders>
              <w:left w:val="single" w:sz="4" w:space="0" w:color="000000"/>
              <w:right w:val="single" w:sz="4" w:space="0" w:color="000000"/>
            </w:tcBorders>
            <w:shd w:val="clear" w:color="auto" w:fill="D2D2D2"/>
          </w:tcPr>
          <w:p>
            <w:pPr/>
          </w:p>
        </w:tc>
      </w:tr>
      <w:tr>
        <w:trPr>
          <w:trHeight w:val="202" w:hRule="exact"/>
        </w:trPr>
        <w:tc>
          <w:tcPr>
            <w:tcW w:w="2188" w:type="dxa"/>
            <w:vMerge w:val="restart"/>
            <w:tcBorders>
              <w:top w:val="nil" w:sz="6" w:space="0" w:color="auto"/>
              <w:left w:val="single" w:sz="4" w:space="0" w:color="000000"/>
              <w:right w:val="single" w:sz="4" w:space="0" w:color="000000"/>
            </w:tcBorders>
            <w:shd w:val="clear" w:color="auto" w:fill="D2D2D2"/>
          </w:tcPr>
          <w:p>
            <w:pPr/>
          </w:p>
        </w:tc>
        <w:tc>
          <w:tcPr>
            <w:tcW w:w="1881" w:type="dxa"/>
            <w:vMerge/>
            <w:tcBorders>
              <w:left w:val="single" w:sz="4" w:space="0" w:color="000000"/>
              <w:bottom w:val="nil" w:sz="6" w:space="0" w:color="auto"/>
              <w:right w:val="single" w:sz="4" w:space="0" w:color="000000"/>
            </w:tcBorders>
            <w:shd w:val="clear" w:color="auto" w:fill="D2D2D2"/>
          </w:tcPr>
          <w:p>
            <w:pPr/>
          </w:p>
        </w:tc>
        <w:tc>
          <w:tcPr>
            <w:tcW w:w="1833" w:type="dxa"/>
            <w:vMerge/>
            <w:tcBorders>
              <w:left w:val="single" w:sz="4" w:space="0" w:color="000000"/>
              <w:right w:val="single" w:sz="4" w:space="0" w:color="000000"/>
            </w:tcBorders>
            <w:shd w:val="clear" w:color="auto" w:fill="D2D2D2"/>
          </w:tcPr>
          <w:p>
            <w:pPr/>
          </w:p>
        </w:tc>
        <w:tc>
          <w:tcPr>
            <w:tcW w:w="1838" w:type="dxa"/>
            <w:vMerge/>
            <w:tcBorders>
              <w:left w:val="single" w:sz="4" w:space="0" w:color="000000"/>
              <w:bottom w:val="nil" w:sz="6" w:space="0" w:color="auto"/>
              <w:right w:val="single" w:sz="4" w:space="0" w:color="000000"/>
            </w:tcBorders>
            <w:shd w:val="clear" w:color="auto" w:fill="D2D2D2"/>
          </w:tcPr>
          <w:p>
            <w:pPr/>
          </w:p>
        </w:tc>
        <w:tc>
          <w:tcPr>
            <w:tcW w:w="1817" w:type="dxa"/>
            <w:vMerge/>
            <w:tcBorders>
              <w:left w:val="single" w:sz="4" w:space="0" w:color="000000"/>
              <w:right w:val="single" w:sz="4" w:space="0" w:color="000000"/>
            </w:tcBorders>
            <w:shd w:val="clear" w:color="auto" w:fill="D2D2D2"/>
          </w:tcPr>
          <w:p>
            <w:pPr/>
          </w:p>
        </w:tc>
      </w:tr>
      <w:tr>
        <w:trPr>
          <w:trHeight w:val="161" w:hRule="exact"/>
        </w:trPr>
        <w:tc>
          <w:tcPr>
            <w:tcW w:w="2188" w:type="dxa"/>
            <w:vMerge/>
            <w:tcBorders>
              <w:left w:val="single" w:sz="4" w:space="0" w:color="000000"/>
              <w:bottom w:val="single" w:sz="4" w:space="0" w:color="000000"/>
              <w:right w:val="single" w:sz="4" w:space="0" w:color="000000"/>
            </w:tcBorders>
            <w:shd w:val="clear" w:color="auto" w:fill="D2D2D2"/>
          </w:tcPr>
          <w:p>
            <w:pPr/>
          </w:p>
        </w:tc>
        <w:tc>
          <w:tcPr>
            <w:tcW w:w="1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3"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1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z w:val="18"/>
              </w:rPr>
              <w:t>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其中：报告期内公司向控股股东及其子公司销售产品或提供劳务的关联交易金额万元。</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1"/>
        <w:gridCol w:w="739"/>
        <w:gridCol w:w="737"/>
        <w:gridCol w:w="737"/>
        <w:gridCol w:w="737"/>
        <w:gridCol w:w="734"/>
        <w:gridCol w:w="739"/>
        <w:gridCol w:w="737"/>
        <w:gridCol w:w="737"/>
        <w:gridCol w:w="737"/>
        <w:gridCol w:w="737"/>
        <w:gridCol w:w="730"/>
        <w:gridCol w:w="732"/>
      </w:tblGrid>
      <w:tr>
        <w:trPr>
          <w:trHeight w:val="2275"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75" w:right="9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93" w:right="9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3"/>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转让价 格与账 面价值 或评估 价值差 异较大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1" w:right="86"/>
              <w:jc w:val="both"/>
              <w:rPr>
                <w:rFonts w:ascii="宋体" w:hAnsi="宋体" w:cs="宋体" w:eastAsia="宋体" w:hint="default"/>
                <w:sz w:val="18"/>
                <w:szCs w:val="18"/>
              </w:rPr>
            </w:pPr>
            <w:r>
              <w:rPr>
                <w:rFonts w:ascii="宋体" w:hAnsi="宋体" w:cs="宋体" w:eastAsia="宋体" w:hint="default"/>
                <w:sz w:val="18"/>
                <w:szCs w:val="18"/>
              </w:rPr>
              <w:t>对公司 经营成 果与财 务状况 的影响 情况</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93" w:right="86"/>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r>
    </w:tbl>
    <w:p>
      <w:pPr>
        <w:spacing w:line="357" w:lineRule="auto" w:before="49"/>
        <w:ind w:left="152" w:right="1674" w:firstLine="0"/>
        <w:jc w:val="left"/>
        <w:rPr>
          <w:rFonts w:ascii="宋体" w:hAnsi="宋体" w:cs="宋体" w:eastAsia="宋体" w:hint="default"/>
          <w:sz w:val="18"/>
          <w:szCs w:val="18"/>
        </w:rPr>
      </w:pPr>
      <w:r>
        <w:rPr>
          <w:rFonts w:ascii="宋体" w:hAnsi="宋体" w:cs="宋体" w:eastAsia="宋体" w:hint="default"/>
          <w:sz w:val="18"/>
          <w:szCs w:val="18"/>
        </w:rPr>
        <w:t>资产收购、出售发生的关联交易价格与账面价值或评估价值、市场公允价值差异较大的，应当说明原因 无</w:t>
      </w:r>
    </w:p>
    <w:p>
      <w:pPr>
        <w:spacing w:after="0" w:line="357"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6"/>
        <w:gridCol w:w="1066"/>
        <w:gridCol w:w="1063"/>
        <w:gridCol w:w="1064"/>
        <w:gridCol w:w="1061"/>
        <w:gridCol w:w="1064"/>
        <w:gridCol w:w="1056"/>
      </w:tblGrid>
      <w:tr>
        <w:trPr>
          <w:trHeight w:val="1337"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79" w:right="74"/>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2"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9"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2"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的净利润（万</w:t>
            </w:r>
            <w:r>
              <w:rPr>
                <w:rFonts w:ascii="宋体" w:hAnsi="宋体" w:cs="宋体" w:eastAsia="宋体" w:hint="default"/>
                <w:sz w:val="18"/>
                <w:szCs w:val="18"/>
              </w:rPr>
              <w:t> 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被投资企业 的重大在建 项目的进展 情况</w:t>
            </w:r>
          </w:p>
        </w:tc>
      </w:tr>
    </w:tbl>
    <w:p>
      <w:pPr>
        <w:spacing w:line="360"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共同对外投资的重大关联交易情况说明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20"/>
        <w:gridCol w:w="1105"/>
        <w:gridCol w:w="655"/>
        <w:gridCol w:w="508"/>
        <w:gridCol w:w="137"/>
        <w:gridCol w:w="307"/>
        <w:gridCol w:w="120"/>
        <w:gridCol w:w="443"/>
        <w:gridCol w:w="124"/>
        <w:gridCol w:w="384"/>
        <w:gridCol w:w="538"/>
        <w:gridCol w:w="645"/>
        <w:gridCol w:w="507"/>
        <w:gridCol w:w="449"/>
        <w:gridCol w:w="564"/>
        <w:gridCol w:w="509"/>
        <w:gridCol w:w="446"/>
      </w:tblGrid>
      <w:tr>
        <w:trPr>
          <w:trHeight w:val="403" w:hRule="exact"/>
        </w:trPr>
        <w:tc>
          <w:tcPr>
            <w:tcW w:w="21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21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312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353" w:hRule="exact"/>
        </w:trPr>
        <w:tc>
          <w:tcPr>
            <w:tcW w:w="21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9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4" w:right="48"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8" w:right="67"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 w:right="9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 w:right="68"/>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5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 w:right="82"/>
              <w:jc w:val="left"/>
              <w:rPr>
                <w:rFonts w:ascii="宋体" w:hAnsi="宋体" w:cs="宋体" w:eastAsia="宋体" w:hint="default"/>
                <w:sz w:val="18"/>
                <w:szCs w:val="18"/>
              </w:rPr>
            </w:pPr>
            <w:r>
              <w:rPr>
                <w:rFonts w:ascii="宋体" w:hAnsi="宋体" w:cs="宋体" w:eastAsia="宋体" w:hint="default"/>
                <w:sz w:val="18"/>
                <w:szCs w:val="18"/>
              </w:rPr>
              <w:t>利息 支出</w:t>
            </w:r>
          </w:p>
        </w:tc>
        <w:tc>
          <w:tcPr>
            <w:tcW w:w="6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8" w:right="65"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9" w:right="37"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4"/>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8" w:right="36"/>
              <w:jc w:val="left"/>
              <w:rPr>
                <w:rFonts w:ascii="宋体" w:hAnsi="宋体" w:cs="宋体" w:eastAsia="宋体" w:hint="default"/>
                <w:sz w:val="18"/>
                <w:szCs w:val="18"/>
              </w:rPr>
            </w:pPr>
            <w:r>
              <w:rPr>
                <w:rFonts w:ascii="宋体" w:hAnsi="宋体" w:cs="宋体" w:eastAsia="宋体" w:hint="default"/>
                <w:sz w:val="18"/>
                <w:szCs w:val="18"/>
              </w:rPr>
              <w:t>利息 支出</w:t>
            </w:r>
          </w:p>
        </w:tc>
      </w:tr>
      <w:tr>
        <w:trPr>
          <w:trHeight w:val="361" w:hRule="exact"/>
        </w:trPr>
        <w:tc>
          <w:tcPr>
            <w:tcW w:w="21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4" w:space="0" w:color="000000"/>
              <w:bottom w:val="single" w:sz="4" w:space="0" w:color="000000"/>
              <w:right w:val="single" w:sz="4" w:space="0" w:color="000000"/>
            </w:tcBorders>
            <w:shd w:val="clear" w:color="auto" w:fill="D2D2D2"/>
          </w:tcPr>
          <w:p>
            <w:pPr/>
          </w:p>
        </w:tc>
        <w:tc>
          <w:tcPr>
            <w:tcW w:w="444" w:type="dxa"/>
            <w:gridSpan w:val="2"/>
            <w:vMerge/>
            <w:tcBorders>
              <w:left w:val="single" w:sz="4" w:space="0" w:color="000000"/>
              <w:bottom w:val="single" w:sz="4" w:space="0" w:color="000000"/>
              <w:right w:val="single" w:sz="4" w:space="0" w:color="000000"/>
            </w:tcBorders>
            <w:shd w:val="clear" w:color="auto" w:fill="D2D2D2"/>
          </w:tcPr>
          <w:p>
            <w:pPr/>
          </w:p>
        </w:tc>
        <w:tc>
          <w:tcPr>
            <w:tcW w:w="563" w:type="dxa"/>
            <w:gridSpan w:val="2"/>
            <w:vMerge/>
            <w:tcBorders>
              <w:left w:val="single" w:sz="4" w:space="0" w:color="000000"/>
              <w:bottom w:val="single" w:sz="4" w:space="0" w:color="000000"/>
              <w:right w:val="single" w:sz="4" w:space="0" w:color="000000"/>
            </w:tcBorders>
            <w:shd w:val="clear" w:color="auto" w:fill="D2D2D2"/>
          </w:tcPr>
          <w:p>
            <w:pPr/>
          </w:p>
        </w:tc>
        <w:tc>
          <w:tcPr>
            <w:tcW w:w="508" w:type="dxa"/>
            <w:gridSpan w:val="2"/>
            <w:vMerge/>
            <w:tcBorders>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645" w:type="dxa"/>
            <w:vMerge/>
            <w:tcBorders>
              <w:left w:val="single" w:sz="4" w:space="0" w:color="000000"/>
              <w:bottom w:val="single" w:sz="4" w:space="0" w:color="000000"/>
              <w:right w:val="single" w:sz="4" w:space="0" w:color="000000"/>
            </w:tcBorders>
            <w:shd w:val="clear" w:color="auto" w:fill="D2D2D2"/>
          </w:tcPr>
          <w:p>
            <w:pPr/>
          </w:p>
        </w:tc>
        <w:tc>
          <w:tcPr>
            <w:tcW w:w="507"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564"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1"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非经营性</w:t>
            </w:r>
          </w:p>
        </w:tc>
      </w:tr>
      <w:tr>
        <w:trPr>
          <w:trHeight w:val="402" w:hRule="exact"/>
        </w:trPr>
        <w:tc>
          <w:tcPr>
            <w:tcW w:w="32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55" w:type="dxa"/>
            <w:tcBorders>
              <w:top w:val="single" w:sz="4" w:space="0" w:color="000000"/>
              <w:left w:val="single" w:sz="10" w:space="0" w:color="D2D2D2"/>
              <w:bottom w:val="single" w:sz="4" w:space="0" w:color="000000"/>
              <w:right w:val="single" w:sz="4" w:space="0" w:color="000000"/>
            </w:tcBorders>
          </w:tcPr>
          <w:p>
            <w:pPr/>
          </w:p>
        </w:tc>
        <w:tc>
          <w:tcPr>
            <w:tcW w:w="645" w:type="dxa"/>
            <w:gridSpan w:val="2"/>
            <w:tcBorders>
              <w:top w:val="single" w:sz="4" w:space="0" w:color="000000"/>
              <w:left w:val="single" w:sz="4" w:space="0" w:color="000000"/>
              <w:bottom w:val="single" w:sz="4" w:space="0" w:color="000000"/>
              <w:right w:val="single" w:sz="4" w:space="0" w:color="000000"/>
            </w:tcBorders>
          </w:tcPr>
          <w:p>
            <w:pPr/>
          </w:p>
        </w:tc>
        <w:tc>
          <w:tcPr>
            <w:tcW w:w="427" w:type="dxa"/>
            <w:gridSpan w:val="2"/>
            <w:tcBorders>
              <w:top w:val="single" w:sz="4" w:space="0" w:color="000000"/>
              <w:left w:val="single" w:sz="4" w:space="0" w:color="000000"/>
              <w:bottom w:val="single" w:sz="4" w:space="0" w:color="000000"/>
              <w:right w:val="single" w:sz="4" w:space="0" w:color="000000"/>
            </w:tcBorders>
          </w:tcPr>
          <w:p>
            <w:pP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50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1"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w:t>
            </w:r>
          </w:p>
        </w:tc>
      </w:tr>
      <w:tr>
        <w:trPr>
          <w:trHeight w:val="403" w:hRule="exact"/>
        </w:trPr>
        <w:tc>
          <w:tcPr>
            <w:tcW w:w="32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655" w:type="dxa"/>
            <w:tcBorders>
              <w:top w:val="single" w:sz="4" w:space="0" w:color="000000"/>
              <w:left w:val="single" w:sz="10" w:space="0" w:color="D2D2D2"/>
              <w:bottom w:val="single" w:sz="4" w:space="0" w:color="000000"/>
              <w:right w:val="single" w:sz="4" w:space="0" w:color="000000"/>
            </w:tcBorders>
          </w:tcPr>
          <w:p>
            <w:pPr/>
          </w:p>
        </w:tc>
        <w:tc>
          <w:tcPr>
            <w:tcW w:w="645" w:type="dxa"/>
            <w:gridSpan w:val="2"/>
            <w:tcBorders>
              <w:top w:val="single" w:sz="4" w:space="0" w:color="000000"/>
              <w:left w:val="single" w:sz="4" w:space="0" w:color="000000"/>
              <w:bottom w:val="single" w:sz="4" w:space="0" w:color="000000"/>
              <w:right w:val="single" w:sz="4" w:space="0" w:color="000000"/>
            </w:tcBorders>
          </w:tcPr>
          <w:p>
            <w:pPr/>
          </w:p>
        </w:tc>
        <w:tc>
          <w:tcPr>
            <w:tcW w:w="427" w:type="dxa"/>
            <w:gridSpan w:val="2"/>
            <w:tcBorders>
              <w:top w:val="single" w:sz="4" w:space="0" w:color="000000"/>
              <w:left w:val="single" w:sz="4" w:space="0" w:color="000000"/>
              <w:bottom w:val="single" w:sz="4" w:space="0" w:color="000000"/>
              <w:right w:val="single" w:sz="4" w:space="0" w:color="000000"/>
            </w:tcBorders>
          </w:tcPr>
          <w:p>
            <w:pP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50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托管情况说明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承包情况说明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租赁情况说明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6"/>
        <w:gridCol w:w="940"/>
        <w:gridCol w:w="935"/>
        <w:gridCol w:w="1212"/>
        <w:gridCol w:w="1179"/>
        <w:gridCol w:w="1097"/>
        <w:gridCol w:w="1014"/>
        <w:gridCol w:w="803"/>
        <w:gridCol w:w="787"/>
      </w:tblGrid>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9"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0" w:right="32"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4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7"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5" w:right="38"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4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794"/>
        <w:gridCol w:w="807"/>
        <w:gridCol w:w="799"/>
        <w:gridCol w:w="797"/>
        <w:gridCol w:w="800"/>
        <w:gridCol w:w="797"/>
        <w:gridCol w:w="799"/>
        <w:gridCol w:w="797"/>
        <w:gridCol w:w="800"/>
        <w:gridCol w:w="792"/>
      </w:tblGrid>
      <w:tr>
        <w:trPr>
          <w:trHeight w:val="71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2" w:right="29"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 w:right="29"/>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 w:right="38"/>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5" w:right="29"/>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5"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5" w:right="29"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5" w:right="29"/>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6" w:right="32" w:hanging="181"/>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r>
        <w:rPr/>
        <w:pict>
          <v:shape style="position:absolute;margin-left:321.649994pt;margin-top:594.075989pt;width:85.95pt;height:163.85pt;mso-position-horizontal-relative:page;mso-position-vertical-relative:page;z-index:-8275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个月内，</w:t>
                  </w:r>
                </w:p>
              </w:txbxContent>
            </v:textbox>
            <w10:wrap type="none"/>
          </v:shape>
        </w:pict>
      </w: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3"/>
        <w:gridCol w:w="1092"/>
        <w:gridCol w:w="1349"/>
        <w:gridCol w:w="1349"/>
        <w:gridCol w:w="1349"/>
        <w:gridCol w:w="1349"/>
        <w:gridCol w:w="1349"/>
      </w:tblGrid>
      <w:tr>
        <w:trPr>
          <w:trHeight w:val="403"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贷款期限</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是否逾期</w:t>
            </w:r>
          </w:p>
        </w:tc>
      </w:tr>
      <w:tr>
        <w:trPr>
          <w:trHeight w:val="40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486"/>
        <w:gridCol w:w="1068"/>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26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公司控股股东 陆文雄及其他 </w:t>
            </w:r>
            <w:r>
              <w:rPr>
                <w:rFonts w:ascii="宋体" w:hAnsi="宋体" w:cs="宋体" w:eastAsia="宋体" w:hint="default"/>
                <w:spacing w:val="-7"/>
                <w:sz w:val="18"/>
                <w:szCs w:val="18"/>
              </w:rPr>
              <w:t>董事、监事、高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级管理人员及 其全体股东</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首次公开发行股 票前股东股份锁 定的承诺</w:t>
            </w:r>
          </w:p>
          <w:p>
            <w:pPr>
              <w:pStyle w:val="TableParagraph"/>
              <w:spacing w:line="314" w:lineRule="auto" w:before="57"/>
              <w:ind w:left="23" w:right="17"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 陆文雄承诺：自公 司股票上市之日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转让或者委托他 人管理其现持有 的公司股份，也不 由公司回购该部 分股份。报告期内</w:t>
            </w:r>
          </w:p>
          <w:p>
            <w:pPr>
              <w:pStyle w:val="TableParagraph"/>
              <w:spacing w:line="314"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未发生违约现象。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、公司股东陈宏 科、杜力耘承诺： 自公司股票上市 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不转让或者委托 他人管理其现持 有的公司股份，也 不由公司回购该 部分股份。报告期 内未发生违约现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3276" w:lineRule="exact"/>
              <w:ind w:right="-51"/>
              <w:jc w:val="left"/>
              <w:rPr>
                <w:rFonts w:ascii="宋体" w:hAnsi="宋体" w:cs="宋体" w:eastAsia="宋体" w:hint="default"/>
                <w:sz w:val="20"/>
                <w:szCs w:val="20"/>
              </w:rPr>
            </w:pPr>
            <w:r>
              <w:rPr>
                <w:rFonts w:ascii="宋体" w:hAnsi="宋体" w:cs="宋体" w:eastAsia="宋体" w:hint="default"/>
                <w:position w:val="-65"/>
                <w:sz w:val="20"/>
                <w:szCs w:val="20"/>
              </w:rPr>
              <w:pict>
                <v:group style="width:52.95pt;height:163.85pt;mso-position-horizontal-relative:char;mso-position-vertical-relative:line" coordorigin="0,0" coordsize="1059,3277">
                  <v:group style="position:absolute;left:0;top:0;width:1059;height:3277" coordorigin="0,0" coordsize="1059,3277">
                    <v:shape style="position:absolute;left:0;top:0;width:1059;height:3277" coordorigin="0,0" coordsize="1059,3277" path="m0,3276l1058,3276,1058,0,0,0,0,3276xe" filled="true" fillcolor="#ffffff" stroked="false">
                      <v:path arrowok="t"/>
                      <v:fill type="solid"/>
                    </v:shape>
                  </v:group>
                </v:group>
              </w:pict>
            </w:r>
            <w:r>
              <w:rPr>
                <w:rFonts w:ascii="宋体" w:hAnsi="宋体" w:cs="宋体" w:eastAsia="宋体" w:hint="default"/>
                <w:position w:val="-65"/>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316" w:lineRule="auto"/>
              <w:ind w:left="23" w:right="-25"/>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 未出现违反承 诺的情况发生。</w:t>
            </w:r>
          </w:p>
        </w:tc>
      </w:tr>
    </w:tbl>
    <w:p>
      <w:pPr>
        <w:spacing w:after="0" w:line="316"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r>
        <w:rPr/>
        <w:pict>
          <v:shape style="position:absolute;margin-left:321.529999pt;margin-top:72.47998pt;width:86.1pt;height:516.9500pt;mso-position-horizontal-relative:page;mso-position-vertical-relative:page;z-index:-827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姜蓓蓓、</w:t>
                  </w:r>
                </w:p>
              </w:txbxContent>
            </v:textbox>
            <w10:wrap type="none"/>
          </v:shape>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486"/>
        <w:gridCol w:w="1068"/>
        <w:gridCol w:w="1277"/>
        <w:gridCol w:w="1270"/>
      </w:tblGrid>
      <w:tr>
        <w:trPr>
          <w:trHeight w:val="320"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象。</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、作为公司</w:t>
            </w:r>
          </w:p>
        </w:tc>
        <w:tc>
          <w:tcPr>
            <w:tcW w:w="1068" w:type="dxa"/>
            <w:vMerge w:val="restart"/>
            <w:tcBorders>
              <w:top w:val="single" w:sz="4" w:space="0" w:color="000000"/>
              <w:left w:val="single" w:sz="4" w:space="0" w:color="000000"/>
              <w:right w:val="single" w:sz="4" w:space="0" w:color="000000"/>
            </w:tcBorders>
          </w:tcPr>
          <w:p>
            <w:pPr>
              <w:pStyle w:val="TableParagraph"/>
              <w:spacing w:line="1033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6"/>
                <w:sz w:val="20"/>
                <w:szCs w:val="20"/>
              </w:rPr>
              <w:pict>
                <v:group style="width:52.95pt;height:516.9500pt;mso-position-horizontal-relative:char;mso-position-vertical-relative:line" coordorigin="0,0" coordsize="1059,10339">
                  <v:group style="position:absolute;left:0;top:0;width:1059;height:10339" coordorigin="0,0" coordsize="1059,10339">
                    <v:shape style="position:absolute;left:0;top:0;width:1059;height:10339" coordorigin="0,0" coordsize="1059,10339" path="m0,10338l1058,10338,1058,0,0,0,0,10338xe" filled="true" fillcolor="#ffffff" stroked="false">
                      <v:path arrowok="t"/>
                      <v:fill type="solid"/>
                    </v:shape>
                  </v:group>
                </v:group>
              </w:pict>
            </w:r>
            <w:r>
              <w:rPr>
                <w:rFonts w:ascii="Times New Roman" w:hAnsi="Times New Roman" w:cs="Times New Roman" w:eastAsia="Times New Roman" w:hint="default"/>
                <w:position w:val="-206"/>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董事、监事或高级</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管理人员的陆文</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雄、陈宏科、杜力</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1"/>
                <w:sz w:val="18"/>
                <w:szCs w:val="18"/>
              </w:rPr>
              <w:t>耘、楼晔、</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丁毅、周全、陆廷</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洁还承诺：在前述</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承诺期限届满后</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的任职期内每年</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转让的公司股份</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不超过各自能够</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5"/>
              <w:jc w:val="left"/>
              <w:rPr>
                <w:rFonts w:ascii="宋体" w:hAnsi="宋体" w:cs="宋体" w:eastAsia="宋体" w:hint="default"/>
                <w:sz w:val="18"/>
                <w:szCs w:val="18"/>
              </w:rPr>
            </w:pPr>
            <w:r>
              <w:rPr>
                <w:rFonts w:ascii="宋体" w:hAnsi="宋体" w:cs="宋体" w:eastAsia="宋体" w:hint="default"/>
                <w:sz w:val="18"/>
                <w:szCs w:val="18"/>
              </w:rPr>
              <w:t>转让部分的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且在离职后的半</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年内不转让各自</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所持的公司股份。</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在首次公开发行</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股票上市之日起</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六个月内申报离</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职的，自申报离职</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之日起十八个月</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内不得转让其直</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接持有的本公司</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股份；在首次公开</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发行股票上市之</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日起第七个月至</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第十二个月之间</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申报离职的，自申</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报离职之日起十</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二个月内不得转</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让其直接持有的</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本公司股份。报告</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期内未发生违约</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60"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现象。</w:t>
            </w:r>
          </w:p>
        </w:tc>
        <w:tc>
          <w:tcPr>
            <w:tcW w:w="106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765" w:hRule="exact"/>
        </w:trPr>
        <w:tc>
          <w:tcPr>
            <w:tcW w:w="3195"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公司实际控制 </w:t>
            </w:r>
            <w:r>
              <w:rPr>
                <w:rFonts w:ascii="宋体" w:hAnsi="宋体" w:cs="宋体" w:eastAsia="宋体" w:hint="default"/>
                <w:spacing w:val="-7"/>
                <w:sz w:val="18"/>
                <w:szCs w:val="18"/>
              </w:rPr>
              <w:t>人、控股股东陆</w:t>
            </w: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关于避免同业竞 争的承诺</w:t>
            </w:r>
          </w:p>
        </w:tc>
        <w:tc>
          <w:tcPr>
            <w:tcW w:w="1068"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r>
      <w:tr>
        <w:trPr>
          <w:trHeight w:val="1873" w:hRule="exact"/>
        </w:trPr>
        <w:tc>
          <w:tcPr>
            <w:tcW w:w="31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4" w:lineRule="auto" w:before="69"/>
              <w:ind w:left="24" w:right="23"/>
              <w:jc w:val="left"/>
              <w:rPr>
                <w:rFonts w:ascii="宋体" w:hAnsi="宋体" w:cs="宋体" w:eastAsia="宋体" w:hint="default"/>
                <w:sz w:val="18"/>
                <w:szCs w:val="18"/>
              </w:rPr>
            </w:pPr>
            <w:r>
              <w:rPr>
                <w:rFonts w:ascii="宋体" w:hAnsi="宋体" w:cs="宋体" w:eastAsia="宋体" w:hint="default"/>
                <w:sz w:val="18"/>
                <w:szCs w:val="18"/>
              </w:rPr>
              <w:t>文雄、持有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以上股份的股 </w:t>
            </w:r>
            <w:r>
              <w:rPr>
                <w:rFonts w:ascii="宋体" w:hAnsi="宋体" w:cs="宋体" w:eastAsia="宋体" w:hint="default"/>
                <w:spacing w:val="-7"/>
                <w:sz w:val="18"/>
                <w:szCs w:val="18"/>
              </w:rPr>
              <w:t>东陈宏科、杜力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耘、楼晔、姜蓓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蓓以及全体董 </w:t>
            </w:r>
            <w:r>
              <w:rPr>
                <w:rFonts w:ascii="宋体" w:hAnsi="宋体" w:cs="宋体" w:eastAsia="宋体" w:hint="default"/>
                <w:spacing w:val="-7"/>
                <w:sz w:val="18"/>
                <w:szCs w:val="18"/>
              </w:rPr>
              <w:t>事、监事、高级</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3" w:right="0" w:firstLine="360"/>
              <w:jc w:val="left"/>
              <w:rPr>
                <w:rFonts w:ascii="宋体" w:hAnsi="宋体" w:cs="宋体" w:eastAsia="宋体" w:hint="default"/>
                <w:sz w:val="18"/>
                <w:szCs w:val="18"/>
              </w:rPr>
            </w:pPr>
            <w:r>
              <w:rPr>
                <w:rFonts w:ascii="宋体" w:hAnsi="宋体" w:cs="宋体" w:eastAsia="宋体" w:hint="default"/>
                <w:sz w:val="18"/>
                <w:szCs w:val="18"/>
              </w:rPr>
              <w:t>为避免同业</w:t>
            </w:r>
          </w:p>
          <w:p>
            <w:pPr>
              <w:pStyle w:val="TableParagraph"/>
              <w:spacing w:line="319" w:lineRule="auto" w:before="76"/>
              <w:ind w:left="23" w:right="10"/>
              <w:jc w:val="left"/>
              <w:rPr>
                <w:rFonts w:ascii="宋体" w:hAnsi="宋体" w:cs="宋体" w:eastAsia="宋体" w:hint="default"/>
                <w:sz w:val="18"/>
                <w:szCs w:val="18"/>
              </w:rPr>
            </w:pPr>
            <w:r>
              <w:rPr>
                <w:rFonts w:ascii="宋体" w:hAnsi="宋体" w:cs="宋体" w:eastAsia="宋体" w:hint="default"/>
                <w:sz w:val="18"/>
                <w:szCs w:val="18"/>
              </w:rPr>
              <w:t>竞争损害公司及 其他股东的利益， 公司实际控制人、 控股股东陆文雄、 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3" w:right="-25"/>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 未出现违反承 诺的情况发生。</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24" w:right="0"/>
              <w:jc w:val="left"/>
              <w:rPr>
                <w:rFonts w:ascii="宋体" w:hAnsi="宋体" w:cs="宋体" w:eastAsia="宋体" w:hint="default"/>
                <w:sz w:val="18"/>
                <w:szCs w:val="18"/>
              </w:rPr>
            </w:pPr>
            <w:r>
              <w:rPr>
                <w:rFonts w:ascii="宋体" w:hAnsi="宋体" w:cs="宋体" w:eastAsia="宋体" w:hint="default"/>
                <w:spacing w:val="-7"/>
                <w:sz w:val="18"/>
                <w:szCs w:val="18"/>
              </w:rPr>
              <w:t>管理人员、核心</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sz w:val="18"/>
                <w:szCs w:val="18"/>
              </w:rPr>
              <w:t>的股东陈宏科、杜</w:t>
            </w:r>
          </w:p>
        </w:tc>
        <w:tc>
          <w:tcPr>
            <w:tcW w:w="1068"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24"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sz w:val="18"/>
                <w:szCs w:val="18"/>
              </w:rPr>
              <w:t>力耘、楼晔、姜蓓</w:t>
            </w:r>
          </w:p>
        </w:tc>
        <w:tc>
          <w:tcPr>
            <w:tcW w:w="1068"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260" w:hRule="exact"/>
        </w:trPr>
        <w:tc>
          <w:tcPr>
            <w:tcW w:w="3195"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sz w:val="18"/>
                <w:szCs w:val="18"/>
              </w:rPr>
              <w:t>蓓以及全体董事、</w:t>
            </w:r>
          </w:p>
        </w:tc>
        <w:tc>
          <w:tcPr>
            <w:tcW w:w="1068"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486"/>
        <w:gridCol w:w="1068"/>
        <w:gridCol w:w="1277"/>
        <w:gridCol w:w="1270"/>
      </w:tblGrid>
      <w:tr>
        <w:trPr>
          <w:trHeight w:val="7539"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
              <w:jc w:val="both"/>
              <w:rPr>
                <w:rFonts w:ascii="宋体" w:hAnsi="宋体" w:cs="宋体" w:eastAsia="宋体" w:hint="default"/>
                <w:sz w:val="18"/>
                <w:szCs w:val="18"/>
              </w:rPr>
            </w:pPr>
            <w:r>
              <w:rPr>
                <w:rFonts w:ascii="宋体" w:hAnsi="宋体" w:cs="宋体" w:eastAsia="宋体" w:hint="default"/>
                <w:sz w:val="18"/>
                <w:szCs w:val="18"/>
              </w:rPr>
              <w:t>监事、高级管理人 员、核心人员均于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月出具了</w:t>
            </w: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《避免同业竞争 </w:t>
            </w:r>
            <w:r>
              <w:rPr>
                <w:rFonts w:ascii="宋体" w:hAnsi="宋体" w:cs="宋体" w:eastAsia="宋体" w:hint="default"/>
                <w:spacing w:val="-28"/>
                <w:w w:val="100"/>
                <w:sz w:val="18"/>
                <w:szCs w:val="18"/>
              </w:rPr>
              <w:t>承诺函》，承诺：</w:t>
            </w:r>
            <w:r>
              <w:rPr>
                <w:rFonts w:ascii="Times New Roman" w:hAnsi="Times New Roman" w:cs="Times New Roman" w:eastAsia="Times New Roman" w:hint="default"/>
                <w:spacing w:val="-28"/>
                <w:w w:val="100"/>
                <w:sz w:val="18"/>
                <w:szCs w:val="18"/>
              </w:rPr>
              <w:t>“</w:t>
            </w:r>
            <w:r>
              <w:rPr>
                <w:rFonts w:ascii="宋体" w:hAnsi="宋体" w:cs="宋体" w:eastAsia="宋体" w:hint="default"/>
                <w:spacing w:val="-28"/>
                <w:w w:val="100"/>
                <w:sz w:val="18"/>
                <w:szCs w:val="18"/>
              </w:rPr>
              <w:t>本</w:t>
            </w:r>
            <w:r>
              <w:rPr>
                <w:rFonts w:ascii="宋体" w:hAnsi="宋体" w:cs="宋体" w:eastAsia="宋体" w:hint="default"/>
                <w:spacing w:val="-81"/>
                <w:w w:val="100"/>
                <w:sz w:val="18"/>
                <w:szCs w:val="18"/>
              </w:rPr>
              <w:t> </w:t>
            </w:r>
            <w:r>
              <w:rPr>
                <w:rFonts w:ascii="宋体" w:hAnsi="宋体" w:cs="宋体" w:eastAsia="宋体" w:hint="default"/>
                <w:sz w:val="18"/>
                <w:szCs w:val="18"/>
              </w:rPr>
              <w:t>人和本人的近亲 属目前没有、并且</w:t>
            </w:r>
            <w:r>
              <w:rPr>
                <w:rFonts w:ascii="宋体" w:hAnsi="宋体" w:cs="宋体" w:eastAsia="宋体" w:hint="default"/>
                <w:sz w:val="18"/>
                <w:szCs w:val="18"/>
              </w:rPr>
              <w:t> 今后也不会在与 天玑科技及其控 股子公司从事相 同或相近似业务 的企业、单位进行 投资或任职；本人 和本人的近亲属 目前没有、并且今 后也不会直接或 通过其他任何方 式间接从事与天 玑科技及其控股 子公司业务相同 或相近似的经营 活动。若违背上述 承诺，本人愿承担 相应的法律责任。</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公司实际控制 </w:t>
            </w:r>
            <w:r>
              <w:rPr>
                <w:rFonts w:ascii="宋体" w:hAnsi="宋体" w:cs="宋体" w:eastAsia="宋体" w:hint="default"/>
                <w:spacing w:val="-7"/>
                <w:sz w:val="18"/>
                <w:szCs w:val="18"/>
              </w:rPr>
              <w:t>人、控股股东陆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文雄、持有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以上股份的股 东以及全体董 </w:t>
            </w:r>
            <w:r>
              <w:rPr>
                <w:rFonts w:ascii="宋体" w:hAnsi="宋体" w:cs="宋体" w:eastAsia="宋体" w:hint="default"/>
                <w:spacing w:val="-7"/>
                <w:sz w:val="18"/>
                <w:szCs w:val="18"/>
              </w:rPr>
              <w:t>事、监事、高级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管理人员</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关于关联交易问 题的承诺函</w:t>
            </w:r>
          </w:p>
          <w:p>
            <w:pPr>
              <w:pStyle w:val="TableParagraph"/>
              <w:spacing w:line="314" w:lineRule="auto" w:before="55"/>
              <w:ind w:left="23" w:right="10" w:firstLine="271"/>
              <w:jc w:val="left"/>
              <w:rPr>
                <w:rFonts w:ascii="宋体" w:hAnsi="宋体" w:cs="宋体" w:eastAsia="宋体" w:hint="default"/>
                <w:sz w:val="18"/>
                <w:szCs w:val="18"/>
              </w:rPr>
            </w:pPr>
            <w:r>
              <w:rPr>
                <w:rFonts w:ascii="宋体" w:hAnsi="宋体" w:cs="宋体" w:eastAsia="宋体" w:hint="default"/>
                <w:sz w:val="18"/>
                <w:szCs w:val="18"/>
              </w:rPr>
              <w:t>公司实际控制 人、控股股东陆文 雄、持有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股份的股东以及 全体董事、监事、 高级管理人员于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月签署了 关于关联交易问 题的承诺函，承 诺：</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 人近亲属将尽量 避免和减少与天 玑科技之间的关 联交易，对于天玑 科技能够通过市 场与独立第三方 之间发生的交易， 将由天玑科技与</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25"/>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 未出现违反承 诺的情况发生。</w:t>
            </w:r>
          </w:p>
        </w:tc>
      </w:tr>
    </w:tbl>
    <w:p>
      <w:pPr>
        <w:spacing w:after="0" w:line="316"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486"/>
        <w:gridCol w:w="1068"/>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独立第三方进行。</w:t>
            </w:r>
          </w:p>
        </w:tc>
        <w:tc>
          <w:tcPr>
            <w:tcW w:w="1068"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本人及本人近亲</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属将严格避免向</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天玑科技拆借、占</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用天玑科技资金</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或采取由天玑科</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技代垫款、代偿债</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务等方式侵占天</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玑科技资金。</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对于本人及本人</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近亲属与天玑科</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技及其子公司之</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间必需的一切交</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易行为，均将严格</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遵守市场原则，本</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着平等互利、等价</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有偿的一般原则，</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公平合理地进行。</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交易定价有政府</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定价的，执行政府</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定价；没有政府定</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价的，执行市场公</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允价格；没有政府</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定价且无可参考</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市场价格的，按照</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成本加可比较的</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合理利润水平确</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定成本价执行。</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、与天玑科技及</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其子公司之间的</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关联交易均以签</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订书面合同或协</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议形式明确规定，</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并将严格遵守天</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玑科技公司章程、</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关联交易管理制</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度等规定履行必</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要的法定程序，在</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公司权力机构审</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议有关关联交易</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事项时主动依法</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履行回避义务；对</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须报经有权机构</w:t>
            </w:r>
          </w:p>
        </w:tc>
        <w:tc>
          <w:tcPr>
            <w:tcW w:w="106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审议的关联交易</w:t>
            </w:r>
          </w:p>
        </w:tc>
        <w:tc>
          <w:tcPr>
            <w:tcW w:w="106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486"/>
        <w:gridCol w:w="1068"/>
        <w:gridCol w:w="1277"/>
        <w:gridCol w:w="1270"/>
      </w:tblGrid>
      <w:tr>
        <w:trPr>
          <w:trHeight w:val="4731"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事项，在有权机构 审议通过后方可 执行。</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、保证不 通过关联交易取 得任何不正当的 利益或使天玑科 技及其子公司承 担任何不正当的 义务。如果因违反 上述承诺导致天 玑科技损失或利 用关联交易侵占 天玑科技利益的， 天玑科技的损失 由本人承担。</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824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7"/>
                <w:sz w:val="18"/>
                <w:szCs w:val="18"/>
              </w:rPr>
              <w:t>实际控制人、控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股股东陆文雄 </w:t>
            </w:r>
            <w:r>
              <w:rPr>
                <w:rFonts w:ascii="宋体" w:hAnsi="宋体" w:cs="宋体" w:eastAsia="宋体" w:hint="default"/>
                <w:spacing w:val="-7"/>
                <w:sz w:val="18"/>
                <w:szCs w:val="18"/>
              </w:rPr>
              <w:t>以及陈宏科、杜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力耘、滕长春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资金占用情况的 说明及承诺</w:t>
            </w:r>
          </w:p>
          <w:p>
            <w:pPr>
              <w:pStyle w:val="TableParagraph"/>
              <w:spacing w:line="314" w:lineRule="auto" w:before="57"/>
              <w:ind w:left="23" w:right="10" w:firstLine="27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 实际控制人、控股 股东陆文雄以及 陈宏科、杜力耘、 滕长春等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人分别 签署了《关于资金 占用情况的说明 </w:t>
            </w:r>
            <w:r>
              <w:rPr>
                <w:rFonts w:ascii="宋体" w:hAnsi="宋体" w:cs="宋体" w:eastAsia="宋体" w:hint="default"/>
                <w:spacing w:val="-28"/>
                <w:w w:val="100"/>
                <w:sz w:val="18"/>
                <w:szCs w:val="18"/>
              </w:rPr>
              <w:t>及承诺》，承诺：</w:t>
            </w:r>
            <w:r>
              <w:rPr>
                <w:rFonts w:ascii="Times New Roman" w:hAnsi="Times New Roman" w:cs="Times New Roman" w:eastAsia="Times New Roman" w:hint="default"/>
                <w:spacing w:val="-28"/>
                <w:w w:val="100"/>
                <w:sz w:val="18"/>
                <w:szCs w:val="18"/>
              </w:rPr>
              <w:t>“</w:t>
            </w:r>
            <w:r>
              <w:rPr>
                <w:rFonts w:ascii="宋体" w:hAnsi="宋体" w:cs="宋体" w:eastAsia="宋体" w:hint="default"/>
                <w:spacing w:val="-28"/>
                <w:w w:val="100"/>
                <w:sz w:val="18"/>
                <w:szCs w:val="18"/>
              </w:rPr>
              <w:t>自</w:t>
            </w:r>
            <w:r>
              <w:rPr>
                <w:rFonts w:ascii="宋体" w:hAnsi="宋体" w:cs="宋体" w:eastAsia="宋体" w:hint="default"/>
                <w:spacing w:val="-81"/>
                <w:w w:val="10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月起，本</w:t>
            </w:r>
            <w:r>
              <w:rPr>
                <w:rFonts w:ascii="宋体" w:hAnsi="宋体" w:cs="宋体" w:eastAsia="宋体" w:hint="default"/>
                <w:sz w:val="18"/>
                <w:szCs w:val="18"/>
              </w:rPr>
              <w:t> 人已不存在以借 款、代偿债务、代 垫款项或者其他 方式违规占用天 玑科技、天玑有限 资金的情形。并 且，本人承诺将加 强相关法律法规 学习，未来不再发 生类似违规资金 占用行为，若违背 承诺，本人将承担 由此导致的一切 法律后果及相应 责任。</w:t>
            </w:r>
            <w:r>
              <w:rPr>
                <w:rFonts w:ascii="Times New Roman" w:hAnsi="Times New Roman" w:cs="Times New Roman" w:eastAsia="Times New Roman" w:hint="default"/>
                <w:sz w:val="18"/>
                <w:szCs w:val="18"/>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25"/>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 未出现违反承 诺的情况发生。</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截止到报告期末，上述承诺人严格信守承诺，未出现违反承诺的情况发生。</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59" w:lineRule="auto" w:before="178"/>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line="360"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不适用。 盈利预测相关披露索引</w:t>
      </w: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bl>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翟小民、张洪</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before="0"/>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38" w:lineRule="auto" w:before="41"/>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上市公司及其子公司是否存在其他重大社会安全问题</w:t>
      </w:r>
    </w:p>
    <w:p>
      <w:pPr>
        <w:spacing w:line="340" w:lineRule="auto" w:before="43"/>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报告期内是否被行政处罚</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十一、公司股东及其一致行动人在报告期提出或实施股份增持计划的情况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bl>
    <w:p>
      <w:pPr>
        <w:spacing w:after="0" w:line="316"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其他情况说明</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3" w:hanging="1"/>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50" w:hanging="629"/>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51" w:hanging="629"/>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十三、违规对外担保情况</w:t>
      </w:r>
      <w:r>
        <w:rPr>
          <w:b w:val="0"/>
          <w:bCs w:val="0"/>
        </w:rPr>
      </w:r>
    </w:p>
    <w:p>
      <w:pPr>
        <w:spacing w:line="240" w:lineRule="auto" w:before="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8"/>
        <w:gridCol w:w="1983"/>
        <w:gridCol w:w="1983"/>
        <w:gridCol w:w="1980"/>
        <w:gridCol w:w="1983"/>
      </w:tblGrid>
      <w:tr>
        <w:trPr>
          <w:trHeight w:val="403"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5"/>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无违规对外担保情况。</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十四、年度报告披露后面临暂停上市和终止上市情况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before="0"/>
        <w:ind w:right="0"/>
        <w:jc w:val="left"/>
        <w:rPr>
          <w:b w:val="0"/>
          <w:bCs w:val="0"/>
        </w:rPr>
      </w:pPr>
      <w:r>
        <w:rPr/>
        <w:t>十五、其他重大事项的说明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102"/>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02"/>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09"/>
        <w:gridCol w:w="855"/>
        <w:gridCol w:w="845"/>
        <w:gridCol w:w="845"/>
        <w:gridCol w:w="842"/>
        <w:gridCol w:w="843"/>
        <w:gridCol w:w="842"/>
        <w:gridCol w:w="845"/>
        <w:gridCol w:w="994"/>
        <w:gridCol w:w="634"/>
      </w:tblGrid>
      <w:tr>
        <w:trPr>
          <w:trHeight w:val="403"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51" w:right="0"/>
              <w:jc w:val="left"/>
              <w:rPr>
                <w:rFonts w:ascii="宋体" w:hAnsi="宋体" w:cs="宋体" w:eastAsia="宋体" w:hint="default"/>
                <w:sz w:val="16"/>
                <w:szCs w:val="16"/>
              </w:rPr>
            </w:pPr>
            <w:r>
              <w:rPr>
                <w:rFonts w:ascii="宋体" w:hAnsi="宋体" w:cs="宋体" w:eastAsia="宋体" w:hint="default"/>
                <w:sz w:val="16"/>
                <w:szCs w:val="16"/>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23" w:right="0"/>
              <w:jc w:val="left"/>
              <w:rPr>
                <w:rFonts w:ascii="宋体" w:hAnsi="宋体" w:cs="宋体" w:eastAsia="宋体" w:hint="default"/>
                <w:sz w:val="16"/>
                <w:szCs w:val="16"/>
              </w:rPr>
            </w:pPr>
            <w:r>
              <w:rPr>
                <w:rFonts w:ascii="宋体" w:hAnsi="宋体" w:cs="宋体" w:eastAsia="宋体" w:hint="default"/>
                <w:sz w:val="16"/>
                <w:szCs w:val="16"/>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11" w:right="0"/>
              <w:jc w:val="left"/>
              <w:rPr>
                <w:rFonts w:ascii="宋体" w:hAnsi="宋体" w:cs="宋体" w:eastAsia="宋体" w:hint="default"/>
                <w:sz w:val="16"/>
                <w:szCs w:val="16"/>
              </w:rPr>
            </w:pPr>
            <w:r>
              <w:rPr>
                <w:rFonts w:ascii="宋体" w:hAnsi="宋体" w:cs="宋体" w:eastAsia="宋体" w:hint="default"/>
                <w:sz w:val="16"/>
                <w:szCs w:val="16"/>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85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67"/>
              <w:ind w:left="336" w:right="91" w:hanging="240"/>
              <w:jc w:val="left"/>
              <w:rPr>
                <w:rFonts w:ascii="宋体" w:hAnsi="宋体" w:cs="宋体" w:eastAsia="宋体" w:hint="default"/>
                <w:sz w:val="16"/>
                <w:szCs w:val="16"/>
              </w:rPr>
            </w:pPr>
            <w:r>
              <w:rPr>
                <w:rFonts w:ascii="宋体" w:hAnsi="宋体" w:cs="宋体" w:eastAsia="宋体" w:hint="default"/>
                <w:sz w:val="16"/>
                <w:szCs w:val="16"/>
              </w:rPr>
              <w:t>公积金转</w:t>
            </w:r>
            <w:r>
              <w:rPr>
                <w:rFonts w:ascii="宋体" w:hAnsi="宋体" w:cs="宋体" w:eastAsia="宋体" w:hint="default"/>
                <w:spacing w:val="-77"/>
                <w:sz w:val="16"/>
                <w:szCs w:val="16"/>
              </w:rPr>
              <w:t> </w:t>
            </w:r>
            <w:r>
              <w:rPr>
                <w:rFonts w:ascii="宋体" w:hAnsi="宋体" w:cs="宋体" w:eastAsia="宋体" w:hint="default"/>
                <w:sz w:val="16"/>
                <w:szCs w:val="16"/>
              </w:rPr>
              <w:t>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268" w:right="0"/>
              <w:jc w:val="left"/>
              <w:rPr>
                <w:rFonts w:ascii="宋体" w:hAnsi="宋体" w:cs="宋体" w:eastAsia="宋体" w:hint="default"/>
                <w:sz w:val="16"/>
                <w:szCs w:val="16"/>
              </w:rPr>
            </w:pPr>
            <w:r>
              <w:rPr>
                <w:rFonts w:ascii="宋体" w:hAnsi="宋体" w:cs="宋体" w:eastAsia="宋体" w:hint="default"/>
                <w:sz w:val="16"/>
                <w:szCs w:val="16"/>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136"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95" w:right="0"/>
              <w:jc w:val="left"/>
              <w:rPr>
                <w:rFonts w:ascii="宋体" w:hAnsi="宋体" w:cs="宋体" w:eastAsia="宋体" w:hint="default"/>
                <w:sz w:val="16"/>
                <w:szCs w:val="16"/>
              </w:rPr>
            </w:pPr>
            <w:r>
              <w:rPr>
                <w:rFonts w:ascii="宋体" w:hAnsi="宋体" w:cs="宋体" w:eastAsia="宋体" w:hint="default"/>
                <w:sz w:val="16"/>
                <w:szCs w:val="16"/>
              </w:rPr>
              <w:t>发行新股</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256" w:right="0"/>
              <w:jc w:val="left"/>
              <w:rPr>
                <w:rFonts w:ascii="宋体" w:hAnsi="宋体" w:cs="宋体" w:eastAsia="宋体" w:hint="default"/>
                <w:sz w:val="16"/>
                <w:szCs w:val="16"/>
              </w:rPr>
            </w:pPr>
            <w:r>
              <w:rPr>
                <w:rFonts w:ascii="宋体" w:hAnsi="宋体" w:cs="宋体" w:eastAsia="宋体" w:hint="default"/>
                <w:sz w:val="16"/>
                <w:szCs w:val="16"/>
              </w:rPr>
              <w:t>送股</w:t>
            </w:r>
          </w:p>
        </w:tc>
        <w:tc>
          <w:tcPr>
            <w:tcW w:w="843"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256"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259"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5" w:right="0"/>
              <w:jc w:val="center"/>
              <w:rPr>
                <w:rFonts w:ascii="宋体" w:hAnsi="宋体" w:cs="宋体" w:eastAsia="宋体" w:hint="default"/>
                <w:sz w:val="16"/>
                <w:szCs w:val="16"/>
              </w:rPr>
            </w:pPr>
            <w:r>
              <w:rPr>
                <w:rFonts w:ascii="宋体" w:hAnsi="宋体" w:cs="宋体" w:eastAsia="宋体" w:hint="default"/>
                <w:sz w:val="16"/>
                <w:szCs w:val="16"/>
              </w:rPr>
              <w:t>数量</w:t>
            </w:r>
          </w:p>
        </w:tc>
        <w:tc>
          <w:tcPr>
            <w:tcW w:w="6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3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199"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63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85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一、有限售条件股份</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50,000,000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74.63%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50,000,000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-17,960,052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32,039,948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82,039,948</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61.22%</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、国家持股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w w:val="100"/>
                <w:sz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w w:val="100"/>
                <w:sz w:val="16"/>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sz w:val="16"/>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、国有法人持股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、其他内资持股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50,000,000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74.63%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40,577,976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-27,382,076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13,195,900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63,195,900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47.16%</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其中：境内法人持股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z w:val="16"/>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34" w:right="0"/>
              <w:jc w:val="left"/>
              <w:rPr>
                <w:rFonts w:ascii="宋体" w:hAnsi="宋体" w:cs="宋体" w:eastAsia="宋体" w:hint="default"/>
                <w:sz w:val="16"/>
                <w:szCs w:val="16"/>
              </w:rPr>
            </w:pPr>
            <w:r>
              <w:rPr>
                <w:rFonts w:ascii="宋体" w:hAnsi="宋体" w:cs="宋体" w:eastAsia="宋体" w:hint="default"/>
                <w:sz w:val="16"/>
                <w:szCs w:val="16"/>
              </w:rPr>
              <w:t>境内自然人持股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50,000,000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74.63%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40,577,976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-27,382,076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13,195,900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63,195,900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47.16%</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、外资持股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其中：境外法人持股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34" w:right="0"/>
              <w:jc w:val="left"/>
              <w:rPr>
                <w:rFonts w:ascii="宋体" w:hAnsi="宋体" w:cs="宋体" w:eastAsia="宋体" w:hint="default"/>
                <w:sz w:val="16"/>
                <w:szCs w:val="16"/>
              </w:rPr>
            </w:pPr>
            <w:r>
              <w:rPr>
                <w:rFonts w:ascii="宋体" w:hAnsi="宋体" w:cs="宋体" w:eastAsia="宋体" w:hint="default"/>
                <w:sz w:val="16"/>
                <w:szCs w:val="16"/>
              </w:rPr>
              <w:t>境外自然人持股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宋体" w:hAnsi="宋体" w:cs="宋体" w:eastAsia="宋体" w:hint="default"/>
                <w:sz w:val="16"/>
                <w:szCs w:val="16"/>
              </w:rPr>
              <w:t>、高管股份</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9,422,024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9,422,024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18,844,048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18,844,048</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14.06%</w:t>
            </w:r>
          </w:p>
        </w:tc>
      </w:tr>
      <w:tr>
        <w:trPr>
          <w:trHeight w:val="40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6"/>
                <w:szCs w:val="16"/>
              </w:rPr>
            </w:pPr>
            <w:r>
              <w:rPr>
                <w:rFonts w:ascii="宋体" w:hAnsi="宋体" w:cs="宋体" w:eastAsia="宋体" w:hint="default"/>
                <w:sz w:val="16"/>
                <w:szCs w:val="16"/>
              </w:rPr>
              <w:t>二、无限售条件股份</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6"/>
                <w:szCs w:val="16"/>
              </w:rPr>
            </w:pPr>
            <w:r>
              <w:rPr>
                <w:rFonts w:ascii="Times New Roman"/>
                <w:spacing w:val="-1"/>
                <w:sz w:val="16"/>
              </w:rPr>
              <w:t>17,000,000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6"/>
                <w:szCs w:val="16"/>
              </w:rPr>
            </w:pPr>
            <w:r>
              <w:rPr>
                <w:rFonts w:ascii="Times New Roman"/>
                <w:spacing w:val="-1"/>
                <w:sz w:val="16"/>
              </w:rPr>
              <w:t>25.37%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spacing w:val="-1"/>
                <w:sz w:val="16"/>
              </w:rPr>
              <w:t>17,000,000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spacing w:val="-1"/>
                <w:sz w:val="16"/>
              </w:rPr>
              <w:t>17,960,052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spacing w:val="-1"/>
                <w:sz w:val="16"/>
              </w:rPr>
              <w:t>34,960,052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6"/>
                <w:szCs w:val="16"/>
              </w:rPr>
            </w:pPr>
            <w:r>
              <w:rPr>
                <w:rFonts w:ascii="Times New Roman"/>
                <w:spacing w:val="-1"/>
                <w:sz w:val="16"/>
              </w:rPr>
              <w:t>51,960,052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6"/>
                <w:szCs w:val="16"/>
              </w:rPr>
            </w:pPr>
            <w:r>
              <w:rPr>
                <w:rFonts w:ascii="Times New Roman"/>
                <w:spacing w:val="-1"/>
                <w:sz w:val="16"/>
              </w:rPr>
              <w:t>38.78%</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、人民币普通股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17,000,000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25.37%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17,000,000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17,960,052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34,960,052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51,960,052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38.78%</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、境内上市的外资股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、境外上市的外资股</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z w:val="16"/>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三、股份总数</w:t>
            </w:r>
          </w:p>
        </w:tc>
        <w:tc>
          <w:tcPr>
            <w:tcW w:w="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67,000,000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100"/>
                <w:sz w:val="16"/>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67,000,000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w w:val="100"/>
                <w:sz w:val="16"/>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6"/>
                <w:szCs w:val="16"/>
              </w:rPr>
            </w:pPr>
            <w:r>
              <w:rPr>
                <w:rFonts w:ascii="Times New Roman"/>
                <w:spacing w:val="-1"/>
                <w:sz w:val="16"/>
              </w:rPr>
              <w:t>67,000,000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2"/>
                <w:sz w:val="16"/>
              </w:rPr>
              <w:t>134,000,000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100%</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3"/>
        <w:rPr>
          <w:rFonts w:ascii="宋体" w:hAnsi="宋体" w:cs="宋体" w:eastAsia="宋体" w:hint="default"/>
          <w:sz w:val="13"/>
          <w:szCs w:val="13"/>
        </w:rPr>
      </w:pPr>
    </w:p>
    <w:p>
      <w:pPr>
        <w:pStyle w:val="BodyText"/>
        <w:spacing w:line="408" w:lineRule="auto"/>
        <w:ind w:right="102"/>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19</w:t>
      </w:r>
      <w:r>
        <w:rPr>
          <w:spacing w:val="-2"/>
        </w:rPr>
        <w:t>日解除限售股份数量为</w:t>
      </w:r>
      <w:r>
        <w:rPr>
          <w:rFonts w:ascii="宋体" w:hAnsi="宋体" w:cs="宋体" w:eastAsia="宋体" w:hint="default"/>
          <w:spacing w:val="-2"/>
        </w:rPr>
        <w:t>18,402,050</w:t>
      </w:r>
      <w:r>
        <w:rPr>
          <w:spacing w:val="-2"/>
        </w:rPr>
        <w:t>股；占总股本的</w:t>
      </w:r>
      <w:r>
        <w:rPr>
          <w:rFonts w:ascii="宋体" w:hAnsi="宋体" w:cs="宋体" w:eastAsia="宋体" w:hint="default"/>
          <w:spacing w:val="-2"/>
        </w:rPr>
        <w:t>27.47%</w:t>
      </w:r>
      <w:r>
        <w:rPr>
          <w:spacing w:val="-2"/>
        </w:rPr>
        <w:t>。解除限售股的人数为</w:t>
      </w:r>
      <w:r>
        <w:rPr>
          <w:rFonts w:ascii="宋体" w:hAnsi="宋体" w:cs="宋体" w:eastAsia="宋体" w:hint="default"/>
          <w:spacing w:val="-2"/>
        </w:rPr>
        <w:t>27</w:t>
      </w:r>
      <w:r>
        <w:rPr>
          <w:spacing w:val="-2"/>
        </w:rPr>
        <w:t>人， </w:t>
      </w:r>
      <w:r>
        <w:rPr/>
        <w:t>均为自然人股东。</w:t>
      </w:r>
    </w:p>
    <w:p>
      <w:pPr>
        <w:pStyle w:val="BodyText"/>
        <w:spacing w:line="408" w:lineRule="auto" w:before="46"/>
        <w:ind w:right="102"/>
        <w:jc w:val="left"/>
      </w:pPr>
      <w:r>
        <w:rPr/>
        <w:t>（</w:t>
      </w: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6</w:t>
      </w:r>
      <w:r>
        <w:rPr/>
        <w:t>日，公司</w:t>
      </w:r>
      <w:r>
        <w:rPr>
          <w:rFonts w:ascii="宋体" w:hAnsi="宋体" w:cs="宋体" w:eastAsia="宋体" w:hint="default"/>
        </w:rPr>
        <w:t>2011</w:t>
      </w:r>
      <w:r>
        <w:rPr/>
        <w:t>年年度股东大会审议通过了《公司</w:t>
      </w:r>
      <w:r>
        <w:rPr>
          <w:rFonts w:ascii="宋体" w:hAnsi="宋体" w:cs="宋体" w:eastAsia="宋体" w:hint="default"/>
        </w:rPr>
        <w:t>2011</w:t>
      </w:r>
      <w:r>
        <w:rPr/>
        <w:t>年度利润分配及公积金转增股本的</w:t>
      </w:r>
      <w:r>
        <w:rPr>
          <w:w w:val="100"/>
        </w:rPr>
        <w:t> </w:t>
      </w:r>
      <w:r>
        <w:rPr>
          <w:spacing w:val="-2"/>
        </w:rPr>
        <w:t>预案》，以公司</w:t>
      </w:r>
      <w:r>
        <w:rPr>
          <w:rFonts w:ascii="宋体" w:hAnsi="宋体" w:cs="宋体" w:eastAsia="宋体" w:hint="default"/>
          <w:spacing w:val="-2"/>
        </w:rPr>
        <w:t>2011</w:t>
      </w:r>
      <w:r>
        <w:rPr>
          <w:spacing w:val="-2"/>
        </w:rPr>
        <w:t>年末总股本</w:t>
      </w:r>
      <w:r>
        <w:rPr>
          <w:rFonts w:ascii="宋体" w:hAnsi="宋体" w:cs="宋体" w:eastAsia="宋体" w:hint="default"/>
          <w:spacing w:val="-2"/>
        </w:rPr>
        <w:t>6,700</w:t>
      </w:r>
      <w:r>
        <w:rPr>
          <w:spacing w:val="-2"/>
        </w:rPr>
        <w:t>万股为基数，向全体股东每</w:t>
      </w:r>
      <w:r>
        <w:rPr>
          <w:rFonts w:ascii="宋体" w:hAnsi="宋体" w:cs="宋体" w:eastAsia="宋体" w:hint="default"/>
          <w:spacing w:val="-2"/>
        </w:rPr>
        <w:t>10</w:t>
      </w:r>
      <w:r>
        <w:rPr>
          <w:spacing w:val="-2"/>
        </w:rPr>
        <w:t>股派发人民币</w:t>
      </w:r>
      <w:r>
        <w:rPr>
          <w:rFonts w:ascii="宋体" w:hAnsi="宋体" w:cs="宋体" w:eastAsia="宋体" w:hint="default"/>
          <w:spacing w:val="-2"/>
        </w:rPr>
        <w:t>2</w:t>
      </w:r>
      <w:r>
        <w:rPr>
          <w:spacing w:val="-2"/>
        </w:rPr>
        <w:t>元现金（含税），以资</w:t>
      </w:r>
      <w:r>
        <w:rPr>
          <w:spacing w:val="-34"/>
        </w:rPr>
        <w:t> </w:t>
      </w:r>
      <w:r>
        <w:rPr>
          <w:spacing w:val="-34"/>
        </w:rPr>
      </w:r>
      <w:r>
        <w:rPr>
          <w:spacing w:val="-4"/>
        </w:rPr>
        <w:t>本公积金每</w:t>
      </w:r>
      <w:r>
        <w:rPr>
          <w:rFonts w:ascii="宋体" w:hAnsi="宋体" w:cs="宋体" w:eastAsia="宋体" w:hint="default"/>
          <w:spacing w:val="-4"/>
        </w:rPr>
        <w:t>10</w:t>
      </w:r>
      <w:r>
        <w:rPr>
          <w:spacing w:val="-4"/>
        </w:rPr>
        <w:t>股转增</w:t>
      </w:r>
      <w:r>
        <w:rPr>
          <w:rFonts w:ascii="宋体" w:hAnsi="宋体" w:cs="宋体" w:eastAsia="宋体" w:hint="default"/>
          <w:spacing w:val="-4"/>
        </w:rPr>
        <w:t>10</w:t>
      </w:r>
      <w:r>
        <w:rPr>
          <w:spacing w:val="-4"/>
        </w:rPr>
        <w:t>股，并于</w:t>
      </w:r>
      <w:r>
        <w:rPr>
          <w:rFonts w:ascii="宋体" w:hAnsi="宋体" w:cs="宋体" w:eastAsia="宋体" w:hint="default"/>
          <w:spacing w:val="-4"/>
        </w:rPr>
        <w:t>2012</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24</w:t>
      </w:r>
      <w:r>
        <w:rPr>
          <w:spacing w:val="-4"/>
        </w:rPr>
        <w:t>日予以实施，实施后公司总股本由</w:t>
      </w:r>
      <w:r>
        <w:rPr>
          <w:rFonts w:ascii="宋体" w:hAnsi="宋体" w:cs="宋体" w:eastAsia="宋体" w:hint="default"/>
          <w:spacing w:val="-4"/>
        </w:rPr>
        <w:t>6,700</w:t>
      </w:r>
      <w:r>
        <w:rPr>
          <w:spacing w:val="-4"/>
        </w:rPr>
        <w:t>万股增至</w:t>
      </w:r>
      <w:r>
        <w:rPr>
          <w:rFonts w:ascii="宋体" w:hAnsi="宋体" w:cs="宋体" w:eastAsia="宋体" w:hint="default"/>
          <w:spacing w:val="-4"/>
        </w:rPr>
        <w:t>13,400</w:t>
      </w:r>
      <w:r>
        <w:rPr>
          <w:spacing w:val="-4"/>
        </w:rPr>
        <w:t>万股。</w:t>
      </w:r>
    </w:p>
    <w:p>
      <w:pPr>
        <w:spacing w:before="110"/>
        <w:ind w:left="152" w:right="102"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240" w:lineRule="auto" w:before="9"/>
        <w:rPr>
          <w:rFonts w:ascii="宋体" w:hAnsi="宋体" w:cs="宋体" w:eastAsia="宋体" w:hint="default"/>
          <w:sz w:val="20"/>
          <w:szCs w:val="20"/>
        </w:rPr>
      </w:pPr>
    </w:p>
    <w:p>
      <w:pPr>
        <w:spacing w:before="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148"/>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日公司召开</w:t>
      </w:r>
      <w:r>
        <w:rPr>
          <w:rFonts w:ascii="Times New Roman" w:hAnsi="Times New Roman" w:cs="Times New Roman" w:eastAsia="Times New Roman" w:hint="default"/>
          <w:spacing w:val="-2"/>
        </w:rPr>
        <w:t>2011</w:t>
      </w:r>
      <w:r>
        <w:rPr>
          <w:spacing w:val="-2"/>
        </w:rPr>
        <w:t>年年度股东大会以现场投票的表决方式，审议通过了《公司</w:t>
      </w:r>
      <w:r>
        <w:rPr>
          <w:rFonts w:ascii="Times New Roman" w:hAnsi="Times New Roman" w:cs="Times New Roman" w:eastAsia="Times New Roman" w:hint="default"/>
          <w:spacing w:val="-2"/>
        </w:rPr>
        <w:t>2011</w:t>
      </w:r>
      <w:r>
        <w:rPr>
          <w:spacing w:val="-2"/>
        </w:rPr>
        <w:t>年度利润分配</w:t>
      </w:r>
      <w:r>
        <w:rPr>
          <w:spacing w:val="-38"/>
        </w:rPr>
        <w:t> </w:t>
      </w:r>
      <w:r>
        <w:rPr>
          <w:spacing w:val="-38"/>
        </w:rPr>
      </w:r>
      <w:r>
        <w:rPr>
          <w:spacing w:val="-3"/>
        </w:rPr>
        <w:t>及公积金转增股本的预案》，具体投票表决结果如下：同意票</w:t>
      </w:r>
      <w:r>
        <w:rPr>
          <w:rFonts w:ascii="Times New Roman" w:hAnsi="Times New Roman" w:cs="Times New Roman" w:eastAsia="Times New Roman" w:hint="default"/>
          <w:spacing w:val="-3"/>
        </w:rPr>
        <w:t>46,989,880 </w:t>
      </w:r>
      <w:r>
        <w:rPr>
          <w:spacing w:val="-3"/>
        </w:rPr>
        <w:t>股，占出席会议股东</w:t>
      </w:r>
      <w:r>
        <w:rPr>
          <w:rFonts w:ascii="Times New Roman" w:hAnsi="Times New Roman" w:cs="Times New Roman" w:eastAsia="Times New Roman" w:hint="default"/>
          <w:spacing w:val="-3"/>
        </w:rPr>
        <w:t>(</w:t>
      </w:r>
      <w:r>
        <w:rPr>
          <w:spacing w:val="-3"/>
        </w:rPr>
        <w:t>或股东代理</w:t>
      </w:r>
      <w:r>
        <w:rPr>
          <w:spacing w:val="-97"/>
        </w:rPr>
        <w:t> </w:t>
      </w:r>
      <w:r>
        <w:rPr>
          <w:spacing w:val="-97"/>
        </w:rPr>
      </w:r>
      <w:r>
        <w:rPr/>
        <w:t>人</w:t>
      </w:r>
      <w:r>
        <w:rPr>
          <w:rFonts w:ascii="Times New Roman" w:hAnsi="Times New Roman" w:cs="Times New Roman" w:eastAsia="Times New Roman" w:hint="default"/>
        </w:rPr>
        <w:t>)</w:t>
      </w:r>
      <w:r>
        <w:rPr/>
        <w:t>所持有表决权股份数的</w:t>
      </w:r>
      <w:r>
        <w:rPr>
          <w:rFonts w:ascii="Times New Roman" w:hAnsi="Times New Roman" w:cs="Times New Roman" w:eastAsia="Times New Roman" w:hint="default"/>
        </w:rPr>
        <w:t>100%</w:t>
      </w:r>
      <w:r>
        <w:rPr/>
        <w:t>；反对票</w:t>
      </w:r>
      <w:r>
        <w:rPr>
          <w:rFonts w:ascii="Times New Roman" w:hAnsi="Times New Roman" w:cs="Times New Roman" w:eastAsia="Times New Roman" w:hint="default"/>
        </w:rPr>
        <w:t>0  </w:t>
      </w:r>
      <w:r>
        <w:rPr/>
        <w:t>股；弃权票</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spacing w:val="-3"/>
        </w:rPr>
        <w:t>股。</w:t>
      </w:r>
      <w:r>
        <w:rPr/>
      </w:r>
    </w:p>
    <w:p>
      <w:pPr>
        <w:spacing w:before="99"/>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pStyle w:val="BodyText"/>
        <w:spacing w:line="468" w:lineRule="exact" w:before="118"/>
        <w:ind w:right="148"/>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日公司召开</w:t>
      </w:r>
      <w:r>
        <w:rPr>
          <w:rFonts w:ascii="Times New Roman" w:hAnsi="Times New Roman" w:cs="Times New Roman" w:eastAsia="Times New Roman" w:hint="default"/>
          <w:spacing w:val="-2"/>
        </w:rPr>
        <w:t>2011</w:t>
      </w:r>
      <w:r>
        <w:rPr>
          <w:spacing w:val="-2"/>
        </w:rPr>
        <w:t>年年度股东大会以现场投票的表决方式，审议通过了《公司</w:t>
      </w:r>
      <w:r>
        <w:rPr>
          <w:rFonts w:ascii="Calibri" w:hAnsi="Calibri" w:cs="Calibri" w:eastAsia="Calibri" w:hint="default"/>
          <w:spacing w:val="-2"/>
        </w:rPr>
        <w:t>2011</w:t>
      </w:r>
      <w:r>
        <w:rPr>
          <w:spacing w:val="-2"/>
        </w:rPr>
        <w:t>年度利润分配</w:t>
      </w:r>
      <w:r>
        <w:rPr>
          <w:spacing w:val="-48"/>
        </w:rPr>
        <w:t> </w:t>
      </w:r>
      <w:r>
        <w:rPr>
          <w:spacing w:val="-48"/>
        </w:rPr>
      </w:r>
      <w:r>
        <w:rPr>
          <w:spacing w:val="-2"/>
        </w:rPr>
        <w:t>及公积金转增股本的预案》，以公司</w:t>
      </w:r>
      <w:r>
        <w:rPr>
          <w:rFonts w:ascii="宋体" w:hAnsi="宋体" w:cs="宋体" w:eastAsia="宋体" w:hint="default"/>
          <w:spacing w:val="-2"/>
        </w:rPr>
        <w:t>2011</w:t>
      </w:r>
      <w:r>
        <w:rPr>
          <w:spacing w:val="-2"/>
        </w:rPr>
        <w:t>年末总股本</w:t>
      </w:r>
      <w:r>
        <w:rPr>
          <w:rFonts w:ascii="宋体" w:hAnsi="宋体" w:cs="宋体" w:eastAsia="宋体" w:hint="default"/>
          <w:spacing w:val="-2"/>
        </w:rPr>
        <w:t>6,700</w:t>
      </w:r>
      <w:r>
        <w:rPr>
          <w:spacing w:val="-2"/>
        </w:rPr>
        <w:t>万股为基数，向全体股东每</w:t>
      </w:r>
      <w:r>
        <w:rPr>
          <w:rFonts w:ascii="宋体" w:hAnsi="宋体" w:cs="宋体" w:eastAsia="宋体" w:hint="default"/>
          <w:spacing w:val="-2"/>
        </w:rPr>
        <w:t>10</w:t>
      </w:r>
      <w:r>
        <w:rPr>
          <w:spacing w:val="-2"/>
        </w:rPr>
        <w:t>股派发人民币</w:t>
      </w:r>
      <w:r>
        <w:rPr>
          <w:rFonts w:ascii="宋体" w:hAnsi="宋体" w:cs="宋体" w:eastAsia="宋体" w:hint="default"/>
          <w:spacing w:val="-2"/>
        </w:rPr>
        <w:t>2</w:t>
      </w:r>
      <w:r>
        <w:rPr>
          <w:spacing w:val="-2"/>
        </w:rPr>
        <w:t>元</w:t>
      </w:r>
      <w:r>
        <w:rPr>
          <w:spacing w:val="-41"/>
        </w:rPr>
        <w:t> </w:t>
      </w:r>
      <w:r>
        <w:rPr>
          <w:spacing w:val="-2"/>
        </w:rPr>
        <w:t>现金（含税），以资本公积金每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股，并于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日予以实施，本次所转增股份于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rFonts w:ascii="宋体" w:hAnsi="宋体" w:cs="宋体" w:eastAsia="宋体" w:hint="default"/>
          <w:spacing w:val="-29"/>
        </w:rPr>
        <w:t> </w:t>
      </w:r>
      <w:r>
        <w:rPr/>
        <w:t>月</w:t>
      </w:r>
      <w:r>
        <w:rPr>
          <w:rFonts w:ascii="宋体" w:hAnsi="宋体" w:cs="宋体" w:eastAsia="宋体" w:hint="default"/>
        </w:rPr>
        <w:t>24</w:t>
      </w:r>
      <w:r>
        <w:rPr/>
        <w:t>日直接记入股东证券账户，实施后公司总股本由</w:t>
      </w:r>
      <w:r>
        <w:rPr>
          <w:rFonts w:ascii="宋体" w:hAnsi="宋体" w:cs="宋体" w:eastAsia="宋体" w:hint="default"/>
        </w:rPr>
        <w:t>6,700</w:t>
      </w:r>
      <w:r>
        <w:rPr/>
        <w:t>万股增至</w:t>
      </w:r>
      <w:r>
        <w:rPr>
          <w:rFonts w:ascii="宋体" w:hAnsi="宋体" w:cs="宋体" w:eastAsia="宋体" w:hint="default"/>
        </w:rPr>
        <w:t>13,400</w:t>
      </w:r>
      <w:r>
        <w:rPr/>
        <w:t>万股。</w:t>
      </w:r>
    </w:p>
    <w:p>
      <w:pPr>
        <w:spacing w:line="240" w:lineRule="auto" w:before="0"/>
        <w:rPr>
          <w:rFonts w:ascii="宋体" w:hAnsi="宋体" w:cs="宋体" w:eastAsia="宋体" w:hint="default"/>
          <w:sz w:val="20"/>
          <w:szCs w:val="20"/>
        </w:rPr>
      </w:pPr>
    </w:p>
    <w:p>
      <w:pPr>
        <w:spacing w:before="164"/>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4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 无</w:t>
      </w:r>
    </w:p>
    <w:p>
      <w:pPr>
        <w:spacing w:line="240" w:lineRule="auto" w:before="0"/>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9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15,502,200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31,004,400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首发承诺限</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15,502,200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312" w:lineRule="auto" w:before="63"/>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月由资 本公积金转增新 增限售 </w:t>
            </w:r>
            <w:r>
              <w:rPr>
                <w:rFonts w:ascii="Times New Roman" w:hAnsi="Times New Roman" w:cs="Times New Roman" w:eastAsia="Times New Roman" w:hint="default"/>
                <w:sz w:val="18"/>
                <w:szCs w:val="18"/>
              </w:rPr>
              <w:t>15,502,200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8,355,350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8,355,350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16,710,700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发承诺限售</w:t>
            </w:r>
          </w:p>
          <w:p>
            <w:pPr>
              <w:pStyle w:val="TableParagraph"/>
              <w:spacing w:line="240" w:lineRule="auto" w:before="7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8,355,350 </w:t>
            </w:r>
            <w:r>
              <w:rPr>
                <w:rFonts w:ascii="宋体" w:hAnsi="宋体" w:cs="宋体" w:eastAsia="宋体" w:hint="default"/>
                <w:sz w:val="18"/>
                <w:szCs w:val="18"/>
              </w:rPr>
              <w:t>股；</w:t>
            </w:r>
          </w:p>
          <w:p>
            <w:pPr>
              <w:pStyle w:val="TableParagraph"/>
              <w:spacing w:line="309" w:lineRule="auto" w:before="63"/>
              <w:ind w:left="23"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月由资 本公积金转增新 增限售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8,355,350</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15,480,800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首发承诺限</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7,740,400 </w:t>
            </w:r>
            <w:r>
              <w:rPr>
                <w:rFonts w:ascii="宋体" w:hAnsi="宋体" w:cs="宋体" w:eastAsia="宋体" w:hint="default"/>
                <w:sz w:val="18"/>
                <w:szCs w:val="18"/>
              </w:rPr>
              <w:t>股；</w:t>
            </w:r>
          </w:p>
          <w:p>
            <w:pPr>
              <w:pStyle w:val="TableParagraph"/>
              <w:spacing w:line="309" w:lineRule="auto" w:before="63"/>
              <w:ind w:left="23"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月由资 本公积金转增新 增限售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7,740,400</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3,125,250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1,562,626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3,125,250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4,687,874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70"/>
              <w:jc w:val="left"/>
              <w:rPr>
                <w:rFonts w:ascii="宋体" w:hAnsi="宋体" w:cs="宋体" w:eastAsia="宋体" w:hint="default"/>
                <w:sz w:val="18"/>
                <w:szCs w:val="18"/>
              </w:rPr>
            </w:pPr>
            <w:r>
              <w:rPr>
                <w:rFonts w:ascii="宋体" w:hAnsi="宋体" w:cs="宋体" w:eastAsia="宋体" w:hint="default"/>
                <w:sz w:val="18"/>
                <w:szCs w:val="18"/>
              </w:rPr>
              <w:t>上市前承诺；高 管锁定股（首发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192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承诺限售</w:t>
            </w:r>
          </w:p>
          <w:p>
            <w:pPr>
              <w:pStyle w:val="TableParagraph"/>
              <w:spacing w:line="240" w:lineRule="auto" w:before="7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3,125,250 </w:t>
            </w:r>
            <w:r>
              <w:rPr>
                <w:rFonts w:ascii="宋体" w:hAnsi="宋体" w:cs="宋体" w:eastAsia="宋体" w:hint="default"/>
                <w:sz w:val="18"/>
                <w:szCs w:val="18"/>
              </w:rPr>
              <w:t>股；</w:t>
            </w:r>
          </w:p>
          <w:p>
            <w:pPr>
              <w:pStyle w:val="TableParagraph"/>
              <w:spacing w:line="309" w:lineRule="auto" w:before="63"/>
              <w:ind w:left="23"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月由资 本公积金转增新 增限售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3,125,250</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6,952,000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3,476,000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6,952,000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10,428,000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上市前承诺，高 管锁定股（首发 承诺限售 </w:t>
            </w:r>
            <w:r>
              <w:rPr>
                <w:rFonts w:ascii="Times New Roman" w:hAnsi="Times New Roman" w:cs="Times New Roman" w:eastAsia="Times New Roman" w:hint="default"/>
                <w:sz w:val="18"/>
                <w:szCs w:val="18"/>
              </w:rPr>
              <w:t>6,952,000 </w:t>
            </w:r>
            <w:r>
              <w:rPr>
                <w:rFonts w:ascii="宋体" w:hAnsi="宋体" w:cs="宋体" w:eastAsia="宋体" w:hint="default"/>
                <w:sz w:val="18"/>
                <w:szCs w:val="18"/>
              </w:rPr>
              <w:t>股；</w:t>
            </w:r>
          </w:p>
          <w:p>
            <w:pPr>
              <w:pStyle w:val="TableParagraph"/>
              <w:spacing w:line="309" w:lineRule="auto"/>
              <w:ind w:left="23"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月由资 本公积金转增新 增限售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6,952,000</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58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丁毅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1,391,150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695,576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1,391,150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2,086,724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上市前承诺，高 管锁定股（首发 承诺限售 </w:t>
            </w:r>
            <w:r>
              <w:rPr>
                <w:rFonts w:ascii="Times New Roman" w:hAnsi="Times New Roman" w:cs="Times New Roman" w:eastAsia="Times New Roman" w:hint="default"/>
                <w:sz w:val="18"/>
                <w:szCs w:val="18"/>
              </w:rPr>
              <w:t>1,391,150 </w:t>
            </w:r>
            <w:r>
              <w:rPr>
                <w:rFonts w:ascii="宋体" w:hAnsi="宋体" w:cs="宋体" w:eastAsia="宋体" w:hint="default"/>
                <w:sz w:val="18"/>
                <w:szCs w:val="18"/>
              </w:rPr>
              <w:t>股；</w:t>
            </w:r>
          </w:p>
          <w:p>
            <w:pPr>
              <w:pStyle w:val="TableParagraph"/>
              <w:spacing w:line="309" w:lineRule="auto"/>
              <w:ind w:left="23"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月由资 本公积金转增新 增限售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1,391,150</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上市前承诺，高 管锁定股（首发 承诺限售</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974,300</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2012</w:t>
            </w:r>
          </w:p>
          <w:p>
            <w:pPr>
              <w:pStyle w:val="TableParagraph"/>
              <w:spacing w:line="309" w:lineRule="auto" w:before="63"/>
              <w:ind w:left="23" w:right="2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月由资本公 积金转增新增限 售</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974,300</w:t>
            </w:r>
            <w:r>
              <w:rPr>
                <w:rFonts w:ascii="Times New Roman" w:hAnsi="Times New Roman" w:cs="Times New Roman" w:eastAsia="Times New Roman" w:hint="default"/>
                <w:spacing w:val="4"/>
                <w:sz w:val="18"/>
                <w:szCs w:val="18"/>
              </w:rPr>
              <w:t> </w:t>
            </w:r>
            <w:r>
              <w:rPr>
                <w:rFonts w:ascii="宋体" w:hAnsi="宋体" w:cs="宋体" w:eastAsia="宋体" w:hint="default"/>
                <w:spacing w:val="-31"/>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上市前承诺，高 管锁定股（首发 承诺限售</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2012</w:t>
            </w:r>
          </w:p>
          <w:p>
            <w:pPr>
              <w:pStyle w:val="TableParagraph"/>
              <w:spacing w:line="309" w:lineRule="auto" w:before="63"/>
              <w:ind w:left="23" w:right="2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月由资本公 积金转增新增限 售</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120,000</w:t>
            </w:r>
            <w:r>
              <w:rPr>
                <w:rFonts w:ascii="Times New Roman" w:hAnsi="Times New Roman" w:cs="Times New Roman" w:eastAsia="Times New Roman" w:hint="default"/>
                <w:spacing w:val="4"/>
                <w:sz w:val="18"/>
                <w:szCs w:val="18"/>
              </w:rPr>
              <w:t> </w:t>
            </w:r>
            <w:r>
              <w:rPr>
                <w:rFonts w:ascii="宋体" w:hAnsi="宋体" w:cs="宋体" w:eastAsia="宋体" w:hint="default"/>
                <w:spacing w:val="-31"/>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44,160,650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6,281,352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44,160,650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82,039,948</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1"/>
          <w:szCs w:val="21"/>
        </w:rPr>
      </w:pPr>
    </w:p>
    <w:p>
      <w:pPr>
        <w:pStyle w:val="Heading2"/>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227.423004pt;margin-top:40.583649pt;width:101.35pt;height:19.6pt;mso-position-horizontal-relative:page;mso-position-vertical-relative:paragraph;z-index:-8272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（或利率）</w:t>
                  </w:r>
                </w:p>
              </w:txbxContent>
            </v:textbox>
            <w10:wrap type="none"/>
          </v:shape>
        </w:pict>
      </w:r>
      <w:r>
        <w:rPr>
          <w:rFonts w:ascii="Times New Roman" w:hAnsi="Times New Roman" w:cs="Times New Roman" w:eastAsia="Times New Roman" w:hint="default"/>
        </w:rPr>
        <w:t>1</w:t>
      </w:r>
      <w:r>
        <w:rPr/>
        <w:t>、报告期内证券发行情况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520"/>
        <w:gridCol w:w="1214"/>
        <w:gridCol w:w="1368"/>
        <w:gridCol w:w="1369"/>
        <w:gridCol w:w="1368"/>
      </w:tblGrid>
      <w:tr>
        <w:trPr>
          <w:trHeight w:val="75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2" w:right="46" w:firstLine="26"/>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发行价格</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357"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证券发行情况的说明 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30"/>
          <w:szCs w:val="30"/>
        </w:rPr>
      </w:pPr>
    </w:p>
    <w:p>
      <w:pPr>
        <w:pStyle w:val="BodyText"/>
        <w:spacing w:line="391" w:lineRule="auto"/>
        <w:ind w:right="149" w:firstLine="336"/>
        <w:jc w:val="righ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日，公司</w:t>
      </w:r>
      <w:r>
        <w:rPr>
          <w:rFonts w:ascii="Times New Roman" w:hAnsi="Times New Roman" w:cs="Times New Roman" w:eastAsia="Times New Roman" w:hint="default"/>
          <w:spacing w:val="-2"/>
        </w:rPr>
        <w:t>2011</w:t>
      </w:r>
      <w:r>
        <w:rPr>
          <w:spacing w:val="-2"/>
        </w:rPr>
        <w:t>年年度股东大会审议通过了《公司</w:t>
      </w:r>
      <w:r>
        <w:rPr>
          <w:rFonts w:ascii="Times New Roman" w:hAnsi="Times New Roman" w:cs="Times New Roman" w:eastAsia="Times New Roman" w:hint="default"/>
          <w:spacing w:val="-2"/>
        </w:rPr>
        <w:t>2011</w:t>
      </w:r>
      <w:r>
        <w:rPr>
          <w:spacing w:val="-2"/>
        </w:rPr>
        <w:t>年度利润分配及公积金转增股本的预</w:t>
      </w:r>
      <w:r>
        <w:rPr>
          <w:w w:val="100"/>
        </w:rPr>
        <w:t> </w:t>
      </w:r>
      <w:r>
        <w:rPr>
          <w:spacing w:val="-2"/>
        </w:rPr>
        <w:t>案》，以公司</w:t>
      </w:r>
      <w:r>
        <w:rPr>
          <w:rFonts w:ascii="Times New Roman" w:hAnsi="Times New Roman" w:cs="Times New Roman" w:eastAsia="Times New Roman" w:hint="default"/>
          <w:spacing w:val="-2"/>
        </w:rPr>
        <w:t>2011</w:t>
      </w:r>
      <w:r>
        <w:rPr>
          <w:spacing w:val="-2"/>
        </w:rPr>
        <w:t>年末总股本</w:t>
      </w:r>
      <w:r>
        <w:rPr>
          <w:rFonts w:ascii="Times New Roman" w:hAnsi="Times New Roman" w:cs="Times New Roman" w:eastAsia="Times New Roman" w:hint="default"/>
          <w:spacing w:val="-2"/>
        </w:rPr>
        <w:t>6,700</w:t>
      </w:r>
      <w:r>
        <w:rPr>
          <w:spacing w:val="-2"/>
        </w:rPr>
        <w:t>万股为基数，向全体股东每</w:t>
      </w:r>
      <w:r>
        <w:rPr>
          <w:rFonts w:ascii="Times New Roman" w:hAnsi="Times New Roman" w:cs="Times New Roman" w:eastAsia="Times New Roman" w:hint="default"/>
          <w:spacing w:val="-2"/>
        </w:rPr>
        <w:t>10</w:t>
      </w:r>
      <w:r>
        <w:rPr>
          <w:spacing w:val="-2"/>
        </w:rPr>
        <w:t>股派发人民币</w:t>
      </w:r>
      <w:r>
        <w:rPr>
          <w:rFonts w:ascii="Times New Roman" w:hAnsi="Times New Roman" w:cs="Times New Roman" w:eastAsia="Times New Roman" w:hint="default"/>
          <w:spacing w:val="-2"/>
        </w:rPr>
        <w:t>2</w:t>
      </w:r>
      <w:r>
        <w:rPr>
          <w:spacing w:val="-2"/>
        </w:rPr>
        <w:t>元现金（含税），以资本</w:t>
      </w:r>
      <w:r>
        <w:rPr>
          <w:spacing w:val="-69"/>
        </w:rPr>
        <w:t> </w:t>
      </w:r>
      <w:r>
        <w:rPr>
          <w:spacing w:val="-69"/>
        </w:rPr>
      </w:r>
      <w:r>
        <w:rPr>
          <w:spacing w:val="-2"/>
        </w:rPr>
        <w:t>公积金每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24</w:t>
      </w:r>
      <w:r>
        <w:rPr>
          <w:spacing w:val="-2"/>
        </w:rPr>
        <w:t>日予以实施，实施后公司总股本由</w:t>
      </w:r>
      <w:r>
        <w:rPr>
          <w:rFonts w:ascii="Times New Roman" w:hAnsi="Times New Roman" w:cs="Times New Roman" w:eastAsia="Times New Roman" w:hint="default"/>
          <w:spacing w:val="-2"/>
        </w:rPr>
        <w:t>6,700</w:t>
      </w:r>
      <w:r>
        <w:rPr>
          <w:spacing w:val="-2"/>
        </w:rPr>
        <w:t>万股增至</w:t>
      </w:r>
      <w:r>
        <w:rPr>
          <w:rFonts w:ascii="Times New Roman" w:hAnsi="Times New Roman" w:cs="Times New Roman" w:eastAsia="Times New Roman" w:hint="default"/>
          <w:spacing w:val="-2"/>
        </w:rPr>
        <w:t>13,400</w:t>
      </w:r>
      <w:r>
        <w:rPr>
          <w:spacing w:val="-2"/>
        </w:rPr>
        <w:t>万股。</w:t>
      </w:r>
      <w:r>
        <w:rPr>
          <w:w w:val="100"/>
        </w:rPr>
        <w:t> </w:t>
      </w:r>
      <w:r>
        <w:rPr>
          <w:spacing w:val="-2"/>
        </w:rPr>
        <w:t>报告期内，公司未发生因配股、增发新股、非公开发行股票、权证行权、实施股权激励计划、企业合</w:t>
      </w:r>
      <w:r>
        <w:rPr>
          <w:w w:val="100"/>
        </w:rPr>
        <w:t> </w:t>
      </w:r>
      <w:r>
        <w:rPr>
          <w:spacing w:val="-2"/>
        </w:rPr>
        <w:t>并、可转换债券转股、减资、债券发行或其他原因引起公司股份总数及股东结构的变动、公司资产和负债</w:t>
      </w:r>
    </w:p>
    <w:p>
      <w:pPr>
        <w:pStyle w:val="BodyText"/>
        <w:spacing w:line="240" w:lineRule="auto" w:before="61"/>
        <w:ind w:right="0"/>
        <w:jc w:val="left"/>
      </w:pPr>
      <w:r>
        <w:rPr/>
        <w:t>结构的变动情况。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0"/>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4"/>
        <w:gridCol w:w="1362"/>
        <w:gridCol w:w="1381"/>
        <w:gridCol w:w="1362"/>
        <w:gridCol w:w="1368"/>
        <w:gridCol w:w="1363"/>
        <w:gridCol w:w="1374"/>
      </w:tblGrid>
      <w:tr>
        <w:trPr>
          <w:trHeight w:val="408"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1"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9,847</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9,086</w:t>
            </w:r>
          </w:p>
        </w:tc>
      </w:tr>
      <w:tr>
        <w:trPr>
          <w:trHeight w:val="39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31,004,400</w:t>
            </w:r>
          </w:p>
        </w:tc>
        <w:tc>
          <w:tcPr>
            <w:tcW w:w="136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31,004,400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12.47%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16,710,700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16,710,700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15,480,800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15,480,800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10,428,000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4.58%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4,687,874</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丁毅</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1.56%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2,086,724</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滕长春</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368"/>
        <w:gridCol w:w="1369"/>
        <w:gridCol w:w="1368"/>
        <w:gridCol w:w="1368"/>
        <w:gridCol w:w="1369"/>
        <w:gridCol w:w="1368"/>
      </w:tblGrid>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650,100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何国桥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2,976,000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滕长春</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1,808,470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1,808,470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1,454,412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1,454,412</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程硕</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650,100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何国桥</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朱晓栋</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300,091</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吴荆平</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孙越</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275,200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杨柳</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265,680</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国泰君安证券股份有限公司客户 信用交易担保证券账户</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247,275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247,275</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2" w:type="dxa"/>
            <w:gridSpan w:val="5"/>
            <w:tcBorders>
              <w:top w:val="single" w:sz="4" w:space="0" w:color="000000"/>
              <w:left w:val="single" w:sz="10" w:space="0" w:color="D2D2D2"/>
              <w:bottom w:val="single" w:sz="4" w:space="0" w:color="000000"/>
              <w:right w:val="single" w:sz="4" w:space="0" w:color="000000"/>
            </w:tcBorders>
          </w:tcPr>
          <w:p>
            <w:pPr>
              <w:pStyle w:val="TableParagraph"/>
              <w:spacing w:line="300" w:lineRule="auto" w:before="49"/>
              <w:ind w:left="16" w:right="5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）股东之间不存在关联关系或属于《上市公司股东持股变动信息披露关联办法》规 </w:t>
            </w:r>
            <w:r>
              <w:rPr>
                <w:rFonts w:ascii="宋体" w:hAnsi="宋体" w:cs="宋体" w:eastAsia="宋体" w:hint="default"/>
                <w:spacing w:val="-4"/>
                <w:sz w:val="18"/>
                <w:szCs w:val="18"/>
              </w:rPr>
              <w:t>定的一致行动人。（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）前十名无限售条件股东之间关系未获悉。</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46" w:firstLine="336"/>
        <w:jc w:val="both"/>
      </w:pPr>
      <w:r>
        <w:rPr>
          <w:spacing w:val="-3"/>
        </w:rPr>
        <w:t>截至本报告期末，陆文雄先生持有本公司股份</w:t>
      </w:r>
      <w:r>
        <w:rPr>
          <w:rFonts w:ascii="Times New Roman" w:hAnsi="Times New Roman" w:cs="Times New Roman" w:eastAsia="Times New Roman" w:hint="default"/>
          <w:spacing w:val="-3"/>
        </w:rPr>
        <w:t>31,004,400</w:t>
      </w:r>
      <w:r>
        <w:rPr>
          <w:spacing w:val="-3"/>
        </w:rPr>
        <w:t>股，占公司总股本的</w:t>
      </w:r>
      <w:r>
        <w:rPr>
          <w:rFonts w:ascii="Times New Roman" w:hAnsi="Times New Roman" w:cs="Times New Roman" w:eastAsia="Times New Roman" w:hint="default"/>
          <w:spacing w:val="-3"/>
        </w:rPr>
        <w:t>23.14%</w:t>
      </w:r>
      <w:r>
        <w:rPr>
          <w:spacing w:val="-3"/>
        </w:rPr>
        <w:t>，是本公司的控股</w:t>
      </w:r>
      <w:r>
        <w:rPr>
          <w:w w:val="100"/>
        </w:rPr>
        <w:t> </w:t>
      </w:r>
      <w:r>
        <w:rPr>
          <w:spacing w:val="-4"/>
        </w:rPr>
        <w:t>股东。</w:t>
      </w:r>
      <w:r>
        <w:rPr>
          <w:rFonts w:ascii="Times New Roman" w:hAnsi="Times New Roman" w:cs="Times New Roman" w:eastAsia="Times New Roman" w:hint="default"/>
          <w:spacing w:val="-4"/>
        </w:rPr>
        <w:t>1967</w:t>
      </w:r>
      <w:r>
        <w:rPr>
          <w:spacing w:val="-4"/>
        </w:rPr>
        <w:t>年</w:t>
      </w:r>
      <w:r>
        <w:rPr>
          <w:rFonts w:ascii="Times New Roman" w:hAnsi="Times New Roman" w:cs="Times New Roman" w:eastAsia="Times New Roman" w:hint="default"/>
          <w:spacing w:val="-4"/>
        </w:rPr>
        <w:t>6</w:t>
      </w:r>
      <w:r>
        <w:rPr>
          <w:spacing w:val="-4"/>
        </w:rPr>
        <w:t>月出生，大学本科学历。现任公司董事长。</w:t>
      </w:r>
      <w:r>
        <w:rPr>
          <w:rFonts w:ascii="Times New Roman" w:hAnsi="Times New Roman" w:cs="Times New Roman" w:eastAsia="Times New Roman" w:hint="default"/>
          <w:spacing w:val="-4"/>
        </w:rPr>
        <w:t>1989</w:t>
      </w:r>
      <w:r>
        <w:rPr>
          <w:spacing w:val="-4"/>
        </w:rPr>
        <w:t>年上海交通大学无线电技术专业毕业；</w:t>
      </w:r>
      <w:r>
        <w:rPr>
          <w:rFonts w:ascii="Times New Roman" w:hAnsi="Times New Roman" w:cs="Times New Roman" w:eastAsia="Times New Roman" w:hint="default"/>
          <w:spacing w:val="-4"/>
        </w:rPr>
        <w:t>1989</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2"/>
        </w:rPr>
        <w:t>年至</w:t>
      </w:r>
      <w:r>
        <w:rPr>
          <w:rFonts w:ascii="Times New Roman" w:hAnsi="Times New Roman" w:cs="Times New Roman" w:eastAsia="Times New Roman" w:hint="default"/>
          <w:spacing w:val="-2"/>
        </w:rPr>
        <w:t>1996</w:t>
      </w:r>
      <w:r>
        <w:rPr>
          <w:spacing w:val="-2"/>
        </w:rPr>
        <w:t>年，在上海贝尔电话设备制造有限公司移动部担任全国营销总监；</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年，在中国惠普</w:t>
      </w:r>
      <w:r>
        <w:rPr>
          <w:spacing w:val="-36"/>
        </w:rPr>
        <w:t> </w:t>
      </w:r>
      <w:r>
        <w:rPr>
          <w:spacing w:val="-36"/>
        </w:rPr>
      </w:r>
      <w:r>
        <w:rPr>
          <w:spacing w:val="-2"/>
        </w:rPr>
        <w:t>有限公司担任电信行业销售副总经理；</w:t>
      </w:r>
      <w:r>
        <w:rPr>
          <w:rFonts w:ascii="Times New Roman" w:hAnsi="Times New Roman" w:cs="Times New Roman" w:eastAsia="Times New Roman" w:hint="default"/>
          <w:spacing w:val="-2"/>
        </w:rPr>
        <w:t>2001</w:t>
      </w:r>
      <w:r>
        <w:rPr>
          <w:spacing w:val="-2"/>
        </w:rPr>
        <w:t>年，天玑科技设立时为其创始人之一，</w:t>
      </w:r>
      <w:r>
        <w:rPr>
          <w:rFonts w:ascii="Times New Roman" w:hAnsi="Times New Roman" w:cs="Times New Roman" w:eastAsia="Times New Roman" w:hint="default"/>
          <w:spacing w:val="-2"/>
        </w:rPr>
        <w:t>2003</w:t>
      </w:r>
      <w:r>
        <w:rPr>
          <w:spacing w:val="-2"/>
        </w:rPr>
        <w:t>年至今为天玑科技</w:t>
      </w:r>
      <w:r>
        <w:rPr>
          <w:spacing w:val="-38"/>
        </w:rPr>
        <w:t> </w:t>
      </w:r>
      <w:r>
        <w:rPr>
          <w:spacing w:val="-38"/>
        </w:rPr>
      </w:r>
      <w:r>
        <w:rPr/>
        <w:t>控股股东、实际控制人，并担任法定代表人。</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30"/>
          <w:szCs w:val="30"/>
        </w:rPr>
      </w:pPr>
    </w:p>
    <w:p>
      <w:pPr>
        <w:pStyle w:val="BodyText"/>
        <w:spacing w:line="386" w:lineRule="auto"/>
        <w:ind w:right="146" w:firstLine="336"/>
        <w:jc w:val="both"/>
      </w:pPr>
      <w:r>
        <w:rPr>
          <w:spacing w:val="-3"/>
        </w:rPr>
        <w:t>截至本报告期末，陆文雄先生持有本公司股份</w:t>
      </w:r>
      <w:r>
        <w:rPr>
          <w:rFonts w:ascii="Times New Roman" w:hAnsi="Times New Roman" w:cs="Times New Roman" w:eastAsia="Times New Roman" w:hint="default"/>
          <w:spacing w:val="-3"/>
        </w:rPr>
        <w:t>31,004,400</w:t>
      </w:r>
      <w:r>
        <w:rPr>
          <w:spacing w:val="-3"/>
        </w:rPr>
        <w:t>股，占公司总股本的</w:t>
      </w:r>
      <w:r>
        <w:rPr>
          <w:rFonts w:ascii="Times New Roman" w:hAnsi="Times New Roman" w:cs="Times New Roman" w:eastAsia="Times New Roman" w:hint="default"/>
          <w:spacing w:val="-3"/>
        </w:rPr>
        <w:t>23.14%</w:t>
      </w:r>
      <w:r>
        <w:rPr>
          <w:spacing w:val="-3"/>
        </w:rPr>
        <w:t>，是本公司的控股</w:t>
      </w:r>
      <w:r>
        <w:rPr>
          <w:w w:val="100"/>
        </w:rPr>
        <w:t> </w:t>
      </w:r>
      <w:r>
        <w:rPr>
          <w:spacing w:val="-4"/>
        </w:rPr>
        <w:t>股东。</w:t>
      </w:r>
      <w:r>
        <w:rPr>
          <w:rFonts w:ascii="Times New Roman" w:hAnsi="Times New Roman" w:cs="Times New Roman" w:eastAsia="Times New Roman" w:hint="default"/>
          <w:spacing w:val="-4"/>
        </w:rPr>
        <w:t>1967</w:t>
      </w:r>
      <w:r>
        <w:rPr>
          <w:spacing w:val="-4"/>
        </w:rPr>
        <w:t>年</w:t>
      </w:r>
      <w:r>
        <w:rPr>
          <w:rFonts w:ascii="Times New Roman" w:hAnsi="Times New Roman" w:cs="Times New Roman" w:eastAsia="Times New Roman" w:hint="default"/>
          <w:spacing w:val="-4"/>
        </w:rPr>
        <w:t>6</w:t>
      </w:r>
      <w:r>
        <w:rPr>
          <w:spacing w:val="-4"/>
        </w:rPr>
        <w:t>月出生，大学本科学历。现任公司董事长。</w:t>
      </w:r>
      <w:r>
        <w:rPr>
          <w:rFonts w:ascii="Times New Roman" w:hAnsi="Times New Roman" w:cs="Times New Roman" w:eastAsia="Times New Roman" w:hint="default"/>
          <w:spacing w:val="-4"/>
        </w:rPr>
        <w:t>1989</w:t>
      </w:r>
      <w:r>
        <w:rPr>
          <w:spacing w:val="-4"/>
        </w:rPr>
        <w:t>年上海交通大学无线电技术专业毕业；</w:t>
      </w:r>
      <w:r>
        <w:rPr>
          <w:rFonts w:ascii="Times New Roman" w:hAnsi="Times New Roman" w:cs="Times New Roman" w:eastAsia="Times New Roman" w:hint="default"/>
          <w:spacing w:val="-4"/>
        </w:rPr>
        <w:t>1989</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2"/>
        </w:rPr>
        <w:t>年至</w:t>
      </w:r>
      <w:r>
        <w:rPr>
          <w:rFonts w:ascii="Times New Roman" w:hAnsi="Times New Roman" w:cs="Times New Roman" w:eastAsia="Times New Roman" w:hint="default"/>
          <w:spacing w:val="-2"/>
        </w:rPr>
        <w:t>1996</w:t>
      </w:r>
      <w:r>
        <w:rPr>
          <w:spacing w:val="-2"/>
        </w:rPr>
        <w:t>年，在上海贝尔电话设备制造有限公司移动部担任全国营销总监；</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年，在中国惠普</w:t>
      </w:r>
      <w:r>
        <w:rPr>
          <w:spacing w:val="-36"/>
        </w:rPr>
        <w:t> </w:t>
      </w:r>
      <w:r>
        <w:rPr>
          <w:spacing w:val="-36"/>
        </w:rPr>
      </w:r>
      <w:r>
        <w:rPr>
          <w:spacing w:val="-2"/>
        </w:rPr>
        <w:t>有限公司担任电信行业销售副总经理；</w:t>
      </w:r>
      <w:r>
        <w:rPr>
          <w:rFonts w:ascii="Times New Roman" w:hAnsi="Times New Roman" w:cs="Times New Roman" w:eastAsia="Times New Roman" w:hint="default"/>
          <w:spacing w:val="-2"/>
        </w:rPr>
        <w:t>2001</w:t>
      </w:r>
      <w:r>
        <w:rPr>
          <w:spacing w:val="-2"/>
        </w:rPr>
        <w:t>年，天玑科技设立时为其创始人之一，</w:t>
      </w:r>
      <w:r>
        <w:rPr>
          <w:rFonts w:ascii="Times New Roman" w:hAnsi="Times New Roman" w:cs="Times New Roman" w:eastAsia="Times New Roman" w:hint="default"/>
          <w:spacing w:val="-2"/>
        </w:rPr>
        <w:t>2003</w:t>
      </w:r>
      <w:r>
        <w:rPr>
          <w:spacing w:val="-2"/>
        </w:rPr>
        <w:t>年至今为天玑科技</w:t>
      </w:r>
      <w:r>
        <w:rPr>
          <w:spacing w:val="-37"/>
        </w:rPr>
        <w:t> </w:t>
      </w:r>
      <w:r>
        <w:rPr>
          <w:spacing w:val="-37"/>
        </w:rPr>
      </w:r>
      <w:r>
        <w:rPr/>
        <w:t>控股股东、实际控制人，并担任法定代表人。</w:t>
      </w:r>
    </w:p>
    <w:p>
      <w:pPr>
        <w:spacing w:after="0" w:line="386" w:lineRule="auto"/>
        <w:jc w:val="both"/>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3"/>
        <w:rPr>
          <w:rFonts w:ascii="宋体" w:hAnsi="宋体" w:cs="宋体" w:eastAsia="宋体" w:hint="default"/>
          <w:sz w:val="25"/>
          <w:szCs w:val="25"/>
        </w:rPr>
      </w:pPr>
    </w:p>
    <w:p>
      <w:pPr>
        <w:spacing w:line="3610" w:lineRule="exact"/>
        <w:ind w:left="2001"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762697" cy="229295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3762697" cy="2292953"/>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1"/>
        <w:gridCol w:w="1095"/>
        <w:gridCol w:w="888"/>
        <w:gridCol w:w="1800"/>
        <w:gridCol w:w="1800"/>
        <w:gridCol w:w="1792"/>
      </w:tblGrid>
      <w:tr>
        <w:trPr>
          <w:trHeight w:val="713"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0" w:right="71"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403"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9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31,004,400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7,751,100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首发个人承诺限售股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16,710,700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首发个人承诺限售股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15,480,800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3,870,200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首发个人承诺限售股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10,428,000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4,687,874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2,086,724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0"/>
        <w:jc w:val="left"/>
        <w:rPr>
          <w:b w:val="0"/>
          <w:bCs w:val="0"/>
        </w:rPr>
      </w:pPr>
      <w:bookmarkStart w:name="_bookmark6" w:id="7"/>
      <w:bookmarkEnd w:id="7"/>
      <w:r>
        <w:rPr>
          <w:b w:val="0"/>
          <w:bCs w:val="0"/>
        </w:rPr>
      </w:r>
      <w:r>
        <w:rPr/>
        <w:t>第七节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pict>
          <v:shape style="position:absolute;margin-left:476.380005pt;margin-top:115.0616pt;width:58.35pt;height:46.85pt;mso-position-horizontal-relative:page;mso-position-vertical-relative:paragraph;z-index:-827248" type="#_x0000_t202" filled="false" stroked="false">
            <v:textbox inset="0,0,0,0">
              <w:txbxContent>
                <w:p>
                  <w:pPr>
                    <w:spacing w:line="240" w:lineRule="auto" w:before="4"/>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336"/>
        <w:gridCol w:w="283"/>
        <w:gridCol w:w="850"/>
        <w:gridCol w:w="853"/>
        <w:gridCol w:w="1133"/>
        <w:gridCol w:w="569"/>
        <w:gridCol w:w="850"/>
        <w:gridCol w:w="994"/>
        <w:gridCol w:w="566"/>
        <w:gridCol w:w="567"/>
        <w:gridCol w:w="516"/>
        <w:gridCol w:w="684"/>
      </w:tblGrid>
      <w:tr>
        <w:trPr>
          <w:trHeight w:val="258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74" w:right="71"/>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47"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59" w:right="5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8" w:right="96"/>
              <w:jc w:val="both"/>
              <w:rPr>
                <w:rFonts w:ascii="宋体" w:hAnsi="宋体" w:cs="宋体" w:eastAsia="宋体" w:hint="default"/>
                <w:sz w:val="18"/>
                <w:szCs w:val="18"/>
              </w:rPr>
            </w:pPr>
            <w:r>
              <w:rPr>
                <w:rFonts w:ascii="宋体" w:hAnsi="宋体" w:cs="宋体" w:eastAsia="宋体" w:hint="default"/>
                <w:sz w:val="18"/>
                <w:szCs w:val="18"/>
              </w:rPr>
              <w:t>期初 持有 股票 期权 数量</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7" w:hanging="75"/>
              <w:jc w:val="left"/>
              <w:rPr>
                <w:rFonts w:ascii="宋体" w:hAnsi="宋体" w:cs="宋体" w:eastAsia="宋体" w:hint="default"/>
                <w:sz w:val="18"/>
                <w:szCs w:val="18"/>
              </w:rPr>
            </w:pPr>
            <w:r>
              <w:rPr>
                <w:rFonts w:ascii="宋体" w:hAnsi="宋体" w:cs="宋体" w:eastAsia="宋体" w:hint="default"/>
                <w:sz w:val="18"/>
                <w:szCs w:val="18"/>
              </w:rPr>
              <w:t>其中： 被授 予的 限制 性股 票数 量</w:t>
            </w:r>
          </w:p>
          <w:p>
            <w:pPr>
              <w:pStyle w:val="TableParagraph"/>
              <w:spacing w:line="240" w:lineRule="auto" w:before="19"/>
              <w:ind w:left="23" w:right="-7"/>
              <w:jc w:val="left"/>
              <w:rPr>
                <w:rFonts w:ascii="宋体" w:hAnsi="宋体" w:cs="宋体" w:eastAsia="宋体" w:hint="default"/>
                <w:sz w:val="18"/>
                <w:szCs w:val="18"/>
              </w:rPr>
            </w:pPr>
            <w:r>
              <w:rPr>
                <w:rFonts w:ascii="宋体" w:hAnsi="宋体" w:cs="宋体" w:eastAsia="宋体" w:hint="default"/>
                <w:sz w:val="18"/>
                <w:szCs w:val="18"/>
              </w:rPr>
              <w:t>（股）</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74" w:right="71"/>
              <w:jc w:val="both"/>
              <w:rPr>
                <w:rFonts w:ascii="宋体" w:hAnsi="宋体" w:cs="宋体" w:eastAsia="宋体" w:hint="default"/>
                <w:sz w:val="18"/>
                <w:szCs w:val="18"/>
              </w:rPr>
            </w:pPr>
            <w:r>
              <w:rPr>
                <w:rFonts w:ascii="宋体" w:hAnsi="宋体" w:cs="宋体" w:eastAsia="宋体" w:hint="default"/>
                <w:sz w:val="18"/>
                <w:szCs w:val="18"/>
              </w:rPr>
              <w:t>期末 持有 股票 期权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15,502,200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31,004,400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8,355,350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16,710,700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7,740,400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15,480,800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6,952,000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96"/>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3,125,250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6,142,286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丁毅</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1,391,150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695,574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2,086,726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974,300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487,150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1,461,450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刘洁琼</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336"/>
        <w:gridCol w:w="283"/>
        <w:gridCol w:w="850"/>
        <w:gridCol w:w="853"/>
        <w:gridCol w:w="1133"/>
        <w:gridCol w:w="569"/>
        <w:gridCol w:w="850"/>
        <w:gridCol w:w="994"/>
        <w:gridCol w:w="566"/>
        <w:gridCol w:w="567"/>
        <w:gridCol w:w="516"/>
        <w:gridCol w:w="684"/>
      </w:tblGrid>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陆廷洁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董事会 秘书、 副总经 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6" w:right="107"/>
              <w:jc w:val="left"/>
              <w:rPr>
                <w:rFonts w:ascii="宋体" w:hAnsi="宋体" w:cs="宋体" w:eastAsia="宋体" w:hint="default"/>
                <w:sz w:val="18"/>
                <w:szCs w:val="18"/>
              </w:rPr>
            </w:pPr>
            <w:r>
              <w:rPr>
                <w:rFonts w:ascii="宋体" w:hAnsi="宋体" w:cs="宋体" w:eastAsia="宋体" w:hint="default"/>
                <w:sz w:val="18"/>
                <w:szCs w:val="18"/>
              </w:rPr>
              <w:t>公积金 转增</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刘万昌</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5"/>
              <w:jc w:val="left"/>
              <w:rPr>
                <w:rFonts w:ascii="宋体" w:hAnsi="宋体" w:cs="宋体" w:eastAsia="宋体" w:hint="default"/>
                <w:sz w:val="18"/>
                <w:szCs w:val="18"/>
              </w:rPr>
            </w:pPr>
            <w:r>
              <w:rPr>
                <w:rFonts w:ascii="宋体" w:hAnsi="宋体" w:cs="宋体" w:eastAsia="宋体" w:hint="default"/>
                <w:sz w:val="18"/>
                <w:szCs w:val="18"/>
              </w:rPr>
              <w:t>原董 事、总 经理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6"/>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
              <w:jc w:val="righ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44,160,650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1,850,938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86,470,362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ind w:right="102"/>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before="104"/>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p>
    <w:p>
      <w:pPr>
        <w:spacing w:line="240" w:lineRule="auto" w:before="3"/>
        <w:rPr>
          <w:rFonts w:ascii="宋体" w:hAnsi="宋体" w:cs="宋体" w:eastAsia="宋体" w:hint="default"/>
          <w:sz w:val="18"/>
          <w:szCs w:val="18"/>
        </w:rPr>
      </w:pPr>
    </w:p>
    <w:p>
      <w:pPr>
        <w:pStyle w:val="BodyText"/>
        <w:spacing w:line="386" w:lineRule="auto"/>
        <w:ind w:right="102" w:firstLine="422"/>
        <w:jc w:val="left"/>
      </w:pPr>
      <w:r>
        <w:rPr>
          <w:rFonts w:ascii="宋体" w:hAnsi="宋体" w:cs="宋体" w:eastAsia="宋体" w:hint="default"/>
          <w:b/>
          <w:bCs/>
        </w:rPr>
        <w:t>陆文雄先生</w:t>
      </w:r>
      <w:r>
        <w:rPr/>
        <w:t>，男，中国国籍，拥有新西兰无限期永久居民签证，</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6</w:t>
      </w:r>
      <w:r>
        <w:rPr/>
        <w:t>月出生，大学本科学历。现</w:t>
      </w:r>
      <w:r>
        <w:rPr>
          <w:w w:val="100"/>
        </w:rPr>
        <w:t> </w:t>
      </w:r>
      <w:r>
        <w:rPr>
          <w:spacing w:val="-2"/>
        </w:rPr>
        <w:t>任公司董事长。</w:t>
      </w:r>
      <w:r>
        <w:rPr>
          <w:rFonts w:ascii="Times New Roman" w:hAnsi="Times New Roman" w:cs="Times New Roman" w:eastAsia="Times New Roman" w:hint="default"/>
          <w:spacing w:val="-2"/>
        </w:rPr>
        <w:t>1989</w:t>
      </w:r>
      <w:r>
        <w:rPr>
          <w:spacing w:val="-2"/>
        </w:rPr>
        <w:t>年上海交通大学无线电技术专业毕业；</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1996</w:t>
      </w:r>
      <w:r>
        <w:rPr>
          <w:spacing w:val="-2"/>
        </w:rPr>
        <w:t>年，在上海贝尔电话设备制造有</w:t>
      </w:r>
      <w:r>
        <w:rPr>
          <w:spacing w:val="-34"/>
        </w:rPr>
        <w:t> </w:t>
      </w:r>
      <w:r>
        <w:rPr>
          <w:spacing w:val="-34"/>
        </w:rPr>
      </w:r>
      <w:r>
        <w:rPr>
          <w:spacing w:val="-6"/>
        </w:rPr>
        <w:t>限公司移动部担任全国营销总监；</w:t>
      </w:r>
      <w:r>
        <w:rPr>
          <w:rFonts w:ascii="Times New Roman" w:hAnsi="Times New Roman" w:cs="Times New Roman" w:eastAsia="Times New Roman" w:hint="default"/>
          <w:spacing w:val="-6"/>
        </w:rPr>
        <w:t>1997</w:t>
      </w:r>
      <w:r>
        <w:rPr>
          <w:spacing w:val="-6"/>
        </w:rPr>
        <w:t>年至</w:t>
      </w:r>
      <w:r>
        <w:rPr>
          <w:rFonts w:ascii="Times New Roman" w:hAnsi="Times New Roman" w:cs="Times New Roman" w:eastAsia="Times New Roman" w:hint="default"/>
          <w:spacing w:val="-6"/>
        </w:rPr>
        <w:t>2001</w:t>
      </w:r>
      <w:r>
        <w:rPr>
          <w:spacing w:val="-6"/>
        </w:rPr>
        <w:t>年，在中国惠普有限公司担任电信行业销售副总经理；</w:t>
      </w:r>
      <w:r>
        <w:rPr>
          <w:rFonts w:ascii="Times New Roman" w:hAnsi="Times New Roman" w:cs="Times New Roman" w:eastAsia="Times New Roman" w:hint="default"/>
          <w:spacing w:val="-6"/>
        </w:rPr>
        <w:t>2001</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5"/>
        </w:rPr>
        <w:t>年，天玑科技设立时为其创始人之一，</w:t>
      </w:r>
      <w:r>
        <w:rPr>
          <w:rFonts w:ascii="Times New Roman" w:hAnsi="Times New Roman" w:cs="Times New Roman" w:eastAsia="Times New Roman" w:hint="default"/>
          <w:spacing w:val="-5"/>
        </w:rPr>
        <w:t>2003</w:t>
      </w:r>
      <w:r>
        <w:rPr>
          <w:spacing w:val="-5"/>
        </w:rPr>
        <w:t>年至今为天玑科技控股股东、实际控制人，并担任法定代表人。</w:t>
      </w:r>
    </w:p>
    <w:p>
      <w:pPr>
        <w:pStyle w:val="BodyText"/>
        <w:spacing w:line="386" w:lineRule="auto" w:before="155"/>
        <w:ind w:right="102" w:firstLine="355"/>
        <w:jc w:val="left"/>
      </w:pPr>
      <w:r>
        <w:rPr>
          <w:rFonts w:ascii="宋体" w:hAnsi="宋体" w:cs="宋体" w:eastAsia="宋体" w:hint="default"/>
          <w:b/>
          <w:bCs/>
          <w:spacing w:val="-3"/>
        </w:rPr>
        <w:t>陈宏科先生</w:t>
      </w:r>
      <w:r>
        <w:rPr>
          <w:spacing w:val="-3"/>
        </w:rPr>
        <w:t>，中国国籍，无境外永久居留权，</w:t>
      </w:r>
      <w:r>
        <w:rPr>
          <w:rFonts w:ascii="Times New Roman" w:hAnsi="Times New Roman" w:cs="Times New Roman" w:eastAsia="Times New Roman" w:hint="default"/>
          <w:spacing w:val="-3"/>
        </w:rPr>
        <w:t>1969</w:t>
      </w:r>
      <w:r>
        <w:rPr>
          <w:spacing w:val="-3"/>
        </w:rPr>
        <w:t>年</w:t>
      </w:r>
      <w:r>
        <w:rPr>
          <w:rFonts w:ascii="Times New Roman" w:hAnsi="Times New Roman" w:cs="Times New Roman" w:eastAsia="Times New Roman" w:hint="default"/>
          <w:spacing w:val="-3"/>
        </w:rPr>
        <w:t>8</w:t>
      </w:r>
      <w:r>
        <w:rPr>
          <w:spacing w:val="-3"/>
        </w:rPr>
        <w:t>月出生，大学本科学历。现任公司董事、副总经</w:t>
      </w:r>
      <w:r>
        <w:rPr>
          <w:w w:val="100"/>
        </w:rPr>
        <w:t> </w:t>
      </w:r>
      <w:r>
        <w:rPr/>
        <w:t>理、软件开发事业部总经理。</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1995</w:t>
      </w:r>
      <w:r>
        <w:rPr/>
        <w:t>年在上海宝钢软件有限公司担任技术主管；</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2001</w:t>
      </w:r>
      <w:r>
        <w:rPr/>
        <w:t>年，</w:t>
      </w:r>
      <w:r>
        <w:rPr>
          <w:spacing w:val="-3"/>
          <w:w w:val="100"/>
        </w:rPr>
        <w:t> </w:t>
      </w:r>
      <w:r>
        <w:rPr/>
        <w:t>在中国惠普有限公司上海分公司担任顾问经理；</w:t>
      </w:r>
      <w:r>
        <w:rPr>
          <w:rFonts w:ascii="Times New Roman" w:hAnsi="Times New Roman" w:cs="Times New Roman" w:eastAsia="Times New Roman" w:hint="default"/>
        </w:rPr>
        <w:t>2001</w:t>
      </w:r>
      <w:r>
        <w:rPr/>
        <w:t>年，天玑科技设立时为其创始人之一。曾获得</w:t>
      </w:r>
      <w:r>
        <w:rPr>
          <w:rFonts w:ascii="Times New Roman" w:hAnsi="Times New Roman" w:cs="Times New Roman" w:eastAsia="Times New Roman" w:hint="default"/>
        </w:rPr>
        <w:t>“</w:t>
      </w:r>
      <w:r>
        <w:rPr/>
        <w:t>宝钢</w:t>
      </w:r>
      <w:r>
        <w:rPr>
          <w:spacing w:val="-3"/>
          <w:w w:val="100"/>
        </w:rPr>
        <w:t> </w:t>
      </w:r>
      <w:r>
        <w:rPr>
          <w:spacing w:val="-6"/>
        </w:rPr>
        <w:t>总厂操作能手</w:t>
      </w:r>
      <w:r>
        <w:rPr>
          <w:rFonts w:ascii="Times New Roman" w:hAnsi="Times New Roman" w:cs="Times New Roman" w:eastAsia="Times New Roman" w:hint="default"/>
          <w:spacing w:val="-6"/>
        </w:rPr>
        <w:t>”</w:t>
      </w:r>
      <w:r>
        <w:rPr>
          <w:spacing w:val="-6"/>
        </w:rPr>
        <w:t>称号，主要参与的《高炉</w:t>
      </w:r>
      <w:r>
        <w:rPr>
          <w:rFonts w:ascii="Times New Roman" w:hAnsi="Times New Roman" w:cs="Times New Roman" w:eastAsia="Times New Roman" w:hint="default"/>
          <w:spacing w:val="-6"/>
        </w:rPr>
        <w:t>“</w:t>
      </w:r>
      <w:r>
        <w:rPr>
          <w:spacing w:val="-6"/>
        </w:rPr>
        <w:t>三电</w:t>
      </w:r>
      <w:r>
        <w:rPr>
          <w:rFonts w:ascii="Times New Roman" w:hAnsi="Times New Roman" w:cs="Times New Roman" w:eastAsia="Times New Roman" w:hint="default"/>
          <w:spacing w:val="-6"/>
        </w:rPr>
        <w:t>”</w:t>
      </w:r>
      <w:r>
        <w:rPr>
          <w:spacing w:val="-6"/>
        </w:rPr>
        <w:t>控制设备研制系统软件开发》项目荣获国家科技进步三等奖、</w:t>
      </w:r>
    </w:p>
    <w:p>
      <w:pPr>
        <w:pStyle w:val="BodyText"/>
        <w:spacing w:line="240" w:lineRule="auto" w:before="35"/>
        <w:ind w:right="102"/>
        <w:jc w:val="left"/>
      </w:pPr>
      <w:r>
        <w:rPr/>
        <w:t>《宝钢三号高炉计算机应用软件系统的移植与创新》荣获宝钢重大科技进步成果一等奖。</w:t>
      </w:r>
    </w:p>
    <w:p>
      <w:pPr>
        <w:spacing w:line="240" w:lineRule="auto" w:before="12"/>
        <w:rPr>
          <w:rFonts w:ascii="宋体" w:hAnsi="宋体" w:cs="宋体" w:eastAsia="宋体" w:hint="default"/>
          <w:sz w:val="23"/>
          <w:szCs w:val="23"/>
        </w:rPr>
      </w:pPr>
    </w:p>
    <w:p>
      <w:pPr>
        <w:pStyle w:val="BodyText"/>
        <w:spacing w:line="386" w:lineRule="auto"/>
        <w:ind w:right="206" w:firstLine="355"/>
        <w:jc w:val="both"/>
      </w:pPr>
      <w:r>
        <w:rPr>
          <w:rFonts w:ascii="宋体" w:hAnsi="宋体" w:cs="宋体" w:eastAsia="宋体" w:hint="default"/>
          <w:b/>
          <w:bCs/>
          <w:spacing w:val="-2"/>
        </w:rPr>
        <w:t>杜力耘先生</w:t>
      </w:r>
      <w:r>
        <w:rPr>
          <w:spacing w:val="-2"/>
        </w:rPr>
        <w:t>，男，中国国籍，无境外永久居留权，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11</w:t>
      </w:r>
      <w:r>
        <w:rPr>
          <w:spacing w:val="-2"/>
        </w:rPr>
        <w:t>月出生，研究生学历。现任公司董事、总</w:t>
      </w:r>
      <w:r>
        <w:rPr>
          <w:w w:val="100"/>
        </w:rPr>
        <w:t> </w:t>
      </w:r>
      <w:r>
        <w:rPr>
          <w:spacing w:val="-2"/>
        </w:rPr>
        <w:t>经理。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年，在中国惠普有限公司先后担任工程师、主管、咨询顾问经理等职务；</w:t>
      </w:r>
      <w:r>
        <w:rPr>
          <w:rFonts w:ascii="Times New Roman" w:hAnsi="Times New Roman" w:cs="Times New Roman" w:eastAsia="Times New Roman" w:hint="default"/>
          <w:spacing w:val="-2"/>
        </w:rPr>
        <w:t>2001</w:t>
      </w:r>
      <w:r>
        <w:rPr>
          <w:spacing w:val="-2"/>
        </w:rPr>
        <w:t>年，天</w:t>
      </w:r>
      <w:r>
        <w:rPr>
          <w:spacing w:val="-31"/>
        </w:rPr>
        <w:t> </w:t>
      </w:r>
      <w:r>
        <w:rPr>
          <w:spacing w:val="-31"/>
        </w:rPr>
      </w:r>
      <w:r>
        <w:rPr/>
        <w:t>玑科技设立时为其创始人之一。</w:t>
      </w:r>
      <w:r>
        <w:rPr>
          <w:rFonts w:ascii="Times New Roman" w:hAnsi="Times New Roman" w:cs="Times New Roman" w:eastAsia="Times New Roman" w:hint="default"/>
        </w:rPr>
        <w:t>2003</w:t>
      </w:r>
      <w:r>
        <w:rPr/>
        <w:t>年起历任天玑科技首席运营官、副总经理兼财务总监。</w:t>
      </w:r>
    </w:p>
    <w:p>
      <w:pPr>
        <w:pStyle w:val="BodyText"/>
        <w:spacing w:line="386" w:lineRule="auto" w:before="35"/>
        <w:ind w:right="103" w:firstLine="355"/>
        <w:jc w:val="both"/>
      </w:pPr>
      <w:r>
        <w:rPr>
          <w:rFonts w:ascii="宋体" w:hAnsi="宋体" w:cs="宋体" w:eastAsia="宋体" w:hint="default"/>
          <w:b/>
          <w:bCs/>
          <w:spacing w:val="-3"/>
        </w:rPr>
        <w:t>楼晔先生</w:t>
      </w:r>
      <w:r>
        <w:rPr>
          <w:spacing w:val="-3"/>
        </w:rPr>
        <w:t>，男，中国国籍，无境外永久居留权，</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6</w:t>
      </w:r>
      <w:r>
        <w:rPr>
          <w:spacing w:val="-3"/>
        </w:rPr>
        <w:t>月出生，大学本科学历。现任公司董事、上海</w:t>
      </w:r>
      <w:r>
        <w:rPr>
          <w:w w:val="100"/>
        </w:rPr>
        <w:t> </w:t>
      </w:r>
      <w:r>
        <w:rPr>
          <w:spacing w:val="-2"/>
        </w:rPr>
        <w:t>天玑科技股份有限公司杭州分公司总经理、支持服务事业部总经理。</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2004</w:t>
      </w:r>
      <w:r>
        <w:rPr>
          <w:spacing w:val="-2"/>
        </w:rPr>
        <w:t>年，在国际商业机器有</w:t>
      </w:r>
      <w:r>
        <w:rPr>
          <w:spacing w:val="-37"/>
        </w:rPr>
        <w:t> </w:t>
      </w:r>
      <w:r>
        <w:rPr>
          <w:spacing w:val="-37"/>
        </w:rPr>
      </w:r>
      <w:r>
        <w:rPr>
          <w:spacing w:val="-4"/>
        </w:rPr>
        <w:t>限公司（</w:t>
      </w:r>
      <w:r>
        <w:rPr>
          <w:rFonts w:ascii="Times New Roman" w:hAnsi="Times New Roman" w:cs="Times New Roman" w:eastAsia="Times New Roman" w:hint="default"/>
          <w:spacing w:val="-4"/>
        </w:rPr>
        <w:t>IBM</w:t>
      </w:r>
      <w:r>
        <w:rPr>
          <w:spacing w:val="-4"/>
        </w:rPr>
        <w:t>）中国上海分公司担任客户服务主管；</w:t>
      </w:r>
      <w:r>
        <w:rPr>
          <w:rFonts w:ascii="Times New Roman" w:hAnsi="Times New Roman" w:cs="Times New Roman" w:eastAsia="Times New Roman" w:hint="default"/>
          <w:spacing w:val="-4"/>
        </w:rPr>
        <w:t>2004</w:t>
      </w:r>
      <w:r>
        <w:rPr>
          <w:spacing w:val="-4"/>
        </w:rPr>
        <w:t>年至</w:t>
      </w:r>
      <w:r>
        <w:rPr>
          <w:rFonts w:ascii="Times New Roman" w:hAnsi="Times New Roman" w:cs="Times New Roman" w:eastAsia="Times New Roman" w:hint="default"/>
          <w:spacing w:val="-4"/>
        </w:rPr>
        <w:t>2010</w:t>
      </w:r>
      <w:r>
        <w:rPr>
          <w:spacing w:val="-4"/>
        </w:rPr>
        <w:t>年任杭州天玑信息技术有限公司总经理。</w:t>
      </w:r>
    </w:p>
    <w:p>
      <w:pPr>
        <w:pStyle w:val="BodyText"/>
        <w:spacing w:line="386" w:lineRule="auto" w:before="36"/>
        <w:ind w:right="208" w:firstLine="355"/>
        <w:jc w:val="both"/>
      </w:pPr>
      <w:r>
        <w:rPr>
          <w:rFonts w:ascii="宋体" w:hAnsi="宋体" w:cs="宋体" w:eastAsia="宋体" w:hint="default"/>
          <w:b/>
          <w:bCs/>
          <w:spacing w:val="-2"/>
        </w:rPr>
        <w:t>姜蓓蓓女士</w:t>
      </w:r>
      <w:r>
        <w:rPr>
          <w:spacing w:val="-2"/>
        </w:rPr>
        <w:t>，女，中国国籍，无境外永久居留权，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11</w:t>
      </w:r>
      <w:r>
        <w:rPr>
          <w:spacing w:val="-2"/>
        </w:rPr>
        <w:t>月出生，大学本科学历。现任公司董事、</w:t>
      </w:r>
      <w:r>
        <w:rPr>
          <w:w w:val="100"/>
        </w:rPr>
        <w:t> </w:t>
      </w:r>
      <w:r>
        <w:rPr>
          <w:spacing w:val="-2"/>
        </w:rPr>
        <w:t>副总经理、上海天玑信息技术服务有限公司总经理、销售事业部总经理。</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2007</w:t>
      </w:r>
      <w:r>
        <w:rPr>
          <w:spacing w:val="-2"/>
        </w:rPr>
        <w:t>年，在中国惠普有</w:t>
      </w:r>
      <w:r>
        <w:rPr>
          <w:spacing w:val="-40"/>
        </w:rPr>
        <w:t> </w:t>
      </w:r>
      <w:r>
        <w:rPr>
          <w:spacing w:val="-40"/>
        </w:rPr>
      </w:r>
      <w:r>
        <w:rPr>
          <w:spacing w:val="-2"/>
        </w:rPr>
        <w:t>限公司区域业务部担任华东地区销售部总经理；</w:t>
      </w:r>
      <w:r>
        <w:rPr>
          <w:rFonts w:ascii="Times New Roman" w:hAnsi="Times New Roman" w:cs="Times New Roman" w:eastAsia="Times New Roman" w:hint="default"/>
          <w:spacing w:val="-2"/>
        </w:rPr>
        <w:t>2007</w:t>
      </w:r>
      <w:r>
        <w:rPr>
          <w:spacing w:val="-2"/>
        </w:rPr>
        <w:t>年加入天玑科技任上海天玑信息技术服务有限公司总</w:t>
      </w:r>
      <w:r>
        <w:rPr>
          <w:spacing w:val="-43"/>
        </w:rPr>
        <w:t> </w:t>
      </w:r>
      <w:r>
        <w:rPr>
          <w:spacing w:val="-43"/>
        </w:rPr>
      </w:r>
      <w:r>
        <w:rPr/>
        <w:t>经理。</w:t>
      </w:r>
    </w:p>
    <w:p>
      <w:pPr>
        <w:spacing w:after="0" w:line="386" w:lineRule="auto"/>
        <w:jc w:val="both"/>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102" w:firstLine="336"/>
        <w:jc w:val="left"/>
      </w:pPr>
      <w:r>
        <w:rPr>
          <w:rFonts w:ascii="宋体" w:hAnsi="宋体" w:cs="宋体" w:eastAsia="宋体" w:hint="default"/>
          <w:b/>
          <w:bCs/>
          <w:spacing w:val="-3"/>
        </w:rPr>
        <w:t>武雪松先生</w:t>
      </w:r>
      <w:r>
        <w:rPr>
          <w:spacing w:val="-3"/>
        </w:rPr>
        <w:t>，男，中国国籍，无境外永久居留权，</w:t>
      </w:r>
      <w:r>
        <w:rPr>
          <w:rFonts w:ascii="Times New Roman" w:hAnsi="Times New Roman" w:cs="Times New Roman" w:eastAsia="Times New Roman" w:hint="default"/>
          <w:spacing w:val="-3"/>
        </w:rPr>
        <w:t>1975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16</w:t>
      </w:r>
      <w:r>
        <w:rPr>
          <w:spacing w:val="-3"/>
        </w:rPr>
        <w:t>日出生，北京大学本科学历、北京大学</w:t>
      </w:r>
      <w:r>
        <w:rPr>
          <w:w w:val="100"/>
        </w:rPr>
        <w:t> </w:t>
      </w:r>
      <w:r>
        <w:rPr>
          <w:spacing w:val="-2"/>
        </w:rPr>
        <w:t>国家发展研究院</w:t>
      </w:r>
      <w:r>
        <w:rPr>
          <w:rFonts w:ascii="Times New Roman" w:hAnsi="Times New Roman" w:cs="Times New Roman" w:eastAsia="Times New Roman" w:hint="default"/>
          <w:spacing w:val="-2"/>
        </w:rPr>
        <w:t>EMBA</w:t>
      </w:r>
      <w:r>
        <w:rPr>
          <w:spacing w:val="-2"/>
        </w:rPr>
        <w:t>。</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2000</w:t>
      </w:r>
      <w:r>
        <w:rPr>
          <w:spacing w:val="-2"/>
        </w:rPr>
        <w:t>年任英美烟草</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w:t>
      </w:r>
      <w:r>
        <w:rPr>
          <w:spacing w:val="-2"/>
        </w:rPr>
        <w:t>有限公司管理级培训生。</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2001</w:t>
      </w:r>
      <w:r>
        <w:rPr>
          <w:spacing w:val="-2"/>
        </w:rPr>
        <w:t>年在软</w:t>
      </w:r>
      <w:r>
        <w:rPr>
          <w:spacing w:val="-6"/>
        </w:rPr>
        <w:t> </w:t>
      </w:r>
      <w:r>
        <w:rPr>
          <w:spacing w:val="-6"/>
        </w:rPr>
      </w:r>
      <w:r>
        <w:rPr/>
        <w:t>银中国创业投资有限公司担任项目经理。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2008</w:t>
      </w:r>
      <w:r>
        <w:rPr/>
        <w:t>年在中国惠普有限公司，历任客户经理</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华北区销</w:t>
      </w:r>
      <w:r>
        <w:rPr>
          <w:w w:val="100"/>
        </w:rPr>
        <w:t> </w:t>
      </w:r>
      <w:r>
        <w:rPr/>
        <w:t>售经理。</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2011</w:t>
      </w:r>
      <w:r>
        <w:rPr/>
        <w:t>年在</w:t>
      </w:r>
      <w:r>
        <w:rPr>
          <w:rFonts w:ascii="Times New Roman" w:hAnsi="Times New Roman" w:cs="Times New Roman" w:eastAsia="Times New Roman" w:hint="default"/>
        </w:rPr>
        <w:t>Oracle</w:t>
      </w:r>
      <w:r>
        <w:rPr/>
        <w:t>中国公司历任政府行业销售总监</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中间件业务金融行业中国区总经理。</w:t>
      </w:r>
      <w:r>
        <w:rPr>
          <w:w w:val="100"/>
        </w:rPr>
        <w:t> </w:t>
      </w:r>
      <w:r>
        <w:rPr>
          <w:rFonts w:ascii="Times New Roman" w:hAnsi="Times New Roman" w:cs="Times New Roman" w:eastAsia="Times New Roman" w:hint="default"/>
        </w:rPr>
        <w:t>2011</w:t>
      </w:r>
      <w:r>
        <w:rPr/>
        <w:t>年至今任上海天玑科技股份有限公司北京分公司总经理、区域销售总监。</w:t>
      </w:r>
    </w:p>
    <w:p>
      <w:pPr>
        <w:pStyle w:val="BodyText"/>
        <w:spacing w:line="388" w:lineRule="auto" w:before="35"/>
        <w:ind w:right="102" w:firstLine="341"/>
        <w:jc w:val="left"/>
      </w:pPr>
      <w:r>
        <w:rPr>
          <w:rFonts w:ascii="宋体" w:hAnsi="宋体" w:cs="宋体" w:eastAsia="宋体" w:hint="default"/>
          <w:b/>
          <w:bCs/>
          <w:spacing w:val="-3"/>
        </w:rPr>
        <w:t>严义埙先生</w:t>
      </w:r>
      <w:r>
        <w:rPr>
          <w:spacing w:val="-3"/>
        </w:rPr>
        <w:t>，男，中国国籍，无境外永久居留权，</w:t>
      </w:r>
      <w:r>
        <w:rPr>
          <w:rFonts w:ascii="Times New Roman" w:hAnsi="Times New Roman" w:cs="Times New Roman" w:eastAsia="Times New Roman" w:hint="default"/>
          <w:spacing w:val="-3"/>
        </w:rPr>
        <w:t>1939</w:t>
      </w:r>
      <w:r>
        <w:rPr>
          <w:spacing w:val="-3"/>
        </w:rPr>
        <w:t>年</w:t>
      </w:r>
      <w:r>
        <w:rPr>
          <w:rFonts w:ascii="Times New Roman" w:hAnsi="Times New Roman" w:cs="Times New Roman" w:eastAsia="Times New Roman" w:hint="default"/>
          <w:spacing w:val="-3"/>
        </w:rPr>
        <w:t>2</w:t>
      </w:r>
      <w:r>
        <w:rPr>
          <w:spacing w:val="-3"/>
        </w:rPr>
        <w:t>月出生，研究生学历。</w:t>
      </w:r>
      <w:r>
        <w:rPr>
          <w:rFonts w:ascii="Times New Roman" w:hAnsi="Times New Roman" w:cs="Times New Roman" w:eastAsia="Times New Roman" w:hint="default"/>
          <w:spacing w:val="-3"/>
        </w:rPr>
        <w:t>1967</w:t>
      </w:r>
      <w:r>
        <w:rPr>
          <w:spacing w:val="-3"/>
        </w:rPr>
        <w:t>年至</w:t>
      </w:r>
      <w:r>
        <w:rPr>
          <w:rFonts w:ascii="Times New Roman" w:hAnsi="Times New Roman" w:cs="Times New Roman" w:eastAsia="Times New Roman" w:hint="default"/>
          <w:spacing w:val="-3"/>
        </w:rPr>
        <w:t>1992</w:t>
      </w:r>
      <w:r>
        <w:rPr>
          <w:spacing w:val="-3"/>
        </w:rPr>
        <w:t>年，在</w:t>
      </w:r>
      <w:r>
        <w:rPr>
          <w:w w:val="100"/>
        </w:rPr>
        <w:t> </w:t>
      </w:r>
      <w:r>
        <w:rPr/>
        <w:t>中科院上海技术物理研究所历任助理研究员、副研究员、研究员、室主任、博士生导师、副所长、所长；</w:t>
      </w:r>
      <w:r>
        <w:rPr>
          <w:w w:val="100"/>
        </w:rPr>
        <w:t> </w:t>
      </w:r>
      <w:r>
        <w:rPr>
          <w:rFonts w:ascii="Times New Roman" w:hAnsi="Times New Roman" w:cs="Times New Roman" w:eastAsia="Times New Roman" w:hint="default"/>
          <w:spacing w:val="-4"/>
        </w:rPr>
        <w:t>1992</w:t>
      </w:r>
      <w:r>
        <w:rPr>
          <w:spacing w:val="-4"/>
        </w:rPr>
        <w:t>年至</w:t>
      </w:r>
      <w:r>
        <w:rPr>
          <w:rFonts w:ascii="Times New Roman" w:hAnsi="Times New Roman" w:cs="Times New Roman" w:eastAsia="Times New Roman" w:hint="default"/>
          <w:spacing w:val="-4"/>
        </w:rPr>
        <w:t>2001</w:t>
      </w:r>
      <w:r>
        <w:rPr>
          <w:spacing w:val="-4"/>
        </w:rPr>
        <w:t>年，担任中国科学院副院长；</w:t>
      </w:r>
      <w:r>
        <w:rPr>
          <w:rFonts w:ascii="Times New Roman" w:hAnsi="Times New Roman" w:cs="Times New Roman" w:eastAsia="Times New Roman" w:hint="default"/>
          <w:spacing w:val="-4"/>
        </w:rPr>
        <w:t>2002</w:t>
      </w:r>
      <w:r>
        <w:rPr>
          <w:spacing w:val="-4"/>
        </w:rPr>
        <w:t>年至</w:t>
      </w:r>
      <w:r>
        <w:rPr>
          <w:rFonts w:ascii="Times New Roman" w:hAnsi="Times New Roman" w:cs="Times New Roman" w:eastAsia="Times New Roman" w:hint="default"/>
          <w:spacing w:val="-4"/>
        </w:rPr>
        <w:t>2005</w:t>
      </w:r>
      <w:r>
        <w:rPr>
          <w:spacing w:val="-4"/>
        </w:rPr>
        <w:t>年，担任第一届联想控股董事；</w:t>
      </w:r>
      <w:r>
        <w:rPr>
          <w:rFonts w:ascii="Times New Roman" w:hAnsi="Times New Roman" w:cs="Times New Roman" w:eastAsia="Times New Roman" w:hint="default"/>
          <w:spacing w:val="-4"/>
        </w:rPr>
        <w:t>2003</w:t>
      </w:r>
      <w:r>
        <w:rPr>
          <w:spacing w:val="-4"/>
        </w:rPr>
        <w:t>年至</w:t>
      </w:r>
      <w:r>
        <w:rPr>
          <w:rFonts w:ascii="Times New Roman" w:hAnsi="Times New Roman" w:cs="Times New Roman" w:eastAsia="Times New Roman" w:hint="default"/>
          <w:spacing w:val="-4"/>
        </w:rPr>
        <w:t>2008</w:t>
      </w:r>
      <w:r>
        <w:rPr>
          <w:spacing w:val="-4"/>
        </w:rPr>
        <w:t>年，</w:t>
      </w:r>
      <w:r>
        <w:rPr>
          <w:spacing w:val="-13"/>
        </w:rPr>
        <w:t> </w:t>
      </w:r>
      <w:r>
        <w:rPr>
          <w:spacing w:val="-2"/>
        </w:rPr>
        <w:t>担任中科院国有资产经营管理公司董事；</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2004</w:t>
      </w:r>
      <w:r>
        <w:rPr>
          <w:spacing w:val="-2"/>
        </w:rPr>
        <w:t>年，担任中国网通董事长；</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2008</w:t>
      </w:r>
      <w:r>
        <w:rPr>
          <w:spacing w:val="-2"/>
        </w:rPr>
        <w:t>年，担任</w:t>
      </w:r>
      <w:r>
        <w:rPr>
          <w:spacing w:val="-33"/>
        </w:rPr>
        <w:t> </w:t>
      </w:r>
      <w:r>
        <w:rPr>
          <w:spacing w:val="-33"/>
        </w:rPr>
      </w:r>
      <w:r>
        <w:rPr/>
        <w:t>中国网通集团</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公司董事；</w:t>
      </w:r>
      <w:r>
        <w:rPr>
          <w:rFonts w:ascii="Times New Roman" w:hAnsi="Times New Roman" w:cs="Times New Roman" w:eastAsia="Times New Roman" w:hint="default"/>
        </w:rPr>
        <w:t>1986</w:t>
      </w:r>
      <w:r>
        <w:rPr/>
        <w:t>年至</w:t>
      </w:r>
      <w:r>
        <w:rPr>
          <w:rFonts w:ascii="Times New Roman" w:hAnsi="Times New Roman" w:cs="Times New Roman" w:eastAsia="Times New Roman" w:hint="default"/>
        </w:rPr>
        <w:t>2000</w:t>
      </w:r>
      <w:r>
        <w:rPr/>
        <w:t>年，担任上海尼赛拉传感器公司董事；</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2009</w:t>
      </w:r>
      <w:r>
        <w:rPr/>
        <w:t>年，创</w:t>
      </w:r>
      <w:r>
        <w:rPr>
          <w:w w:val="100"/>
        </w:rPr>
        <w:t> </w:t>
      </w:r>
      <w:r>
        <w:rPr>
          <w:spacing w:val="-2"/>
        </w:rPr>
        <w:t>立上海联创投资管理有限公司，任董事长职务。；现该公司改名为上海永宣创业投资管理有限公司，</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年</w:t>
      </w:r>
      <w:r>
        <w:rPr>
          <w:rFonts w:ascii="Times New Roman" w:hAnsi="Times New Roman" w:cs="Times New Roman" w:eastAsia="Times New Roman" w:hint="default"/>
          <w:spacing w:val="-2"/>
        </w:rPr>
        <w:t>12</w:t>
      </w:r>
      <w:r>
        <w:rPr>
          <w:spacing w:val="-2"/>
        </w:rPr>
        <w:t>月至今，担任上海永宣创业投资管理有限公司董事长；</w:t>
      </w:r>
      <w:r>
        <w:rPr>
          <w:rFonts w:ascii="Times New Roman" w:hAnsi="Times New Roman" w:cs="Times New Roman" w:eastAsia="Times New Roman" w:hint="default"/>
          <w:spacing w:val="-2"/>
        </w:rPr>
        <w:t>2008</w:t>
      </w:r>
      <w:r>
        <w:rPr>
          <w:spacing w:val="-2"/>
        </w:rPr>
        <w:t>年至今，担任北京汉王科技股份有限公司</w:t>
      </w:r>
      <w:r>
        <w:rPr>
          <w:spacing w:val="-37"/>
        </w:rPr>
        <w:t> </w:t>
      </w:r>
      <w:r>
        <w:rPr>
          <w:spacing w:val="-37"/>
        </w:rPr>
      </w:r>
      <w:r>
        <w:rPr/>
        <w:t>董事。现任上海天玑科技股份有限公司第二届董事会独立董事。</w:t>
      </w:r>
    </w:p>
    <w:p>
      <w:pPr>
        <w:pStyle w:val="BodyText"/>
        <w:spacing w:line="391" w:lineRule="auto" w:before="63"/>
        <w:ind w:right="206" w:firstLine="355"/>
        <w:jc w:val="both"/>
      </w:pPr>
      <w:r>
        <w:rPr>
          <w:rFonts w:ascii="宋体" w:hAnsi="宋体" w:cs="宋体" w:eastAsia="宋体" w:hint="default"/>
          <w:b/>
          <w:bCs/>
          <w:spacing w:val="-7"/>
        </w:rPr>
        <w:t>朱范予先生</w:t>
      </w:r>
      <w:r>
        <w:rPr>
          <w:spacing w:val="-7"/>
        </w:rPr>
        <w:t>，男，中国国籍，无境外永久居留权，</w:t>
      </w:r>
      <w:r>
        <w:rPr>
          <w:rFonts w:ascii="Times New Roman" w:hAnsi="Times New Roman" w:cs="Times New Roman" w:eastAsia="Times New Roman" w:hint="default"/>
          <w:spacing w:val="-7"/>
        </w:rPr>
        <w:t>1947</w:t>
      </w:r>
      <w:r>
        <w:rPr>
          <w:spacing w:val="-7"/>
        </w:rPr>
        <w:t>年</w:t>
      </w:r>
      <w:r>
        <w:rPr>
          <w:rFonts w:ascii="Times New Roman" w:hAnsi="Times New Roman" w:cs="Times New Roman" w:eastAsia="Times New Roman" w:hint="default"/>
          <w:spacing w:val="-7"/>
        </w:rPr>
        <w:t>4</w:t>
      </w:r>
      <w:r>
        <w:rPr>
          <w:spacing w:val="-7"/>
        </w:rPr>
        <w:t>月出生，</w:t>
      </w:r>
      <w:r>
        <w:rPr>
          <w:rFonts w:ascii="Times New Roman" w:hAnsi="Times New Roman" w:cs="Times New Roman" w:eastAsia="Times New Roman" w:hint="default"/>
          <w:spacing w:val="-7"/>
        </w:rPr>
        <w:t>EMBA</w:t>
      </w:r>
      <w:r>
        <w:rPr>
          <w:spacing w:val="-7"/>
        </w:rPr>
        <w:t>，浙江大学研究生学历。</w:t>
      </w:r>
      <w:r>
        <w:rPr>
          <w:rFonts w:ascii="Times New Roman" w:hAnsi="Times New Roman" w:cs="Times New Roman" w:eastAsia="Times New Roman" w:hint="default"/>
          <w:spacing w:val="-7"/>
        </w:rPr>
        <w:t>1990</w:t>
      </w:r>
      <w:r>
        <w:rPr>
          <w:rFonts w:ascii="Times New Roman" w:hAnsi="Times New Roman" w:cs="Times New Roman" w:eastAsia="Times New Roman" w:hint="default"/>
          <w:w w:val="100"/>
        </w:rPr>
        <w:t> </w:t>
      </w:r>
      <w:r>
        <w:rPr>
          <w:spacing w:val="-2"/>
        </w:rPr>
        <w:t>年至</w:t>
      </w:r>
      <w:r>
        <w:rPr>
          <w:rFonts w:ascii="Times New Roman" w:hAnsi="Times New Roman" w:cs="Times New Roman" w:eastAsia="Times New Roman" w:hint="default"/>
          <w:spacing w:val="-2"/>
        </w:rPr>
        <w:t>1992</w:t>
      </w:r>
      <w:r>
        <w:rPr>
          <w:spacing w:val="-2"/>
        </w:rPr>
        <w:t>年，担任中国人民建设银行海南省分行副行长；</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1998</w:t>
      </w:r>
      <w:r>
        <w:rPr>
          <w:spacing w:val="-2"/>
        </w:rPr>
        <w:t>年，担任中国人民建设银行福建省</w:t>
      </w:r>
      <w:r>
        <w:rPr>
          <w:spacing w:val="-32"/>
        </w:rPr>
        <w:t> </w:t>
      </w:r>
      <w:r>
        <w:rPr>
          <w:spacing w:val="-32"/>
        </w:rPr>
      </w:r>
      <w:r>
        <w:rPr>
          <w:spacing w:val="-2"/>
        </w:rPr>
        <w:t>分行副行长；</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2003</w:t>
      </w:r>
      <w:r>
        <w:rPr>
          <w:spacing w:val="-2"/>
        </w:rPr>
        <w:t>年，中国建设银行浙江省分行任行长；</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2004</w:t>
      </w:r>
      <w:r>
        <w:rPr>
          <w:spacing w:val="-2"/>
        </w:rPr>
        <w:t>年，中国建设银行总行任</w:t>
      </w:r>
      <w:r>
        <w:rPr>
          <w:spacing w:val="-33"/>
        </w:rPr>
        <w:t> </w:t>
      </w:r>
      <w:r>
        <w:rPr>
          <w:spacing w:val="-33"/>
        </w:rPr>
      </w:r>
      <w:r>
        <w:rPr>
          <w:spacing w:val="-2"/>
        </w:rPr>
        <w:t>市场规划领导小组副组长；</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2008</w:t>
      </w:r>
      <w:r>
        <w:rPr>
          <w:spacing w:val="-2"/>
        </w:rPr>
        <w:t>年，浙江省农村信用社联合社任理事长；</w:t>
      </w:r>
      <w:r>
        <w:rPr>
          <w:rFonts w:ascii="Times New Roman" w:hAnsi="Times New Roman" w:cs="Times New Roman" w:eastAsia="Times New Roman" w:hint="default"/>
          <w:spacing w:val="-2"/>
        </w:rPr>
        <w:t>2008</w:t>
      </w:r>
      <w:r>
        <w:rPr>
          <w:spacing w:val="-2"/>
        </w:rPr>
        <w:t>年至今，浙江省政</w:t>
      </w:r>
      <w:r>
        <w:rPr>
          <w:spacing w:val="-35"/>
        </w:rPr>
        <w:t> </w:t>
      </w:r>
      <w:r>
        <w:rPr>
          <w:spacing w:val="-35"/>
        </w:rPr>
      </w:r>
      <w:r>
        <w:rPr>
          <w:spacing w:val="-2"/>
        </w:rPr>
        <w:t>协农业和农村工作委员会常务副主任。现任农夫山泉股权有限公司独立董事、上海天玑科技股份有限公司</w:t>
      </w:r>
      <w:r>
        <w:rPr>
          <w:spacing w:val="-44"/>
        </w:rPr>
        <w:t> </w:t>
      </w:r>
      <w:r>
        <w:rPr>
          <w:spacing w:val="-44"/>
        </w:rPr>
      </w:r>
      <w:r>
        <w:rPr/>
        <w:t>第二届董事会独立董事。</w:t>
      </w:r>
    </w:p>
    <w:p>
      <w:pPr>
        <w:pStyle w:val="BodyText"/>
        <w:spacing w:line="386" w:lineRule="auto" w:before="61"/>
        <w:ind w:right="102" w:firstLine="336"/>
        <w:jc w:val="left"/>
      </w:pPr>
      <w:r>
        <w:rPr>
          <w:rFonts w:ascii="宋体" w:hAnsi="宋体" w:cs="宋体" w:eastAsia="宋体" w:hint="default"/>
          <w:b/>
          <w:bCs/>
          <w:spacing w:val="-3"/>
        </w:rPr>
        <w:t>陈杰平先生</w:t>
      </w:r>
      <w:r>
        <w:rPr>
          <w:spacing w:val="-3"/>
        </w:rPr>
        <w:t>，男，中国香港籍。</w:t>
      </w:r>
      <w:r>
        <w:rPr>
          <w:rFonts w:ascii="Times New Roman" w:hAnsi="Times New Roman" w:cs="Times New Roman" w:eastAsia="Times New Roman" w:hint="default"/>
          <w:spacing w:val="-3"/>
        </w:rPr>
        <w:t>1953</w:t>
      </w:r>
      <w:r>
        <w:rPr>
          <w:spacing w:val="-3"/>
        </w:rPr>
        <w:t>年</w:t>
      </w:r>
      <w:r>
        <w:rPr>
          <w:rFonts w:ascii="Times New Roman" w:hAnsi="Times New Roman" w:cs="Times New Roman" w:eastAsia="Times New Roman" w:hint="default"/>
          <w:spacing w:val="-3"/>
        </w:rPr>
        <w:t>8</w:t>
      </w:r>
      <w:r>
        <w:rPr>
          <w:spacing w:val="-3"/>
        </w:rPr>
        <w:t>月出生，美国休斯顿大学工商管理博士（会计专业）。现任上</w:t>
      </w:r>
      <w:r>
        <w:rPr>
          <w:w w:val="100"/>
        </w:rPr>
        <w:t> </w:t>
      </w:r>
      <w:r>
        <w:rPr>
          <w:spacing w:val="-2"/>
        </w:rPr>
        <w:t>海天玑科技股份有限公司第二届董事会独立董事。</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2008</w:t>
      </w:r>
      <w:r>
        <w:rPr>
          <w:spacing w:val="-2"/>
        </w:rPr>
        <w:t>年，香港城市大学会计系先后担任助理教</w:t>
      </w:r>
      <w:r>
        <w:rPr>
          <w:spacing w:val="-41"/>
        </w:rPr>
        <w:t> </w:t>
      </w:r>
      <w:r>
        <w:rPr>
          <w:spacing w:val="-41"/>
        </w:rPr>
      </w:r>
      <w:r>
        <w:rPr>
          <w:spacing w:val="-2"/>
        </w:rPr>
        <w:t>授、系副主任、代理系主任、系主任等职务；</w:t>
      </w:r>
      <w:r>
        <w:rPr>
          <w:rFonts w:ascii="Times New Roman" w:hAnsi="Times New Roman" w:cs="Times New Roman" w:eastAsia="Times New Roman" w:hint="default"/>
          <w:spacing w:val="-2"/>
        </w:rPr>
        <w:t>2007</w:t>
      </w:r>
      <w:r>
        <w:rPr>
          <w:spacing w:val="-2"/>
        </w:rPr>
        <w:t>年至今，珠海华发实业股份有限公司独立董事；</w:t>
      </w:r>
      <w:r>
        <w:rPr>
          <w:rFonts w:ascii="Times New Roman" w:hAnsi="Times New Roman" w:cs="Times New Roman" w:eastAsia="Times New Roman" w:hint="default"/>
          <w:spacing w:val="-2"/>
        </w:rPr>
        <w:t>2008</w:t>
      </w:r>
      <w:r>
        <w:rPr>
          <w:spacing w:val="-2"/>
        </w:rPr>
        <w:t>年</w:t>
      </w:r>
      <w:r>
        <w:rPr>
          <w:spacing w:val="-33"/>
        </w:rPr>
        <w:t> </w:t>
      </w:r>
      <w:r>
        <w:rPr>
          <w:spacing w:val="-2"/>
        </w:rPr>
        <w:t>至今，历任中欧国际工商学院教授、副教务长、</w:t>
      </w:r>
      <w:r>
        <w:rPr>
          <w:rFonts w:ascii="Times New Roman" w:hAnsi="Times New Roman" w:cs="Times New Roman" w:eastAsia="Times New Roman" w:hint="default"/>
          <w:spacing w:val="-2"/>
        </w:rPr>
        <w:t>EMBA</w:t>
      </w:r>
      <w:r>
        <w:rPr>
          <w:spacing w:val="-2"/>
        </w:rPr>
        <w:t>主任；</w:t>
      </w:r>
      <w:r>
        <w:rPr>
          <w:rFonts w:ascii="Times New Roman" w:hAnsi="Times New Roman" w:cs="Times New Roman" w:eastAsia="Times New Roman" w:hint="default"/>
          <w:spacing w:val="-2"/>
        </w:rPr>
        <w:t>2009</w:t>
      </w:r>
      <w:r>
        <w:rPr>
          <w:spacing w:val="-2"/>
        </w:rPr>
        <w:t>年至今任中银国际证券有限公司独立董</w:t>
      </w:r>
      <w:r>
        <w:rPr>
          <w:spacing w:val="-16"/>
        </w:rPr>
        <w:t> </w:t>
      </w:r>
      <w:r>
        <w:rPr>
          <w:spacing w:val="-16"/>
        </w:rPr>
      </w:r>
      <w:r>
        <w:rPr/>
        <w:t>事；</w:t>
      </w:r>
      <w:r>
        <w:rPr>
          <w:rFonts w:ascii="Times New Roman" w:hAnsi="Times New Roman" w:cs="Times New Roman" w:eastAsia="Times New Roman" w:hint="default"/>
        </w:rPr>
        <w:t>2011</w:t>
      </w:r>
      <w:r>
        <w:rPr/>
        <w:t>年至今任兴业证券股份有限公司独立董事、深圳市淑女屋时装股份有限公司独立董事。</w:t>
      </w:r>
      <w:r>
        <w:rPr>
          <w:w w:val="100"/>
        </w:rPr>
        <w:t> </w:t>
      </w:r>
      <w:r>
        <w:rPr>
          <w:rFonts w:ascii="Times New Roman" w:hAnsi="Times New Roman" w:cs="Times New Roman" w:eastAsia="Times New Roman" w:hint="default"/>
        </w:rPr>
        <w:t>2</w:t>
      </w:r>
      <w:r>
        <w:rPr/>
        <w:t>、监事会成员</w:t>
      </w:r>
    </w:p>
    <w:p>
      <w:pPr>
        <w:pStyle w:val="BodyText"/>
        <w:spacing w:line="379" w:lineRule="auto" w:before="10"/>
        <w:ind w:right="148" w:firstLine="410"/>
        <w:jc w:val="both"/>
      </w:pPr>
      <w:r>
        <w:rPr>
          <w:rFonts w:ascii="宋体" w:hAnsi="宋体" w:cs="宋体" w:eastAsia="宋体" w:hint="default"/>
          <w:b/>
          <w:bCs/>
          <w:spacing w:val="-2"/>
          <w:sz w:val="24"/>
          <w:szCs w:val="24"/>
        </w:rPr>
        <w:t>丁毅先生，</w:t>
      </w:r>
      <w:r>
        <w:rPr>
          <w:spacing w:val="-2"/>
        </w:rPr>
        <w:t>男，中国国籍，无境外永久居留权，</w:t>
      </w:r>
      <w:r>
        <w:rPr>
          <w:rFonts w:ascii="Times New Roman" w:hAnsi="Times New Roman" w:cs="Times New Roman" w:eastAsia="Times New Roman" w:hint="default"/>
          <w:spacing w:val="-2"/>
        </w:rPr>
        <w:t>1955</w:t>
      </w:r>
      <w:r>
        <w:rPr>
          <w:spacing w:val="-2"/>
        </w:rPr>
        <w:t>年</w:t>
      </w:r>
      <w:r>
        <w:rPr>
          <w:rFonts w:ascii="Times New Roman" w:hAnsi="Times New Roman" w:cs="Times New Roman" w:eastAsia="Times New Roman" w:hint="default"/>
          <w:spacing w:val="-2"/>
        </w:rPr>
        <w:t>4</w:t>
      </w:r>
      <w:r>
        <w:rPr>
          <w:spacing w:val="-2"/>
        </w:rPr>
        <w:t>月出生，大学本科学历。</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2001</w:t>
      </w:r>
      <w:r>
        <w:rPr>
          <w:spacing w:val="-2"/>
        </w:rPr>
        <w:t>年，</w:t>
      </w:r>
      <w:r>
        <w:rPr>
          <w:spacing w:val="-3"/>
          <w:w w:val="100"/>
        </w:rPr>
        <w:t> </w:t>
      </w:r>
      <w:r>
        <w:rPr>
          <w:spacing w:val="-2"/>
        </w:rPr>
        <w:t>在香港科联系统集团，历任区域销售代表，华东区总经理，中国区销售总监；</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2002</w:t>
      </w:r>
      <w:r>
        <w:rPr>
          <w:spacing w:val="-2"/>
        </w:rPr>
        <w:t>年，在上海思</w:t>
      </w:r>
      <w:r>
        <w:rPr>
          <w:spacing w:val="-34"/>
        </w:rPr>
        <w:t> </w:t>
      </w:r>
      <w:r>
        <w:rPr>
          <w:spacing w:val="-34"/>
        </w:rPr>
      </w:r>
      <w:r>
        <w:rPr>
          <w:spacing w:val="-2"/>
        </w:rPr>
        <w:t>华科技有限公司担任总裁；</w:t>
      </w:r>
      <w:r>
        <w:rPr>
          <w:rFonts w:ascii="Times New Roman" w:hAnsi="Times New Roman" w:cs="Times New Roman" w:eastAsia="Times New Roman" w:hint="default"/>
          <w:spacing w:val="-2"/>
        </w:rPr>
        <w:t>2005</w:t>
      </w:r>
      <w:r>
        <w:rPr>
          <w:spacing w:val="-2"/>
        </w:rPr>
        <w:t>年加入天玑科技，现担任上海天玑科技股份有限公司南京分公司总经理、</w:t>
      </w:r>
      <w:r>
        <w:rPr>
          <w:spacing w:val="-16"/>
        </w:rPr>
        <w:t> </w:t>
      </w:r>
      <w:r>
        <w:rPr>
          <w:spacing w:val="-16"/>
        </w:rPr>
      </w:r>
      <w:r>
        <w:rPr/>
        <w:t>第二届监事会主席。</w:t>
      </w:r>
    </w:p>
    <w:p>
      <w:pPr>
        <w:pStyle w:val="BodyText"/>
        <w:spacing w:line="240" w:lineRule="auto" w:before="55"/>
        <w:ind w:left="546" w:right="102"/>
        <w:jc w:val="left"/>
      </w:pPr>
      <w:r>
        <w:rPr>
          <w:rFonts w:ascii="宋体" w:hAnsi="宋体" w:cs="宋体" w:eastAsia="宋体" w:hint="default"/>
          <w:b/>
          <w:bCs/>
          <w:sz w:val="23"/>
          <w:szCs w:val="23"/>
        </w:rPr>
        <w:t>周全先生</w:t>
      </w:r>
      <w:r>
        <w:rPr>
          <w:sz w:val="23"/>
          <w:szCs w:val="23"/>
        </w:rPr>
        <w:t>，</w:t>
      </w:r>
      <w:r>
        <w:rPr/>
        <w:t>男，中国国籍，无境外永久居留权。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5</w:t>
      </w:r>
      <w:r>
        <w:rPr/>
        <w:t>月出生，大学本科学历。</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2000</w:t>
      </w:r>
      <w:r>
        <w:rPr/>
        <w:t>年，</w:t>
      </w:r>
    </w:p>
    <w:p>
      <w:pPr>
        <w:spacing w:after="0" w:line="240" w:lineRule="auto"/>
        <w:jc w:val="left"/>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206"/>
        <w:jc w:val="both"/>
      </w:pPr>
      <w:r>
        <w:rPr>
          <w:spacing w:val="-2"/>
        </w:rPr>
        <w:t>在天津日电电子通信工业有限公司先后担任研发工程师、售前工程师、销售经理；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2006</w:t>
      </w:r>
      <w:r>
        <w:rPr>
          <w:spacing w:val="-2"/>
        </w:rPr>
        <w:t>年，在中</w:t>
      </w:r>
      <w:r>
        <w:rPr>
          <w:spacing w:val="-38"/>
        </w:rPr>
        <w:t> </w:t>
      </w:r>
      <w:r>
        <w:rPr>
          <w:spacing w:val="-38"/>
        </w:rPr>
      </w:r>
      <w:r>
        <w:rPr>
          <w:spacing w:val="-2"/>
        </w:rPr>
        <w:t>国惠普有限公司担任销售经理；</w:t>
      </w:r>
      <w:r>
        <w:rPr>
          <w:rFonts w:ascii="Times New Roman" w:hAnsi="Times New Roman" w:cs="Times New Roman" w:eastAsia="Times New Roman" w:hint="default"/>
          <w:spacing w:val="-2"/>
        </w:rPr>
        <w:t>2006</w:t>
      </w:r>
      <w:r>
        <w:rPr>
          <w:spacing w:val="-2"/>
        </w:rPr>
        <w:t>年至今担任上海天玑科技股份有限公司区域销售总监、第二届监事会</w:t>
      </w:r>
      <w:r>
        <w:rPr>
          <w:spacing w:val="-38"/>
        </w:rPr>
        <w:t> </w:t>
      </w:r>
      <w:r>
        <w:rPr>
          <w:spacing w:val="-38"/>
        </w:rPr>
      </w:r>
      <w:r>
        <w:rPr/>
        <w:t>监事。</w:t>
      </w:r>
    </w:p>
    <w:p>
      <w:pPr>
        <w:pStyle w:val="BodyText"/>
        <w:spacing w:line="398" w:lineRule="auto" w:before="65"/>
        <w:ind w:right="102" w:firstLine="346"/>
        <w:jc w:val="left"/>
      </w:pPr>
      <w:r>
        <w:rPr>
          <w:rFonts w:ascii="宋体" w:hAnsi="宋体" w:cs="宋体" w:eastAsia="宋体" w:hint="default"/>
          <w:b/>
          <w:bCs/>
          <w:spacing w:val="-2"/>
        </w:rPr>
        <w:t>刘洁琼女士</w:t>
      </w:r>
      <w:r>
        <w:rPr>
          <w:spacing w:val="-2"/>
        </w:rPr>
        <w:t>，女，中国国籍，无境外永久居留权。</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11</w:t>
      </w:r>
      <w:r>
        <w:rPr>
          <w:spacing w:val="-2"/>
        </w:rPr>
        <w:t>月出生，大专学历。</w:t>
      </w:r>
      <w:r>
        <w:rPr>
          <w:rFonts w:ascii="Times New Roman" w:hAnsi="Times New Roman" w:cs="Times New Roman" w:eastAsia="Times New Roman" w:hint="default"/>
          <w:spacing w:val="-2"/>
        </w:rPr>
        <w:t>2001</w:t>
      </w:r>
      <w:r>
        <w:rPr>
          <w:spacing w:val="-2"/>
        </w:rPr>
        <w:t>入天玑科技，历</w:t>
      </w:r>
      <w:r>
        <w:rPr>
          <w:w w:val="100"/>
        </w:rPr>
        <w:t> </w:t>
      </w:r>
      <w:r>
        <w:rPr/>
        <w:t>任行政助理、客服主管、备件管理部经理。现任客户服务部经理、第二届监事会职工代表监事。</w:t>
      </w:r>
      <w:r>
        <w:rPr>
          <w:w w:val="100"/>
        </w:rPr>
        <w:t> </w:t>
      </w:r>
      <w:r>
        <w:rPr>
          <w:rFonts w:ascii="Times New Roman" w:hAnsi="Times New Roman" w:cs="Times New Roman" w:eastAsia="Times New Roman" w:hint="default"/>
        </w:rPr>
        <w:t>3</w:t>
      </w:r>
      <w:r>
        <w:rPr/>
        <w:t>、高级管理人员</w:t>
      </w:r>
    </w:p>
    <w:p>
      <w:pPr>
        <w:spacing w:line="408" w:lineRule="auto" w:before="24"/>
        <w:ind w:left="508" w:right="5983" w:firstLine="0"/>
        <w:jc w:val="left"/>
        <w:rPr>
          <w:rFonts w:ascii="宋体" w:hAnsi="宋体" w:cs="宋体" w:eastAsia="宋体" w:hint="default"/>
          <w:sz w:val="21"/>
          <w:szCs w:val="21"/>
        </w:rPr>
      </w:pPr>
      <w:r>
        <w:rPr>
          <w:rFonts w:ascii="宋体" w:hAnsi="宋体" w:cs="宋体" w:eastAsia="宋体" w:hint="default"/>
          <w:b/>
          <w:bCs/>
          <w:sz w:val="21"/>
          <w:szCs w:val="21"/>
        </w:rPr>
        <w:t>杜力耘先生：</w:t>
      </w:r>
      <w:r>
        <w:rPr>
          <w:rFonts w:ascii="宋体" w:hAnsi="宋体" w:cs="宋体" w:eastAsia="宋体" w:hint="default"/>
          <w:b/>
          <w:bCs/>
          <w:spacing w:val="-21"/>
          <w:sz w:val="21"/>
          <w:szCs w:val="21"/>
        </w:rPr>
        <w:t> </w:t>
      </w:r>
      <w:r>
        <w:rPr>
          <w:rFonts w:ascii="宋体" w:hAnsi="宋体" w:cs="宋体" w:eastAsia="宋体" w:hint="default"/>
          <w:sz w:val="21"/>
          <w:szCs w:val="21"/>
        </w:rPr>
        <w:t>总经理，简历同上。</w:t>
      </w:r>
      <w:r>
        <w:rPr>
          <w:rFonts w:ascii="宋体" w:hAnsi="宋体" w:cs="宋体" w:eastAsia="宋体" w:hint="default"/>
          <w:w w:val="100"/>
          <w:sz w:val="21"/>
          <w:szCs w:val="21"/>
        </w:rPr>
        <w:t> </w:t>
      </w:r>
      <w:r>
        <w:rPr>
          <w:rFonts w:ascii="宋体" w:hAnsi="宋体" w:cs="宋体" w:eastAsia="宋体" w:hint="default"/>
          <w:b/>
          <w:bCs/>
          <w:spacing w:val="-1"/>
          <w:sz w:val="21"/>
          <w:szCs w:val="21"/>
        </w:rPr>
        <w:t>陈宏科先生：</w:t>
      </w:r>
      <w:r>
        <w:rPr>
          <w:rFonts w:ascii="宋体" w:hAnsi="宋体" w:cs="宋体" w:eastAsia="宋体" w:hint="default"/>
          <w:spacing w:val="-1"/>
          <w:sz w:val="21"/>
          <w:szCs w:val="21"/>
        </w:rPr>
        <w:t>副总经理，简历同上。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b/>
          <w:bCs/>
          <w:spacing w:val="-1"/>
          <w:sz w:val="21"/>
          <w:szCs w:val="21"/>
        </w:rPr>
        <w:t>姜蓓蓓女士：</w:t>
      </w:r>
      <w:r>
        <w:rPr>
          <w:rFonts w:ascii="宋体" w:hAnsi="宋体" w:cs="宋体" w:eastAsia="宋体" w:hint="default"/>
          <w:spacing w:val="-1"/>
          <w:sz w:val="21"/>
          <w:szCs w:val="21"/>
        </w:rPr>
        <w:t>副总经理，简历同上。</w:t>
      </w:r>
    </w:p>
    <w:p>
      <w:pPr>
        <w:pStyle w:val="BodyText"/>
        <w:spacing w:line="386" w:lineRule="auto" w:before="46"/>
        <w:ind w:right="102" w:firstLine="355"/>
        <w:jc w:val="left"/>
      </w:pPr>
      <w:r>
        <w:rPr>
          <w:rFonts w:ascii="宋体" w:hAnsi="宋体" w:cs="宋体" w:eastAsia="宋体" w:hint="default"/>
          <w:b/>
          <w:bCs/>
          <w:spacing w:val="-3"/>
        </w:rPr>
        <w:t>陆廷洁女士</w:t>
      </w:r>
      <w:r>
        <w:rPr>
          <w:spacing w:val="-3"/>
        </w:rPr>
        <w:t>，女，中国国籍，无境外永久居留权，</w:t>
      </w:r>
      <w:r>
        <w:rPr>
          <w:rFonts w:ascii="Times New Roman" w:hAnsi="Times New Roman" w:cs="Times New Roman" w:eastAsia="Times New Roman" w:hint="default"/>
          <w:spacing w:val="-3"/>
        </w:rPr>
        <w:t>1976</w:t>
      </w:r>
      <w:r>
        <w:rPr>
          <w:spacing w:val="-3"/>
        </w:rPr>
        <w:t>年</w:t>
      </w:r>
      <w:r>
        <w:rPr>
          <w:rFonts w:ascii="Times New Roman" w:hAnsi="Times New Roman" w:cs="Times New Roman" w:eastAsia="Times New Roman" w:hint="default"/>
          <w:spacing w:val="-3"/>
        </w:rPr>
        <w:t>12</w:t>
      </w:r>
      <w:r>
        <w:rPr>
          <w:spacing w:val="-3"/>
        </w:rPr>
        <w:t>月出生，大学本科学历。公司董事会秘书、</w:t>
      </w:r>
      <w:r>
        <w:rPr>
          <w:w w:val="100"/>
        </w:rPr>
        <w:t> </w:t>
      </w:r>
      <w:r>
        <w:rPr/>
        <w:t>副总经理。</w:t>
      </w:r>
      <w:r>
        <w:rPr>
          <w:rFonts w:ascii="Times New Roman" w:hAnsi="Times New Roman" w:cs="Times New Roman" w:eastAsia="Times New Roman" w:hint="default"/>
        </w:rPr>
        <w:t>2002</w:t>
      </w:r>
      <w:r>
        <w:rPr/>
        <w:t>年加入天玑有限，历任商务经理、副总经理、董事会秘书等职务。</w:t>
      </w:r>
    </w:p>
    <w:p>
      <w:pPr>
        <w:spacing w:line="240" w:lineRule="auto" w:before="5"/>
        <w:rPr>
          <w:rFonts w:ascii="宋体" w:hAnsi="宋体" w:cs="宋体" w:eastAsia="宋体" w:hint="default"/>
          <w:sz w:val="25"/>
          <w:szCs w:val="25"/>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491"/>
        <w:gridCol w:w="1561"/>
        <w:gridCol w:w="1063"/>
      </w:tblGrid>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1"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上海永宣创业投资管理有限公司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北京汉王科技股份有限公司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浙江省政协农业和农村工作委员会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常务副主任</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农夫山泉股份有限公司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中欧国际工商学院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中银国际证券有限公司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深圳市淑女屋时装股份有限公司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ind w:right="102"/>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1339"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1"/>
                <w:sz w:val="18"/>
                <w:szCs w:val="18"/>
              </w:rPr>
              <w:t>公司董事、监事报酬按照股东大会制定的薪酬考核方案执行，高级管理人员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报酬由董事会根据绩效考核制定；在公司任职的董事、监事、高级管理人员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报酬由公司支付，董事、监事不另外支付津贴。独立董事津贴依据股东大会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决议支付，独立董事会务费据实报销。</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1"/>
                <w:sz w:val="18"/>
                <w:szCs w:val="18"/>
              </w:rPr>
              <w:t>董事、监事和高级管理人员的固定报酬按月实际发放，绩效奖金按照公司经</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36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营绩效、工作能力、岗位职责等考核确定后发放。</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工资、月度绩效奖金按月发放，年度奖金延后发放。</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年度公司现任和 曾任董事、监事和高管共计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人，工资奖金合计发放报酬为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595.17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58.12</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51.67</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75.27</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刘万昌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第一届董事会 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70.52</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刘洁琼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14.44</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541"/>
        <w:gridCol w:w="403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变动日期</w:t>
            </w:r>
          </w:p>
        </w:tc>
        <w:tc>
          <w:tcPr>
            <w:tcW w:w="4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刘万昌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5"/>
              <w:jc w:val="right"/>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董事会换届选举，不再担任董事、总经理职务。</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日，公司共有在册员工人员共计</w:t>
      </w:r>
      <w:r>
        <w:rPr>
          <w:rFonts w:ascii="Times New Roman" w:hAnsi="Times New Roman" w:cs="Times New Roman" w:eastAsia="Times New Roman" w:hint="default"/>
          <w:sz w:val="18"/>
          <w:szCs w:val="18"/>
        </w:rPr>
        <w:t>1075</w:t>
      </w:r>
      <w:r>
        <w:rPr>
          <w:rFonts w:ascii="宋体" w:hAnsi="宋体" w:cs="宋体" w:eastAsia="宋体" w:hint="default"/>
          <w:sz w:val="18"/>
          <w:szCs w:val="18"/>
        </w:rPr>
        <w:t>人（包括复深蓝人员），其中各类人员的情况如下：</w:t>
      </w:r>
    </w:p>
    <w:p>
      <w:pPr>
        <w:spacing w:line="240" w:lineRule="auto" w:before="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1244"/>
        <w:gridCol w:w="1560"/>
        <w:gridCol w:w="1858"/>
        <w:gridCol w:w="2079"/>
      </w:tblGrid>
      <w:tr>
        <w:trPr>
          <w:trHeight w:val="350" w:hRule="exact"/>
        </w:trPr>
        <w:tc>
          <w:tcPr>
            <w:tcW w:w="2804" w:type="dxa"/>
            <w:gridSpan w:val="2"/>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分类结构</w:t>
            </w:r>
            <w:r>
              <w:rPr>
                <w:rFonts w:ascii="宋体" w:hAnsi="宋体" w:cs="宋体" w:eastAsia="宋体" w:hint="default"/>
                <w:sz w:val="21"/>
                <w:szCs w:val="21"/>
              </w:rPr>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人数（个）</w:t>
            </w:r>
            <w:r>
              <w:rPr>
                <w:rFonts w:ascii="宋体" w:hAnsi="宋体" w:cs="宋体" w:eastAsia="宋体" w:hint="default"/>
                <w:sz w:val="21"/>
                <w:szCs w:val="21"/>
              </w:rPr>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所占比例（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3" w:hRule="exact"/>
        </w:trPr>
        <w:tc>
          <w:tcPr>
            <w:tcW w:w="1244" w:type="dxa"/>
            <w:vMerge w:val="restart"/>
            <w:tcBorders>
              <w:top w:val="single" w:sz="8" w:space="0" w:color="000000"/>
              <w:left w:val="single" w:sz="8" w:space="0" w:color="000000"/>
              <w:right w:val="single" w:sz="8"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年龄构成</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岁及以下</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390</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36.28%</w:t>
            </w:r>
          </w:p>
        </w:tc>
      </w:tr>
      <w:tr>
        <w:trPr>
          <w:trHeight w:val="353"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26-35</w:t>
            </w:r>
            <w:r>
              <w:rPr>
                <w:rFonts w:ascii="宋体" w:hAnsi="宋体" w:cs="宋体" w:eastAsia="宋体" w:hint="default"/>
                <w:sz w:val="21"/>
                <w:szCs w:val="21"/>
              </w:rPr>
              <w:t>岁</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592</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55.07%</w:t>
            </w:r>
          </w:p>
        </w:tc>
      </w:tr>
      <w:tr>
        <w:trPr>
          <w:trHeight w:val="350"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36-50</w:t>
            </w:r>
            <w:r>
              <w:rPr>
                <w:rFonts w:ascii="宋体" w:hAnsi="宋体" w:cs="宋体" w:eastAsia="宋体" w:hint="default"/>
                <w:sz w:val="21"/>
                <w:szCs w:val="21"/>
              </w:rPr>
              <w:t>岁</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88</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8.19%</w:t>
            </w:r>
          </w:p>
        </w:tc>
      </w:tr>
      <w:tr>
        <w:trPr>
          <w:trHeight w:val="353"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5</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0.47%</w:t>
            </w:r>
          </w:p>
        </w:tc>
      </w:tr>
      <w:tr>
        <w:trPr>
          <w:trHeight w:val="353" w:hRule="exact"/>
        </w:trPr>
        <w:tc>
          <w:tcPr>
            <w:tcW w:w="1244" w:type="dxa"/>
            <w:vMerge/>
            <w:tcBorders>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tabs>
                <w:tab w:pos="463" w:val="left" w:leader="none"/>
              </w:tabs>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1075</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w:t>
            </w:r>
          </w:p>
        </w:tc>
      </w:tr>
      <w:tr>
        <w:trPr>
          <w:trHeight w:val="350" w:hRule="exact"/>
        </w:trPr>
        <w:tc>
          <w:tcPr>
            <w:tcW w:w="1244" w:type="dxa"/>
            <w:vMerge w:val="restart"/>
            <w:tcBorders>
              <w:top w:val="single" w:sz="8" w:space="0" w:color="000000"/>
              <w:left w:val="single" w:sz="8" w:space="0" w:color="000000"/>
              <w:right w:val="single" w:sz="8"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学历构成</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硕士、博士</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30</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2.79%</w:t>
            </w:r>
          </w:p>
        </w:tc>
      </w:tr>
      <w:tr>
        <w:trPr>
          <w:trHeight w:val="353"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633</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58.88%</w:t>
            </w:r>
          </w:p>
        </w:tc>
      </w:tr>
      <w:tr>
        <w:trPr>
          <w:trHeight w:val="353"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349</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32.47%</w:t>
            </w:r>
          </w:p>
        </w:tc>
      </w:tr>
      <w:tr>
        <w:trPr>
          <w:trHeight w:val="351"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31</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2.88%</w:t>
            </w:r>
          </w:p>
        </w:tc>
      </w:tr>
      <w:tr>
        <w:trPr>
          <w:trHeight w:val="353"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32</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2.98%</w:t>
            </w:r>
          </w:p>
        </w:tc>
      </w:tr>
      <w:tr>
        <w:trPr>
          <w:trHeight w:val="353" w:hRule="exact"/>
        </w:trPr>
        <w:tc>
          <w:tcPr>
            <w:tcW w:w="1244" w:type="dxa"/>
            <w:vMerge/>
            <w:tcBorders>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tabs>
                <w:tab w:pos="463" w:val="left" w:leader="none"/>
              </w:tabs>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1075</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w:t>
            </w:r>
          </w:p>
        </w:tc>
      </w:tr>
      <w:tr>
        <w:trPr>
          <w:trHeight w:val="350" w:hRule="exact"/>
        </w:trPr>
        <w:tc>
          <w:tcPr>
            <w:tcW w:w="1244" w:type="dxa"/>
            <w:vMerge w:val="restart"/>
            <w:tcBorders>
              <w:top w:val="single" w:sz="8" w:space="0" w:color="000000"/>
              <w:left w:val="single" w:sz="8" w:space="0" w:color="000000"/>
              <w:right w:val="single" w:sz="8"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岗位构成</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行政管理人员</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92</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8.56%</w:t>
            </w:r>
          </w:p>
        </w:tc>
      </w:tr>
      <w:tr>
        <w:trPr>
          <w:trHeight w:val="353"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财务管理人员</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22</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2.05%</w:t>
            </w:r>
          </w:p>
        </w:tc>
      </w:tr>
      <w:tr>
        <w:trPr>
          <w:trHeight w:val="353"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市场营销人员</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71</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6.60%</w:t>
            </w:r>
          </w:p>
        </w:tc>
      </w:tr>
      <w:tr>
        <w:trPr>
          <w:trHeight w:val="350"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技术开发人员</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223</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20.74%</w:t>
            </w:r>
          </w:p>
        </w:tc>
      </w:tr>
      <w:tr>
        <w:trPr>
          <w:trHeight w:val="353"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技术实施人员</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642</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59.72%</w:t>
            </w:r>
          </w:p>
        </w:tc>
      </w:tr>
      <w:tr>
        <w:trPr>
          <w:trHeight w:val="353" w:hRule="exact"/>
        </w:trPr>
        <w:tc>
          <w:tcPr>
            <w:tcW w:w="1244" w:type="dxa"/>
            <w:vMerge/>
            <w:tcBorders>
              <w:left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其他管理人员</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25</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2.33%</w:t>
            </w:r>
          </w:p>
        </w:tc>
      </w:tr>
      <w:tr>
        <w:trPr>
          <w:trHeight w:val="353" w:hRule="exact"/>
        </w:trPr>
        <w:tc>
          <w:tcPr>
            <w:tcW w:w="1244" w:type="dxa"/>
            <w:vMerge/>
            <w:tcBorders>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tabs>
                <w:tab w:pos="463" w:val="left" w:leader="none"/>
              </w:tabs>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1075</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0" w:top="106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51"/>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left"/>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7" w:firstLine="360"/>
        <w:jc w:val="both"/>
      </w:pPr>
      <w:r>
        <w:rPr>
          <w:spacing w:val="-2"/>
        </w:rPr>
        <w:t>（一）报告期内，公司严格按照《公司法》、《证券法》、《上市公司治理规则》、《深圳证券交易</w:t>
      </w:r>
      <w:r>
        <w:rPr>
          <w:w w:val="100"/>
        </w:rPr>
        <w:t> </w:t>
      </w:r>
      <w:r>
        <w:rPr>
          <w:spacing w:val="-2"/>
        </w:rPr>
        <w:t>所创业板上市规则》、《深圳证券交易所创业板上市公司规范运作指引》及其他相关法律、法规、规范性</w:t>
      </w:r>
      <w:r>
        <w:rPr>
          <w:spacing w:val="-42"/>
        </w:rPr>
        <w:t> </w:t>
      </w:r>
      <w:r>
        <w:rPr>
          <w:spacing w:val="-42"/>
        </w:rPr>
      </w:r>
      <w:r>
        <w:rPr>
          <w:spacing w:val="-2"/>
        </w:rPr>
        <w:t>文件，不断的完善公司法人治理结构，建立健全的内部控制制度，促进公司规范运作，不断加强信息披露</w:t>
      </w:r>
      <w:r>
        <w:rPr>
          <w:spacing w:val="-50"/>
        </w:rPr>
        <w:t> </w:t>
      </w:r>
      <w:r>
        <w:rPr>
          <w:spacing w:val="-50"/>
        </w:rPr>
      </w:r>
      <w:r>
        <w:rPr/>
        <w:t>工作，</w:t>
      </w:r>
      <w:r>
        <w:rPr>
          <w:spacing w:val="-22"/>
        </w:rPr>
        <w:t> </w:t>
      </w:r>
      <w:r>
        <w:rPr/>
        <w:t>积极开展投资者关系管理工作，提高公司治理水平。</w:t>
      </w:r>
    </w:p>
    <w:p>
      <w:pPr>
        <w:pStyle w:val="BodyText"/>
        <w:spacing w:line="408" w:lineRule="auto" w:before="46"/>
        <w:ind w:right="125" w:firstLine="360"/>
        <w:jc w:val="both"/>
      </w:pPr>
      <w:r>
        <w:rPr/>
        <w:t>截至本报告期末，公司治理的实际状况符合中国证监会《上市公司治理准则》和深圳证券交易所《创</w:t>
      </w:r>
      <w:r>
        <w:rPr>
          <w:w w:val="100"/>
        </w:rPr>
        <w:t> </w:t>
      </w:r>
      <w:r>
        <w:rPr>
          <w:spacing w:val="-2"/>
        </w:rPr>
        <w:t>业板上市公司规范运作指引》的要求，不存在尚未解决的公司治理问题。不存在因部分改制、行业特性、</w:t>
      </w:r>
      <w:r>
        <w:rPr>
          <w:spacing w:val="-21"/>
        </w:rPr>
        <w:t> </w:t>
      </w:r>
      <w:r>
        <w:rPr>
          <w:spacing w:val="-21"/>
        </w:rPr>
      </w:r>
      <w:r>
        <w:rPr/>
        <w:t>国家政策或收购兼并等原因导致的同业竞争和关联交易问题。</w:t>
      </w:r>
    </w:p>
    <w:p>
      <w:pPr>
        <w:pStyle w:val="BodyText"/>
        <w:spacing w:line="386" w:lineRule="auto" w:before="46"/>
        <w:ind w:left="513" w:right="0"/>
        <w:jc w:val="left"/>
      </w:pPr>
      <w:r>
        <w:rPr>
          <w:rFonts w:ascii="Times New Roman" w:hAnsi="Times New Roman" w:cs="Times New Roman" w:eastAsia="Times New Roman" w:hint="default"/>
        </w:rPr>
        <w:t>1</w:t>
      </w:r>
      <w:r>
        <w:rPr/>
        <w:t>、股东和股东大会</w:t>
      </w:r>
      <w:r>
        <w:rPr>
          <w:w w:val="100"/>
        </w:rPr>
        <w:t> </w:t>
      </w:r>
      <w:r>
        <w:rPr>
          <w:spacing w:val="-2"/>
        </w:rPr>
        <w:t>公司严格按照《公司法》、《公司章程》及公司《股东大会议事规则》召开年度股东大会及临时股东</w:t>
      </w:r>
    </w:p>
    <w:p>
      <w:pPr>
        <w:pStyle w:val="BodyText"/>
        <w:spacing w:line="403" w:lineRule="auto" w:before="65"/>
        <w:ind w:right="146"/>
        <w:jc w:val="both"/>
      </w:pPr>
      <w:r>
        <w:rPr>
          <w:spacing w:val="-2"/>
        </w:rPr>
        <w:t>大会。邀请律师进行现场见证，并出具法律意见书。会议决议均严格按照《深圳证券交易所创业板股票上</w:t>
      </w:r>
      <w:r>
        <w:rPr>
          <w:spacing w:val="-47"/>
        </w:rPr>
        <w:t> </w:t>
      </w:r>
      <w:r>
        <w:rPr>
          <w:spacing w:val="-47"/>
        </w:rPr>
      </w:r>
      <w:r>
        <w:rPr>
          <w:spacing w:val="-2"/>
        </w:rPr>
        <w:t>市规则》的规定召集并充分、及时披露。公司各重大事项均按法定程序先由董事会通过后，再提交股东大</w:t>
      </w:r>
      <w:r>
        <w:rPr>
          <w:spacing w:val="-47"/>
        </w:rPr>
        <w:t> </w:t>
      </w:r>
      <w:r>
        <w:rPr>
          <w:spacing w:val="-47"/>
        </w:rPr>
      </w:r>
      <w:r>
        <w:rPr>
          <w:spacing w:val="-2"/>
        </w:rPr>
        <w:t>会进行审议。公司自成立以来，未发生单独或合并持有公司有表决权股份总数</w:t>
      </w:r>
      <w:r>
        <w:rPr>
          <w:rFonts w:ascii="Times New Roman" w:hAnsi="Times New Roman" w:cs="Times New Roman" w:eastAsia="Times New Roman" w:hint="default"/>
          <w:spacing w:val="-2"/>
        </w:rPr>
        <w:t>10%</w:t>
      </w:r>
      <w:r>
        <w:rPr>
          <w:spacing w:val="-2"/>
        </w:rPr>
        <w:t>以上的股东请求召开临</w:t>
      </w:r>
      <w:r>
        <w:rPr>
          <w:spacing w:val="-17"/>
        </w:rPr>
        <w:t> </w:t>
      </w:r>
      <w:r>
        <w:rPr>
          <w:spacing w:val="-17"/>
        </w:rPr>
      </w:r>
      <w:r>
        <w:rPr>
          <w:spacing w:val="-2"/>
        </w:rPr>
        <w:t>时股东大会的情形，也无应监事会提议召开的股东大会的情形。公司保证平等对待所有股东，确保所有股</w:t>
      </w:r>
      <w:r>
        <w:rPr>
          <w:spacing w:val="-43"/>
        </w:rPr>
        <w:t> </w:t>
      </w:r>
      <w:r>
        <w:rPr>
          <w:spacing w:val="-43"/>
        </w:rPr>
      </w:r>
      <w:r>
        <w:rPr>
          <w:spacing w:val="-2"/>
        </w:rPr>
        <w:t>东享有平等地位，所有股东都能够充分行使自己的权利。公司召开股东大会的各项工作均严格按照相关法</w:t>
      </w:r>
      <w:r>
        <w:rPr>
          <w:spacing w:val="-42"/>
        </w:rPr>
        <w:t> </w:t>
      </w:r>
      <w:r>
        <w:rPr>
          <w:spacing w:val="-42"/>
        </w:rPr>
      </w:r>
      <w:r>
        <w:rPr/>
        <w:t>规和规章进行，无违反《上市公司股东大会规则》的情形。</w:t>
      </w:r>
    </w:p>
    <w:p>
      <w:pPr>
        <w:pStyle w:val="BodyText"/>
        <w:spacing w:line="386" w:lineRule="auto" w:before="50"/>
        <w:ind w:left="513" w:right="0"/>
        <w:jc w:val="left"/>
      </w:pPr>
      <w:r>
        <w:rPr>
          <w:rFonts w:ascii="Times New Roman" w:hAnsi="Times New Roman" w:cs="Times New Roman" w:eastAsia="Times New Roman" w:hint="default"/>
        </w:rPr>
        <w:t>2</w:t>
      </w:r>
      <w:r>
        <w:rPr/>
        <w:t>、董事和董事会</w:t>
      </w:r>
      <w:r>
        <w:rPr>
          <w:w w:val="100"/>
        </w:rPr>
        <w:t> </w:t>
      </w:r>
      <w:r>
        <w:rPr>
          <w:spacing w:val="-2"/>
        </w:rPr>
        <w:t>公司根据《公司法》、《证券法》、《上市公司治理准则》等法律法规、规范性文件及《公司章程》</w:t>
      </w:r>
    </w:p>
    <w:p>
      <w:pPr>
        <w:pStyle w:val="BodyText"/>
        <w:spacing w:line="403" w:lineRule="auto" w:before="65"/>
        <w:ind w:right="0"/>
        <w:jc w:val="left"/>
      </w:pPr>
      <w:r>
        <w:rPr>
          <w:spacing w:val="-2"/>
        </w:rPr>
        <w:t>的有关规定，制定了《董事会议事规则》、《独立董事工作制度》及各专门委员会议实施细则等相关规章</w:t>
      </w:r>
      <w:r>
        <w:rPr>
          <w:spacing w:val="-42"/>
        </w:rPr>
        <w:t> </w:t>
      </w:r>
      <w:r>
        <w:rPr>
          <w:spacing w:val="-42"/>
        </w:rPr>
      </w:r>
      <w:r>
        <w:rPr/>
        <w:t>制度。公司董事会由</w:t>
      </w:r>
      <w:r>
        <w:rPr>
          <w:rFonts w:ascii="Times New Roman" w:hAnsi="Times New Roman" w:cs="Times New Roman" w:eastAsia="Times New Roman" w:hint="default"/>
        </w:rPr>
        <w:t>9</w:t>
      </w:r>
      <w:r>
        <w:rPr/>
        <w:t>名董事组成，</w:t>
      </w:r>
      <w:r>
        <w:rPr>
          <w:spacing w:val="-25"/>
        </w:rPr>
        <w:t> </w:t>
      </w:r>
      <w:r>
        <w:rPr/>
        <w:t>其中独立董事</w:t>
      </w:r>
      <w:r>
        <w:rPr>
          <w:rFonts w:ascii="Times New Roman" w:hAnsi="Times New Roman" w:cs="Times New Roman" w:eastAsia="Times New Roman" w:hint="default"/>
        </w:rPr>
        <w:t>3</w:t>
      </w:r>
      <w:r>
        <w:rPr/>
        <w:t>名，董事会的人数、构成及选聘程序均符合法律、法</w:t>
      </w:r>
      <w:r>
        <w:rPr>
          <w:w w:val="100"/>
        </w:rPr>
        <w:t> </w:t>
      </w:r>
      <w:r>
        <w:rPr>
          <w:spacing w:val="-2"/>
        </w:rPr>
        <w:t>规和《公司章程》的规定。各董事的任职资格均符合法律、行政法规及其他有关规定，具备公司运作的基</w:t>
      </w:r>
      <w:r>
        <w:rPr>
          <w:spacing w:val="-43"/>
        </w:rPr>
        <w:t> </w:t>
      </w:r>
      <w:r>
        <w:rPr>
          <w:spacing w:val="-43"/>
        </w:rPr>
      </w:r>
      <w:r>
        <w:rPr>
          <w:spacing w:val="-2"/>
        </w:rPr>
        <w:t>本知识，熟悉相关法律、行政法规、规章及规则。董事会的召集、召开、表决程序均符合《公司章程》的</w:t>
      </w:r>
      <w:r>
        <w:rPr>
          <w:spacing w:val="-49"/>
        </w:rPr>
        <w:t> </w:t>
      </w:r>
      <w:r>
        <w:rPr>
          <w:spacing w:val="-49"/>
        </w:rPr>
      </w:r>
      <w:r>
        <w:rPr>
          <w:spacing w:val="-2"/>
        </w:rPr>
        <w:t>规定，各董事严格按照相关规章制度来履行自己的义务及行使权利。独立董事能够不受影响的独立履行职</w:t>
      </w:r>
      <w:r>
        <w:rPr>
          <w:spacing w:val="-43"/>
        </w:rPr>
        <w:t> </w:t>
      </w:r>
      <w:r>
        <w:rPr>
          <w:spacing w:val="-43"/>
        </w:rPr>
      </w:r>
      <w:r>
        <w:rPr/>
        <w:t>责并发表意见，</w:t>
      </w:r>
      <w:r>
        <w:rPr>
          <w:spacing w:val="-22"/>
        </w:rPr>
        <w:t> </w:t>
      </w:r>
      <w:r>
        <w:rPr/>
        <w:t>未受到公司主要股东、实际控制人等的影响。</w:t>
      </w:r>
    </w:p>
    <w:p>
      <w:pPr>
        <w:pStyle w:val="BodyText"/>
        <w:spacing w:line="408" w:lineRule="auto" w:before="50"/>
        <w:ind w:right="182" w:firstLine="360"/>
        <w:jc w:val="both"/>
      </w:pPr>
      <w:r>
        <w:rPr>
          <w:spacing w:val="-2"/>
        </w:rPr>
        <w:t>公司董事会下设审计委员会、战略与发展委员会、薪酬与考核委员会、提名委员会，各委员积极参加</w:t>
      </w:r>
      <w:r>
        <w:rPr>
          <w:w w:val="100"/>
        </w:rPr>
        <w:t> </w:t>
      </w:r>
      <w:r>
        <w:rPr>
          <w:spacing w:val="-2"/>
        </w:rPr>
        <w:t>董事会和各委员会会议，对公司的发展和重大决策提供了专业意见和建议，</w:t>
      </w:r>
      <w:r>
        <w:rPr>
          <w:spacing w:val="63"/>
        </w:rPr>
        <w:t> </w:t>
      </w:r>
      <w:r>
        <w:rPr>
          <w:spacing w:val="-2"/>
        </w:rPr>
        <w:t>对董事会的科学决策起到了</w:t>
      </w:r>
    </w:p>
    <w:p>
      <w:pPr>
        <w:spacing w:after="0" w:line="408" w:lineRule="auto"/>
        <w:jc w:val="both"/>
        <w:sectPr>
          <w:pgSz w:w="11910" w:h="16840"/>
          <w:pgMar w:header="745" w:footer="0" w:top="1060" w:bottom="2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207"/>
        <w:jc w:val="both"/>
      </w:pPr>
      <w:r>
        <w:rPr>
          <w:spacing w:val="-2"/>
        </w:rPr>
        <w:t>很好的促进作用。公司董事会运作规范，全体董事勤勉履职，积极出席董事会，对所议事项认真分析、科</w:t>
      </w:r>
      <w:r>
        <w:rPr>
          <w:spacing w:val="-43"/>
        </w:rPr>
        <w:t> </w:t>
      </w:r>
      <w:r>
        <w:rPr>
          <w:spacing w:val="-43"/>
        </w:rPr>
      </w:r>
      <w:r>
        <w:rPr/>
        <w:t>学决策，并认真监督管理层的工作，维护了公司和全体股东的合法权益。</w:t>
      </w:r>
    </w:p>
    <w:p>
      <w:pPr>
        <w:pStyle w:val="BodyText"/>
        <w:spacing w:line="240" w:lineRule="auto" w:before="46"/>
        <w:ind w:left="513" w:right="102"/>
        <w:jc w:val="left"/>
      </w:pPr>
      <w:r>
        <w:rPr>
          <w:rFonts w:ascii="Times New Roman" w:hAnsi="Times New Roman" w:cs="Times New Roman" w:eastAsia="Times New Roman" w:hint="default"/>
        </w:rPr>
        <w:t>3</w:t>
      </w:r>
      <w:r>
        <w:rPr/>
        <w:t>、监事和监事会</w:t>
      </w:r>
    </w:p>
    <w:p>
      <w:pPr>
        <w:pStyle w:val="BodyText"/>
        <w:spacing w:line="386" w:lineRule="auto" w:before="177"/>
        <w:ind w:right="102" w:firstLine="360"/>
        <w:jc w:val="left"/>
      </w:pPr>
      <w:r>
        <w:rPr/>
        <w:t>公司监事会由</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spacing w:val="-3"/>
        </w:rPr>
        <w:t>名监事组成，其中职工监事</w:t>
      </w:r>
      <w:r>
        <w:rPr>
          <w:rFonts w:ascii="Times New Roman" w:hAnsi="Times New Roman" w:cs="Times New Roman" w:eastAsia="Times New Roman" w:hint="default"/>
          <w:spacing w:val="-3"/>
        </w:rPr>
        <w:t>1</w:t>
      </w:r>
      <w:r>
        <w:rPr>
          <w:spacing w:val="-3"/>
        </w:rPr>
        <w:t>名。除职工监事由职工代表大会选举产生外，其余监事均</w:t>
      </w:r>
      <w:r>
        <w:rPr>
          <w:w w:val="100"/>
        </w:rPr>
        <w:t> </w:t>
      </w:r>
      <w:r>
        <w:rPr/>
        <w:t>由股东大会选举产生，产生程序符合相关规定，任职资格符合相关要求。</w:t>
      </w:r>
    </w:p>
    <w:p>
      <w:pPr>
        <w:pStyle w:val="BodyText"/>
        <w:spacing w:line="408" w:lineRule="auto" w:before="65"/>
        <w:ind w:right="102" w:firstLine="360"/>
        <w:jc w:val="left"/>
      </w:pPr>
      <w:r>
        <w:rPr/>
        <w:t>公司监事会制定了《监事会议事规则》，公司监事会会议的召集、召开程序符合《公司章程》及《监</w:t>
      </w:r>
      <w:r>
        <w:rPr>
          <w:w w:val="100"/>
        </w:rPr>
        <w:t> </w:t>
      </w:r>
      <w:r>
        <w:rPr>
          <w:spacing w:val="-2"/>
        </w:rPr>
        <w:t>事会议事规则》的相关规定。公司监事能认真履行职责，对公司财务状况、重大事项以及公司董事、高级</w:t>
      </w:r>
      <w:r>
        <w:rPr>
          <w:spacing w:val="-43"/>
        </w:rPr>
        <w:t> </w:t>
      </w:r>
      <w:r>
        <w:rPr>
          <w:spacing w:val="-43"/>
        </w:rPr>
      </w:r>
      <w:r>
        <w:rPr>
          <w:spacing w:val="-2"/>
        </w:rPr>
        <w:t>管理人员履职情况的合法合规性进行监督，维护公司及股东的合法权益。公司监事会自公司成立以来无否</w:t>
      </w:r>
      <w:r>
        <w:rPr>
          <w:spacing w:val="-44"/>
        </w:rPr>
        <w:t> </w:t>
      </w:r>
      <w:r>
        <w:rPr>
          <w:spacing w:val="-44"/>
        </w:rPr>
      </w:r>
      <w:r>
        <w:rPr>
          <w:spacing w:val="-5"/>
        </w:rPr>
        <w:t>决董事会决议的情况，未发现公司财务报告有不实之处，未发现董事、总经理履行职务时有违法违规行为。</w:t>
      </w:r>
      <w:r>
        <w:rPr>
          <w:spacing w:val="-4"/>
        </w:rPr>
        <w:t> </w:t>
      </w:r>
      <w:r>
        <w:rPr>
          <w:spacing w:val="-4"/>
        </w:rPr>
      </w:r>
      <w:r>
        <w:rPr/>
        <w:t>会议决议严格按照《深圳证券交易所创业板股票上市规则》的规定充分、及时披露。</w:t>
      </w:r>
    </w:p>
    <w:p>
      <w:pPr>
        <w:pStyle w:val="BodyText"/>
        <w:spacing w:line="386" w:lineRule="auto" w:before="46"/>
        <w:ind w:left="513" w:right="102"/>
        <w:jc w:val="left"/>
      </w:pPr>
      <w:r>
        <w:rPr>
          <w:rFonts w:ascii="Times New Roman" w:hAnsi="Times New Roman" w:cs="Times New Roman" w:eastAsia="Times New Roman" w:hint="default"/>
        </w:rPr>
        <w:t>4</w:t>
      </w:r>
      <w:r>
        <w:rPr/>
        <w:t>、经理层</w:t>
      </w:r>
      <w:r>
        <w:rPr>
          <w:spacing w:val="-103"/>
        </w:rPr>
        <w:t> </w:t>
      </w:r>
      <w:r>
        <w:rPr>
          <w:spacing w:val="-103"/>
        </w:rPr>
      </w:r>
      <w:r>
        <w:rPr>
          <w:spacing w:val="-2"/>
        </w:rPr>
        <w:t>公司制定了《总经理工作细则》并执行，明确了总经理的权利和义务。根据《公司章程》，总经理由</w:t>
      </w:r>
    </w:p>
    <w:p>
      <w:pPr>
        <w:pStyle w:val="BodyText"/>
        <w:spacing w:line="408" w:lineRule="auto" w:before="65"/>
        <w:ind w:right="209"/>
        <w:jc w:val="both"/>
      </w:pPr>
      <w:r>
        <w:rPr>
          <w:spacing w:val="-2"/>
        </w:rPr>
        <w:t>董事会聘任，财务负责人由总经理提名，董事会聘任。公司内部已形成合理的选聘机制，公司经理层能够</w:t>
      </w:r>
      <w:r>
        <w:rPr>
          <w:spacing w:val="-50"/>
        </w:rPr>
        <w:t> </w:t>
      </w:r>
      <w:r>
        <w:rPr>
          <w:spacing w:val="-50"/>
        </w:rPr>
      </w:r>
      <w:r>
        <w:rPr>
          <w:spacing w:val="-2"/>
        </w:rPr>
        <w:t>对公司日常生产经营实施有效控制，有明确的分工，按权限职责实施分级管理，分级掌控，同时建立了较</w:t>
      </w:r>
      <w:r>
        <w:rPr>
          <w:spacing w:val="-47"/>
        </w:rPr>
        <w:t> </w:t>
      </w:r>
      <w:r>
        <w:rPr>
          <w:spacing w:val="-47"/>
        </w:rPr>
      </w:r>
      <w:r>
        <w:rPr>
          <w:spacing w:val="-2"/>
        </w:rPr>
        <w:t>完善的内部控制制度，定期总经理办公会议、专题会议等，确保对公司日常生产经营实施有效控制。公司</w:t>
      </w:r>
      <w:r>
        <w:rPr>
          <w:spacing w:val="-50"/>
        </w:rPr>
        <w:t> </w:t>
      </w:r>
      <w:r>
        <w:rPr>
          <w:spacing w:val="-50"/>
        </w:rPr>
      </w:r>
      <w:r>
        <w:rPr/>
        <w:t>经理层等高级管理人员均能忠实履行职务，维护公司和全体股东的最大利益。</w:t>
      </w:r>
    </w:p>
    <w:p>
      <w:pPr>
        <w:pStyle w:val="BodyText"/>
        <w:spacing w:line="386" w:lineRule="auto" w:before="46"/>
        <w:ind w:left="513" w:right="102"/>
        <w:jc w:val="left"/>
      </w:pPr>
      <w:r>
        <w:rPr>
          <w:rFonts w:ascii="Times New Roman" w:hAnsi="Times New Roman" w:cs="Times New Roman" w:eastAsia="Times New Roman" w:hint="default"/>
        </w:rPr>
        <w:t>5</w:t>
      </w:r>
      <w:r>
        <w:rPr/>
        <w:t>、公司内部控制情况</w:t>
      </w:r>
      <w:r>
        <w:rPr>
          <w:w w:val="100"/>
        </w:rPr>
        <w:t> </w:t>
      </w:r>
      <w:r>
        <w:rPr>
          <w:spacing w:val="-2"/>
        </w:rPr>
        <w:t>公司根据《公司法》等相关法律法规进行了内部管理制度的建立与健全，主要包括：《公司章程》、</w:t>
      </w:r>
    </w:p>
    <w:p>
      <w:pPr>
        <w:pStyle w:val="BodyText"/>
        <w:spacing w:line="408" w:lineRule="auto" w:before="65"/>
        <w:ind w:right="102"/>
        <w:jc w:val="left"/>
      </w:pPr>
      <w:r>
        <w:rPr>
          <w:spacing w:val="-2"/>
        </w:rPr>
        <w:t>《股东大会议事规则》、《董事会议事规则》、《监事会议事规则》、《独立董事工作制度》、《董事会</w:t>
      </w:r>
      <w:r>
        <w:rPr>
          <w:spacing w:val="-47"/>
        </w:rPr>
        <w:t> </w:t>
      </w:r>
      <w:r>
        <w:rPr>
          <w:spacing w:val="-47"/>
        </w:rPr>
      </w:r>
      <w:r>
        <w:rPr>
          <w:spacing w:val="-2"/>
        </w:rPr>
        <w:t>秘书工作制度》、《总经理工作细则》、《募集资金管理办法》、《对外担保管理办法》、《信息披露制</w:t>
      </w:r>
      <w:r>
        <w:rPr>
          <w:spacing w:val="-50"/>
        </w:rPr>
        <w:t> </w:t>
      </w:r>
      <w:r>
        <w:rPr>
          <w:spacing w:val="-50"/>
        </w:rPr>
      </w:r>
      <w:r>
        <w:rPr>
          <w:spacing w:val="-5"/>
        </w:rPr>
        <w:t>度》、《内幕信息知情人登记管理制度》、《董事、监事和高级管理人员持有和买卖本公司股票管理制度》 </w:t>
      </w:r>
      <w:r>
        <w:rPr>
          <w:spacing w:val="-5"/>
        </w:rPr>
        <w:t>等一系列规章制度。通过制定符合公司发展实际需要的各项内部控制制度，保证了公司股东大会、董事会、</w:t>
      </w:r>
      <w:r>
        <w:rPr>
          <w:spacing w:val="-4"/>
        </w:rPr>
        <w:t> </w:t>
      </w:r>
      <w:r>
        <w:rPr>
          <w:spacing w:val="-4"/>
        </w:rPr>
      </w:r>
      <w:r>
        <w:rPr/>
        <w:t>监事会会议决议的有效落实，保护了公司股东、特别是中小股东的合法权益，保证了公司日常经营的正常</w:t>
      </w:r>
      <w:r>
        <w:rPr>
          <w:w w:val="100"/>
        </w:rPr>
        <w:t> </w:t>
      </w:r>
      <w:r>
        <w:rPr/>
        <w:t>有效进行，促进了公司经营目标的顺利实现和经营效率的提高。在日常生产经营中，公司不断加强公司的</w:t>
      </w:r>
      <w:r>
        <w:rPr>
          <w:w w:val="100"/>
        </w:rPr>
        <w:t> </w:t>
      </w:r>
      <w:r>
        <w:rPr/>
        <w:t>治理结构建设，不断健全和完善公司各方面的内控制度，并确保各项内控制度能够有效的执行和实施。</w:t>
      </w:r>
    </w:p>
    <w:p>
      <w:pPr>
        <w:pStyle w:val="BodyText"/>
        <w:spacing w:line="408" w:lineRule="auto" w:before="46"/>
        <w:ind w:left="513" w:right="102"/>
        <w:jc w:val="left"/>
      </w:pPr>
      <w:r>
        <w:rPr/>
        <w:t>（二）公司独立性情况</w:t>
      </w:r>
      <w:r>
        <w:rPr>
          <w:w w:val="100"/>
        </w:rPr>
        <w:t> </w:t>
      </w:r>
      <w:r>
        <w:rPr>
          <w:spacing w:val="-2"/>
        </w:rPr>
        <w:t>公司在人员、机构、业务、资产、财务等方面与控股股东完全独立，不存在控股股东及其下属企业占</w:t>
      </w:r>
    </w:p>
    <w:p>
      <w:pPr>
        <w:pStyle w:val="BodyText"/>
        <w:spacing w:line="408" w:lineRule="auto" w:before="46"/>
        <w:ind w:right="206"/>
        <w:jc w:val="both"/>
      </w:pPr>
      <w:r>
        <w:rPr>
          <w:spacing w:val="-2"/>
        </w:rPr>
        <w:t>用公司资金，以及公司为控股股东及其下属企业提供担保的情形。公司具有完整的业务体系和直接面向市</w:t>
      </w:r>
      <w:r>
        <w:rPr>
          <w:spacing w:val="-42"/>
        </w:rPr>
        <w:t> </w:t>
      </w:r>
      <w:r>
        <w:rPr>
          <w:spacing w:val="-42"/>
        </w:rPr>
      </w:r>
      <w:r>
        <w:rPr>
          <w:spacing w:val="-2"/>
        </w:rPr>
        <w:t>场独立经营的能力，独立组织生产销售和经营管理，公司重大事项的经营决策均按照各项规则由公司经理</w:t>
      </w:r>
      <w:r>
        <w:rPr>
          <w:spacing w:val="-43"/>
        </w:rPr>
        <w:t> </w:t>
      </w:r>
      <w:r>
        <w:rPr>
          <w:spacing w:val="-43"/>
        </w:rPr>
      </w:r>
      <w:r>
        <w:rPr/>
        <w:t>层、董事会、股东大会讨论决定，不存在控股股东控制公司经营决策的情形。</w:t>
      </w:r>
    </w:p>
    <w:p>
      <w:pPr>
        <w:spacing w:after="0" w:line="408" w:lineRule="auto"/>
        <w:jc w:val="both"/>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513" w:right="102"/>
        <w:jc w:val="left"/>
      </w:pPr>
      <w:r>
        <w:rPr/>
        <w:t>（三）公司透明度情况</w:t>
      </w:r>
      <w:r>
        <w:rPr>
          <w:w w:val="100"/>
        </w:rPr>
        <w:t> </w:t>
      </w:r>
      <w:r>
        <w:rPr>
          <w:spacing w:val="-2"/>
        </w:rPr>
        <w:t>为规范公司及相关信息披露义务人的信息披露工作，强化信息披露事务和投资者关系管理，确保信息</w:t>
      </w:r>
    </w:p>
    <w:p>
      <w:pPr>
        <w:pStyle w:val="BodyText"/>
        <w:spacing w:line="408" w:lineRule="auto" w:before="46"/>
        <w:ind w:right="103"/>
        <w:jc w:val="both"/>
      </w:pPr>
      <w:r>
        <w:rPr>
          <w:spacing w:val="-2"/>
        </w:rPr>
        <w:t>披露的公平性，公司制定了《信息披露制度》，真实、准确、完整、及时、公平地披露有关信息；并指定</w:t>
      </w:r>
      <w:r>
        <w:rPr>
          <w:spacing w:val="-45"/>
        </w:rPr>
        <w:t> </w:t>
      </w:r>
      <w:r>
        <w:rPr>
          <w:spacing w:val="-45"/>
        </w:rPr>
      </w:r>
      <w:r>
        <w:rPr>
          <w:spacing w:val="-2"/>
        </w:rPr>
        <w:t>公司董事会秘书负责信息披露工作，协调公司与投资者的关系，接待股东来访，回答投资者咨询，确保真</w:t>
      </w:r>
      <w:r>
        <w:rPr>
          <w:spacing w:val="-47"/>
        </w:rPr>
        <w:t> </w:t>
      </w:r>
      <w:r>
        <w:rPr>
          <w:spacing w:val="-47"/>
        </w:rPr>
      </w:r>
      <w:r>
        <w:rPr>
          <w:spacing w:val="-2"/>
        </w:rPr>
        <w:t>实、准确、完整、及时、公平地进行信息披露，增加公司运作的公开性和透明度，并确保所有股东有平等</w:t>
      </w:r>
      <w:r>
        <w:rPr>
          <w:spacing w:val="-45"/>
        </w:rPr>
        <w:t> </w:t>
      </w:r>
      <w:r>
        <w:rPr>
          <w:spacing w:val="-45"/>
        </w:rPr>
      </w:r>
      <w:r>
        <w:rPr>
          <w:spacing w:val="-5"/>
        </w:rPr>
        <w:t>的机会获得信息；公司董事会秘书具有履行职责所必须的权限，其知情权和信息披露建议权能够得到保障。</w:t>
      </w:r>
    </w:p>
    <w:p>
      <w:pPr>
        <w:pStyle w:val="BodyText"/>
        <w:spacing w:line="240" w:lineRule="auto" w:before="46"/>
        <w:ind w:left="484" w:right="102"/>
        <w:jc w:val="left"/>
      </w:pPr>
      <w:r>
        <w:rPr/>
        <w:t>公司治理与《公司法》和中国证监会相关规定的要求不存在差异。</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before="0"/>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102"/>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102"/>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2233"/>
        <w:gridCol w:w="2393"/>
        <w:gridCol w:w="2393"/>
      </w:tblGrid>
      <w:tr>
        <w:trPr>
          <w:trHeight w:val="71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49"/>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第一届董事会第二十二次会议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第一届董事会第二十三次会议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第一届董事会第二十四次会议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第一届董事会第二十五次会议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2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2233"/>
        <w:gridCol w:w="2393"/>
        <w:gridCol w:w="2393"/>
      </w:tblGrid>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第一届董事会第二十六次会议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四、年度报告重大差错责任追究制度的建立与执行情况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557"/>
        <w:jc w:val="left"/>
      </w:pPr>
      <w:r>
        <w:rPr>
          <w:spacing w:val="-11"/>
          <w:w w:val="100"/>
        </w:rPr>
        <w:t>报告期内，公司严格按照《公司法》、《上市公司信息披露管理办法》、《深圳证券交易所创业板股票</w:t>
      </w:r>
      <w:r>
        <w:rPr>
          <w:w w:val="100"/>
        </w:rPr>
        <w:t> </w:t>
      </w:r>
      <w:r>
        <w:rPr>
          <w:spacing w:val="-7"/>
        </w:rPr>
        <w:t>上市交易规则》等相关法律法规的规定，规范运作。经公司第一届董事会第二十三次会议审议，通过了《年</w:t>
      </w:r>
      <w:r>
        <w:rPr>
          <w:spacing w:val="-22"/>
        </w:rPr>
        <w:t> </w:t>
      </w:r>
      <w:r>
        <w:rPr>
          <w:spacing w:val="-22"/>
        </w:rPr>
      </w:r>
      <w:r>
        <w:rPr>
          <w:spacing w:val="-4"/>
          <w:w w:val="100"/>
        </w:rPr>
        <w:t>报信息重大差错责任追究制度的议案》，该制度的建立，完善了公司内部控制，加大了对年报信息披露责</w:t>
      </w:r>
      <w:r>
        <w:rPr>
          <w:spacing w:val="-91"/>
          <w:w w:val="100"/>
        </w:rPr>
        <w:t> </w:t>
      </w:r>
      <w:r>
        <w:rPr>
          <w:spacing w:val="-91"/>
          <w:w w:val="100"/>
        </w:rPr>
      </w:r>
      <w:r>
        <w:rPr>
          <w:spacing w:val="-2"/>
        </w:rPr>
        <w:t>任人的问责力度，提高年报信息披露的质量和透明度，增强年报信息披露的真实性、准确性、完整性和及</w:t>
      </w:r>
      <w:r>
        <w:rPr>
          <w:spacing w:val="-47"/>
        </w:rPr>
        <w:t> </w:t>
      </w:r>
      <w:r>
        <w:rPr>
          <w:spacing w:val="-47"/>
        </w:rPr>
      </w:r>
      <w:r>
        <w:rPr>
          <w:spacing w:val="-2"/>
        </w:rPr>
        <w:t>时性。截至报告期末，公司未发生重大会计差错更正、重大遗漏信息补充以及业绩预告修正等情况；不存</w:t>
      </w:r>
      <w:r>
        <w:rPr>
          <w:spacing w:val="-47"/>
        </w:rPr>
        <w:t> </w:t>
      </w:r>
      <w:r>
        <w:rPr>
          <w:spacing w:val="-47"/>
        </w:rPr>
      </w:r>
      <w:r>
        <w:rPr/>
        <w:t>在有关监管部门对责任人采取问责措施的情形。</w:t>
      </w:r>
    </w:p>
    <w:p>
      <w:pPr>
        <w:spacing w:line="240" w:lineRule="auto" w:before="9"/>
        <w:rPr>
          <w:rFonts w:ascii="宋体" w:hAnsi="宋体" w:cs="宋体" w:eastAsia="宋体" w:hint="default"/>
          <w:sz w:val="18"/>
          <w:szCs w:val="18"/>
        </w:rPr>
      </w:pPr>
    </w:p>
    <w:p>
      <w:pPr>
        <w:pStyle w:val="Heading2"/>
        <w:spacing w:line="240" w:lineRule="auto" w:before="0"/>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5"/>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51"/>
        <w:jc w:val="center"/>
        <w:rPr>
          <w:b w:val="0"/>
          <w:bCs w:val="0"/>
        </w:rPr>
      </w:pPr>
      <w:bookmarkStart w:name="_bookmark8" w:id="9"/>
      <w:bookmarkEnd w:id="9"/>
      <w:r>
        <w:rPr>
          <w:b w:val="0"/>
          <w:bCs w:val="0"/>
        </w:rPr>
      </w:r>
      <w:r>
        <w:rPr/>
        <w:t>第九节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764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2"/>
        <w:rPr>
          <w:rFonts w:ascii="宋体" w:hAnsi="宋体" w:cs="宋体" w:eastAsia="宋体" w:hint="default"/>
          <w:b/>
          <w:bCs/>
          <w:sz w:val="29"/>
          <w:szCs w:val="29"/>
        </w:rPr>
      </w:pPr>
    </w:p>
    <w:p>
      <w:pPr>
        <w:pStyle w:val="BodyText"/>
        <w:spacing w:line="240" w:lineRule="auto"/>
        <w:ind w:right="0"/>
        <w:jc w:val="left"/>
      </w:pPr>
      <w:r>
        <w:rPr>
          <w:spacing w:val="-2"/>
        </w:rPr>
        <w:t>上海天玑科技股份有限公司全体股东：</w:t>
      </w:r>
    </w:p>
    <w:p>
      <w:pPr>
        <w:spacing w:before="49"/>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3727" w:space="553"/>
            <w:col w:w="5670"/>
          </w:cols>
        </w:sectPr>
      </w:pPr>
    </w:p>
    <w:p>
      <w:pPr>
        <w:pStyle w:val="BodyText"/>
        <w:spacing w:line="256" w:lineRule="auto" w:before="37"/>
        <w:ind w:right="146" w:firstLine="420"/>
        <w:jc w:val="both"/>
      </w:pPr>
      <w:r>
        <w:rPr>
          <w:spacing w:val="-2"/>
        </w:rPr>
        <w:t>我们审计了后附的上海天玑科技股份有限公司（以下简称贵公司）的财务报表，包括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w w:val="100"/>
        </w:rPr>
        <w:t> </w:t>
      </w:r>
      <w:r>
        <w:rPr>
          <w:spacing w:val="-2"/>
        </w:rPr>
        <w:t>的合并资产负债表和资产负债表、</w:t>
      </w:r>
      <w:r>
        <w:rPr>
          <w:rFonts w:ascii="Times New Roman" w:hAnsi="Times New Roman" w:cs="Times New Roman" w:eastAsia="Times New Roman" w:hint="default"/>
          <w:spacing w:val="-2"/>
        </w:rPr>
        <w:t>2012</w:t>
      </w:r>
      <w:r>
        <w:rPr>
          <w:spacing w:val="-2"/>
        </w:rPr>
        <w:t>年度的合并利润表和利润表、</w:t>
      </w:r>
      <w:r>
        <w:rPr>
          <w:rFonts w:ascii="Times New Roman" w:hAnsi="Times New Roman" w:cs="Times New Roman" w:eastAsia="Times New Roman" w:hint="default"/>
          <w:spacing w:val="-2"/>
        </w:rPr>
        <w:t>2012</w:t>
      </w:r>
      <w:r>
        <w:rPr>
          <w:spacing w:val="-2"/>
        </w:rPr>
        <w:t>年度的合并现金流量表和现金流</w:t>
      </w:r>
      <w:r>
        <w:rPr>
          <w:spacing w:val="-37"/>
        </w:rPr>
        <w:t> </w:t>
      </w:r>
      <w:r>
        <w:rPr>
          <w:spacing w:val="-37"/>
        </w:rPr>
      </w:r>
      <w:r>
        <w:rPr/>
        <w:t>量表、</w:t>
      </w:r>
      <w:r>
        <w:rPr>
          <w:rFonts w:ascii="Times New Roman" w:hAnsi="Times New Roman" w:cs="Times New Roman" w:eastAsia="Times New Roman" w:hint="default"/>
        </w:rPr>
        <w:t>2012</w:t>
      </w:r>
      <w:r>
        <w:rPr/>
        <w:t>年度的合并所有者权益变动表和所有者权益变动表以及财务报表附注。</w:t>
      </w:r>
    </w:p>
    <w:p>
      <w:pPr>
        <w:pStyle w:val="BodyText"/>
        <w:spacing w:line="273" w:lineRule="auto" w:before="5"/>
        <w:ind w:left="573" w:right="0" w:firstLine="300"/>
        <w:jc w:val="left"/>
      </w:pPr>
      <w:r>
        <w:rPr/>
        <w:t>一、管理层对财务报表的责任</w:t>
      </w:r>
      <w:r>
        <w:rPr>
          <w:w w:val="100"/>
        </w:rPr>
        <w:t> </w:t>
      </w:r>
      <w:r>
        <w:rPr/>
        <w:t>编制和公允列报财务报表是贵公司管理层的责任。这种责任包括：（</w:t>
      </w:r>
      <w:r>
        <w:rPr>
          <w:rFonts w:ascii="Times New Roman" w:hAnsi="Times New Roman" w:cs="Times New Roman" w:eastAsia="Times New Roman" w:hint="default"/>
        </w:rPr>
        <w:t>1</w:t>
      </w:r>
      <w:r>
        <w:rPr/>
        <w:t>）按照企业会计准则的规定编</w:t>
      </w:r>
    </w:p>
    <w:p>
      <w:pPr>
        <w:pStyle w:val="BodyText"/>
        <w:spacing w:line="256" w:lineRule="auto"/>
        <w:ind w:right="0"/>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r>
        <w:rPr>
          <w:spacing w:val="-23"/>
        </w:rPr>
        <w:t> </w:t>
      </w:r>
      <w:r>
        <w:rPr>
          <w:spacing w:val="-23"/>
        </w:rPr>
      </w:r>
      <w:r>
        <w:rPr/>
        <w:t>舞弊或错误导致的重大错报。</w:t>
      </w:r>
    </w:p>
    <w:p>
      <w:pPr>
        <w:pStyle w:val="BodyText"/>
        <w:spacing w:line="273" w:lineRule="auto" w:before="22"/>
        <w:ind w:left="573" w:right="0"/>
        <w:jc w:val="left"/>
      </w:pPr>
      <w:r>
        <w:rPr/>
        <w:t>二、注册会计师的责任</w:t>
      </w:r>
      <w:r>
        <w:rPr>
          <w:w w:val="100"/>
        </w:rPr>
        <w:t> </w:t>
      </w:r>
      <w:r>
        <w:rPr>
          <w:spacing w:val="-2"/>
        </w:rPr>
        <w:t>我们的责任是在执行审计工作的基础上对财务报表发表审计意见。我们按照中国注册会计师审计准则</w:t>
      </w:r>
    </w:p>
    <w:p>
      <w:pPr>
        <w:pStyle w:val="BodyText"/>
        <w:spacing w:line="273" w:lineRule="auto" w:before="7"/>
        <w:ind w:right="0"/>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273" w:lineRule="auto" w:before="7"/>
        <w:ind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273" w:lineRule="auto" w:before="7"/>
        <w:ind w:left="832" w:right="1674" w:hanging="260"/>
        <w:jc w:val="left"/>
      </w:pPr>
      <w:r>
        <w:rPr>
          <w:spacing w:val="-2"/>
        </w:rPr>
        <w:t>我们相信，我们获取的审计证据是充分、适当的，为发表审计意见提供了基础。</w:t>
      </w:r>
      <w:r>
        <w:rPr>
          <w:spacing w:val="-38"/>
        </w:rPr>
        <w:t> </w:t>
      </w:r>
      <w:r>
        <w:rPr>
          <w:spacing w:val="-38"/>
        </w:rPr>
      </w:r>
      <w:r>
        <w:rPr/>
        <w:t>三、审计意见</w:t>
      </w:r>
    </w:p>
    <w:p>
      <w:pPr>
        <w:pStyle w:val="BodyText"/>
        <w:spacing w:line="240" w:lineRule="auto" w:before="7"/>
        <w:ind w:left="573" w:right="0"/>
        <w:jc w:val="left"/>
      </w:pPr>
      <w:r>
        <w:rPr/>
        <w:t>我们认为，贵公司财务报表在所有重大方面按照企业会计准则的规定编制，公允反映了贵公司</w:t>
      </w:r>
      <w:r>
        <w:rPr>
          <w:rFonts w:ascii="Times New Roman" w:hAnsi="Times New Roman" w:cs="Times New Roman" w:eastAsia="Times New Roman" w:hint="default"/>
        </w:rPr>
        <w:t>2012</w:t>
      </w:r>
      <w:r>
        <w:rPr/>
        <w:t>年</w:t>
      </w:r>
    </w:p>
    <w:p>
      <w:pPr>
        <w:pStyle w:val="BodyText"/>
        <w:spacing w:line="240" w:lineRule="auto" w:before="21"/>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tabs>
          <w:tab w:pos="4039" w:val="left" w:leader="none"/>
        </w:tabs>
        <w:spacing w:line="240" w:lineRule="auto"/>
        <w:ind w:left="573" w:right="0"/>
        <w:jc w:val="left"/>
      </w:pPr>
      <w:r>
        <w:rPr>
          <w:spacing w:val="-2"/>
        </w:rPr>
        <w:t>立信会计师事务所</w:t>
        <w:tab/>
        <w:t>中国注册会计师：翟小民</w:t>
      </w:r>
    </w:p>
    <w:p>
      <w:pPr>
        <w:spacing w:line="240" w:lineRule="auto" w:before="10"/>
        <w:rPr>
          <w:rFonts w:ascii="宋体" w:hAnsi="宋体" w:cs="宋体" w:eastAsia="宋体" w:hint="default"/>
          <w:sz w:val="26"/>
          <w:szCs w:val="26"/>
        </w:rPr>
      </w:pPr>
    </w:p>
    <w:p>
      <w:pPr>
        <w:pStyle w:val="BodyText"/>
        <w:tabs>
          <w:tab w:pos="3940" w:val="left" w:leader="none"/>
        </w:tabs>
        <w:spacing w:line="544" w:lineRule="auto"/>
        <w:ind w:left="1204" w:right="3900" w:hanging="632"/>
        <w:jc w:val="left"/>
      </w:pPr>
      <w:r>
        <w:rPr>
          <w:spacing w:val="-2"/>
        </w:rPr>
        <w:t>（特殊普通合伙）</w:t>
        <w:tab/>
        <w:t>中国注册会计师：张洪</w:t>
      </w:r>
      <w:r>
        <w:rPr>
          <w:spacing w:val="-85"/>
        </w:rPr>
        <w:t> </w:t>
      </w:r>
      <w:r>
        <w:rPr>
          <w:spacing w:val="-85"/>
        </w:rPr>
      </w:r>
      <w:r>
        <w:rPr>
          <w:spacing w:val="-23"/>
        </w:rPr>
        <w:t>中国</w:t>
      </w:r>
      <w:r>
        <w:rPr>
          <w:rFonts w:ascii="Times New Roman" w:hAnsi="Times New Roman" w:cs="Times New Roman" w:eastAsia="Times New Roman" w:hint="default"/>
          <w:spacing w:val="-23"/>
        </w:rPr>
        <w:t>·</w:t>
      </w:r>
      <w:r>
        <w:rPr>
          <w:spacing w:val="-23"/>
        </w:rPr>
        <w:t>上海</w:t>
        <w:tab/>
      </w:r>
      <w:r>
        <w:rPr/>
        <w:t>二</w:t>
      </w:r>
      <w:r>
        <w:rPr>
          <w:rFonts w:ascii="Times New Roman" w:hAnsi="Times New Roman" w:cs="Times New Roman" w:eastAsia="Times New Roman" w:hint="default"/>
        </w:rPr>
        <w:t>O</w:t>
      </w:r>
      <w:r>
        <w:rPr/>
        <w:t>一三年四月八日</w:t>
      </w:r>
    </w:p>
    <w:p>
      <w:pPr>
        <w:spacing w:after="0" w:line="544" w:lineRule="auto"/>
        <w:jc w:val="left"/>
        <w:sectPr>
          <w:type w:val="continuous"/>
          <w:pgSz w:w="11910" w:h="16840"/>
          <w:pgMar w:top="106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367,331,032.45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388,862,020.66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3,586,715.00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96,841,450.66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54,293,533.78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34,703,119.94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12,531,665.53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3,795,205.48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3,511,594.60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6,463,488.94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8,024,608.66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23,869,065.91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28,946,180.38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533,083,363.38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499,756,318.61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72,977,857.79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59,352,293.70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1,216,716.84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8,925,367.58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24,302,015.94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216,030.80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765,795.39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669,543.92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524,772.97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108,857,297.46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60,093,097.47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641,940,660.84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559,849,416.08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27,279,533.26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14,532,195.98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44,259,155.61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28,804,744.20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19,146,323.37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8,633,681.17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10,317,608.09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19,297,155.64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11,019,055.36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3,699,085.01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112,021,675.69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74,966,862.00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112,021,675.69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74,966,862.00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232,775,347.05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299,775,347.05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16,923,389.92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12,513,774.60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136,141,389.56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105,743,509.37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-154,601.76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-150,076.94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519,685,524.77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484,882,554.08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10,233,460.38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529,918,985.15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484,882,554.08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641,940,660.84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559,849,416.08</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291"/>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337,992,490.45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380,923,041.39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3,586,715.00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74,638,780.68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47,013,571.18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33,892,684.57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11,448,257.40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3,795,205.48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3,511,594.60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9,492,048.50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8,070,577.89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15,766,113.40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15,130,821.15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475,657,323.08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469,684,578.61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51,882,220.00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24,042,220.00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74,151,897.13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60,599,391.24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1,216,716.84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8,925,367.58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594,007.22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630,165.53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537,675.53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137,400,374.30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85,179,286.77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613,057,697.38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554,863,865.38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25,836,499.70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8,940,220.25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42,929,557.06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28,013,692.68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14,312,332.74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6,535,519.73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8,409,728.73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18,834,298.60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5,626,489.15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7,293,197.32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97,114,607.38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69,616,928.58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97,114,607.38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69,616,928.58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232,775,347.05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299,775,347.05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16,923,389.92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12,513,774.60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132,244,353.03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105,957,815.15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515,943,090.00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485,246,936.80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613,057,697.38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554,863,865.38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362"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313,260,727.26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224,453,830.60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313,260,727.26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224,453,830.60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260,024,556.94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164,959,319.03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182,042,152.25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105,151,346.63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1,558,639.90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8,022,190.55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27,195,460.62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19,240,782.98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57,098,992.84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34,965,543.94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-8,731,968.69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-3,971,877.81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861,280.02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1,551,332.74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53,236,170.32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59,494,511.57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6,378,822.83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6,945,732.37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220,779.09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57,125.76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9,357.14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4,434.22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59,394,214.06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66,383,118.18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9,018,580.88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12,918,340.36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50,375,633.18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53,464,777.82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48,207,495.51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53,464,777.82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2,168,137.67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-95,441.83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50,371,108.36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53,369,335.99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48,202,970.69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53,369,335.99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2,168,137.67</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578" w:val="left" w:leader="none"/>
          <w:tab w:pos="7721" w:val="left" w:leader="none"/>
        </w:tabs>
        <w:spacing w:before="139"/>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252,081,620.75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203,178,851.70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146,503,583.64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93,008,285.40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1,395,921.07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7,379,733.10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22,817,934.14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13,956,516.10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42,411,797.80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28,777,688.27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-8,573,076.67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-3,912,875.82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616,600.04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1,386,915.41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36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46,908,860.73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62,582,589.24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5,135,896.53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6,688,910.74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126,489.56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52,598.38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5,892.36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2,483.84</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51,918,267.70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69,218,901.60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7,822,114.50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12,872,918.35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44,096,153.20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56,345,983.25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44,096,153.20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56,345,983.25</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322,618,519.00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213,450,776.64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107,681.19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17,470,027.59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6,293,623.53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340,196,227.78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219,744,400.17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116,336,540.50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92,381,189.37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107,289,319.94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56,925,702.59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30,370,178.42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16,773,488.46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33,539,894.23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24,028,134.66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287,535,933.09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190,108,515.08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52,660,294.69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29,635,885.09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7,429.32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18,188,479.84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18,195,909.16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51,819,704.78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14,397,355.60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27,840,000.00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79,659,704.78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14,397,355.60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-61,463,795.62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-14,397,355.60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275,334.54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6,981,000.00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17,256,334.54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305,743,665.46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-90,214.04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-22,908,608.37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320,891,980.91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388,115,082.66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67,223,101.75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365,206,474.29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388,115,082.66</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263,272,297.80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196,227,874.23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17,629,742.93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5,844,171.66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280,902,040.73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202,072,045.89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89,878,396.19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66,212,641.86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78,031,476.52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47,987,521.30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27,382,536.31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16,087,614.34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31,031,304.84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26,634,265.20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226,323,713.86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156,922,042.70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54,578,326.87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45,150,003.19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57,371,797.97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15,963,505.79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85,211,797.97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25,963,505.79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-85,204,997.97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-25,963,505.79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275,334.54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6,981,000.00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17,256,334.54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305,743,665.46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-44,026,671.10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324,930,162.86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380,176,103.39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55,245,940.53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336,149,432.29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380,176,103.39</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0" w:top="1060" w:bottom="28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6"/>
        <w:gridCol w:w="819"/>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9"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9"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9"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299,775,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347.05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12,513,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774.60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105,743,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509.37</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-150,07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6.94</w:t>
            </w:r>
          </w:p>
        </w:tc>
        <w:tc>
          <w:tcPr>
            <w:tcW w:w="819"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484,882,55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4.08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299,775,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347.05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12,513,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774.60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105,743,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509.37</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-150,07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6.94</w:t>
            </w:r>
          </w:p>
        </w:tc>
        <w:tc>
          <w:tcPr>
            <w:tcW w:w="819"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484,882,55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4.08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4,409,6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15.32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30,397,8</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80.19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10,233,46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0.38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45,036,431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48,207,4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95.51</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2,168,137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50,375,633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9"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-4,524.82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48,207,4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95.51</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2,168,137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50,371,108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8,065,322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8,065,322.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8,065,322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8,065,322.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6"/>
        <w:gridCol w:w="819"/>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4,409,6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15.32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-17,809,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615.32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-13,400,00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4,409,6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15.32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-4,409,6</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15.32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-13,400,00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232,775,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347.05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16,923,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389.92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136,141,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389.56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-154,60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1.76</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10,233,46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0.38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529,918,98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6"/>
        <w:gridCol w:w="819"/>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9"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19"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9"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756,347.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6,879,1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76.27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57,913,3</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29.88</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-54,635.</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19"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115,494,21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8.09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left="116" w:right="0"/>
              <w:jc w:val="left"/>
              <w:rPr>
                <w:rFonts w:ascii="Times New Roman" w:hAnsi="Times New Roman" w:cs="Times New Roman" w:eastAsia="Times New Roman" w:hint="default"/>
                <w:sz w:val="18"/>
                <w:szCs w:val="18"/>
              </w:rPr>
            </w:pPr>
            <w:r>
              <w:rPr>
                <w:rFonts w:ascii="Times New Roman"/>
                <w:sz w:val="18"/>
              </w:rPr>
              <w:t>50,000,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756,347.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2" w:right="0"/>
              <w:jc w:val="left"/>
              <w:rPr>
                <w:rFonts w:ascii="Times New Roman" w:hAnsi="Times New Roman" w:cs="Times New Roman" w:eastAsia="Times New Roman" w:hint="default"/>
                <w:sz w:val="18"/>
                <w:szCs w:val="18"/>
              </w:rPr>
            </w:pPr>
            <w:r>
              <w:rPr>
                <w:rFonts w:ascii="Times New Roman"/>
                <w:sz w:val="18"/>
              </w:rPr>
              <w:t>6,879,1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57,913,3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 w:right="0"/>
              <w:jc w:val="center"/>
              <w:rPr>
                <w:rFonts w:ascii="Times New Roman" w:hAnsi="Times New Roman" w:cs="Times New Roman" w:eastAsia="Times New Roman" w:hint="default"/>
                <w:sz w:val="18"/>
                <w:szCs w:val="18"/>
              </w:rPr>
            </w:pPr>
            <w:r>
              <w:rPr>
                <w:rFonts w:ascii="Times New Roman"/>
                <w:sz w:val="18"/>
              </w:rPr>
              <w:t>-54,635.</w:t>
            </w: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115,494,21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6"/>
        <w:gridCol w:w="819"/>
        <w:gridCol w:w="893"/>
      </w:tblGrid>
      <w:tr>
        <w:trPr>
          <w:trHeight w:val="36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7" w:right="0"/>
              <w:jc w:val="left"/>
              <w:rPr>
                <w:rFonts w:ascii="Times New Roman" w:hAnsi="Times New Roman" w:cs="Times New Roman" w:eastAsia="Times New Roman" w:hint="default"/>
                <w:sz w:val="18"/>
                <w:szCs w:val="18"/>
              </w:rPr>
            </w:pPr>
            <w:r>
              <w:rPr>
                <w:rFonts w:ascii="Times New Roman"/>
                <w:sz w:val="18"/>
              </w:rPr>
              <w:t>76.27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2" w:right="0"/>
              <w:jc w:val="left"/>
              <w:rPr>
                <w:rFonts w:ascii="Times New Roman" w:hAnsi="Times New Roman" w:cs="Times New Roman" w:eastAsia="Times New Roman" w:hint="default"/>
                <w:sz w:val="18"/>
                <w:szCs w:val="18"/>
              </w:rPr>
            </w:pPr>
            <w:r>
              <w:rPr>
                <w:rFonts w:ascii="Times New Roman"/>
                <w:sz w:val="18"/>
              </w:rPr>
              <w:t>29.88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8.09</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299,019,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5,634,5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98.33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47,830,1</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79.49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-95,441.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369,388,33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5.99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53,464,7</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77.82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53,464,777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-95,441.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-95,441.83</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53,464,7</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77.82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-95,441.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53,369,335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299,019,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316,019,00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299,019,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316,019,00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5,634,5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98.33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-5,634,5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98.33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5,634,5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98.33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-5,634,5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98.33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299,775,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347.05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12,513,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774.60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105,743,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509.37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-150,07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6.94</w:t>
            </w: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484,882,55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4.08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4"/>
          <w:szCs w:val="24"/>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0" w:top="1060" w:bottom="28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65"/>
        <w:gridCol w:w="884"/>
        <w:gridCol w:w="886"/>
        <w:gridCol w:w="886"/>
        <w:gridCol w:w="886"/>
        <w:gridCol w:w="886"/>
        <w:gridCol w:w="886"/>
        <w:gridCol w:w="889"/>
        <w:gridCol w:w="890"/>
      </w:tblGrid>
      <w:tr>
        <w:trPr>
          <w:trHeight w:val="396"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5"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65"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9"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65"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9"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65"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9"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299,775,34</w:t>
            </w:r>
          </w:p>
          <w:p>
            <w:pPr>
              <w:pStyle w:val="TableParagraph"/>
              <w:spacing w:line="240" w:lineRule="auto" w:before="102"/>
              <w:ind w:left="539" w:right="0"/>
              <w:jc w:val="left"/>
              <w:rPr>
                <w:rFonts w:ascii="Times New Roman" w:hAnsi="Times New Roman" w:cs="Times New Roman" w:eastAsia="Times New Roman" w:hint="default"/>
                <w:sz w:val="18"/>
                <w:szCs w:val="18"/>
              </w:rPr>
            </w:pPr>
            <w:r>
              <w:rPr>
                <w:rFonts w:ascii="Times New Roman"/>
                <w:sz w:val="18"/>
              </w:rPr>
              <w:t>7.05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12,513,774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105,957,81</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5.15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485,246,93</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6.80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4"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299,775,34</w:t>
            </w:r>
          </w:p>
          <w:p>
            <w:pPr>
              <w:pStyle w:val="TableParagraph"/>
              <w:spacing w:line="240" w:lineRule="auto" w:before="102"/>
              <w:ind w:left="539" w:right="0"/>
              <w:jc w:val="left"/>
              <w:rPr>
                <w:rFonts w:ascii="Times New Roman" w:hAnsi="Times New Roman" w:cs="Times New Roman" w:eastAsia="Times New Roman" w:hint="default"/>
                <w:sz w:val="18"/>
                <w:szCs w:val="18"/>
              </w:rPr>
            </w:pPr>
            <w:r>
              <w:rPr>
                <w:rFonts w:ascii="Times New Roman"/>
                <w:sz w:val="18"/>
              </w:rPr>
              <w:t>7.05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12,513,774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105,957,81</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5.15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485,246,93</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6.80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-67,000,00</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4,409,615.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26,286,537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30,696,153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44,096,153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44,096,153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44,096,153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44,096,153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4,409,615.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-17,809,61</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5.32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-13,400,00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4,409,615.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32</w:t>
            </w: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-4,409,615.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32</w:t>
            </w:r>
          </w:p>
        </w:tc>
        <w:tc>
          <w:tcPr>
            <w:tcW w:w="890" w:type="dxa"/>
            <w:vMerge w:val="restart"/>
            <w:tcBorders>
              <w:top w:val="single" w:sz="4" w:space="0" w:color="000000"/>
              <w:left w:val="single" w:sz="4" w:space="0" w:color="000000"/>
              <w:right w:val="single" w:sz="4" w:space="0" w:color="000000"/>
            </w:tcBorders>
          </w:tcPr>
          <w:p>
            <w:pPr/>
          </w:p>
        </w:tc>
      </w:tr>
      <w:tr>
        <w:trPr>
          <w:trHeight w:val="392"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-13,400,00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-13,400,00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67,000,000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4" w:right="0"/>
              <w:jc w:val="left"/>
              <w:rPr>
                <w:rFonts w:ascii="Times New Roman" w:hAnsi="Times New Roman" w:cs="Times New Roman" w:eastAsia="Times New Roman" w:hint="default"/>
                <w:sz w:val="18"/>
                <w:szCs w:val="18"/>
              </w:rPr>
            </w:pPr>
            <w:r>
              <w:rPr>
                <w:rFonts w:ascii="Times New Roman"/>
                <w:sz w:val="18"/>
              </w:rPr>
              <w:t>-67,000,00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280" w:left="980" w:right="980"/>
        </w:sectPr>
      </w:pPr>
    </w:p>
    <w:p>
      <w:pPr>
        <w:spacing w:line="240" w:lineRule="auto" w:before="6"/>
        <w:rPr>
          <w:rFonts w:ascii="宋体" w:hAnsi="宋体" w:cs="宋体" w:eastAsia="宋体" w:hint="default"/>
          <w:sz w:val="28"/>
          <w:szCs w:val="28"/>
        </w:rPr>
      </w:pPr>
      <w:r>
        <w:rPr/>
        <w:pict>
          <v:shape style="position:absolute;margin-left:138.600006pt;margin-top:90.595985pt;width:84.8pt;height:22.05pt;mso-position-horizontal-relative:page;mso-position-vertical-relative:page;z-index:-826912"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126.259979pt;width:84.8pt;height:19.7pt;mso-position-horizontal-relative:page;mso-position-vertical-relative:page;z-index:-8268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9"/>
        <w:gridCol w:w="890"/>
      </w:tblGrid>
      <w:tr>
        <w:trPr>
          <w:trHeight w:val="36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p>
            <w:pPr>
              <w:pStyle w:val="TableParagraph"/>
              <w:spacing w:line="353"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41.45pt;height:17.7pt;mso-position-horizontal-relative:char;mso-position-vertical-relative:line" coordorigin="0,0" coordsize="829,354">
                  <v:group style="position:absolute;left:0;top:0;width:829;height:354" coordorigin="0,0" coordsize="829,354">
                    <v:shape style="position:absolute;left:0;top:0;width:829;height:354" coordorigin="0,0" coordsize="829,354" path="m0,353l828,353,828,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0"/>
              <w:ind w:right="0"/>
              <w:jc w:val="left"/>
              <w:rPr>
                <w:rFonts w:ascii="宋体" w:hAnsi="宋体" w:cs="宋体" w:eastAsia="宋体" w:hint="default"/>
                <w:sz w:val="26"/>
                <w:szCs w:val="26"/>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-67,000,00</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417"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42.65pt;height:20.9pt;mso-position-horizontal-relative:char;mso-position-vertical-relative:line" coordorigin="0,0" coordsize="853,418">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24;top:12;width:829;height:394" coordorigin="24,12" coordsize="829,394">
                    <v:shape style="position:absolute;left:24;top:12;width:829;height:394" coordorigin="24,12" coordsize="829,394" path="m24,406l852,406,852,12,24,12,24,406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134,000,00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232,775,34</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7.05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16,923,389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132,244,35</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3.03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515,943,09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4"/>
        <w:gridCol w:w="884"/>
        <w:gridCol w:w="886"/>
        <w:gridCol w:w="886"/>
        <w:gridCol w:w="884"/>
        <w:gridCol w:w="886"/>
        <w:gridCol w:w="883"/>
        <w:gridCol w:w="884"/>
        <w:gridCol w:w="883"/>
      </w:tblGrid>
      <w:tr>
        <w:trPr>
          <w:trHeight w:val="397"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8" w:right="75"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84"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99" w:hRule="exact"/>
        </w:trPr>
        <w:tc>
          <w:tcPr>
            <w:tcW w:w="2484"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84"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756,347.05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6,879,176.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27</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55,246,430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112,881,95</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3.55</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756,347.05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6,879,176.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27</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55,246,430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112,881,95</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3.55</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299,019,00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5,634,598.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50,711,384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372,364,98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3.25</w:t>
            </w:r>
          </w:p>
        </w:tc>
      </w:tr>
      <w:tr>
        <w:trPr>
          <w:trHeight w:val="163"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56,345,983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56,345,983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.25</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56,345,983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56,345,983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.25</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299,019,00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316,019,00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3"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299,019,00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316,019,00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6"/>
        <w:rPr>
          <w:rFonts w:ascii="宋体" w:hAnsi="宋体" w:cs="宋体" w:eastAsia="宋体" w:hint="default"/>
          <w:sz w:val="28"/>
          <w:szCs w:val="28"/>
        </w:rPr>
      </w:pPr>
      <w:r>
        <w:rPr/>
        <w:pict>
          <v:shape style="position:absolute;margin-left:139.554001pt;margin-top:244.459976pt;width:84.8pt;height:19.6pt;mso-position-horizontal-relative:page;mso-position-vertical-relative:page;z-index:-8268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264.505981pt;width:84.8pt;height:19.6pt;mso-position-horizontal-relative:page;mso-position-vertical-relative:page;z-index:-82684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244.459976pt;width:41.45pt;height:39.65pt;mso-position-horizontal-relative:page;mso-position-vertical-relative:page;z-index:-826816" coordorigin="3658,4889" coordsize="829,793">
            <v:group style="position:absolute;left:3658;top:4889;width:829;height:392" coordorigin="3658,4889" coordsize="829,392">
              <v:shape style="position:absolute;left:3658;top:4889;width:829;height:392" coordorigin="3658,4889" coordsize="829,392" path="m3658,5280l4486,5280,4486,4889,3658,4889,3658,5280xe" filled="true" fillcolor="#ffffff" stroked="false">
                <v:path arrowok="t"/>
                <v:fill type="solid"/>
              </v:shape>
            </v:group>
            <v:group style="position:absolute;left:3658;top:5290;width:829;height:392" coordorigin="3658,5290" coordsize="829,392">
              <v:shape style="position:absolute;left:3658;top:5290;width:829;height:392" coordorigin="3658,5290" coordsize="829,392" path="m3658,5682l4486,5682,4486,5290,3658,5290,3658,568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3"/>
        <w:gridCol w:w="884"/>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5,634,598.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-5,634,598.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5,634,598.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-5,634,598.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299,775,34</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7.05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12,513,774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105,957,81</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5.15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485,246,93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6.80</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spacing w:line="240" w:lineRule="auto" w:before="4"/>
        <w:rPr>
          <w:rFonts w:ascii="宋体" w:hAnsi="宋体" w:cs="宋体" w:eastAsia="宋体" w:hint="default"/>
          <w:sz w:val="25"/>
          <w:szCs w:val="25"/>
        </w:rPr>
      </w:pPr>
    </w:p>
    <w:p>
      <w:pPr>
        <w:pStyle w:val="Heading2"/>
        <w:spacing w:line="240" w:lineRule="auto" w:before="0"/>
        <w:ind w:right="0"/>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48" w:firstLine="420"/>
        <w:jc w:val="both"/>
      </w:pPr>
      <w:r>
        <w:rPr>
          <w:spacing w:val="-1"/>
        </w:rPr>
        <w:t>上海天玑科技股份有限公司（以下简称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）前身系上海天玑科技有限责任公司，由陆</w:t>
      </w:r>
      <w:r>
        <w:rPr>
          <w:w w:val="100"/>
        </w:rPr>
        <w:t> </w:t>
      </w:r>
      <w:r>
        <w:rPr>
          <w:spacing w:val="-2"/>
        </w:rPr>
        <w:t>文雄等</w:t>
      </w:r>
      <w:r>
        <w:rPr>
          <w:rFonts w:ascii="Times New Roman" w:hAnsi="Times New Roman" w:cs="Times New Roman" w:eastAsia="Times New Roman" w:hint="default"/>
          <w:spacing w:val="-2"/>
        </w:rPr>
        <w:t>7</w:t>
      </w:r>
      <w:r>
        <w:rPr>
          <w:spacing w:val="-2"/>
        </w:rPr>
        <w:t>个自然人于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月共同出资设立。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月，根据公司发起人协议及章程的规定，原上海天</w:t>
      </w:r>
      <w:r>
        <w:rPr>
          <w:spacing w:val="-35"/>
        </w:rPr>
        <w:t> </w:t>
      </w:r>
      <w:r>
        <w:rPr>
          <w:spacing w:val="-35"/>
        </w:rPr>
      </w:r>
      <w:r>
        <w:rPr/>
        <w:t>玑科技有限责任公司以其净资产折股整体变更为上海天玑科技股份有限公司。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月，公司首次向社</w:t>
      </w:r>
      <w:r>
        <w:rPr>
          <w:spacing w:val="-25"/>
        </w:rPr>
        <w:t> </w:t>
      </w:r>
      <w:r>
        <w:rPr>
          <w:spacing w:val="-25"/>
        </w:rPr>
      </w:r>
      <w:r>
        <w:rPr>
          <w:spacing w:val="-2"/>
        </w:rPr>
        <w:t>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17,000,000</w:t>
      </w:r>
      <w:r>
        <w:rPr>
          <w:spacing w:val="-2"/>
        </w:rPr>
        <w:t>股，经中国证券监督管理委员会以证监许可</w:t>
      </w:r>
      <w:r>
        <w:rPr>
          <w:rFonts w:ascii="Times New Roman" w:hAnsi="Times New Roman" w:cs="Times New Roman" w:eastAsia="Times New Roman" w:hint="default"/>
          <w:spacing w:val="-2"/>
        </w:rPr>
        <w:t>[2011]1035</w:t>
      </w:r>
      <w:r>
        <w:rPr>
          <w:spacing w:val="-2"/>
        </w:rPr>
        <w:t>号《关</w:t>
      </w:r>
      <w:r>
        <w:rPr>
          <w:spacing w:val="-1"/>
        </w:rPr>
        <w:t> </w:t>
      </w:r>
      <w:r>
        <w:rPr>
          <w:spacing w:val="-1"/>
        </w:rPr>
      </w:r>
      <w:r>
        <w:rPr/>
        <w:t>于核准上海天玑科技股份有限公司首次公开发行股票并在创业板上市的批复》核准，于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w:t>
      </w:r>
      <w:r>
        <w:rPr>
          <w:spacing w:val="-24"/>
        </w:rPr>
        <w:t> </w:t>
      </w:r>
      <w:r>
        <w:rPr/>
        <w:t>深圳证券交易所上市交易。</w:t>
      </w:r>
    </w:p>
    <w:p>
      <w:pPr>
        <w:pStyle w:val="BodyText"/>
        <w:spacing w:line="256" w:lineRule="auto" w:before="22"/>
        <w:ind w:right="149" w:firstLine="420"/>
        <w:jc w:val="both"/>
      </w:pPr>
      <w:r>
        <w:rPr/>
        <w:t>根据</w:t>
      </w:r>
      <w:r>
        <w:rPr>
          <w:rFonts w:ascii="Times New Roman" w:hAnsi="Times New Roman" w:cs="Times New Roman" w:eastAsia="Times New Roman" w:hint="default"/>
        </w:rPr>
        <w:t>2011</w:t>
      </w:r>
      <w:r>
        <w:rPr/>
        <w:t>年度股东大会决议通过，公司以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67,000,000</w:t>
      </w:r>
      <w:r>
        <w:rPr/>
        <w:t>股为基数，按每</w:t>
      </w:r>
      <w:r>
        <w:rPr>
          <w:rFonts w:ascii="Times New Roman" w:hAnsi="Times New Roman" w:cs="Times New Roman" w:eastAsia="Times New Roman" w:hint="default"/>
        </w:rPr>
        <w:t>10</w:t>
      </w:r>
      <w:r>
        <w:rPr/>
        <w:t>股由资本</w:t>
      </w:r>
      <w:r>
        <w:rPr>
          <w:w w:val="100"/>
        </w:rPr>
        <w:t> </w:t>
      </w:r>
      <w:r>
        <w:rPr>
          <w:spacing w:val="9"/>
        </w:rPr>
        <w:t>公积金转增</w:t>
      </w:r>
      <w:r>
        <w:rPr>
          <w:rFonts w:ascii="Times New Roman" w:hAnsi="Times New Roman" w:cs="Times New Roman" w:eastAsia="Times New Roman" w:hint="default"/>
          <w:spacing w:val="9"/>
        </w:rPr>
        <w:t>10</w:t>
      </w:r>
      <w:r>
        <w:rPr>
          <w:spacing w:val="9"/>
        </w:rPr>
        <w:t>股，共计转增</w:t>
      </w:r>
      <w:r>
        <w:rPr>
          <w:rFonts w:ascii="Times New Roman" w:hAnsi="Times New Roman" w:cs="Times New Roman" w:eastAsia="Times New Roman" w:hint="default"/>
          <w:spacing w:val="9"/>
        </w:rPr>
        <w:t>67,000,000</w:t>
      </w:r>
      <w:r>
        <w:rPr>
          <w:spacing w:val="9"/>
        </w:rPr>
        <w:t>股，并于</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7</w:t>
      </w:r>
      <w:r>
        <w:rPr>
          <w:spacing w:val="9"/>
        </w:rPr>
        <w:t>月</w:t>
      </w:r>
      <w:r>
        <w:rPr>
          <w:rFonts w:ascii="Times New Roman" w:hAnsi="Times New Roman" w:cs="Times New Roman" w:eastAsia="Times New Roman" w:hint="default"/>
          <w:spacing w:val="9"/>
        </w:rPr>
        <w:t>23</w:t>
      </w:r>
      <w:r>
        <w:rPr>
          <w:spacing w:val="9"/>
        </w:rPr>
        <w:t>日实施。转增后，注册资本增至人民币</w:t>
      </w:r>
      <w:r>
        <w:rPr>
          <w:spacing w:val="12"/>
        </w:rPr>
        <w:t> </w:t>
      </w:r>
      <w:r>
        <w:rPr>
          <w:spacing w:val="12"/>
        </w:rPr>
      </w:r>
      <w:r>
        <w:rPr>
          <w:rFonts w:ascii="Times New Roman" w:hAnsi="Times New Roman" w:cs="Times New Roman" w:eastAsia="Times New Roman" w:hint="default"/>
        </w:rPr>
        <w:t>134,000,000.00</w:t>
      </w:r>
      <w:r>
        <w:rPr/>
        <w:t>元。至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日，公司已完成增资工商登记变更手续。</w:t>
      </w:r>
    </w:p>
    <w:p>
      <w:pPr>
        <w:pStyle w:val="BodyText"/>
        <w:spacing w:line="261" w:lineRule="auto" w:before="5"/>
        <w:ind w:left="573" w:right="3900"/>
        <w:jc w:val="left"/>
      </w:pPr>
      <w:r>
        <w:rPr/>
        <w:t>公司注册资本为</w:t>
      </w:r>
      <w:r>
        <w:rPr>
          <w:rFonts w:ascii="Times New Roman" w:hAnsi="Times New Roman" w:cs="Times New Roman" w:eastAsia="Times New Roman" w:hint="default"/>
        </w:rPr>
        <w:t>134,000,000.00</w:t>
      </w:r>
      <w:r>
        <w:rPr/>
        <w:t>元。</w:t>
      </w:r>
      <w:r>
        <w:rPr>
          <w:spacing w:val="-3"/>
          <w:w w:val="100"/>
        </w:rPr>
        <w:t> </w:t>
      </w:r>
      <w:r>
        <w:rPr/>
        <w:t>本公司的实际控制人为陆文雄。</w:t>
      </w:r>
      <w:r>
        <w:rPr>
          <w:w w:val="100"/>
        </w:rPr>
        <w:t> </w:t>
      </w:r>
      <w:r>
        <w:rPr>
          <w:spacing w:val="-2"/>
        </w:rPr>
        <w:t>公司的企业法人营业执照注册号：</w:t>
      </w:r>
      <w:r>
        <w:rPr>
          <w:rFonts w:ascii="Times New Roman" w:hAnsi="Times New Roman" w:cs="Times New Roman" w:eastAsia="Times New Roman" w:hint="default"/>
          <w:spacing w:val="-2"/>
        </w:rPr>
        <w:t>310229000614545</w:t>
      </w:r>
      <w:r>
        <w:rPr>
          <w:spacing w:val="-2"/>
        </w:rPr>
        <w:t>。</w:t>
      </w:r>
      <w:r>
        <w:rPr>
          <w:spacing w:val="-48"/>
        </w:rPr>
        <w:t> </w:t>
      </w:r>
      <w:r>
        <w:rPr/>
        <w:t>公司所属行业：计算机服务业。</w:t>
      </w:r>
    </w:p>
    <w:p>
      <w:pPr>
        <w:pStyle w:val="BodyText"/>
        <w:spacing w:line="273" w:lineRule="auto" w:before="18"/>
        <w:ind w:right="149" w:firstLine="420"/>
        <w:jc w:val="both"/>
      </w:pPr>
      <w:r>
        <w:rPr>
          <w:spacing w:val="-2"/>
        </w:rPr>
        <w:t>公司经营范围：计算机软硬件开发、销售、维修，系统集成，通讯设备的销售及维修，提供相关的技</w:t>
      </w:r>
      <w:r>
        <w:rPr>
          <w:w w:val="100"/>
        </w:rPr>
        <w:t> </w:t>
      </w:r>
      <w:r>
        <w:rPr/>
        <w:t>术咨询、服务，自有设备租赁，从事货物及技术进出口业务。（涉及行政许可的，凭许可证经营）。</w:t>
      </w:r>
    </w:p>
    <w:p>
      <w:pPr>
        <w:pStyle w:val="BodyText"/>
        <w:spacing w:line="240" w:lineRule="auto" w:before="7"/>
        <w:ind w:left="452" w:right="471"/>
        <w:jc w:val="center"/>
      </w:pPr>
      <w:r>
        <w:rPr/>
        <w:t>公司提供的主要服务包括</w:t>
      </w:r>
      <w:r>
        <w:rPr>
          <w:rFonts w:ascii="Times New Roman" w:hAnsi="Times New Roman" w:cs="Times New Roman" w:eastAsia="Times New Roman" w:hint="default"/>
        </w:rPr>
        <w:t>IT</w:t>
      </w:r>
      <w:r>
        <w:rPr/>
        <w:t>支持与维护服务、</w:t>
      </w:r>
      <w:r>
        <w:rPr>
          <w:rFonts w:ascii="Times New Roman" w:hAnsi="Times New Roman" w:cs="Times New Roman" w:eastAsia="Times New Roman" w:hint="default"/>
        </w:rPr>
        <w:t>IT</w:t>
      </w:r>
      <w:r>
        <w:rPr/>
        <w:t>外包服务、</w:t>
      </w:r>
      <w:r>
        <w:rPr>
          <w:rFonts w:ascii="Times New Roman" w:hAnsi="Times New Roman" w:cs="Times New Roman" w:eastAsia="Times New Roman" w:hint="default"/>
        </w:rPr>
        <w:t>IT</w:t>
      </w:r>
      <w:r>
        <w:rPr/>
        <w:t>专业服务、</w:t>
      </w:r>
      <w:r>
        <w:rPr>
          <w:rFonts w:ascii="Times New Roman" w:hAnsi="Times New Roman" w:cs="Times New Roman" w:eastAsia="Times New Roman" w:hint="default"/>
        </w:rPr>
        <w:t>IT</w:t>
      </w:r>
      <w:r>
        <w:rPr/>
        <w:t>软件服务等技术服务。</w:t>
      </w:r>
    </w:p>
    <w:p>
      <w:pPr>
        <w:spacing w:after="0" w:line="240" w:lineRule="auto"/>
        <w:jc w:val="cente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467" w:right="102"/>
        <w:jc w:val="left"/>
      </w:pPr>
      <w:r>
        <w:rPr/>
        <w:t>公司注册地址：上海市青浦区清河湾路</w:t>
      </w:r>
      <w:r>
        <w:rPr>
          <w:rFonts w:ascii="Times New Roman" w:hAnsi="Times New Roman" w:cs="Times New Roman" w:eastAsia="Times New Roman" w:hint="default"/>
        </w:rPr>
        <w:t>1200</w:t>
      </w:r>
      <w:r>
        <w:rPr/>
        <w:t>号</w:t>
      </w:r>
      <w:r>
        <w:rPr>
          <w:rFonts w:ascii="Times New Roman" w:hAnsi="Times New Roman" w:cs="Times New Roman" w:eastAsia="Times New Roman" w:hint="default"/>
        </w:rPr>
        <w:t>1008</w:t>
      </w:r>
      <w:r>
        <w:rPr/>
        <w:t>室；总部办公地：上海市徐汇区桂平路</w:t>
      </w:r>
      <w:r>
        <w:rPr>
          <w:rFonts w:ascii="Times New Roman" w:hAnsi="Times New Roman" w:cs="Times New Roman" w:eastAsia="Times New Roman" w:hint="default"/>
        </w:rPr>
        <w:t>481</w:t>
      </w:r>
      <w:r>
        <w:rPr/>
        <w:t>号</w:t>
      </w:r>
      <w:r>
        <w:rPr>
          <w:rFonts w:ascii="Times New Roman" w:hAnsi="Times New Roman" w:cs="Times New Roman" w:eastAsia="Times New Roman" w:hint="default"/>
        </w:rPr>
        <w:t>18</w:t>
      </w:r>
      <w:r>
        <w:rPr/>
        <w:t>号楼</w:t>
      </w:r>
    </w:p>
    <w:p>
      <w:pPr>
        <w:spacing w:line="487" w:lineRule="auto" w:before="21"/>
        <w:ind w:left="152" w:right="50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楼。</w:t>
      </w:r>
      <w:r>
        <w:rPr>
          <w:rFonts w:ascii="宋体" w:hAnsi="宋体" w:cs="宋体" w:eastAsia="宋体" w:hint="default"/>
          <w:spacing w:val="-102"/>
          <w:sz w:val="21"/>
          <w:szCs w:val="21"/>
        </w:rPr>
        <w:t> </w:t>
      </w:r>
      <w:r>
        <w:rPr>
          <w:rFonts w:ascii="宋体" w:hAnsi="宋体" w:cs="宋体" w:eastAsia="宋体" w:hint="default"/>
          <w:b/>
          <w:bCs/>
          <w:sz w:val="24"/>
          <w:szCs w:val="24"/>
        </w:rPr>
        <w:t>四、公司主要会计政策、会计估计和前期差错</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pStyle w:val="BodyText"/>
        <w:spacing w:line="256" w:lineRule="auto" w:before="81"/>
        <w:ind w:right="102"/>
        <w:jc w:val="left"/>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w:t>
      </w:r>
      <w:r>
        <w:rPr>
          <w:w w:val="100"/>
        </w:rPr>
        <w:t> </w:t>
      </w:r>
      <w:r>
        <w:rPr>
          <w:spacing w:val="-4"/>
        </w:rPr>
        <w:t>则</w:t>
      </w:r>
      <w:r>
        <w:rPr>
          <w:rFonts w:ascii="Times New Roman" w:hAnsi="Times New Roman" w:cs="Times New Roman" w:eastAsia="Times New Roman" w:hint="default"/>
          <w:spacing w:val="-4"/>
        </w:rPr>
        <w:t>——</w:t>
      </w:r>
      <w:r>
        <w:rPr>
          <w:spacing w:val="-4"/>
        </w:rPr>
        <w:t>基本准则》和</w:t>
      </w:r>
      <w:r>
        <w:rPr>
          <w:rFonts w:ascii="Times New Roman" w:hAnsi="Times New Roman" w:cs="Times New Roman" w:eastAsia="Times New Roman" w:hint="default"/>
          <w:spacing w:val="-4"/>
        </w:rPr>
        <w:t>38</w:t>
      </w:r>
      <w:r>
        <w:rPr>
          <w:spacing w:val="-4"/>
        </w:rPr>
        <w:t>项具体会计准则、企业会计准则应用指南、企业会计准则解释及其他相关规定</w:t>
      </w:r>
      <w:r>
        <w:rPr>
          <w:rFonts w:ascii="Times New Roman" w:hAnsi="Times New Roman" w:cs="Times New Roman" w:eastAsia="Times New Roman" w:hint="default"/>
          <w:spacing w:val="-4"/>
        </w:rPr>
        <w:t>(</w:t>
      </w:r>
      <w:r>
        <w:rPr>
          <w:spacing w:val="-4"/>
        </w:rPr>
        <w:t>以下</w:t>
      </w:r>
      <w:r>
        <w:rPr>
          <w:spacing w:val="-14"/>
        </w:rPr>
        <w:t> </w:t>
      </w:r>
      <w:r>
        <w:rPr/>
        <w:t>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编制财务报表。</w:t>
      </w:r>
    </w:p>
    <w:p>
      <w:pPr>
        <w:spacing w:line="240" w:lineRule="auto" w:before="4"/>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2"/>
        <w:jc w:val="left"/>
      </w:pPr>
      <w:r>
        <w:rPr>
          <w:spacing w:val="-5"/>
        </w:rPr>
        <w:t>公司所编制的财务报表符合企业会计准则的要求，真实、完整地反映了报告期公司的财务状况、经营成果、</w:t>
      </w:r>
      <w:r>
        <w:rPr>
          <w:spacing w:val="-3"/>
        </w:rPr>
        <w:t> </w:t>
      </w:r>
      <w:r>
        <w:rPr>
          <w:spacing w:val="-3"/>
        </w:rPr>
      </w:r>
      <w:r>
        <w:rPr/>
        <w:t>现金流量等有关信息。</w:t>
      </w:r>
    </w:p>
    <w:p>
      <w:pPr>
        <w:spacing w:line="240" w:lineRule="auto" w:before="7"/>
        <w:rPr>
          <w:rFonts w:ascii="宋体" w:hAnsi="宋体" w:cs="宋体" w:eastAsia="宋体" w:hint="default"/>
          <w:sz w:val="23"/>
          <w:szCs w:val="23"/>
        </w:rPr>
      </w:pPr>
    </w:p>
    <w:p>
      <w:pPr>
        <w:spacing w:line="506" w:lineRule="auto" w:before="0"/>
        <w:ind w:left="152" w:right="45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73" w:lineRule="auto" w:before="65"/>
        <w:ind w:right="3365"/>
        <w:jc w:val="left"/>
      </w:pPr>
      <w:r>
        <w:rPr/>
        <w:t>采用人民币为记账本位币。</w:t>
      </w:r>
      <w:r>
        <w:rPr>
          <w:w w:val="100"/>
        </w:rPr>
        <w:t> </w:t>
      </w:r>
      <w:r>
        <w:rPr>
          <w:spacing w:val="-2"/>
        </w:rPr>
        <w:t>境外子公司以其经营所处的主要经济环境中的货币为记账本位币。</w:t>
      </w: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left="212" w:right="102" w:hanging="60"/>
        <w:jc w:val="left"/>
      </w:pPr>
      <w:r>
        <w:rPr/>
        <w:t>（</w:t>
      </w:r>
      <w:r>
        <w:rPr>
          <w:rFonts w:ascii="Times New Roman" w:hAnsi="Times New Roman" w:cs="Times New Roman" w:eastAsia="Times New Roman" w:hint="default"/>
        </w:rPr>
        <w:t>1</w:t>
      </w:r>
      <w:r>
        <w:rPr/>
        <w:t>）投资成本的确定</w:t>
      </w:r>
      <w:r>
        <w:rPr>
          <w:w w:val="100"/>
        </w:rPr>
        <w:t> </w:t>
      </w:r>
      <w:r>
        <w:rPr>
          <w:spacing w:val="-4"/>
        </w:rPr>
        <w:t>公司以支付现金、转让非现金资产或承担债务方式以及以发行权益性证券作为合并对价的，在合并日按照</w:t>
      </w:r>
      <w:r>
        <w:rPr>
          <w:spacing w:val="-74"/>
        </w:rPr>
        <w:t> </w:t>
      </w:r>
      <w:r>
        <w:rPr>
          <w:spacing w:val="-74"/>
        </w:rPr>
      </w:r>
      <w:r>
        <w:rPr>
          <w:spacing w:val="-4"/>
          <w:w w:val="100"/>
        </w:rPr>
        <w:t>取得被合并方所有者权益账面价值的份额作为长期股权投资的投资成本。被合并各方采用的会计政策与本</w:t>
      </w:r>
      <w:r>
        <w:rPr>
          <w:w w:val="100"/>
        </w:rPr>
        <w:t> </w:t>
      </w:r>
      <w:r>
        <w:rPr/>
        <w:t>公司不一致的，在合并日按照本公司会计政策进行调整，在此基础上按照调整后的账面价值确认。</w:t>
      </w:r>
      <w:r>
        <w:rPr>
          <w:w w:val="100"/>
        </w:rPr>
        <w:t> </w:t>
      </w:r>
      <w:r>
        <w:rPr>
          <w:spacing w:val="-4"/>
        </w:rPr>
        <w:t>在合并中取得的净资产账面价值与支付的合并对价账面价值（或发行股份面值总额）的差额，调整资本公</w:t>
      </w:r>
      <w:r>
        <w:rPr>
          <w:spacing w:val="-71"/>
        </w:rPr>
        <w:t> </w:t>
      </w:r>
      <w:r>
        <w:rPr>
          <w:spacing w:val="-71"/>
        </w:rPr>
      </w:r>
      <w:r>
        <w:rPr/>
        <w:t>积中的股本溢价，资本公积中的股本溢价不足冲减的，调整留存收益。</w:t>
      </w:r>
    </w:p>
    <w:p>
      <w:pPr>
        <w:pStyle w:val="BodyText"/>
        <w:spacing w:line="268" w:lineRule="auto" w:before="12"/>
        <w:ind w:left="212" w:right="102" w:hanging="60"/>
        <w:jc w:val="left"/>
      </w:pPr>
      <w:r>
        <w:rPr/>
        <w:t>（</w:t>
      </w:r>
      <w:r>
        <w:rPr>
          <w:rFonts w:ascii="Times New Roman" w:hAnsi="Times New Roman" w:cs="Times New Roman" w:eastAsia="Times New Roman" w:hint="default"/>
        </w:rPr>
        <w:t>2</w:t>
      </w:r>
      <w:r>
        <w:rPr/>
        <w:t>）合并费用</w:t>
      </w:r>
      <w:r>
        <w:rPr>
          <w:w w:val="100"/>
        </w:rPr>
        <w:t> </w:t>
      </w:r>
      <w:r>
        <w:rPr>
          <w:spacing w:val="-2"/>
        </w:rPr>
        <w:t>本公司为进行企业合并而发生的各项直接相关费用，包括为进行企业合并而支付的审计费用、评估费用、</w:t>
      </w:r>
      <w:r>
        <w:rPr>
          <w:spacing w:val="-81"/>
        </w:rPr>
        <w:t> </w:t>
      </w:r>
      <w:r>
        <w:rPr>
          <w:spacing w:val="-81"/>
        </w:rPr>
      </w:r>
      <w:r>
        <w:rPr>
          <w:spacing w:val="-4"/>
        </w:rPr>
        <w:t>法律服务费等，于发生时计入当期损益；企业合并中发行权益性证券发生的手续费、佣金等，抵减权益性</w:t>
      </w:r>
      <w:r>
        <w:rPr>
          <w:spacing w:val="-74"/>
        </w:rPr>
        <w:t> </w:t>
      </w:r>
      <w:r>
        <w:rPr>
          <w:spacing w:val="-74"/>
        </w:rPr>
      </w:r>
      <w:r>
        <w:rPr/>
        <w:t>证券溢价收入，溢价收入不足冲减的，冲减留存收益。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1"/>
        <w:ind w:right="102"/>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02"/>
        <w:jc w:val="left"/>
      </w:pPr>
      <w:r>
        <w:rPr/>
        <w:t>（</w:t>
      </w:r>
      <w:r>
        <w:rPr>
          <w:rFonts w:ascii="Times New Roman" w:hAnsi="Times New Roman" w:cs="Times New Roman" w:eastAsia="Times New Roman" w:hint="default"/>
        </w:rPr>
        <w:t>1</w:t>
      </w:r>
      <w:r>
        <w:rPr/>
        <w:t>）投资成本的确定</w:t>
      </w:r>
    </w:p>
    <w:p>
      <w:pPr>
        <w:spacing w:after="0" w:line="240" w:lineRule="auto"/>
        <w:jc w:val="left"/>
        <w:sectPr>
          <w:pgSz w:w="11910" w:h="16840"/>
          <w:pgMar w:header="745" w:footer="0" w:top="1060" w:bottom="280" w:left="980" w:right="920"/>
        </w:sectPr>
      </w:pPr>
    </w:p>
    <w:p>
      <w:pPr>
        <w:spacing w:line="240" w:lineRule="auto" w:before="10"/>
        <w:rPr>
          <w:rFonts w:ascii="宋体" w:hAnsi="宋体" w:cs="宋体" w:eastAsia="宋体" w:hint="default"/>
          <w:sz w:val="24"/>
          <w:szCs w:val="24"/>
        </w:rPr>
      </w:pPr>
    </w:p>
    <w:p>
      <w:pPr>
        <w:pStyle w:val="BodyText"/>
        <w:spacing w:line="273" w:lineRule="auto" w:before="36"/>
        <w:ind w:left="212" w:right="0"/>
        <w:jc w:val="left"/>
      </w:pPr>
      <w:r>
        <w:rPr>
          <w:spacing w:val="-4"/>
          <w:w w:val="100"/>
        </w:rPr>
        <w:t>公司按照购买日确定的合并成本作为长期股权投资的投资成本。合并成本为购买方于购买日为取得对被购</w:t>
      </w:r>
      <w:r>
        <w:rPr>
          <w:spacing w:val="-70"/>
          <w:w w:val="100"/>
        </w:rPr>
        <w:t> </w:t>
      </w:r>
      <w:r>
        <w:rPr>
          <w:spacing w:val="-70"/>
          <w:w w:val="100"/>
        </w:rPr>
      </w:r>
      <w:r>
        <w:rPr/>
        <w:t>买方的控制权而付出的资产、发生或承担的负债以及发行的权益性证券的公允价值。</w:t>
      </w:r>
      <w:r>
        <w:rPr>
          <w:w w:val="100"/>
        </w:rPr>
        <w:t> </w:t>
      </w:r>
      <w:r>
        <w:rPr>
          <w:spacing w:val="-4"/>
        </w:rPr>
        <w:t>通过多次交易分步实现的非同一控制下企业合并，以购买日之前所持被购买方的股权投资的账面价值与购</w:t>
      </w:r>
      <w:r>
        <w:rPr>
          <w:spacing w:val="-14"/>
        </w:rPr>
        <w:t> </w:t>
      </w:r>
      <w:r>
        <w:rPr>
          <w:spacing w:val="-14"/>
        </w:rPr>
      </w:r>
      <w:r>
        <w:rPr/>
        <w:t>买日新增投资成本之和，作为该项投资的投资成本。</w:t>
      </w:r>
      <w:r>
        <w:rPr>
          <w:w w:val="100"/>
        </w:rPr>
        <w:t> </w:t>
      </w:r>
      <w:r>
        <w:rPr>
          <w:spacing w:val="-4"/>
        </w:rPr>
        <w:t>公司将合并协议约定的或有对价作为企业合并转移对价的一部分，按照其在购买日的公允价值计入企业合</w:t>
      </w:r>
      <w:r>
        <w:rPr>
          <w:spacing w:val="-16"/>
        </w:rPr>
        <w:t> </w:t>
      </w:r>
      <w:r>
        <w:rPr>
          <w:spacing w:val="-16"/>
        </w:rPr>
      </w:r>
      <w:r>
        <w:rPr/>
        <w:t>并成本。</w:t>
      </w:r>
      <w:r>
        <w:rPr>
          <w:w w:val="100"/>
        </w:rPr>
        <w:t> </w:t>
      </w:r>
      <w:r>
        <w:rPr/>
        <w:t>合并成本小于合并中取得的被购买方可辨认净资产公允价值份额的差额，经复核后，计入当期损益。</w:t>
      </w:r>
    </w:p>
    <w:p>
      <w:pPr>
        <w:spacing w:line="240" w:lineRule="auto" w:before="6"/>
        <w:rPr>
          <w:rFonts w:ascii="宋体" w:hAnsi="宋体" w:cs="宋体" w:eastAsia="宋体" w:hint="default"/>
          <w:sz w:val="24"/>
          <w:szCs w:val="24"/>
        </w:rPr>
      </w:pPr>
    </w:p>
    <w:p>
      <w:pPr>
        <w:pStyle w:val="BodyText"/>
        <w:spacing w:line="273" w:lineRule="auto"/>
        <w:ind w:left="212" w:right="0"/>
        <w:jc w:val="left"/>
      </w:pPr>
      <w:r>
        <w:rPr>
          <w:spacing w:val="-4"/>
        </w:rPr>
        <w:t>本公司在购买日对合并成本进行分配，确认所取得的被购买方各项可辨认资产、负债及或有负债的公允价</w:t>
      </w:r>
      <w:r>
        <w:rPr>
          <w:spacing w:val="-14"/>
        </w:rPr>
        <w:t> </w:t>
      </w:r>
      <w:r>
        <w:rPr>
          <w:spacing w:val="-14"/>
        </w:rPr>
      </w:r>
      <w:r>
        <w:rPr/>
        <w:t>值。</w:t>
      </w:r>
      <w:r>
        <w:rPr>
          <w:spacing w:val="-103"/>
        </w:rPr>
        <w:t> </w:t>
      </w:r>
      <w:r>
        <w:rPr>
          <w:spacing w:val="-4"/>
        </w:rPr>
        <w:t>企业合并中取得的被购买方除无形资产外的其他各项资产（不仅限于被购买方原已确认的资产），其所带</w:t>
      </w:r>
      <w:r>
        <w:rPr>
          <w:spacing w:val="-11"/>
        </w:rPr>
        <w:t> </w:t>
      </w:r>
      <w:r>
        <w:rPr>
          <w:spacing w:val="-11"/>
        </w:rPr>
      </w:r>
      <w:r>
        <w:rPr>
          <w:spacing w:val="-4"/>
        </w:rPr>
        <w:t>来的经济利益很可能流入本公司且公允价值能够可靠计量的，单独确认并按公允价值计量；公允价值能够</w:t>
      </w:r>
      <w:r>
        <w:rPr>
          <w:spacing w:val="-14"/>
        </w:rPr>
        <w:t> </w:t>
      </w:r>
      <w:r>
        <w:rPr>
          <w:spacing w:val="-14"/>
        </w:rPr>
      </w:r>
      <w:r>
        <w:rPr>
          <w:spacing w:val="-4"/>
        </w:rPr>
        <w:t>可靠计量的无形资产，单独确认为无形资产并按公允价值计量；取得的被购买方除或有负债以外的其他各</w:t>
      </w:r>
      <w:r>
        <w:rPr>
          <w:spacing w:val="-14"/>
        </w:rPr>
        <w:t> </w:t>
      </w:r>
      <w:r>
        <w:rPr>
          <w:spacing w:val="-14"/>
        </w:rPr>
      </w:r>
      <w:r>
        <w:rPr>
          <w:spacing w:val="-4"/>
        </w:rPr>
        <w:t>项负债，履行有关义务很可能导致经济利益流出本公司且公允价值能够可靠计量的，单独确认并按照公允</w:t>
      </w:r>
      <w:r>
        <w:rPr>
          <w:spacing w:val="-14"/>
        </w:rPr>
        <w:t> </w:t>
      </w:r>
      <w:r>
        <w:rPr>
          <w:spacing w:val="-14"/>
        </w:rPr>
      </w:r>
      <w:r>
        <w:rPr>
          <w:spacing w:val="-2"/>
        </w:rPr>
        <w:t>价值计量；取得的被购买方或有负债，其公允价值能可靠计量的，单独确认为负债并按照公允价值计量。</w:t>
      </w:r>
    </w:p>
    <w:p>
      <w:pPr>
        <w:spacing w:line="240" w:lineRule="auto" w:before="6"/>
        <w:rPr>
          <w:rFonts w:ascii="宋体" w:hAnsi="宋体" w:cs="宋体" w:eastAsia="宋体" w:hint="default"/>
          <w:sz w:val="24"/>
          <w:szCs w:val="24"/>
        </w:rPr>
      </w:pPr>
    </w:p>
    <w:p>
      <w:pPr>
        <w:pStyle w:val="BodyText"/>
        <w:spacing w:line="266" w:lineRule="auto"/>
        <w:ind w:left="212" w:right="0" w:hanging="60"/>
        <w:jc w:val="left"/>
      </w:pPr>
      <w:r>
        <w:rPr/>
        <w:t>（</w:t>
      </w:r>
      <w:r>
        <w:rPr>
          <w:rFonts w:ascii="Times New Roman" w:hAnsi="Times New Roman" w:cs="Times New Roman" w:eastAsia="Times New Roman" w:hint="default"/>
        </w:rPr>
        <w:t>2</w:t>
      </w:r>
      <w:r>
        <w:rPr/>
        <w:t>）合并费用</w:t>
      </w:r>
      <w:r>
        <w:rPr>
          <w:w w:val="100"/>
        </w:rPr>
        <w:t> </w:t>
      </w:r>
      <w:r>
        <w:rPr>
          <w:spacing w:val="-4"/>
        </w:rPr>
        <w:t>购买方为企业合并发生的审计、法律服务、评估咨询等中介费用以及其他相关管理费用，应当于发生时计</w:t>
      </w:r>
      <w:r>
        <w:rPr>
          <w:spacing w:val="-72"/>
        </w:rPr>
        <w:t> </w:t>
      </w:r>
      <w:r>
        <w:rPr>
          <w:spacing w:val="-72"/>
        </w:rPr>
      </w:r>
      <w:r>
        <w:rPr>
          <w:spacing w:val="-4"/>
        </w:rPr>
        <w:t>入当期损益；购买方作为合并对价发行的权益性证券或债务性证券的交易费用，应当计入权益性证券或债</w:t>
      </w:r>
      <w:r>
        <w:rPr>
          <w:spacing w:val="-74"/>
        </w:rPr>
        <w:t> </w:t>
      </w:r>
      <w:r>
        <w:rPr>
          <w:spacing w:val="-74"/>
        </w:rPr>
      </w:r>
      <w:r>
        <w:rPr/>
        <w:t>务性证券的初始确认金额。</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本公司合并财务报表的合并范围以控制为基础确定，所有子公司均纳入合并财务报表。</w:t>
      </w:r>
    </w:p>
    <w:p>
      <w:pPr>
        <w:pStyle w:val="BodyText"/>
        <w:spacing w:line="273" w:lineRule="auto" w:before="116"/>
        <w:ind w:right="165"/>
        <w:jc w:val="both"/>
      </w:pPr>
      <w:r>
        <w:rPr>
          <w:spacing w:val="-2"/>
        </w:rPr>
        <w:t>所有纳入合并财务报表合并范围的子公司所采用的会计政策、会计期间与本公司一致，如子公司采用的会</w:t>
      </w:r>
      <w:r>
        <w:rPr>
          <w:spacing w:val="-42"/>
        </w:rPr>
        <w:t> </w:t>
      </w:r>
      <w:r>
        <w:rPr>
          <w:spacing w:val="-42"/>
        </w:rPr>
      </w:r>
      <w:r>
        <w:rPr>
          <w:spacing w:val="-2"/>
        </w:rPr>
        <w:t>计政策、会计期间与本公司不一致的，在编制合并财务报表时，按本公司的会计政策、会计期间进行必要</w:t>
      </w:r>
      <w:r>
        <w:rPr>
          <w:spacing w:val="-50"/>
        </w:rPr>
        <w:t> </w:t>
      </w:r>
      <w:r>
        <w:rPr>
          <w:spacing w:val="-50"/>
        </w:rPr>
      </w:r>
      <w:r>
        <w:rPr>
          <w:spacing w:val="-2"/>
        </w:rPr>
        <w:t>的调整。对于非同一控制下企业合并取得的子公司，以购买日可辨认净资产公允价值为基础对其财务报表</w:t>
      </w:r>
      <w:r>
        <w:rPr>
          <w:spacing w:val="-44"/>
        </w:rPr>
        <w:t> </w:t>
      </w:r>
      <w:r>
        <w:rPr>
          <w:spacing w:val="-44"/>
        </w:rPr>
      </w:r>
      <w:r>
        <w:rPr/>
        <w:t>进行调整。</w:t>
      </w:r>
    </w:p>
    <w:p>
      <w:pPr>
        <w:spacing w:line="240" w:lineRule="auto" w:before="6"/>
        <w:rPr>
          <w:rFonts w:ascii="宋体" w:hAnsi="宋体" w:cs="宋体" w:eastAsia="宋体" w:hint="default"/>
          <w:sz w:val="24"/>
          <w:szCs w:val="24"/>
        </w:rPr>
      </w:pPr>
    </w:p>
    <w:p>
      <w:pPr>
        <w:pStyle w:val="BodyText"/>
        <w:spacing w:line="273" w:lineRule="auto"/>
        <w:ind w:right="0"/>
        <w:jc w:val="left"/>
      </w:pPr>
      <w:r>
        <w:rPr>
          <w:spacing w:val="-2"/>
        </w:rPr>
        <w:t>合并财务报表以本公司及子公司的财务报表或调整后的子公司财务报表为基础，抵销本公司与各子公司、</w:t>
      </w:r>
      <w:r>
        <w:rPr>
          <w:spacing w:val="-21"/>
        </w:rPr>
        <w:t> </w:t>
      </w:r>
      <w:r>
        <w:rPr>
          <w:spacing w:val="-21"/>
        </w:rPr>
      </w:r>
      <w:r>
        <w:rPr>
          <w:spacing w:val="-2"/>
        </w:rPr>
        <w:t>各子公司相互之间发生的内部交易对合并资产负债表、合并利润表、合并现金流量表、合并所有者权益变</w:t>
      </w:r>
      <w:r>
        <w:rPr>
          <w:spacing w:val="-43"/>
        </w:rPr>
        <w:t> </w:t>
      </w:r>
      <w:r>
        <w:rPr>
          <w:spacing w:val="-43"/>
        </w:rPr>
      </w:r>
      <w:r>
        <w:rPr/>
        <w:t>动表的影响。</w:t>
      </w:r>
      <w:r>
        <w:rPr>
          <w:w w:val="100"/>
        </w:rPr>
        <w:t> </w:t>
      </w:r>
      <w:r>
        <w:rPr>
          <w:spacing w:val="-2"/>
        </w:rPr>
        <w:t>根据有关资料，对子公司按照权益法调整长期股权投资后抵销子公司权益和损益。子公司少数股东应占的</w:t>
      </w:r>
      <w:r>
        <w:rPr>
          <w:spacing w:val="-42"/>
        </w:rPr>
        <w:t> </w:t>
      </w:r>
      <w:r>
        <w:rPr>
          <w:spacing w:val="-42"/>
        </w:rPr>
      </w:r>
      <w:r>
        <w:rPr>
          <w:spacing w:val="-2"/>
        </w:rPr>
        <w:t>权益和损益分别在合并资产负债表中所有者权益项目下和合并利润表中净利润项目下单独列示。子公司少</w:t>
      </w:r>
      <w:r>
        <w:rPr>
          <w:spacing w:val="-43"/>
        </w:rPr>
        <w:t> </w:t>
      </w:r>
      <w:r>
        <w:rPr>
          <w:spacing w:val="-43"/>
        </w:rPr>
      </w:r>
      <w:r>
        <w:rPr>
          <w:spacing w:val="-2"/>
        </w:rPr>
        <w:t>数股东分担的当期亏损超过了少数股东在该子公司期初所有者权益中所享有份额而形成的余额，冲减少数</w:t>
      </w:r>
      <w:r>
        <w:rPr>
          <w:spacing w:val="-43"/>
        </w:rPr>
        <w:t> </w:t>
      </w:r>
      <w:r>
        <w:rPr>
          <w:spacing w:val="-43"/>
        </w:rPr>
      </w:r>
      <w:r>
        <w:rPr/>
        <w:t>股东权益。</w:t>
      </w:r>
    </w:p>
    <w:p>
      <w:pPr>
        <w:spacing w:line="240" w:lineRule="auto" w:before="6"/>
        <w:rPr>
          <w:rFonts w:ascii="宋体" w:hAnsi="宋体" w:cs="宋体" w:eastAsia="宋体" w:hint="default"/>
          <w:sz w:val="24"/>
          <w:szCs w:val="24"/>
        </w:rPr>
      </w:pPr>
    </w:p>
    <w:p>
      <w:pPr>
        <w:pStyle w:val="BodyText"/>
        <w:spacing w:line="273" w:lineRule="auto"/>
        <w:ind w:right="167"/>
        <w:jc w:val="both"/>
      </w:pPr>
      <w:r>
        <w:rPr>
          <w:spacing w:val="-2"/>
        </w:rPr>
        <w:t>在报告期内，若因同一控制下企业合并增加子公司的，则调整合并资产负债表的期初数；将子公司合并当</w:t>
      </w:r>
      <w:r>
        <w:rPr>
          <w:spacing w:val="-42"/>
        </w:rPr>
        <w:t> </w:t>
      </w:r>
      <w:r>
        <w:rPr>
          <w:spacing w:val="-42"/>
        </w:rPr>
      </w:r>
      <w:r>
        <w:rPr>
          <w:spacing w:val="-2"/>
        </w:rPr>
        <w:t>期期初至报告期末的收入、费用、利润纳入合并利润表；将子公司合并当期期初至报告期末的现金流量纳</w:t>
      </w:r>
      <w:r>
        <w:rPr>
          <w:spacing w:val="-44"/>
        </w:rPr>
        <w:t> </w:t>
      </w:r>
      <w:r>
        <w:rPr>
          <w:spacing w:val="-44"/>
        </w:rPr>
      </w:r>
      <w:r>
        <w:rPr>
          <w:spacing w:val="-2"/>
        </w:rPr>
        <w:t>入合并现金流量表，同时对比较报表的相关项目进行调整，视同合并后的报告主体在以前期间一直存在。</w:t>
      </w:r>
      <w:r>
        <w:rPr>
          <w:spacing w:val="-24"/>
        </w:rPr>
        <w:t> </w:t>
      </w:r>
      <w:r>
        <w:rPr>
          <w:spacing w:val="-24"/>
        </w:rPr>
      </w:r>
      <w:r>
        <w:rPr>
          <w:spacing w:val="-2"/>
        </w:rPr>
        <w:t>在报告期内，若因非同一控制下企业合并增加子公司的，则不调整合并资产负债表期初数；将子公司自购</w:t>
      </w:r>
    </w:p>
    <w:p>
      <w:pPr>
        <w:spacing w:after="0" w:line="273" w:lineRule="auto"/>
        <w:jc w:val="both"/>
        <w:sectPr>
          <w:pgSz w:w="11910" w:h="16840"/>
          <w:pgMar w:header="745" w:footer="0" w:top="1060" w:bottom="280" w:left="980" w:right="940"/>
        </w:sectPr>
      </w:pPr>
    </w:p>
    <w:p>
      <w:pPr>
        <w:spacing w:line="240" w:lineRule="auto" w:before="10"/>
        <w:rPr>
          <w:rFonts w:ascii="宋体" w:hAnsi="宋体" w:cs="宋体" w:eastAsia="宋体" w:hint="default"/>
          <w:sz w:val="24"/>
          <w:szCs w:val="24"/>
        </w:rPr>
      </w:pPr>
    </w:p>
    <w:p>
      <w:pPr>
        <w:pStyle w:val="BodyText"/>
        <w:spacing w:line="273" w:lineRule="auto" w:before="36"/>
        <w:ind w:right="102"/>
        <w:jc w:val="left"/>
      </w:pPr>
      <w:r>
        <w:rPr>
          <w:spacing w:val="-2"/>
        </w:rPr>
        <w:t>买日至报告期末的收入、费用、利润纳入合并利润表；该子公司自购买日至报告期末的现金流量纳入合并</w:t>
      </w:r>
      <w:r>
        <w:rPr>
          <w:spacing w:val="-43"/>
        </w:rPr>
        <w:t> </w:t>
      </w:r>
      <w:r>
        <w:rPr>
          <w:spacing w:val="-43"/>
        </w:rPr>
      </w:r>
      <w:r>
        <w:rPr>
          <w:spacing w:val="-2"/>
        </w:rPr>
        <w:t>现金流量表。对合并成本大于合并中取得的被购买方可辨认净资产公允价值份额的差额，编制合并财务报</w:t>
      </w:r>
      <w:r>
        <w:rPr>
          <w:spacing w:val="-44"/>
        </w:rPr>
        <w:t> </w:t>
      </w:r>
      <w:r>
        <w:rPr>
          <w:spacing w:val="-44"/>
        </w:rPr>
      </w:r>
      <w:r>
        <w:rPr/>
        <w:t>表时，确认为商誉。</w:t>
      </w:r>
      <w:r>
        <w:rPr>
          <w:w w:val="100"/>
        </w:rPr>
        <w:t> </w:t>
      </w:r>
      <w:r>
        <w:rPr>
          <w:spacing w:val="-2"/>
        </w:rPr>
        <w:t>在报告期内，本公司处置子公司，则该子公司期初至处置日的收入、费用、利润纳入合并利润表；该子公</w:t>
      </w:r>
      <w:r>
        <w:rPr>
          <w:spacing w:val="-43"/>
        </w:rPr>
        <w:t> </w:t>
      </w:r>
      <w:r>
        <w:rPr>
          <w:spacing w:val="-43"/>
        </w:rPr>
      </w:r>
      <w:r>
        <w:rPr/>
        <w:t>司期初至处置日的现金流量纳入合并现金流量表。</w:t>
      </w:r>
      <w:r>
        <w:rPr>
          <w:w w:val="100"/>
        </w:rPr>
        <w:t> </w:t>
      </w:r>
      <w:r>
        <w:rPr>
          <w:spacing w:val="2"/>
        </w:rPr>
        <w:t>本公司因购买少数股权新取得的长期股权投资与按照新增持股比例计算应享有子公司的可辨认净资产份</w:t>
      </w:r>
      <w:r>
        <w:rPr>
          <w:spacing w:val="-25"/>
        </w:rPr>
        <w:t> </w:t>
      </w:r>
      <w:r>
        <w:rPr>
          <w:spacing w:val="-25"/>
        </w:rPr>
      </w:r>
      <w:r>
        <w:rPr>
          <w:spacing w:val="-2"/>
        </w:rPr>
        <w:t>额之间的差额，以及在不丧失控制权的情况下因部分处置对子公司的股权投资而取得的处置价款与处置长</w:t>
      </w:r>
      <w:r>
        <w:rPr>
          <w:spacing w:val="-43"/>
        </w:rPr>
        <w:t> </w:t>
      </w:r>
      <w:r>
        <w:rPr>
          <w:spacing w:val="-43"/>
        </w:rPr>
      </w:r>
      <w:r>
        <w:rPr>
          <w:spacing w:val="-2"/>
        </w:rPr>
        <w:t>期股权投资相对应享有子公司净资产份额的差额，均调整合并资产负债表中的资本公积中的股本溢价，资</w:t>
      </w:r>
      <w:r>
        <w:rPr>
          <w:spacing w:val="-43"/>
        </w:rPr>
        <w:t> </w:t>
      </w:r>
      <w:r>
        <w:rPr>
          <w:spacing w:val="-43"/>
        </w:rPr>
      </w:r>
      <w:r>
        <w:rPr/>
        <w:t>本公积中的股本溢价不足冲减的，调整留存收益。</w:t>
      </w: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4"/>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590" w:lineRule="atLeast" w:before="57"/>
        <w:ind w:left="270" w:right="102" w:hanging="1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z w:val="21"/>
          <w:szCs w:val="21"/>
        </w:rPr>
        <w:t>在编制现金流量表时，将本公司库存现金以及可以随时用于支付的存款确认为现金。将同时具备期限短</w:t>
      </w:r>
    </w:p>
    <w:p>
      <w:pPr>
        <w:pStyle w:val="BodyText"/>
        <w:spacing w:line="273" w:lineRule="auto" w:before="37"/>
        <w:ind w:left="270" w:right="102"/>
        <w:jc w:val="left"/>
      </w:pPr>
      <w:r>
        <w:rPr/>
        <w:t>（从购买日起三个月内到期）、流动性强、易于转换为已知现金、价值变动风险很小四个条件的投资，</w:t>
      </w:r>
      <w:r>
        <w:rPr>
          <w:spacing w:val="-36"/>
        </w:rPr>
        <w:t> </w:t>
      </w:r>
      <w:r>
        <w:rPr>
          <w:spacing w:val="-36"/>
        </w:rPr>
      </w:r>
      <w:r>
        <w:rPr/>
        <w:t>确定为现金等价物。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02"/>
        <w:jc w:val="left"/>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590" w:lineRule="atLeast" w:before="24"/>
        <w:ind w:left="212" w:right="1640" w:hanging="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spacing w:val="-2"/>
        </w:rPr>
        <w:t>外币业务采用交易发生当月的月初汇率作为折算汇率，折合成人民币记账。</w:t>
      </w:r>
    </w:p>
    <w:p>
      <w:pPr>
        <w:pStyle w:val="BodyText"/>
        <w:spacing w:line="273" w:lineRule="auto" w:before="37"/>
        <w:ind w:left="212" w:right="209"/>
        <w:jc w:val="both"/>
      </w:pPr>
      <w:r>
        <w:rPr>
          <w:spacing w:val="-4"/>
        </w:rPr>
        <w:t>外币货币性项目余额按资产负债表日即期汇率折算，由此产生的汇兑差额，除属于与购建符合资本化条件</w:t>
      </w:r>
      <w:r>
        <w:rPr>
          <w:spacing w:val="-14"/>
        </w:rPr>
        <w:t> </w:t>
      </w:r>
      <w:r>
        <w:rPr>
          <w:spacing w:val="-14"/>
        </w:rPr>
      </w:r>
      <w:r>
        <w:rPr>
          <w:spacing w:val="-4"/>
        </w:rPr>
        <w:t>的资产相关的外币专门借款产生的汇兑差额按照借款费用资本化的原则处理外，均计入当期损益。以历史</w:t>
      </w:r>
      <w:r>
        <w:rPr>
          <w:spacing w:val="-14"/>
        </w:rPr>
        <w:t> </w:t>
      </w:r>
      <w:r>
        <w:rPr>
          <w:spacing w:val="-14"/>
        </w:rPr>
      </w:r>
      <w:r>
        <w:rPr>
          <w:spacing w:val="-4"/>
        </w:rPr>
        <w:t>成本计量的外币非货币性项目，仍采用交易发生日的即期汇率折算，不改变其记账本位币金额。以公允价</w:t>
      </w:r>
      <w:r>
        <w:rPr>
          <w:spacing w:val="-15"/>
        </w:rPr>
        <w:t> </w:t>
      </w:r>
      <w:r>
        <w:rPr>
          <w:spacing w:val="-15"/>
        </w:rPr>
      </w:r>
      <w:r>
        <w:rPr>
          <w:spacing w:val="-4"/>
        </w:rPr>
        <w:t>值计量的外币非货币性项目，采用公允价值确定日的即期汇率折算，由此产生的汇兑差额计入当期损益或</w:t>
      </w:r>
      <w:r>
        <w:rPr>
          <w:spacing w:val="-14"/>
        </w:rPr>
        <w:t> </w:t>
      </w:r>
      <w:r>
        <w:rPr>
          <w:spacing w:val="-14"/>
        </w:rPr>
      </w:r>
      <w:r>
        <w:rPr/>
        <w:t>资本公积。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left="212" w:right="102"/>
        <w:jc w:val="left"/>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spacing w:val="-4"/>
        </w:rPr>
        <w:t>项目外，其他项目采用发生时的即期汇率折算。利润表中的收入和费用项目，采用交易年度的平均汇率折</w:t>
      </w:r>
      <w:r>
        <w:rPr>
          <w:spacing w:val="-14"/>
        </w:rPr>
        <w:t> </w:t>
      </w:r>
      <w:r>
        <w:rPr>
          <w:spacing w:val="-14"/>
        </w:rPr>
      </w:r>
      <w:r>
        <w:rPr/>
        <w:t>算。按照上述折算产生的外币财务报表折算差额，在资产负债表所有者权益项目下单独列示。</w:t>
      </w:r>
      <w:r>
        <w:rPr>
          <w:w w:val="100"/>
        </w:rPr>
        <w:t> </w:t>
      </w:r>
      <w:r>
        <w:rPr>
          <w:spacing w:val="-6"/>
          <w:w w:val="100"/>
        </w:rPr>
        <w:t>处置境外经营时，将资产负债表中所有者权益项目下列示的、与该境外经营相关的外币财务报表折算差额，</w:t>
      </w:r>
      <w:r>
        <w:rPr>
          <w:spacing w:val="-78"/>
          <w:w w:val="100"/>
        </w:rPr>
        <w:t> </w:t>
      </w:r>
      <w:r>
        <w:rPr>
          <w:spacing w:val="-78"/>
          <w:w w:val="100"/>
        </w:rPr>
      </w:r>
      <w:r>
        <w:rPr>
          <w:spacing w:val="-4"/>
        </w:rPr>
        <w:t>自所有者权益项目转入处置当期损益；部分处置境外经营的，按处置的比例计算处置部分的外币财务报表</w:t>
      </w:r>
      <w:r>
        <w:rPr>
          <w:spacing w:val="-14"/>
        </w:rPr>
        <w:t> </w:t>
      </w:r>
      <w:r>
        <w:rPr>
          <w:spacing w:val="-14"/>
        </w:rPr>
      </w:r>
      <w:r>
        <w:rPr/>
        <w:t>折算差额，转入处置当期损益。</w:t>
      </w:r>
    </w:p>
    <w:p>
      <w:pPr>
        <w:spacing w:after="0" w:line="268" w:lineRule="auto"/>
        <w:jc w:val="left"/>
        <w:sectPr>
          <w:pgSz w:w="11910" w:h="16840"/>
          <w:pgMar w:header="745" w:footer="0" w:top="1060" w:bottom="280" w:left="980" w:right="920"/>
        </w:sectPr>
      </w:pPr>
    </w:p>
    <w:p>
      <w:pPr>
        <w:spacing w:line="240" w:lineRule="auto" w:before="10"/>
        <w:rPr>
          <w:rFonts w:ascii="宋体" w:hAnsi="宋体" w:cs="宋体" w:eastAsia="宋体" w:hint="default"/>
          <w:sz w:val="24"/>
          <w:szCs w:val="24"/>
        </w:rPr>
      </w:pPr>
    </w:p>
    <w:p>
      <w:pPr>
        <w:spacing w:line="506" w:lineRule="auto" w:before="36"/>
        <w:ind w:left="152" w:right="45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spacing w:val="-104"/>
          <w:sz w:val="21"/>
          <w:szCs w:val="21"/>
        </w:rPr>
        <w:t> </w:t>
      </w:r>
      <w:r>
        <w:rPr>
          <w:rFonts w:ascii="宋体" w:hAnsi="宋体" w:cs="宋体" w:eastAsia="宋体" w:hint="default"/>
          <w:spacing w:val="-2"/>
          <w:sz w:val="21"/>
          <w:szCs w:val="21"/>
        </w:rPr>
        <w:t>金融工具包括金融资产、金融负债和权益工具。</w:t>
      </w:r>
    </w:p>
    <w:p>
      <w:pPr>
        <w:spacing w:line="240" w:lineRule="auto" w:before="0"/>
        <w:rPr>
          <w:rFonts w:ascii="宋体" w:hAnsi="宋体" w:cs="宋体" w:eastAsia="宋体" w:hint="default"/>
          <w:sz w:val="20"/>
          <w:szCs w:val="20"/>
        </w:rPr>
      </w:pPr>
    </w:p>
    <w:p>
      <w:pPr>
        <w:pStyle w:val="Heading3"/>
        <w:spacing w:line="240" w:lineRule="auto" w:before="154"/>
        <w:ind w:right="102"/>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06"/>
        <w:jc w:val="both"/>
      </w:pPr>
      <w:r>
        <w:rPr>
          <w:spacing w:val="-2"/>
        </w:rPr>
        <w:t>管理层按照取得持有金融资产和承担金融负债的目的，将其划分为：以公允价值计量且其变动计入当期损</w:t>
      </w:r>
      <w:r>
        <w:rPr>
          <w:spacing w:val="-43"/>
        </w:rPr>
        <w:t> </w:t>
      </w:r>
      <w:r>
        <w:rPr>
          <w:spacing w:val="-43"/>
        </w:rPr>
      </w:r>
      <w:r>
        <w:rPr>
          <w:spacing w:val="-2"/>
        </w:rPr>
        <w:t>益的金融资产或金融负债，包括交易性金融资产或金融负债和直接指定为以公允价值计量且其变动计入当</w:t>
      </w:r>
      <w:r>
        <w:rPr>
          <w:spacing w:val="-43"/>
        </w:rPr>
        <w:t> </w:t>
      </w:r>
      <w:r>
        <w:rPr>
          <w:spacing w:val="-43"/>
        </w:rPr>
      </w:r>
      <w:r>
        <w:rPr/>
        <w:t>期损益的金融资产或金融负债；应收款项；其他金融负债等。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left="212" w:right="102" w:hanging="60"/>
        <w:jc w:val="left"/>
      </w:pPr>
      <w:r>
        <w:rPr/>
        <w:t>（</w:t>
      </w:r>
      <w:r>
        <w:rPr>
          <w:rFonts w:ascii="Times New Roman" w:hAnsi="Times New Roman" w:cs="Times New Roman" w:eastAsia="Times New Roman" w:hint="default"/>
        </w:rPr>
        <w:t>1</w:t>
      </w:r>
      <w:r>
        <w:rPr/>
        <w:t>）以公允价值计量且其变动计入当期损益的金融资产（金融负债）</w:t>
      </w:r>
      <w:r>
        <w:rPr>
          <w:spacing w:val="-3"/>
          <w:w w:val="100"/>
        </w:rPr>
        <w:t> </w:t>
      </w:r>
      <w:r>
        <w:rPr>
          <w:spacing w:val="-4"/>
        </w:rPr>
        <w:t>取得时以公允价值（扣除已宣告但尚未发放的现金股利或已到付息期但尚未领取的债券利息）作为初始确</w:t>
      </w:r>
      <w:r>
        <w:rPr>
          <w:spacing w:val="-74"/>
        </w:rPr>
        <w:t> </w:t>
      </w:r>
      <w:r>
        <w:rPr>
          <w:spacing w:val="-74"/>
        </w:rPr>
      </w:r>
      <w:r>
        <w:rPr/>
        <w:t>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p>
    <w:p>
      <w:pPr>
        <w:spacing w:line="240" w:lineRule="auto" w:before="10"/>
        <w:rPr>
          <w:rFonts w:ascii="宋体" w:hAnsi="宋体" w:cs="宋体" w:eastAsia="宋体" w:hint="default"/>
          <w:sz w:val="24"/>
          <w:szCs w:val="24"/>
        </w:rPr>
      </w:pPr>
    </w:p>
    <w:p>
      <w:pPr>
        <w:pStyle w:val="BodyText"/>
        <w:spacing w:line="268" w:lineRule="auto"/>
        <w:ind w:left="212" w:right="102" w:hanging="60"/>
        <w:jc w:val="left"/>
      </w:pPr>
      <w:r>
        <w:rPr/>
        <w:t>（</w:t>
      </w:r>
      <w:r>
        <w:rPr>
          <w:rFonts w:ascii="Times New Roman" w:hAnsi="Times New Roman" w:cs="Times New Roman" w:eastAsia="Times New Roman" w:hint="default"/>
        </w:rPr>
        <w:t>2</w:t>
      </w:r>
      <w:r>
        <w:rPr/>
        <w:t>）应收款项</w:t>
      </w:r>
      <w:r>
        <w:rPr>
          <w:w w:val="100"/>
        </w:rPr>
        <w:t> </w:t>
      </w:r>
      <w:r>
        <w:rPr>
          <w:spacing w:val="-4"/>
          <w:w w:val="100"/>
        </w:rPr>
        <w:t>公司对外销售商品或提供劳务形成的应收债权，以及公司持有的其他企业的不包括在活跃市场上有报价的</w:t>
      </w:r>
      <w:r>
        <w:rPr>
          <w:w w:val="100"/>
        </w:rPr>
        <w:t> </w:t>
      </w:r>
      <w:r>
        <w:rPr>
          <w:spacing w:val="-4"/>
        </w:rPr>
        <w:t>债务工具的债权，包括应收账款、应收票据、预付账款、其他应收款、长期应收款等，以向购货方应收的</w:t>
      </w:r>
      <w:r>
        <w:rPr>
          <w:spacing w:val="-74"/>
        </w:rPr>
        <w:t> </w:t>
      </w:r>
      <w:r>
        <w:rPr>
          <w:spacing w:val="-74"/>
        </w:rPr>
      </w:r>
      <w:r>
        <w:rPr/>
        <w:t>合同或协议价款作为初始确认金额。</w:t>
      </w:r>
      <w:r>
        <w:rPr>
          <w:w w:val="100"/>
        </w:rPr>
        <w:t> </w:t>
      </w:r>
      <w:r>
        <w:rPr/>
        <w:t>收回或处置时，将取得的价款与该应收款项账面价值之间的差额计入当期损益。</w:t>
      </w:r>
    </w:p>
    <w:p>
      <w:pPr>
        <w:pStyle w:val="BodyText"/>
        <w:spacing w:line="256" w:lineRule="auto" w:before="12"/>
        <w:ind w:left="212" w:right="542" w:hanging="60"/>
        <w:jc w:val="left"/>
      </w:pPr>
      <w:r>
        <w:rPr/>
        <w:t>（</w:t>
      </w:r>
      <w:r>
        <w:rPr>
          <w:rFonts w:ascii="Times New Roman" w:hAnsi="Times New Roman" w:cs="Times New Roman" w:eastAsia="Times New Roman" w:hint="default"/>
        </w:rPr>
        <w:t>3</w:t>
      </w:r>
      <w:r>
        <w:rPr/>
        <w:t>）其他金融负债</w:t>
      </w:r>
      <w:r>
        <w:rPr>
          <w:w w:val="100"/>
        </w:rPr>
        <w:t> </w:t>
      </w:r>
      <w:r>
        <w:rPr>
          <w:spacing w:val="-2"/>
        </w:rPr>
        <w:t>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2"/>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02"/>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212" w:right="102"/>
        <w:jc w:val="left"/>
      </w:pPr>
      <w:r>
        <w:rPr>
          <w:spacing w:val="-4"/>
        </w:rPr>
        <w:t>金融负债的现时义务全部或部分已经解除的，则终止确认该金融负债或其一部分；本公司若与债权人签定</w:t>
      </w:r>
      <w:r>
        <w:rPr>
          <w:spacing w:val="-14"/>
        </w:rPr>
        <w:t> </w:t>
      </w:r>
      <w:r>
        <w:rPr>
          <w:spacing w:val="-14"/>
        </w:rPr>
      </w:r>
      <w:r>
        <w:rPr>
          <w:spacing w:val="-6"/>
          <w:w w:val="100"/>
        </w:rPr>
        <w:t>协议，以承担新金融负债方式替换现存金融负债，且新金融负债与现存金融负债的合同条款实质上不同的，</w:t>
      </w:r>
      <w:r>
        <w:rPr>
          <w:spacing w:val="-78"/>
          <w:w w:val="100"/>
        </w:rPr>
        <w:t> </w:t>
      </w:r>
      <w:r>
        <w:rPr>
          <w:spacing w:val="-78"/>
          <w:w w:val="100"/>
        </w:rPr>
      </w:r>
      <w:r>
        <w:rPr/>
        <w:t>则终止确认现存金融负债，并同时确认新金融负债。</w:t>
      </w:r>
      <w:r>
        <w:rPr>
          <w:w w:val="100"/>
        </w:rPr>
        <w:t> </w:t>
      </w:r>
      <w:r>
        <w:rPr>
          <w:spacing w:val="-4"/>
        </w:rPr>
        <w:t>对现存金融负债全部或部分合同条款作出实质性修改的，则终止确认现存金融负债或其一部分，同时将修</w:t>
      </w:r>
      <w:r>
        <w:rPr>
          <w:spacing w:val="-13"/>
        </w:rPr>
        <w:t> </w:t>
      </w:r>
      <w:r>
        <w:rPr>
          <w:spacing w:val="-13"/>
        </w:rPr>
      </w:r>
      <w:r>
        <w:rPr/>
        <w:t>改条款后的金融负债确认为一项新金融负债。</w:t>
      </w:r>
      <w:r>
        <w:rPr>
          <w:w w:val="100"/>
        </w:rPr>
        <w:t> </w:t>
      </w:r>
      <w:r>
        <w:rPr>
          <w:spacing w:val="-4"/>
        </w:rPr>
        <w:t>金融负债全部或部分终止确认时，终止确认的金融负债账面价值与支付对价（包括转出的非现金资产或承</w:t>
      </w:r>
      <w:r>
        <w:rPr>
          <w:spacing w:val="-14"/>
        </w:rPr>
        <w:t> </w:t>
      </w:r>
      <w:r>
        <w:rPr>
          <w:spacing w:val="-14"/>
        </w:rPr>
      </w:r>
      <w:r>
        <w:rPr/>
        <w:t>担的新金融负债）之间的差额，计入当期损益。</w:t>
      </w:r>
      <w:r>
        <w:rPr>
          <w:w w:val="100"/>
        </w:rPr>
        <w:t> </w:t>
      </w:r>
      <w:r>
        <w:rPr>
          <w:spacing w:val="-4"/>
        </w:rPr>
        <w:t>本公司若回购部分金融负债的，在回购日按照继续确认部分与终止确认部分的相对公允价值，将该金融负</w:t>
      </w:r>
      <w:r>
        <w:rPr>
          <w:spacing w:val="-14"/>
        </w:rPr>
        <w:t> </w:t>
      </w:r>
      <w:r>
        <w:rPr>
          <w:spacing w:val="-14"/>
        </w:rPr>
      </w:r>
      <w:r>
        <w:rPr>
          <w:spacing w:val="-4"/>
        </w:rPr>
        <w:t>债整体的账面价值进行分配。分配给终止确认部分的账面价值与支付的对价（包括转出的非现金资产或承</w:t>
      </w:r>
      <w:r>
        <w:rPr>
          <w:spacing w:val="-14"/>
        </w:rPr>
        <w:t> </w:t>
      </w:r>
      <w:r>
        <w:rPr>
          <w:spacing w:val="-14"/>
        </w:rPr>
      </w:r>
      <w:r>
        <w:rPr/>
        <w:t>担的新金融负债）之间的差额，计入当期损益。</w:t>
      </w:r>
    </w:p>
    <w:p>
      <w:pPr>
        <w:spacing w:after="0" w:line="273" w:lineRule="auto"/>
        <w:jc w:val="left"/>
        <w:sectPr>
          <w:pgSz w:w="11910" w:h="16840"/>
          <w:pgMar w:header="745" w:footer="0" w:top="1060" w:bottom="2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506" w:lineRule="auto" w:before="0"/>
        <w:ind w:left="152" w:right="336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金融资产和金融负债的公允价值按期末活跃市场报价确定。</w:t>
      </w:r>
    </w:p>
    <w:p>
      <w:pPr>
        <w:spacing w:line="240" w:lineRule="auto" w:before="0"/>
        <w:rPr>
          <w:rFonts w:ascii="宋体" w:hAnsi="宋体" w:cs="宋体" w:eastAsia="宋体" w:hint="default"/>
          <w:sz w:val="20"/>
          <w:szCs w:val="20"/>
        </w:rPr>
      </w:pPr>
    </w:p>
    <w:p>
      <w:pPr>
        <w:pStyle w:val="Heading3"/>
        <w:spacing w:line="240" w:lineRule="auto" w:before="154"/>
        <w:ind w:right="102"/>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2"/>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02"/>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4"/>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1"/>
        <w:ind w:right="102"/>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、单项金额重大并单项计提坏账准备的应收款项</w:t>
      </w:r>
      <w:r>
        <w:rPr>
          <w:b w:val="0"/>
          <w:bCs w:val="0"/>
        </w:rPr>
      </w:r>
    </w:p>
    <w:p>
      <w:pPr>
        <w:spacing w:line="256" w:lineRule="auto" w:before="21"/>
        <w:ind w:left="152" w:right="336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）单项金额重大的判断依据</w:t>
      </w:r>
      <w:r>
        <w:rPr>
          <w:rFonts w:ascii="宋体" w:hAnsi="宋体" w:cs="宋体" w:eastAsia="宋体" w:hint="default"/>
          <w:b/>
          <w:bCs/>
          <w:w w:val="100"/>
          <w:sz w:val="21"/>
          <w:szCs w:val="21"/>
        </w:rPr>
        <w:t> </w:t>
      </w:r>
      <w:r>
        <w:rPr>
          <w:rFonts w:ascii="宋体" w:hAnsi="宋体" w:cs="宋体" w:eastAsia="宋体" w:hint="default"/>
          <w:sz w:val="21"/>
          <w:szCs w:val="21"/>
        </w:rPr>
        <w:t>单项金额重大的具体标准为：占应收账款余额</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）单项金额重大并单项计提坏账准备的计提方法</w:t>
      </w:r>
    </w:p>
    <w:p>
      <w:pPr>
        <w:pStyle w:val="BodyText"/>
        <w:spacing w:line="273" w:lineRule="auto" w:before="5"/>
        <w:ind w:left="212" w:right="102"/>
        <w:jc w:val="left"/>
      </w:pPr>
      <w:r>
        <w:rPr>
          <w:spacing w:val="-6"/>
          <w:w w:val="100"/>
        </w:rPr>
        <w:t>单独进行减值测试，如有客观证据表明其发生了减值的，根据其未来现金流量现值低于其账面价值的差额，</w:t>
      </w:r>
      <w:r>
        <w:rPr>
          <w:spacing w:val="-77"/>
          <w:w w:val="100"/>
        </w:rPr>
        <w:t> </w:t>
      </w:r>
      <w:r>
        <w:rPr>
          <w:spacing w:val="-77"/>
          <w:w w:val="100"/>
        </w:rPr>
      </w:r>
      <w:r>
        <w:rPr>
          <w:spacing w:val="-4"/>
        </w:rPr>
        <w:t>确认减值损失，计提坏账准备。短期应收款项的预计未来现金流量与其现值相差很小，在确定相关减值损</w:t>
      </w:r>
      <w:r>
        <w:rPr>
          <w:spacing w:val="-16"/>
        </w:rPr>
        <w:t> </w:t>
      </w:r>
      <w:r>
        <w:rPr>
          <w:spacing w:val="-16"/>
        </w:rPr>
      </w:r>
      <w:r>
        <w:rPr>
          <w:spacing w:val="-4"/>
        </w:rPr>
        <w:t>失时，不对其预计未来现金流量进行折现。单独测试未发生减值的应收款项，包括在具有类似信用风险特</w:t>
      </w:r>
      <w:r>
        <w:rPr>
          <w:spacing w:val="-15"/>
        </w:rPr>
        <w:t> </w:t>
      </w:r>
      <w:r>
        <w:rPr>
          <w:spacing w:val="-15"/>
        </w:rPr>
      </w:r>
      <w:r>
        <w:rPr/>
        <w:t>征的应收款项组合中再进行减值测试。</w:t>
      </w:r>
    </w:p>
    <w:p>
      <w:pPr>
        <w:spacing w:line="240" w:lineRule="auto" w:before="6"/>
        <w:rPr>
          <w:rFonts w:ascii="宋体" w:hAnsi="宋体" w:cs="宋体" w:eastAsia="宋体" w:hint="default"/>
          <w:sz w:val="24"/>
          <w:szCs w:val="24"/>
        </w:rPr>
      </w:pPr>
    </w:p>
    <w:p>
      <w:pPr>
        <w:pStyle w:val="BodyText"/>
        <w:spacing w:line="266" w:lineRule="auto"/>
        <w:ind w:left="212" w:right="102" w:hanging="5"/>
        <w:jc w:val="left"/>
      </w:pPr>
      <w:r>
        <w:rPr>
          <w:rFonts w:ascii="Times New Roman" w:hAnsi="Times New Roman" w:cs="Times New Roman" w:eastAsia="Times New Roman" w:hint="default"/>
          <w:b/>
          <w:bCs/>
        </w:rPr>
        <w:t>2</w:t>
      </w:r>
      <w:r>
        <w:rPr>
          <w:rFonts w:ascii="宋体" w:hAnsi="宋体" w:cs="宋体" w:eastAsia="宋体" w:hint="default"/>
          <w:b/>
          <w:bCs/>
        </w:rPr>
        <w:t>、对单项金额虽不重大但单项计提减值准备的应收账款</w:t>
      </w:r>
      <w:r>
        <w:rPr>
          <w:rFonts w:ascii="宋体" w:hAnsi="宋体" w:cs="宋体" w:eastAsia="宋体" w:hint="default"/>
          <w:b/>
          <w:bCs/>
          <w:w w:val="100"/>
        </w:rPr>
        <w:t> </w:t>
      </w:r>
      <w:r>
        <w:rPr>
          <w:spacing w:val="-6"/>
        </w:rPr>
        <w:t>对于期末单项金额非重大的应收款项（包括应收账款、应收票据、预付账款、其他应收款、长期应收款等）</w:t>
      </w:r>
      <w:r>
        <w:rPr>
          <w:spacing w:val="-25"/>
        </w:rPr>
        <w:t> </w:t>
      </w:r>
      <w:r>
        <w:rPr>
          <w:spacing w:val="-25"/>
        </w:rPr>
      </w:r>
      <w:r>
        <w:rPr>
          <w:spacing w:val="-6"/>
          <w:w w:val="100"/>
        </w:rPr>
        <w:t>单独进行减值测试。如有客观证据表明其发生了减值的，根据其未来现金流量现值低于其账面价值的差额，</w:t>
      </w:r>
      <w:r>
        <w:rPr>
          <w:spacing w:val="-82"/>
          <w:w w:val="100"/>
        </w:rPr>
        <w:t> </w:t>
      </w:r>
      <w:r>
        <w:rPr>
          <w:spacing w:val="-82"/>
          <w:w w:val="100"/>
        </w:rPr>
      </w:r>
      <w:r>
        <w:rPr/>
        <w:t>确认减值损失，计提坏账准备。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before="44"/>
        <w:ind w:left="0" w:right="219" w:firstLine="0"/>
        <w:jc w:val="right"/>
        <w:rPr>
          <w:rFonts w:ascii="宋体" w:hAnsi="宋体" w:cs="宋体" w:eastAsia="宋体" w:hint="default"/>
          <w:sz w:val="18"/>
          <w:szCs w:val="18"/>
        </w:rPr>
      </w:pPr>
      <w:r>
        <w:rPr/>
        <w:pict>
          <v:shape style="position:absolute;margin-left:56.459999pt;margin-top:-51.998257pt;width:479.2pt;height:103.1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54"/>
                    <w:gridCol w:w="4515"/>
                  </w:tblGrid>
                  <w:tr>
                    <w:trPr>
                      <w:trHeight w:val="401"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占应收账款余额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652"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 </w:t>
                        </w:r>
                        <w:r>
                          <w:rPr>
                            <w:rFonts w:ascii="宋体" w:hAnsi="宋体" w:cs="宋体" w:eastAsia="宋体" w:hint="default"/>
                            <w:spacing w:val="-2"/>
                            <w:sz w:val="18"/>
                            <w:szCs w:val="18"/>
                          </w:rPr>
                          <w:t>根据其未来现金流量现值低于其账面价值的差额，确认减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值损失，计提坏账准备。单独测试未发生减值的应收款项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包括在具有类似信用风险特征的应收款项组合中再进行 减值测试。</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3"/>
        <w:spacing w:line="240" w:lineRule="auto" w:before="36"/>
        <w:ind w:right="102"/>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8"/>
        <w:gridCol w:w="4783"/>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98" w:right="0"/>
              <w:jc w:val="left"/>
              <w:rPr>
                <w:rFonts w:ascii="宋体" w:hAnsi="宋体" w:cs="宋体" w:eastAsia="宋体" w:hint="default"/>
                <w:sz w:val="18"/>
                <w:szCs w:val="18"/>
              </w:rPr>
            </w:pPr>
            <w:r>
              <w:rPr>
                <w:rFonts w:ascii="宋体" w:hAnsi="宋体" w:cs="宋体" w:eastAsia="宋体" w:hint="default"/>
                <w:sz w:val="18"/>
                <w:szCs w:val="18"/>
              </w:rPr>
              <w:t>按组合计提坏账准备的计</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spacing w:after="0" w:line="240" w:lineRule="auto"/>
        <w:jc w:val="center"/>
        <w:rPr>
          <w:rFonts w:ascii="宋体" w:hAnsi="宋体" w:cs="宋体" w:eastAsia="宋体" w:hint="default"/>
          <w:sz w:val="18"/>
          <w:szCs w:val="18"/>
        </w:rPr>
        <w:sectPr>
          <w:pgSz w:w="11910" w:h="16840"/>
          <w:pgMar w:header="745" w:footer="0" w:top="1060" w:bottom="280" w:left="980" w:right="92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362"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除单项金额重大并已单项计提坏账准备及单项金额不重大并 已单项计提坏账准备的应收款项之外，其余应收款项按账龄 划分组合</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00"/>
        <w:gridCol w:w="2977"/>
        <w:gridCol w:w="3994"/>
      </w:tblGrid>
      <w:tr>
        <w:trPr>
          <w:trHeight w:val="402"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天以内</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1028"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对于期末单项金额非重大的应收款项（包括应收账款、应收票据、预付账款、 其他应收款、长期应收款等）单独进行减值测试</w:t>
            </w:r>
            <w:r>
              <w:rPr>
                <w:rFonts w:ascii="Times New Roman" w:hAnsi="Times New Roman" w:cs="Times New Roman" w:eastAsia="Times New Roman" w:hint="default"/>
                <w:sz w:val="18"/>
                <w:szCs w:val="18"/>
              </w:rPr>
              <w:t>,</w:t>
            </w:r>
            <w:r>
              <w:rPr>
                <w:rFonts w:ascii="宋体" w:hAnsi="宋体" w:cs="宋体" w:eastAsia="宋体" w:hint="default"/>
                <w:sz w:val="18"/>
                <w:szCs w:val="18"/>
              </w:rPr>
              <w:t>如有客观证据表明其发生了减 值的</w:t>
            </w:r>
            <w:r>
              <w:rPr>
                <w:rFonts w:ascii="Times New Roman" w:hAnsi="Times New Roman" w:cs="Times New Roman" w:eastAsia="Times New Roman" w:hint="default"/>
                <w:sz w:val="18"/>
                <w:szCs w:val="18"/>
              </w:rPr>
              <w:t>.</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根据其未来现金流量现值低于其账面价值的差额，确认减值损失，计提坏账准 备</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455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存货分类为：低值易耗品、库存商品、劳务成本等。</w:t>
      </w:r>
    </w:p>
    <w:p>
      <w:pPr>
        <w:pStyle w:val="Heading3"/>
        <w:spacing w:line="240" w:lineRule="auto" w:before="101"/>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计价方法：先进先出法</w:t>
      </w:r>
    </w:p>
    <w:p>
      <w:pPr>
        <w:pStyle w:val="BodyText"/>
        <w:spacing w:line="273" w:lineRule="auto" w:before="96"/>
        <w:ind w:right="0"/>
        <w:jc w:val="left"/>
      </w:pPr>
      <w:r>
        <w:rPr>
          <w:spacing w:val="-2"/>
        </w:rPr>
        <w:t>日常核算取得时按实际成本计价；发出时按先进先出法计价。对于不能替代使用的存货以及为特定项目专</w:t>
      </w:r>
      <w:r>
        <w:rPr>
          <w:spacing w:val="-43"/>
        </w:rPr>
        <w:t> </w:t>
      </w:r>
      <w:r>
        <w:rPr>
          <w:spacing w:val="-43"/>
        </w:rPr>
      </w:r>
      <w:r>
        <w:rPr/>
        <w:t>门购入或制造的存货，公司采用个别计价法确定发出存货的成本。</w:t>
      </w:r>
    </w:p>
    <w:p>
      <w:pPr>
        <w:spacing w:after="0" w:line="273" w:lineRule="auto"/>
        <w:jc w:val="left"/>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212" w:right="0"/>
        <w:jc w:val="left"/>
      </w:pPr>
      <w:r>
        <w:rPr/>
        <w:t>期末对存货进行全面清查后，按存货的成本与可变现净值孰低提取或调整存货跌价准备。</w:t>
      </w:r>
      <w:r>
        <w:rPr>
          <w:w w:val="100"/>
        </w:rPr>
        <w:t> </w:t>
      </w:r>
      <w:r>
        <w:rPr>
          <w:spacing w:val="-4"/>
        </w:rPr>
        <w:t>期末按照单个存货项目计提存货跌价准备；但对于数量繁多、单价较低的存货，按照存货类别计提存货跌</w:t>
      </w:r>
      <w:r>
        <w:rPr>
          <w:spacing w:val="-14"/>
        </w:rPr>
        <w:t> </w:t>
      </w:r>
      <w:r>
        <w:rPr>
          <w:spacing w:val="-14"/>
        </w:rPr>
      </w:r>
      <w:r>
        <w:rPr>
          <w:spacing w:val="-4"/>
        </w:rPr>
        <w:t>价准备；与在同一地区生产和销售的产品系列相关、具有相同或类似最终用途或目的，且难以与其他项目</w:t>
      </w:r>
      <w:r>
        <w:rPr>
          <w:spacing w:val="-15"/>
        </w:rPr>
        <w:t> </w:t>
      </w:r>
      <w:r>
        <w:rPr>
          <w:spacing w:val="-15"/>
        </w:rPr>
      </w:r>
      <w:r>
        <w:rPr/>
        <w:t>分开计量的存货，则合并计提存货跌价准备。</w:t>
      </w:r>
      <w:r>
        <w:rPr>
          <w:w w:val="100"/>
        </w:rPr>
        <w:t> </w:t>
      </w:r>
      <w:r>
        <w:rPr>
          <w:spacing w:val="-4"/>
        </w:rPr>
        <w:t>以前减记存货价值的影响因素已经消失的，减记的金额予以恢复，并在原已计提的存货跌价准备金额内转</w:t>
      </w:r>
      <w:r>
        <w:rPr>
          <w:spacing w:val="-14"/>
        </w:rPr>
        <w:t> </w:t>
      </w:r>
      <w:r>
        <w:rPr>
          <w:spacing w:val="-14"/>
        </w:rPr>
      </w:r>
      <w:r>
        <w:rPr/>
        <w:t>回，转回的金额计入当期损益。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 包装物 摊销方法：一次摊销法</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0"/>
        <w:jc w:val="left"/>
      </w:pPr>
      <w:r>
        <w:rPr/>
        <w:t>（</w:t>
      </w:r>
      <w:r>
        <w:rPr>
          <w:rFonts w:ascii="Times New Roman" w:hAnsi="Times New Roman" w:cs="Times New Roman" w:eastAsia="Times New Roman" w:hint="default"/>
        </w:rPr>
        <w:t>1</w:t>
      </w:r>
      <w:r>
        <w:rPr/>
        <w:t>）企业合并形成的长期股权投资同一控制下的企业合并，以支付现金、转让非现金资产或承担债务方</w:t>
      </w:r>
      <w:r>
        <w:rPr>
          <w:w w:val="100"/>
        </w:rPr>
        <w:t> </w:t>
      </w:r>
      <w:r>
        <w:rPr>
          <w:spacing w:val="-2"/>
        </w:rPr>
        <w:t>式以及以发行权益性证券作为合并对价的，在合并日按照取得被合并方所有者权益账面价值的份额作为长</w:t>
      </w:r>
      <w:r>
        <w:rPr>
          <w:spacing w:val="-43"/>
        </w:rPr>
        <w:t> </w:t>
      </w:r>
      <w:r>
        <w:rPr>
          <w:spacing w:val="-43"/>
        </w:rPr>
      </w:r>
      <w:r>
        <w:rPr>
          <w:spacing w:val="-2"/>
        </w:rPr>
        <w:t>期股权投资的投资成本。长期股权投资初始投资成本与支付合并对价之间的差额，调整资本公积；资本公</w:t>
      </w:r>
      <w:r>
        <w:rPr>
          <w:spacing w:val="-43"/>
        </w:rPr>
        <w:t> </w:t>
      </w:r>
      <w:r>
        <w:rPr>
          <w:spacing w:val="-43"/>
        </w:rPr>
      </w:r>
      <w:r>
        <w:rPr>
          <w:spacing w:val="-2"/>
        </w:rPr>
        <w:t>积不足冲减的，调整留存收益。非同一控制下的企业合并，合并成本为购买日购买方为取得对被购买方的</w:t>
      </w:r>
      <w:r>
        <w:rPr>
          <w:spacing w:val="-44"/>
        </w:rPr>
        <w:t> </w:t>
      </w:r>
      <w:r>
        <w:rPr>
          <w:spacing w:val="-44"/>
        </w:rPr>
      </w:r>
      <w:r>
        <w:rPr>
          <w:spacing w:val="-2"/>
        </w:rPr>
        <w:t>控制权而付出的资产、发生或承担的负债以及发行的权益性证券的公允价值。通过多次交换交易分步实现</w:t>
      </w:r>
      <w:r>
        <w:rPr>
          <w:spacing w:val="-44"/>
        </w:rPr>
        <w:t> </w:t>
      </w:r>
      <w:r>
        <w:rPr>
          <w:spacing w:val="-44"/>
        </w:rPr>
      </w:r>
      <w:r>
        <w:rPr>
          <w:spacing w:val="-2"/>
        </w:rPr>
        <w:t>的企业合并，合并成本为每一单项交易成本之和。在合并合同中对可能影响合并成本的未来事项作出约定</w:t>
      </w:r>
      <w:r>
        <w:rPr>
          <w:spacing w:val="-43"/>
        </w:rPr>
        <w:t> </w:t>
      </w:r>
      <w:r>
        <w:rPr>
          <w:spacing w:val="-43"/>
        </w:rPr>
      </w:r>
      <w:r>
        <w:rPr>
          <w:spacing w:val="-2"/>
        </w:rPr>
        <w:t>的，购买日如果估计未来事项很可能发生并且对合并成本的影响金额能够可靠计量的，也计入合并成本。</w:t>
      </w:r>
    </w:p>
    <w:p>
      <w:pPr>
        <w:pStyle w:val="BodyText"/>
        <w:spacing w:line="240" w:lineRule="auto" w:before="48"/>
        <w:ind w:right="0"/>
        <w:jc w:val="left"/>
      </w:pPr>
      <w:r>
        <w:rPr/>
        <w:t>（</w:t>
      </w:r>
      <w:r>
        <w:rPr>
          <w:rFonts w:ascii="Times New Roman" w:hAnsi="Times New Roman" w:cs="Times New Roman" w:eastAsia="Times New Roman" w:hint="default"/>
        </w:rPr>
        <w:t>2</w:t>
      </w:r>
      <w:r>
        <w:rPr/>
        <w:t>）以支付现金方式取得的长期股权投资，按照实际支付的购买价款作为初始投资成本。</w:t>
      </w:r>
    </w:p>
    <w:p>
      <w:pPr>
        <w:pStyle w:val="BodyText"/>
        <w:spacing w:line="240" w:lineRule="auto" w:before="62"/>
        <w:ind w:right="0"/>
        <w:jc w:val="left"/>
      </w:pPr>
      <w:r>
        <w:rPr/>
        <w:t>（</w:t>
      </w:r>
      <w:r>
        <w:rPr>
          <w:rFonts w:ascii="Times New Roman" w:hAnsi="Times New Roman" w:cs="Times New Roman" w:eastAsia="Times New Roman" w:hint="default"/>
        </w:rPr>
        <w:t>3</w:t>
      </w:r>
      <w:r>
        <w:rPr/>
        <w:t>）以发行权益性证券取得的长期股权投资，按照发行权益性证券的公允价值作为初始投资成本。</w:t>
      </w:r>
    </w:p>
    <w:p>
      <w:pPr>
        <w:pStyle w:val="BodyText"/>
        <w:spacing w:line="256" w:lineRule="auto" w:before="62"/>
        <w:ind w:right="0"/>
        <w:jc w:val="left"/>
      </w:pPr>
      <w:r>
        <w:rPr>
          <w:spacing w:val="-2"/>
        </w:rPr>
        <w:t>（</w:t>
      </w:r>
      <w:r>
        <w:rPr>
          <w:rFonts w:ascii="Times New Roman" w:hAnsi="Times New Roman" w:cs="Times New Roman" w:eastAsia="Times New Roman" w:hint="default"/>
          <w:spacing w:val="-2"/>
        </w:rPr>
        <w:t>4</w:t>
      </w:r>
      <w:r>
        <w:rPr>
          <w:spacing w:val="-2"/>
        </w:rPr>
        <w:t>）投资者投入的长期股权投资，按照投资合同或协议约定的价值（扣除已宣告但尚未发放的现金股利</w:t>
      </w:r>
      <w:r>
        <w:rPr>
          <w:spacing w:val="-22"/>
        </w:rPr>
        <w:t> </w:t>
      </w:r>
      <w:r>
        <w:rPr>
          <w:spacing w:val="-22"/>
        </w:rPr>
      </w:r>
      <w:r>
        <w:rPr/>
        <w:t>或利润）作为初始投资成本，但合同或协议约定价值不公允的除外。</w:t>
      </w:r>
    </w:p>
    <w:p>
      <w:pPr>
        <w:pStyle w:val="BodyText"/>
        <w:spacing w:line="268" w:lineRule="auto" w:before="61"/>
        <w:ind w:right="0"/>
        <w:jc w:val="left"/>
      </w:pPr>
      <w:r>
        <w:rPr/>
        <w:t>（</w:t>
      </w:r>
      <w:r>
        <w:rPr>
          <w:rFonts w:ascii="Times New Roman" w:hAnsi="Times New Roman" w:cs="Times New Roman" w:eastAsia="Times New Roman" w:hint="default"/>
        </w:rPr>
        <w:t>5</w:t>
      </w:r>
      <w:r>
        <w:rPr/>
        <w:t>）在非货币性资产交换具备商业实质和换入资产或换出资产的公允价值能够可靠计量的前提下，非货</w:t>
      </w:r>
      <w:r>
        <w:rPr>
          <w:w w:val="100"/>
        </w:rPr>
        <w:t> </w:t>
      </w:r>
      <w:r>
        <w:rPr>
          <w:spacing w:val="-2"/>
        </w:rPr>
        <w:t>币性资产交换换入的长期股权投资以换出资产的公允价值为基础确定其初始投资成本，除非有确凿证据表</w:t>
      </w:r>
      <w:r>
        <w:rPr>
          <w:spacing w:val="-43"/>
        </w:rPr>
        <w:t> </w:t>
      </w:r>
      <w:r>
        <w:rPr>
          <w:spacing w:val="-43"/>
        </w:rPr>
      </w:r>
      <w:r>
        <w:rPr>
          <w:spacing w:val="-2"/>
        </w:rPr>
        <w:t>明换入资产的公允价值更加可靠；不满足上述前提的非货币性资产交换，以换出资产的账面价值和应支付</w:t>
      </w:r>
      <w:r>
        <w:rPr>
          <w:spacing w:val="-44"/>
        </w:rPr>
        <w:t> </w:t>
      </w:r>
      <w:r>
        <w:rPr>
          <w:spacing w:val="-44"/>
        </w:rPr>
      </w:r>
      <w:r>
        <w:rPr/>
        <w:t>的相关税费作为换入长期股权投资的初始投资成本。</w:t>
      </w:r>
    </w:p>
    <w:p>
      <w:pPr>
        <w:pStyle w:val="BodyText"/>
        <w:spacing w:line="240" w:lineRule="auto" w:before="52"/>
        <w:ind w:right="0"/>
        <w:jc w:val="left"/>
      </w:pPr>
      <w:r>
        <w:rPr/>
        <w:t>（</w:t>
      </w:r>
      <w:r>
        <w:rPr>
          <w:rFonts w:ascii="Times New Roman" w:hAnsi="Times New Roman" w:cs="Times New Roman" w:eastAsia="Times New Roman" w:hint="default"/>
        </w:rPr>
        <w:t>6</w:t>
      </w:r>
      <w:r>
        <w:rPr/>
        <w:t>）通过债务重组取得的长期股权投资，其初始投资成本按照公允价值为基础确定。</w:t>
      </w:r>
    </w:p>
    <w:p>
      <w:pPr>
        <w:spacing w:after="0" w:line="240" w:lineRule="auto"/>
        <w:jc w:val="left"/>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2"/>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102"/>
        <w:jc w:val="left"/>
      </w:pPr>
      <w:r>
        <w:rPr/>
        <w:t>（</w:t>
      </w:r>
      <w:r>
        <w:rPr>
          <w:rFonts w:ascii="Times New Roman" w:hAnsi="Times New Roman" w:cs="Times New Roman" w:eastAsia="Times New Roman" w:hint="default"/>
        </w:rPr>
        <w:t>1</w:t>
      </w:r>
      <w:r>
        <w:rPr/>
        <w:t>）后续计量公司对子公司的长期股权投资，采用成本法核算。对被投资单位不具有共同控制或重大影</w:t>
      </w:r>
      <w:r>
        <w:rPr>
          <w:w w:val="100"/>
        </w:rPr>
        <w:t> </w:t>
      </w:r>
      <w:r>
        <w:rPr>
          <w:spacing w:val="-2"/>
        </w:rPr>
        <w:t>响，并且在活跃市场中没有报价、公允价值不能可靠计量的长期股权投资，采用成本法核算。对被投资单</w:t>
      </w:r>
      <w:r>
        <w:rPr>
          <w:spacing w:val="-50"/>
        </w:rPr>
        <w:t> </w:t>
      </w:r>
      <w:r>
        <w:rPr>
          <w:spacing w:val="-50"/>
        </w:rPr>
      </w:r>
      <w:r>
        <w:rPr/>
        <w:t>位具有共同控制或重大影响的长期股权投资，采用权益法核算。</w:t>
      </w:r>
    </w:p>
    <w:p>
      <w:pPr>
        <w:pStyle w:val="BodyText"/>
        <w:spacing w:line="271" w:lineRule="auto" w:before="54"/>
        <w:ind w:right="102"/>
        <w:jc w:val="left"/>
      </w:pPr>
      <w:r>
        <w:rPr/>
        <w:t>（</w:t>
      </w:r>
      <w:r>
        <w:rPr>
          <w:rFonts w:ascii="Times New Roman" w:hAnsi="Times New Roman" w:cs="Times New Roman" w:eastAsia="Times New Roman" w:hint="default"/>
        </w:rPr>
        <w:t>2</w:t>
      </w:r>
      <w:r>
        <w:rPr/>
        <w:t>）损益确认成本法下，除取得投资时实际支付的价款或对价中包含的已宣告但尚未发放的现金股利或</w:t>
      </w:r>
      <w:r>
        <w:rPr>
          <w:w w:val="100"/>
        </w:rPr>
        <w:t> </w:t>
      </w:r>
      <w:r>
        <w:rPr>
          <w:spacing w:val="-2"/>
        </w:rPr>
        <w:t>利润外，公司按照享有被投资单位宣告发放的现金股利或利润确认投资收益。权益法下，在公司确认应分</w:t>
      </w:r>
      <w:r>
        <w:rPr>
          <w:spacing w:val="-43"/>
        </w:rPr>
        <w:t> </w:t>
      </w:r>
      <w:r>
        <w:rPr>
          <w:spacing w:val="-43"/>
        </w:rPr>
      </w:r>
      <w:r>
        <w:rPr>
          <w:spacing w:val="-2"/>
        </w:rPr>
        <w:t>担被投资单位发生的亏损时，按照以下顺序进行处理：首先，冲减长期股权投资的账面价值。其次，长期</w:t>
      </w:r>
      <w:r>
        <w:rPr>
          <w:spacing w:val="-43"/>
        </w:rPr>
        <w:t> </w:t>
      </w:r>
      <w:r>
        <w:rPr>
          <w:spacing w:val="-43"/>
        </w:rPr>
      </w:r>
      <w:r>
        <w:rPr>
          <w:spacing w:val="-2"/>
        </w:rPr>
        <w:t>股权投资的账面价值不足以冲减的，以其他实质上构成对被投资单位净投资的长期权益账面价值为限继续</w:t>
      </w:r>
      <w:r>
        <w:rPr>
          <w:spacing w:val="-43"/>
        </w:rPr>
        <w:t> </w:t>
      </w:r>
      <w:r>
        <w:rPr>
          <w:spacing w:val="-43"/>
        </w:rPr>
      </w:r>
      <w:r>
        <w:rPr>
          <w:spacing w:val="-2"/>
        </w:rPr>
        <w:t>确认投资损失，冲减长期应收项目等的账面价值。最后，经过上述处理，按照投资合同或协议约定企业仍</w:t>
      </w:r>
      <w:r>
        <w:rPr>
          <w:spacing w:val="-47"/>
        </w:rPr>
        <w:t> </w:t>
      </w:r>
      <w:r>
        <w:rPr>
          <w:spacing w:val="-47"/>
        </w:rPr>
      </w:r>
      <w:r>
        <w:rPr>
          <w:spacing w:val="-5"/>
        </w:rPr>
        <w:t>承担额外义务的，按预计承担的义务确认预计负债，计入当期投资损失。被投资单位以后期间实现盈利的， </w:t>
      </w:r>
      <w:r>
        <w:rPr>
          <w:spacing w:val="-5"/>
        </w:rPr>
      </w:r>
      <w:r>
        <w:rPr>
          <w:spacing w:val="-2"/>
        </w:rPr>
        <w:t>公司在扣除未确认的亏损分担额后，按与上述相反的顺序处理，减记已确认预计负债的账面余额、恢复其</w:t>
      </w:r>
      <w:r>
        <w:rPr>
          <w:spacing w:val="-44"/>
        </w:rPr>
        <w:t> </w:t>
      </w:r>
      <w:r>
        <w:rPr>
          <w:spacing w:val="-44"/>
        </w:rPr>
      </w:r>
      <w:r>
        <w:rPr/>
        <w:t>他实质上构成对被投资单位净投资的长期权益及长期股权投资的账面价值，同时确认投资收益。</w:t>
      </w:r>
    </w:p>
    <w:p>
      <w:pPr>
        <w:spacing w:line="240" w:lineRule="auto" w:before="10"/>
        <w:rPr>
          <w:rFonts w:ascii="宋体" w:hAnsi="宋体" w:cs="宋体" w:eastAsia="宋体" w:hint="default"/>
          <w:sz w:val="23"/>
          <w:szCs w:val="23"/>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6"/>
        <w:jc w:val="both"/>
      </w:pPr>
      <w:r>
        <w:rPr>
          <w:spacing w:val="-2"/>
        </w:rPr>
        <w:t>按照合同约定对某项经济活动所共有的控制，仅在与该项经济活动相关的重要财务和经营决策需要分享控</w:t>
      </w:r>
      <w:r>
        <w:rPr>
          <w:spacing w:val="-43"/>
        </w:rPr>
        <w:t> </w:t>
      </w:r>
      <w:r>
        <w:rPr>
          <w:spacing w:val="-43"/>
        </w:rPr>
      </w:r>
      <w:r>
        <w:rPr>
          <w:spacing w:val="-2"/>
        </w:rPr>
        <w:t>制权的投资方一致同意时存在，则视为与其他方对被投资单位实施共同控制；对一个企业的财务和经营决</w:t>
      </w:r>
      <w:r>
        <w:rPr>
          <w:spacing w:val="-43"/>
        </w:rPr>
        <w:t> </w:t>
      </w:r>
      <w:r>
        <w:rPr>
          <w:spacing w:val="-43"/>
        </w:rPr>
      </w:r>
      <w:r>
        <w:rPr>
          <w:spacing w:val="-2"/>
        </w:rPr>
        <w:t>策有参与决策的权力，但并不能够控制或者与其他方一起共同控制这些政策的制定，则视为投资企业能够</w:t>
      </w:r>
      <w:r>
        <w:rPr>
          <w:spacing w:val="-44"/>
        </w:rPr>
        <w:t> </w:t>
      </w:r>
      <w:r>
        <w:rPr>
          <w:spacing w:val="-44"/>
        </w:rPr>
      </w:r>
      <w:r>
        <w:rPr/>
        <w:t>对被投资单位施加重大影响。</w:t>
      </w:r>
    </w:p>
    <w:p>
      <w:pPr>
        <w:spacing w:line="240" w:lineRule="auto" w:before="4"/>
        <w:rPr>
          <w:rFonts w:ascii="宋体" w:hAnsi="宋体" w:cs="宋体" w:eastAsia="宋体" w:hint="default"/>
          <w:sz w:val="23"/>
          <w:szCs w:val="23"/>
        </w:rPr>
      </w:pPr>
    </w:p>
    <w:p>
      <w:pPr>
        <w:pStyle w:val="Heading3"/>
        <w:spacing w:line="240" w:lineRule="auto"/>
        <w:ind w:right="102"/>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212" w:right="102"/>
        <w:jc w:val="left"/>
      </w:pPr>
      <w:r>
        <w:rPr>
          <w:spacing w:val="-4"/>
        </w:rPr>
        <w:t>重大影响以下的、在活跃市场中没有报价、公允价值不能可靠计量的长期股权投资，其减值损失是根据其</w:t>
      </w:r>
      <w:r>
        <w:rPr>
          <w:spacing w:val="-13"/>
        </w:rPr>
        <w:t> </w:t>
      </w:r>
      <w:r>
        <w:rPr>
          <w:spacing w:val="-13"/>
        </w:rPr>
      </w:r>
      <w:r>
        <w:rPr/>
        <w:t>账面价值与按类似金融资产当时市场收益率对未来现金流量折现确定的现值之间的差额进行确定。</w:t>
      </w:r>
      <w:r>
        <w:rPr>
          <w:w w:val="100"/>
        </w:rPr>
        <w:t> </w:t>
      </w:r>
      <w:r>
        <w:rPr>
          <w:spacing w:val="-4"/>
        </w:rPr>
        <w:t>除因企业合并形成的商誉以外的存在减值迹象的其他长期股权投资，如果可收回金额的计量结果表明，该</w:t>
      </w:r>
      <w:r>
        <w:rPr>
          <w:spacing w:val="-11"/>
        </w:rPr>
        <w:t> </w:t>
      </w:r>
      <w:r>
        <w:rPr>
          <w:spacing w:val="-11"/>
        </w:rPr>
      </w:r>
      <w:r>
        <w:rPr/>
        <w:t>长期股权投资的可收回金额低于其账面价值的，将差额确认为减值损失。</w:t>
      </w:r>
      <w:r>
        <w:rPr>
          <w:w w:val="100"/>
        </w:rPr>
        <w:t> </w:t>
      </w:r>
      <w:r>
        <w:rPr/>
        <w:t>因企业合并形成的商誉，无论是否存在减值迹象，每年都进行减值测试。</w:t>
      </w:r>
      <w:r>
        <w:rPr>
          <w:w w:val="100"/>
        </w:rPr>
        <w:t> </w:t>
      </w:r>
      <w:r>
        <w:rPr/>
        <w:t>长期股权投资减值损失一经确认，不再转回。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02"/>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02"/>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2"/>
        <w:jc w:val="left"/>
      </w:pPr>
      <w:r>
        <w:rPr>
          <w:spacing w:val="-5"/>
        </w:rPr>
        <w:t>固定资产指为生产商品、提供劳务、出租或经营管理而持有，并且使用寿命超过一个会计年度的有形资产。</w:t>
      </w:r>
      <w:r>
        <w:rPr>
          <w:spacing w:val="-3"/>
        </w:rPr>
        <w:t> </w:t>
      </w:r>
      <w:r>
        <w:rPr>
          <w:spacing w:val="-3"/>
        </w:rPr>
      </w:r>
      <w:r>
        <w:rPr/>
        <w:t>固定资产在同时满足下列条件时予以确认：</w:t>
      </w:r>
    </w:p>
    <w:p>
      <w:pPr>
        <w:pStyle w:val="BodyText"/>
        <w:spacing w:line="240" w:lineRule="auto" w:before="48"/>
        <w:ind w:right="102"/>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59"/>
        <w:ind w:right="102"/>
        <w:jc w:val="left"/>
      </w:pPr>
      <w:r>
        <w:rPr/>
        <w:t>（</w:t>
      </w:r>
      <w:r>
        <w:rPr>
          <w:rFonts w:ascii="Times New Roman" w:hAnsi="Times New Roman" w:cs="Times New Roman" w:eastAsia="Times New Roman" w:hint="default"/>
        </w:rPr>
        <w:t>2</w:t>
      </w:r>
      <w:r>
        <w:rPr/>
        <w:t>）该固定资产的成本能够可靠地计量。</w:t>
      </w:r>
    </w:p>
    <w:p>
      <w:pPr>
        <w:spacing w:after="0" w:line="240" w:lineRule="auto"/>
        <w:jc w:val="left"/>
        <w:sectPr>
          <w:pgSz w:w="11910" w:h="16840"/>
          <w:pgMar w:header="745" w:footer="0" w:top="1060" w:bottom="28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506" w:lineRule="auto" w:before="118"/>
        <w:ind w:left="212" w:right="0"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固定资产折旧采用年限平均法计提，根据固定资产类别、预计使用寿命和预计净残值率确定折旧率。</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3.17%-4.75%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w:t>
            </w:r>
            <w:r>
              <w:rPr>
                <w:rFonts w:ascii="Times New Roman"/>
                <w:sz w:val="18"/>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7.92%-31.67%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w:t>
            </w:r>
            <w:r>
              <w:rPr>
                <w:rFonts w:ascii="Times New Roman"/>
                <w:sz w:val="18"/>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7.92%-31.67%</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11.88%-19%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19%-31.67%</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hanging="6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212" w:right="0"/>
        <w:jc w:val="left"/>
      </w:pPr>
      <w:r>
        <w:rPr/>
        <w:t>期末判断固定资产是否存在可能发生减值的迹象。</w:t>
      </w:r>
      <w:r>
        <w:rPr>
          <w:w w:val="100"/>
        </w:rPr>
        <w:t> </w:t>
      </w:r>
      <w:r>
        <w:rPr>
          <w:spacing w:val="-4"/>
        </w:rPr>
        <w:t>对存在减值迹象的，估计其可收回金额。可收回金额根据固定资产的公允价值减去处置费用后的净额与固</w:t>
      </w:r>
      <w:r>
        <w:rPr>
          <w:spacing w:val="-14"/>
        </w:rPr>
        <w:t> </w:t>
      </w:r>
      <w:r>
        <w:rPr>
          <w:spacing w:val="-14"/>
        </w:rPr>
      </w:r>
      <w:r>
        <w:rPr/>
        <w:t>定资产预计未来现金流量的现值两者之间较高者确定。</w:t>
      </w:r>
      <w:r>
        <w:rPr>
          <w:w w:val="100"/>
        </w:rPr>
        <w:t> </w:t>
      </w:r>
      <w:r>
        <w:rPr>
          <w:spacing w:val="-4"/>
        </w:rPr>
        <w:t>当固定资产的可收回金额低于其账面价值的，将固定资产的账面价值减记至可收回金额，减记的金额确认</w:t>
      </w:r>
      <w:r>
        <w:rPr>
          <w:spacing w:val="-14"/>
        </w:rPr>
        <w:t> </w:t>
      </w:r>
      <w:r>
        <w:rPr>
          <w:spacing w:val="-14"/>
        </w:rPr>
      </w:r>
      <w:r>
        <w:rPr/>
        <w:t>为固定资产减值损失，计入当期损益，同时计提相应的固定资产减值准备。</w:t>
      </w:r>
      <w:r>
        <w:rPr>
          <w:w w:val="100"/>
        </w:rPr>
        <w:t> </w:t>
      </w:r>
      <w:r>
        <w:rPr>
          <w:spacing w:val="-4"/>
        </w:rPr>
        <w:t>固定资产减值损失确认后，减值固定资产的折旧在未来期间作相应调整，以使该固定资产在剩余使用寿命</w:t>
      </w:r>
      <w:r>
        <w:rPr>
          <w:spacing w:val="-14"/>
        </w:rPr>
        <w:t> </w:t>
      </w:r>
      <w:r>
        <w:rPr>
          <w:spacing w:val="-14"/>
        </w:rPr>
      </w:r>
      <w:r>
        <w:rPr/>
        <w:t>内，系统地分摊调整后的固定资产账面价值。</w:t>
      </w:r>
      <w:r>
        <w:rPr>
          <w:w w:val="100"/>
        </w:rPr>
        <w:t> </w:t>
      </w:r>
      <w:r>
        <w:rPr>
          <w:spacing w:val="-4"/>
        </w:rPr>
        <w:t>有迹象表明一项固定资产可能发生减值的，企业以单项固定资产为基础估计其可收回金额。企业难以对单</w:t>
      </w:r>
      <w:r>
        <w:rPr>
          <w:spacing w:val="-14"/>
        </w:rPr>
        <w:t> </w:t>
      </w:r>
      <w:r>
        <w:rPr>
          <w:spacing w:val="-14"/>
        </w:rPr>
      </w:r>
      <w:r>
        <w:rPr/>
        <w:t>项固定资产的可收回金额进行估计的，以该固定资产所属的资产组为基础确定资产组的可收回金额。</w:t>
      </w:r>
      <w:r>
        <w:rPr>
          <w:w w:val="100"/>
        </w:rPr>
        <w:t> </w:t>
      </w:r>
      <w:r>
        <w:rPr/>
        <w:t>固定资产的减值损失一经确认，在以后会计期间不再转回。</w:t>
      </w:r>
    </w:p>
    <w:p>
      <w:pPr>
        <w:spacing w:line="590" w:lineRule="atLeast" w:before="8"/>
        <w:ind w:left="152" w:right="455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期末判断固定资产是否存在可能发生减值的迹象。</w:t>
      </w:r>
    </w:p>
    <w:p>
      <w:pPr>
        <w:pStyle w:val="BodyText"/>
        <w:spacing w:line="273" w:lineRule="auto" w:before="37"/>
        <w:ind w:left="212" w:right="0"/>
        <w:jc w:val="left"/>
      </w:pPr>
      <w:r>
        <w:rPr>
          <w:spacing w:val="-4"/>
        </w:rPr>
        <w:t>对存在减值迹象的，估计其可收回金额。可收回金额根据固定资产的公允价值减去处置费用后的净额与固</w:t>
      </w:r>
      <w:r>
        <w:rPr>
          <w:spacing w:val="-14"/>
        </w:rPr>
        <w:t> </w:t>
      </w:r>
      <w:r>
        <w:rPr>
          <w:spacing w:val="-14"/>
        </w:rPr>
      </w:r>
      <w:r>
        <w:rPr/>
        <w:t>定资产预计未来现金流量的现值两者之间较高者确定。</w:t>
      </w:r>
      <w:r>
        <w:rPr>
          <w:w w:val="100"/>
        </w:rPr>
        <w:t> </w:t>
      </w:r>
      <w:r>
        <w:rPr>
          <w:spacing w:val="-4"/>
        </w:rPr>
        <w:t>当固定资产的可收回金额低于其账面价值的，将固定资产的账面价值减记至可收回金额，减记的金额确认</w:t>
      </w:r>
      <w:r>
        <w:rPr>
          <w:spacing w:val="-14"/>
        </w:rPr>
        <w:t> </w:t>
      </w:r>
      <w:r>
        <w:rPr>
          <w:spacing w:val="-14"/>
        </w:rPr>
      </w:r>
      <w:r>
        <w:rPr/>
        <w:t>为固定资产减值损失，计入当期损益，同时计提相应的固定资产减值准备。</w:t>
      </w:r>
      <w:r>
        <w:rPr>
          <w:w w:val="100"/>
        </w:rPr>
        <w:t> </w:t>
      </w:r>
      <w:r>
        <w:rPr>
          <w:spacing w:val="-4"/>
        </w:rPr>
        <w:t>固定资产减值损失确认后，减值固定资产的折旧在未来期间作相应调整，以使该固定资产在剩余使用寿命</w:t>
      </w:r>
      <w:r>
        <w:rPr>
          <w:spacing w:val="-14"/>
        </w:rPr>
        <w:t> </w:t>
      </w:r>
      <w:r>
        <w:rPr>
          <w:spacing w:val="-14"/>
        </w:rPr>
      </w:r>
      <w:r>
        <w:rPr/>
        <w:t>内，系统地分摊调整后的固定资产账面价值。</w:t>
      </w:r>
      <w:r>
        <w:rPr>
          <w:w w:val="100"/>
        </w:rPr>
        <w:t> </w:t>
      </w:r>
      <w:r>
        <w:rPr>
          <w:spacing w:val="-4"/>
        </w:rPr>
        <w:t>有迹象表明一项固定资产可能发生减值的，企业以单项固定资产为基础估计其可收回金额。企业难以对单</w:t>
      </w:r>
      <w:r>
        <w:rPr>
          <w:spacing w:val="-13"/>
        </w:rPr>
        <w:t> </w:t>
      </w:r>
      <w:r>
        <w:rPr>
          <w:spacing w:val="-13"/>
        </w:rPr>
      </w:r>
      <w:r>
        <w:rPr/>
        <w:t>项固定资产的可收回金额进行估计的，以该固定资产所属的资产组为基础确定资产组的可收回金额。</w:t>
      </w:r>
      <w:r>
        <w:rPr>
          <w:w w:val="100"/>
        </w:rPr>
        <w:t> </w:t>
      </w:r>
      <w:r>
        <w:rPr/>
        <w:t>固定资产的减值损失一经确认，在以后会计期间不再转回。</w:t>
      </w:r>
    </w:p>
    <w:p>
      <w:pPr>
        <w:spacing w:after="0" w:line="273" w:lineRule="auto"/>
        <w:jc w:val="left"/>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2"/>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59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在建工程以立项项目分类核算。</w:t>
      </w:r>
    </w:p>
    <w:p>
      <w:pPr>
        <w:pStyle w:val="Heading3"/>
        <w:spacing w:line="240" w:lineRule="auto" w:before="104"/>
        <w:ind w:right="102"/>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3"/>
        <w:jc w:val="both"/>
      </w:pPr>
      <w:r>
        <w:rPr>
          <w:spacing w:val="-2"/>
        </w:rPr>
        <w:t>在建工程项目按建造该项资产达到预定可使用状态前所发生的全部支出，作为固定资产的入账价值。所建</w:t>
      </w:r>
      <w:r>
        <w:rPr>
          <w:spacing w:val="-43"/>
        </w:rPr>
        <w:t> </w:t>
      </w:r>
      <w:r>
        <w:rPr>
          <w:spacing w:val="-43"/>
        </w:rPr>
      </w:r>
      <w:r>
        <w:rPr/>
        <w:t>造的固定资产在建工程已达到预定可使用状态，但尚未办理竣工决算的，自达到预定可使用状态之日起，</w:t>
      </w:r>
      <w:r>
        <w:rPr>
          <w:w w:val="100"/>
        </w:rPr>
        <w:t> </w:t>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spacing w:line="240" w:lineRule="auto" w:before="5"/>
        <w:rPr>
          <w:rFonts w:ascii="宋体" w:hAnsi="宋体" w:cs="宋体" w:eastAsia="宋体" w:hint="default"/>
          <w:sz w:val="23"/>
          <w:szCs w:val="23"/>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212" w:right="102" w:hanging="60"/>
        <w:jc w:val="left"/>
      </w:pPr>
      <w:r>
        <w:rPr/>
        <w:t>公司在每期末判断在建工程是否存在可能发生减值的迹象。</w:t>
      </w:r>
      <w:r>
        <w:rPr>
          <w:w w:val="100"/>
        </w:rPr>
        <w:t> </w:t>
      </w:r>
      <w:r>
        <w:rPr>
          <w:spacing w:val="-4"/>
        </w:rPr>
        <w:t>在建工程存在减值迹象的，估计其可收回金额。有迹象表明一项在建工程可能发生减值的，企业以单项在</w:t>
      </w:r>
      <w:r>
        <w:rPr>
          <w:spacing w:val="-73"/>
        </w:rPr>
        <w:t> </w:t>
      </w:r>
      <w:r>
        <w:rPr>
          <w:spacing w:val="-73"/>
        </w:rPr>
      </w:r>
      <w:r>
        <w:rPr>
          <w:spacing w:val="-4"/>
        </w:rPr>
        <w:t>建工程为基础估计其可收回金额。企业难以对单项在建工程的可收回金额进行估计的，以该在建工程所属</w:t>
      </w:r>
      <w:r>
        <w:rPr>
          <w:spacing w:val="-74"/>
        </w:rPr>
        <w:t> </w:t>
      </w:r>
      <w:r>
        <w:rPr>
          <w:spacing w:val="-74"/>
        </w:rPr>
      </w:r>
      <w:r>
        <w:rPr/>
        <w:t>的资产组为基础确定资产组的可收回金额。</w:t>
      </w:r>
      <w:r>
        <w:rPr>
          <w:w w:val="100"/>
        </w:rPr>
        <w:t> </w:t>
      </w:r>
      <w:r>
        <w:rPr/>
        <w:t>可收回金额根据在建工程的公允价值减去处置费用后的净额与在建工程预计未来现金流量的现值两者之</w:t>
      </w:r>
      <w:r>
        <w:rPr>
          <w:spacing w:val="-46"/>
        </w:rPr>
        <w:t> </w:t>
      </w:r>
      <w:r>
        <w:rPr>
          <w:spacing w:val="-46"/>
        </w:rPr>
      </w:r>
      <w:r>
        <w:rPr/>
        <w:t>间较高者确定。</w:t>
      </w:r>
      <w:r>
        <w:rPr>
          <w:w w:val="100"/>
        </w:rPr>
        <w:t> </w:t>
      </w:r>
      <w:r>
        <w:rPr>
          <w:spacing w:val="-4"/>
        </w:rPr>
        <w:t>当在建工程的可收回金额低于其账面价值的，将在建工程的账面价值减记至可收回金额，减记的金额确认</w:t>
      </w:r>
      <w:r>
        <w:rPr>
          <w:spacing w:val="-74"/>
        </w:rPr>
        <w:t> </w:t>
      </w:r>
      <w:r>
        <w:rPr>
          <w:spacing w:val="-74"/>
        </w:rPr>
      </w:r>
      <w:r>
        <w:rPr/>
        <w:t>为在建工程减值损失，计入当期损益，同时计提相应的在建工程减值准备。</w:t>
      </w:r>
      <w:r>
        <w:rPr>
          <w:w w:val="100"/>
        </w:rPr>
        <w:t> </w:t>
      </w:r>
      <w:r>
        <w:rPr/>
        <w:t>在建工程的减值损失一经确认，在以后会计期间不再转回。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02"/>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02"/>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4"/>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02"/>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02"/>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4"/>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0" w:top="1060" w:bottom="28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24"/>
          <w:szCs w:val="24"/>
        </w:rPr>
      </w:pPr>
    </w:p>
    <w:p>
      <w:pPr>
        <w:pStyle w:val="BodyText"/>
        <w:spacing w:line="271" w:lineRule="auto"/>
        <w:ind w:left="212" w:right="0" w:hanging="60"/>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4"/>
        </w:rPr>
        <w:t>外购无形资产的成本，包括购买价款、相关税费以及直接归属于使该项资产达到预定用途所发生的其他支</w:t>
      </w:r>
      <w:r>
        <w:rPr>
          <w:spacing w:val="-74"/>
        </w:rPr>
        <w:t> </w:t>
      </w:r>
      <w:r>
        <w:rPr>
          <w:spacing w:val="-74"/>
        </w:rPr>
      </w:r>
      <w:r>
        <w:rPr>
          <w:spacing w:val="-4"/>
        </w:rPr>
        <w:t>出。购买无形资产的价款超过正常信用条件延期支付，实质上具有融资性质的，无形资产的成本以购买价</w:t>
      </w:r>
      <w:r>
        <w:rPr>
          <w:spacing w:val="-73"/>
        </w:rPr>
        <w:t> </w:t>
      </w:r>
      <w:r>
        <w:rPr>
          <w:spacing w:val="-73"/>
        </w:rPr>
      </w:r>
      <w:r>
        <w:rPr/>
        <w:t>款的现值为基础确定。</w:t>
      </w:r>
      <w:r>
        <w:rPr>
          <w:w w:val="100"/>
        </w:rPr>
        <w:t> </w:t>
      </w:r>
      <w:r>
        <w:rPr>
          <w:spacing w:val="-4"/>
        </w:rPr>
        <w:t>债务重组取得债务人用以抵债的无形资产，以该无形资产的公允价值为基础确定其入账价值，并将重组债</w:t>
      </w:r>
      <w:r>
        <w:rPr>
          <w:spacing w:val="-74"/>
        </w:rPr>
        <w:t> </w:t>
      </w:r>
      <w:r>
        <w:rPr>
          <w:spacing w:val="-74"/>
        </w:rPr>
      </w:r>
      <w:r>
        <w:rPr/>
        <w:t>务的账面价值与该用以抵债的无形资产公允价值之间的差额，计入当期损益；</w:t>
      </w:r>
      <w:r>
        <w:rPr>
          <w:w w:val="100"/>
        </w:rPr>
        <w:t> </w:t>
      </w:r>
      <w:r>
        <w:rPr>
          <w:spacing w:val="-4"/>
          <w:w w:val="100"/>
        </w:rPr>
        <w:t>在非货币性资产交换具备商业实质且换入资产或换出资产的公允价值能够可靠计量的前提下，非货币性资</w:t>
      </w:r>
      <w:r>
        <w:rPr>
          <w:w w:val="100"/>
        </w:rPr>
        <w:t> </w:t>
      </w:r>
      <w:r>
        <w:rPr>
          <w:spacing w:val="-4"/>
        </w:rPr>
        <w:t>产交换换入的无形资产以换出资产的公允价值为基础确定其入账价值，除非有确凿证据表明换入资产的公</w:t>
      </w:r>
      <w:r>
        <w:rPr>
          <w:spacing w:val="-74"/>
        </w:rPr>
        <w:t> </w:t>
      </w:r>
      <w:r>
        <w:rPr>
          <w:spacing w:val="-74"/>
        </w:rPr>
      </w:r>
      <w:r>
        <w:rPr>
          <w:spacing w:val="-4"/>
        </w:rPr>
        <w:t>允价值更加可靠；不满足上述前提的非货币性资产交换，以换出资产的账面价值和应支付的相关税费作为</w:t>
      </w:r>
      <w:r>
        <w:rPr>
          <w:spacing w:val="-74"/>
        </w:rPr>
        <w:t> </w:t>
      </w:r>
      <w:r>
        <w:rPr>
          <w:spacing w:val="-74"/>
        </w:rPr>
      </w:r>
      <w:r>
        <w:rPr/>
        <w:t>换入无形资产的成本，不确认损益。</w:t>
      </w:r>
      <w:r>
        <w:rPr>
          <w:w w:val="100"/>
        </w:rPr>
        <w:t> </w:t>
      </w:r>
      <w:r>
        <w:rPr>
          <w:spacing w:val="-4"/>
        </w:rPr>
        <w:t>以同一控制下的企业吸收合并方式取得的无形资产按被合并方的账面价值确定其入账价值；以非同一控制</w:t>
      </w:r>
      <w:r>
        <w:rPr>
          <w:spacing w:val="-74"/>
        </w:rPr>
        <w:t> </w:t>
      </w:r>
      <w:r>
        <w:rPr>
          <w:spacing w:val="-74"/>
        </w:rPr>
      </w:r>
      <w:r>
        <w:rPr/>
        <w:t>下的企业吸收合并方式取得的无形资产按公允价值确定其入账价值。</w:t>
      </w:r>
      <w:r>
        <w:rPr>
          <w:w w:val="100"/>
        </w:rPr>
        <w:t> </w:t>
      </w:r>
      <w:r>
        <w:rPr>
          <w:spacing w:val="-4"/>
        </w:rPr>
        <w:t>内部自行开发的无形资产，其成本包括：开发该无形资产时耗用的材料、劳务成本、注册费、在开发过程</w:t>
      </w:r>
      <w:r>
        <w:rPr>
          <w:spacing w:val="-71"/>
        </w:rPr>
        <w:t> </w:t>
      </w:r>
      <w:r>
        <w:rPr>
          <w:spacing w:val="-71"/>
        </w:rPr>
      </w:r>
      <w:r>
        <w:rPr>
          <w:spacing w:val="-4"/>
        </w:rPr>
        <w:t>中使用的其他专利权和特许权的摊销以及满足资本化条件的利息费用，以及为使该无形资产达到预定用途</w:t>
      </w:r>
      <w:r>
        <w:rPr>
          <w:spacing w:val="-73"/>
        </w:rPr>
        <w:t> </w:t>
      </w:r>
      <w:r>
        <w:rPr>
          <w:spacing w:val="-73"/>
        </w:rPr>
      </w:r>
      <w:r>
        <w:rPr/>
        <w:t>前所发生的其他直接费用。</w:t>
      </w:r>
    </w:p>
    <w:p>
      <w:pPr>
        <w:spacing w:line="240" w:lineRule="auto" w:before="8"/>
        <w:rPr>
          <w:rFonts w:ascii="宋体" w:hAnsi="宋体" w:cs="宋体" w:eastAsia="宋体" w:hint="default"/>
          <w:sz w:val="24"/>
          <w:szCs w:val="24"/>
        </w:rPr>
      </w:pPr>
    </w:p>
    <w:p>
      <w:pPr>
        <w:pStyle w:val="BodyText"/>
        <w:spacing w:line="256" w:lineRule="auto"/>
        <w:ind w:left="212" w:right="5454" w:hanging="60"/>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273" w:lineRule="auto" w:before="22"/>
        <w:ind w:left="212" w:right="0"/>
        <w:jc w:val="left"/>
      </w:pPr>
      <w:r>
        <w:rPr>
          <w:spacing w:val="-4"/>
        </w:rPr>
        <w:t>对于使用寿命有限的无形资产，在为企业带来经济利益的期限内按直线法摊销；无法预见无形资产为企业</w:t>
      </w:r>
      <w:r>
        <w:rPr>
          <w:spacing w:val="-14"/>
        </w:rPr>
        <w:t> </w:t>
      </w:r>
      <w:r>
        <w:rPr>
          <w:spacing w:val="-14"/>
        </w:rPr>
      </w:r>
      <w:r>
        <w:rPr/>
        <w:t>带来经济利益期限的，视为使用寿命不确定的无形资产，不予摊销。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422" w:type="dxa"/>
        <w:tblLayout w:type="fixed"/>
        <w:tblCellMar>
          <w:top w:w="0" w:type="dxa"/>
          <w:left w:w="0" w:type="dxa"/>
          <w:bottom w:w="0" w:type="dxa"/>
          <w:right w:w="0" w:type="dxa"/>
        </w:tblCellMar>
        <w:tblLook w:val="01E0"/>
      </w:tblPr>
      <w:tblGrid>
        <w:gridCol w:w="2991"/>
        <w:gridCol w:w="1875"/>
        <w:gridCol w:w="2223"/>
      </w:tblGrid>
      <w:tr>
        <w:trPr>
          <w:trHeight w:val="353" w:hRule="exact"/>
        </w:trPr>
        <w:tc>
          <w:tcPr>
            <w:tcW w:w="2991" w:type="dxa"/>
            <w:tcBorders>
              <w:top w:val="single" w:sz="6" w:space="0" w:color="000000"/>
              <w:left w:val="single" w:sz="6" w:space="0" w:color="000000"/>
              <w:bottom w:val="single" w:sz="12" w:space="0" w:color="000000"/>
              <w:right w:val="single" w:sz="6"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7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00"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223"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5"/>
                <w:sz w:val="21"/>
                <w:szCs w:val="21"/>
              </w:rPr>
              <w:t> </w:t>
            </w:r>
            <w:r>
              <w:rPr>
                <w:rFonts w:ascii="宋体" w:hAnsi="宋体" w:cs="宋体" w:eastAsia="宋体" w:hint="default"/>
                <w:sz w:val="21"/>
                <w:szCs w:val="21"/>
              </w:rPr>
              <w:t>据</w:t>
            </w:r>
          </w:p>
        </w:tc>
      </w:tr>
      <w:tr>
        <w:trPr>
          <w:trHeight w:val="353" w:hRule="exact"/>
        </w:trPr>
        <w:tc>
          <w:tcPr>
            <w:tcW w:w="299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806" w:right="0"/>
              <w:jc w:val="left"/>
              <w:rPr>
                <w:rFonts w:ascii="宋体" w:hAnsi="宋体" w:cs="宋体" w:eastAsia="宋体" w:hint="default"/>
                <w:sz w:val="21"/>
                <w:szCs w:val="21"/>
              </w:rPr>
            </w:pPr>
            <w:r>
              <w:rPr>
                <w:rFonts w:ascii="宋体" w:hAnsi="宋体" w:cs="宋体" w:eastAsia="宋体" w:hint="default"/>
                <w:sz w:val="21"/>
                <w:szCs w:val="21"/>
              </w:rPr>
              <w:t>按权利期限</w:t>
            </w:r>
          </w:p>
        </w:tc>
        <w:tc>
          <w:tcPr>
            <w:tcW w:w="2223"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945" w:right="0"/>
              <w:jc w:val="left"/>
              <w:rPr>
                <w:rFonts w:ascii="宋体" w:hAnsi="宋体" w:cs="宋体" w:eastAsia="宋体" w:hint="default"/>
                <w:sz w:val="21"/>
                <w:szCs w:val="21"/>
              </w:rPr>
            </w:pPr>
            <w:r>
              <w:rPr>
                <w:rFonts w:ascii="宋体" w:hAnsi="宋体" w:cs="宋体" w:eastAsia="宋体" w:hint="default"/>
                <w:sz w:val="21"/>
                <w:szCs w:val="21"/>
              </w:rPr>
              <w:t>土地权利证书</w:t>
            </w:r>
          </w:p>
        </w:tc>
      </w:tr>
    </w:tbl>
    <w:p>
      <w:pPr>
        <w:pStyle w:val="BodyText"/>
        <w:spacing w:line="273" w:lineRule="auto"/>
        <w:ind w:left="1413" w:right="0"/>
        <w:jc w:val="left"/>
      </w:pPr>
      <w:r>
        <w:rPr/>
        <w:t>每期末，对使用寿命有限的无形资产的使用寿命及摊销方法进行复核。</w:t>
      </w:r>
      <w:r>
        <w:rPr>
          <w:w w:val="100"/>
        </w:rPr>
        <w:t> </w:t>
      </w:r>
      <w:r>
        <w:rPr>
          <w:spacing w:val="-2"/>
        </w:rPr>
        <w:t>经复核，本年期末无形资产的使用寿命及摊销方法与以前估计未有不同。</w:t>
      </w: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after="0" w:line="240" w:lineRule="auto"/>
        <w:jc w:val="center"/>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jc w:val="left"/>
      </w:pPr>
      <w:r>
        <w:rPr/>
        <w:t>内部研究开发项目研究阶段的支出，在发生时计入当期损益。</w:t>
      </w:r>
      <w:r>
        <w:rPr>
          <w:w w:val="100"/>
        </w:rPr>
        <w:t> </w:t>
      </w:r>
      <w:r>
        <w:rPr>
          <w:spacing w:val="-2"/>
        </w:rPr>
        <w:t>内部研究开发项目开发阶段的支出，同时满足下列条件时确认为无形资产：</w:t>
      </w:r>
    </w:p>
    <w:p>
      <w:pPr>
        <w:pStyle w:val="BodyText"/>
        <w:spacing w:line="240" w:lineRule="auto" w:before="7"/>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25"/>
        </w:rPr>
        <w:t> </w:t>
      </w:r>
      <w:r>
        <w:rPr>
          <w:spacing w:val="-25"/>
        </w:rPr>
      </w:r>
      <w:r>
        <w:rPr/>
        <w:t>存在市场，无形资产将在内部使用的，能够证明其有用性；</w:t>
      </w:r>
    </w:p>
    <w:p>
      <w:pPr>
        <w:pStyle w:val="BodyText"/>
        <w:spacing w:line="256" w:lineRule="auto" w:before="22"/>
        <w:ind w:right="145"/>
        <w:jc w:val="left"/>
      </w:pPr>
      <w:r>
        <w:rPr/>
        <w:t>（</w:t>
      </w:r>
      <w:r>
        <w:rPr>
          <w:rFonts w:ascii="Times New Roman" w:hAnsi="Times New Roman" w:cs="Times New Roman" w:eastAsia="Times New Roman" w:hint="default"/>
        </w:rPr>
        <w:t>4</w:t>
      </w:r>
      <w:r>
        <w:rPr/>
        <w:t>）有足够的技术、财务资源和其他资源支持，以完成该无形资产的开发，</w:t>
      </w:r>
      <w:r>
        <w:rPr>
          <w:spacing w:val="-31"/>
        </w:rPr>
        <w:t> </w:t>
      </w:r>
      <w:r>
        <w:rPr/>
        <w:t>并有能力使用或出售该无形</w:t>
      </w:r>
      <w:r>
        <w:rPr>
          <w:w w:val="100"/>
        </w:rPr>
        <w:t> </w:t>
      </w:r>
      <w:r>
        <w:rPr/>
        <w:t>资产；</w:t>
      </w:r>
    </w:p>
    <w:p>
      <w:pPr>
        <w:pStyle w:val="BodyText"/>
        <w:spacing w:line="240" w:lineRule="auto" w:before="22"/>
        <w:ind w:right="0"/>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10"/>
        <w:rPr>
          <w:rFonts w:ascii="宋体" w:hAnsi="宋体" w:cs="宋体" w:eastAsia="宋体" w:hint="default"/>
          <w:sz w:val="24"/>
          <w:szCs w:val="24"/>
        </w:rPr>
      </w:pPr>
    </w:p>
    <w:p>
      <w:pPr>
        <w:spacing w:line="600" w:lineRule="atLeast" w:before="0"/>
        <w:ind w:left="152" w:right="1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长期待摊费用为已经发生但应由本期和以后各期负担的分摊期限在一年以上的各项费用</w:t>
      </w:r>
    </w:p>
    <w:p>
      <w:pPr>
        <w:spacing w:line="256" w:lineRule="auto" w:before="37"/>
        <w:ind w:left="207" w:right="54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、长期待摊费用摊销方法</w:t>
      </w:r>
      <w:r>
        <w:rPr>
          <w:rFonts w:ascii="宋体" w:hAnsi="宋体" w:cs="宋体" w:eastAsia="宋体" w:hint="default"/>
          <w:b/>
          <w:bCs/>
          <w:w w:val="100"/>
          <w:sz w:val="21"/>
          <w:szCs w:val="21"/>
        </w:rPr>
        <w:t> </w:t>
      </w:r>
      <w:r>
        <w:rPr>
          <w:rFonts w:ascii="宋体" w:hAnsi="宋体" w:cs="宋体" w:eastAsia="宋体" w:hint="default"/>
          <w:sz w:val="21"/>
          <w:szCs w:val="21"/>
        </w:rPr>
        <w:t>在受益期内平均摊销。</w:t>
      </w:r>
    </w:p>
    <w:p>
      <w:pPr>
        <w:spacing w:line="240" w:lineRule="auto" w:before="7"/>
        <w:rPr>
          <w:rFonts w:ascii="宋体" w:hAnsi="宋体" w:cs="宋体" w:eastAsia="宋体" w:hint="default"/>
          <w:sz w:val="25"/>
          <w:szCs w:val="25"/>
        </w:rPr>
      </w:pPr>
    </w:p>
    <w:p>
      <w:pPr>
        <w:pStyle w:val="Heading3"/>
        <w:spacing w:line="240" w:lineRule="auto"/>
        <w:ind w:left="207" w:right="0"/>
        <w:jc w:val="left"/>
        <w:rPr>
          <w:b w:val="0"/>
          <w:bCs w:val="0"/>
        </w:rPr>
      </w:pPr>
      <w:r>
        <w:rPr>
          <w:rFonts w:ascii="Times New Roman" w:hAnsi="Times New Roman" w:cs="Times New Roman" w:eastAsia="Times New Roman" w:hint="default"/>
        </w:rPr>
        <w:t>2</w:t>
      </w:r>
      <w:r>
        <w:rPr/>
        <w:t>、长期待摊费用受益期限的确定</w:t>
      </w:r>
      <w:r>
        <w:rPr>
          <w:b w:val="0"/>
          <w:bCs w:val="0"/>
        </w:rPr>
      </w:r>
    </w:p>
    <w:p>
      <w:pPr>
        <w:spacing w:line="240" w:lineRule="auto" w:before="8"/>
        <w:rPr>
          <w:rFonts w:ascii="宋体" w:hAnsi="宋体" w:cs="宋体" w:eastAsia="宋体" w:hint="default"/>
          <w:b/>
          <w:bCs/>
          <w:sz w:val="2"/>
          <w:szCs w:val="2"/>
        </w:rPr>
      </w:pPr>
    </w:p>
    <w:tbl>
      <w:tblPr>
        <w:tblW w:w="0" w:type="auto"/>
        <w:jc w:val="left"/>
        <w:tblInd w:w="1406" w:type="dxa"/>
        <w:tblLayout w:type="fixed"/>
        <w:tblCellMar>
          <w:top w:w="0" w:type="dxa"/>
          <w:left w:w="0" w:type="dxa"/>
          <w:bottom w:w="0" w:type="dxa"/>
          <w:right w:w="0" w:type="dxa"/>
        </w:tblCellMar>
        <w:tblLook w:val="01E0"/>
      </w:tblPr>
      <w:tblGrid>
        <w:gridCol w:w="4021"/>
        <w:gridCol w:w="3085"/>
      </w:tblGrid>
      <w:tr>
        <w:trPr>
          <w:trHeight w:val="353" w:hRule="exact"/>
        </w:trPr>
        <w:tc>
          <w:tcPr>
            <w:tcW w:w="4021" w:type="dxa"/>
            <w:tcBorders>
              <w:top w:val="single" w:sz="6" w:space="0" w:color="000000"/>
              <w:left w:val="single" w:sz="6" w:space="0" w:color="000000"/>
              <w:bottom w:val="single" w:sz="12" w:space="0" w:color="000000"/>
              <w:right w:val="single" w:sz="6" w:space="0" w:color="000000"/>
            </w:tcBorders>
          </w:tcPr>
          <w:p>
            <w:pPr>
              <w:pStyle w:val="TableParagraph"/>
              <w:tabs>
                <w:tab w:pos="598" w:val="left" w:leader="none"/>
              </w:tabs>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85"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受益期限</w:t>
            </w:r>
          </w:p>
        </w:tc>
      </w:tr>
      <w:tr>
        <w:trPr>
          <w:trHeight w:val="353" w:hRule="exact"/>
        </w:trPr>
        <w:tc>
          <w:tcPr>
            <w:tcW w:w="402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租入固定资产的改良支出</w:t>
            </w:r>
          </w:p>
        </w:tc>
        <w:tc>
          <w:tcPr>
            <w:tcW w:w="3085"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2018" w:right="0"/>
              <w:jc w:val="left"/>
              <w:rPr>
                <w:rFonts w:ascii="宋体" w:hAnsi="宋体" w:cs="宋体" w:eastAsia="宋体" w:hint="default"/>
                <w:sz w:val="21"/>
                <w:szCs w:val="21"/>
              </w:rPr>
            </w:pPr>
            <w:r>
              <w:rPr>
                <w:rFonts w:ascii="宋体" w:hAnsi="宋体" w:cs="宋体" w:eastAsia="宋体" w:hint="default"/>
                <w:sz w:val="21"/>
                <w:szCs w:val="21"/>
              </w:rPr>
              <w:t>剩余租赁期</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1"/>
        <w:ind w:right="0"/>
        <w:jc w:val="both"/>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jc w:val="both"/>
      </w:pPr>
      <w:r>
        <w:rPr>
          <w:spacing w:val="-2"/>
        </w:rPr>
        <w:t>软硬件销售收入确认的一般原则是：在销售产品时的主要风险和报酬已转移给买方，不再保留与之相联系</w:t>
      </w:r>
      <w:r>
        <w:rPr>
          <w:spacing w:val="-42"/>
        </w:rPr>
        <w:t> </w:t>
      </w:r>
      <w:r>
        <w:rPr>
          <w:spacing w:val="-42"/>
        </w:rPr>
      </w:r>
      <w:r>
        <w:rPr>
          <w:spacing w:val="-2"/>
        </w:rPr>
        <w:t>的管理权和控制权，在相关的经济利益能够流入公司，收入的金额能够可靠地计量时，相关成本能够可靠</w:t>
      </w:r>
      <w:r>
        <w:rPr>
          <w:spacing w:val="-43"/>
        </w:rPr>
        <w:t> </w:t>
      </w:r>
      <w:r>
        <w:rPr>
          <w:spacing w:val="-43"/>
        </w:rPr>
      </w:r>
      <w:r>
        <w:rPr/>
        <w:t>地计量时确认收入。</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212" w:right="0"/>
        <w:jc w:val="left"/>
      </w:pPr>
      <w:r>
        <w:rPr>
          <w:spacing w:val="-4"/>
        </w:rPr>
        <w:t>与交易相关的经济利益很可能流入企业，收入的金额能够可靠地计量时。分别下列情况确定让渡资产使用</w:t>
      </w:r>
      <w:r>
        <w:rPr>
          <w:spacing w:val="-14"/>
        </w:rPr>
        <w:t> </w:t>
      </w:r>
      <w:r>
        <w:rPr>
          <w:spacing w:val="-14"/>
        </w:rPr>
      </w:r>
      <w:r>
        <w:rPr/>
        <w:t>权收入金额：</w:t>
      </w:r>
    </w:p>
    <w:p>
      <w:pPr>
        <w:pStyle w:val="BodyText"/>
        <w:spacing w:line="240" w:lineRule="auto" w:before="7"/>
        <w:ind w:right="0"/>
        <w:jc w:val="both"/>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56" w:lineRule="auto" w:before="21"/>
        <w:ind w:left="212" w:right="0" w:hanging="60"/>
        <w:jc w:val="left"/>
      </w:pPr>
      <w:r>
        <w:rPr>
          <w:spacing w:val="-2"/>
        </w:rPr>
        <w:t>（</w:t>
      </w:r>
      <w:r>
        <w:rPr>
          <w:rFonts w:ascii="Times New Roman" w:hAnsi="Times New Roman" w:cs="Times New Roman" w:eastAsia="Times New Roman" w:hint="default"/>
          <w:spacing w:val="-2"/>
        </w:rPr>
        <w:t>2</w:t>
      </w:r>
      <w:r>
        <w:rPr>
          <w:spacing w:val="-2"/>
        </w:rPr>
        <w:t>）使用费收入金额，按照有关合同或协议约定的收费时间和方法计算确定。</w:t>
      </w:r>
      <w:r>
        <w:rPr>
          <w:spacing w:val="-42"/>
        </w:rPr>
        <w:t> </w:t>
      </w:r>
      <w:r>
        <w:rPr>
          <w:spacing w:val="-42"/>
        </w:rPr>
      </w:r>
      <w:r>
        <w:rPr/>
        <w:t>其中出租物业收入按以下标准确认：</w:t>
      </w:r>
    </w:p>
    <w:p>
      <w:pPr>
        <w:spacing w:after="0" w:line="256" w:lineRule="auto"/>
        <w:jc w:val="left"/>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212" w:right="102"/>
        <w:jc w:val="left"/>
      </w:pPr>
      <w:r>
        <w:rPr/>
        <w:t>①具有承租人认可的租赁合同、协议或其他结算通知书</w:t>
      </w:r>
    </w:p>
    <w:p>
      <w:pPr>
        <w:pStyle w:val="BodyText"/>
        <w:spacing w:line="240" w:lineRule="auto" w:before="37"/>
        <w:ind w:left="212" w:right="102"/>
        <w:jc w:val="left"/>
      </w:pPr>
      <w:r>
        <w:rPr/>
        <w:t>②履行了合同规定的义务，开具租赁发票且价款已经取得或确信可以取得</w:t>
      </w:r>
    </w:p>
    <w:p>
      <w:pPr>
        <w:pStyle w:val="BodyText"/>
        <w:spacing w:line="240" w:lineRule="auto" w:before="37"/>
        <w:ind w:left="212" w:right="102"/>
        <w:jc w:val="left"/>
      </w:pPr>
      <w:r>
        <w:rPr/>
        <w:t>③出租特定设备成本能够可靠地计量。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left="212" w:right="102"/>
        <w:jc w:val="left"/>
      </w:pPr>
      <w:r>
        <w:rPr>
          <w:spacing w:val="-3"/>
        </w:rPr>
        <w:t>数据中心</w:t>
      </w:r>
      <w:r>
        <w:rPr>
          <w:rFonts w:ascii="Times New Roman" w:hAnsi="Times New Roman" w:cs="Times New Roman" w:eastAsia="Times New Roman" w:hint="default"/>
          <w:spacing w:val="-3"/>
        </w:rPr>
        <w:t>IT</w:t>
      </w:r>
      <w:r>
        <w:rPr>
          <w:spacing w:val="-3"/>
        </w:rPr>
        <w:t>基础设施服务收入确认的一般原则是：根据合同约定提供了相应服务，在相关的经济利益能够</w:t>
      </w:r>
      <w:r>
        <w:rPr>
          <w:spacing w:val="-42"/>
        </w:rPr>
        <w:t> </w:t>
      </w:r>
      <w:r>
        <w:rPr>
          <w:spacing w:val="-42"/>
        </w:rPr>
      </w:r>
      <w:r>
        <w:rPr/>
        <w:t>流入公司，收入的金额能够可靠地计量时，相关成本能够可靠计量时确认收入。</w:t>
      </w:r>
      <w:r>
        <w:rPr>
          <w:w w:val="100"/>
        </w:rPr>
        <w:t> </w:t>
      </w:r>
      <w:r>
        <w:rPr/>
        <w:t>根据合同约定条款的不同，分别按以下原则确认收入：</w:t>
      </w:r>
    </w:p>
    <w:p>
      <w:pPr>
        <w:pStyle w:val="BodyText"/>
        <w:spacing w:line="240" w:lineRule="auto" w:before="16"/>
        <w:ind w:right="102"/>
        <w:jc w:val="left"/>
      </w:pPr>
      <w:r>
        <w:rPr/>
        <w:t>（</w:t>
      </w:r>
      <w:r>
        <w:rPr>
          <w:rFonts w:ascii="Times New Roman" w:hAnsi="Times New Roman" w:cs="Times New Roman" w:eastAsia="Times New Roman" w:hint="default"/>
        </w:rPr>
        <w:t>1</w:t>
      </w:r>
      <w:r>
        <w:rPr/>
        <w:t>）合同明确约定服务期限的，在合同约定的服务期限内按时间进度确认收入。</w:t>
      </w:r>
    </w:p>
    <w:p>
      <w:pPr>
        <w:pStyle w:val="BodyText"/>
        <w:spacing w:line="240" w:lineRule="auto" w:before="21"/>
        <w:ind w:right="102"/>
        <w:jc w:val="left"/>
      </w:pPr>
      <w:r>
        <w:rPr/>
        <w:t>（</w:t>
      </w:r>
      <w:r>
        <w:rPr>
          <w:rFonts w:ascii="Times New Roman" w:hAnsi="Times New Roman" w:cs="Times New Roman" w:eastAsia="Times New Roman" w:hint="default"/>
        </w:rPr>
        <w:t>2</w:t>
      </w:r>
      <w:r>
        <w:rPr/>
        <w:t>）合同明确约定验收条款的，按约定条款验收并确认收入。</w:t>
      </w:r>
    </w:p>
    <w:p>
      <w:pPr>
        <w:pStyle w:val="BodyText"/>
        <w:spacing w:line="268" w:lineRule="auto" w:before="21"/>
        <w:ind w:right="206"/>
        <w:jc w:val="both"/>
      </w:pPr>
      <w:r>
        <w:rPr/>
        <w:t>（</w:t>
      </w:r>
      <w:r>
        <w:rPr>
          <w:rFonts w:ascii="Times New Roman" w:hAnsi="Times New Roman" w:cs="Times New Roman" w:eastAsia="Times New Roman" w:hint="default"/>
        </w:rPr>
        <w:t>3</w:t>
      </w:r>
      <w:r>
        <w:rPr/>
        <w:t>）合同明确约定开发项目进度的确认条款的，期末按照提供定制软件开发收入的合同金额乘以经客户</w:t>
      </w:r>
      <w:r>
        <w:rPr>
          <w:spacing w:val="-25"/>
        </w:rPr>
        <w:t> </w:t>
      </w:r>
      <w:r>
        <w:rPr>
          <w:spacing w:val="-25"/>
        </w:rPr>
      </w:r>
      <w:r>
        <w:rPr>
          <w:spacing w:val="-2"/>
        </w:rPr>
        <w:t>确认的开发项目进度的量化百分比扣除以前会计期间累计已确认提供劳务收入后的金额，确认当期提供定</w:t>
      </w:r>
      <w:r>
        <w:rPr>
          <w:spacing w:val="-43"/>
        </w:rPr>
        <w:t> </w:t>
      </w:r>
      <w:r>
        <w:rPr>
          <w:spacing w:val="-43"/>
        </w:rPr>
      </w:r>
      <w:r>
        <w:rPr>
          <w:spacing w:val="-2"/>
        </w:rPr>
        <w:t>制软件开发收入；同时，按照提供劳务估计总成本乘以经客户确认的开发项目进度的量化百分比扣除以前</w:t>
      </w:r>
      <w:r>
        <w:rPr>
          <w:spacing w:val="-43"/>
        </w:rPr>
        <w:t> </w:t>
      </w:r>
      <w:r>
        <w:rPr>
          <w:spacing w:val="-43"/>
        </w:rPr>
      </w:r>
      <w:r>
        <w:rPr/>
        <w:t>会计期间累计已确认劳务成本后的金额，结转当期劳务成本。</w:t>
      </w:r>
    </w:p>
    <w:p>
      <w:pPr>
        <w:pStyle w:val="BodyText"/>
        <w:spacing w:line="256" w:lineRule="auto" w:before="12"/>
        <w:ind w:right="102"/>
        <w:jc w:val="left"/>
      </w:pPr>
      <w:r>
        <w:rPr>
          <w:spacing w:val="-2"/>
        </w:rPr>
        <w:t>（</w:t>
      </w:r>
      <w:r>
        <w:rPr>
          <w:rFonts w:ascii="Times New Roman" w:hAnsi="Times New Roman" w:cs="Times New Roman" w:eastAsia="Times New Roman" w:hint="default"/>
          <w:spacing w:val="-2"/>
        </w:rPr>
        <w:t>4</w:t>
      </w:r>
      <w:r>
        <w:rPr>
          <w:spacing w:val="-2"/>
        </w:rPr>
        <w:t>）如合同条款约定向客户提供特定设备经营租赁的，在租赁设备时的主要风险和报酬已转移给承租方，</w:t>
      </w:r>
      <w:r>
        <w:rPr>
          <w:spacing w:val="-41"/>
        </w:rPr>
        <w:t> </w:t>
      </w:r>
      <w:r>
        <w:rPr>
          <w:spacing w:val="-41"/>
        </w:rPr>
      </w:r>
      <w:r>
        <w:rPr/>
        <w:t>不再保留与之相联系的管理权和控制权，在租赁期各个期间内按照直线法确认收入实现。</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102"/>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2"/>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02"/>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
        <w:jc w:val="left"/>
      </w:pPr>
      <w:r>
        <w:rPr>
          <w:spacing w:val="-2"/>
        </w:rPr>
        <w:t>政府补助，是本公司从政府无偿取得的货币性资产与非货币性资产。分为与资产相关的政府补助和与收益</w:t>
      </w:r>
      <w:r>
        <w:rPr>
          <w:spacing w:val="-43"/>
        </w:rPr>
        <w:t> </w:t>
      </w:r>
      <w:r>
        <w:rPr>
          <w:spacing w:val="-43"/>
        </w:rPr>
      </w:r>
      <w:r>
        <w:rPr/>
        <w:t>相关的政府补助。</w:t>
      </w: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212" w:right="102"/>
        <w:jc w:val="left"/>
      </w:pPr>
      <w:r>
        <w:rPr>
          <w:spacing w:val="-4"/>
        </w:rPr>
        <w:t>与购建固定资产、无形资产等长期资产相关的政府补助，确认为递延收益，按照所建造或购买的资产使用</w:t>
      </w:r>
      <w:r>
        <w:rPr>
          <w:spacing w:val="-11"/>
        </w:rPr>
        <w:t> </w:t>
      </w:r>
      <w:r>
        <w:rPr>
          <w:spacing w:val="-11"/>
        </w:rPr>
      </w:r>
      <w:r>
        <w:rPr/>
        <w:t>年限分期计入营业外收入；</w:t>
      </w:r>
      <w:r>
        <w:rPr>
          <w:w w:val="100"/>
        </w:rPr>
        <w:t> </w:t>
      </w:r>
      <w:r>
        <w:rPr>
          <w:spacing w:val="-4"/>
        </w:rPr>
        <w:t>与收益相关的政府补助，用于补偿企业以后期间的相关费用或损失的，取得时确认为递延收益，在确认相</w:t>
      </w:r>
      <w:r>
        <w:rPr>
          <w:spacing w:val="-15"/>
        </w:rPr>
        <w:t> </w:t>
      </w:r>
      <w:r>
        <w:rPr>
          <w:spacing w:val="-15"/>
        </w:rPr>
      </w:r>
      <w:r>
        <w:rPr>
          <w:spacing w:val="-4"/>
        </w:rPr>
        <w:t>关费用的期间计入当期营业外收入；用于补偿企业已发生的相关费用或损失的，取得时直接计入当期营业</w:t>
      </w:r>
      <w:r>
        <w:rPr>
          <w:spacing w:val="-14"/>
        </w:rPr>
        <w:t> </w:t>
      </w:r>
      <w:r>
        <w:rPr>
          <w:spacing w:val="-14"/>
        </w:rPr>
      </w:r>
      <w:r>
        <w:rPr/>
        <w:t>外收入。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02"/>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公司以很可能取得用来抵扣可抵扣暂时性差异的应纳税所得额为限，确认由可抵扣暂时性差异产生的递延</w:t>
      </w:r>
    </w:p>
    <w:p>
      <w:pPr>
        <w:spacing w:after="0" w:line="506" w:lineRule="auto"/>
        <w:jc w:val="left"/>
        <w:rPr>
          <w:rFonts w:ascii="宋体" w:hAnsi="宋体" w:cs="宋体" w:eastAsia="宋体" w:hint="default"/>
          <w:sz w:val="21"/>
          <w:szCs w:val="21"/>
        </w:rPr>
        <w:sectPr>
          <w:pgSz w:w="11910" w:h="16840"/>
          <w:pgMar w:header="745" w:footer="0" w:top="1060" w:bottom="28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所得税资产。</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公司将当期与以前期间应交未交的应纳税暂时性差异确认为递延所得税负债。但不包括商誉、非企业合并</w:t>
      </w:r>
      <w:r>
        <w:rPr>
          <w:spacing w:val="-43"/>
        </w:rPr>
        <w:t> </w:t>
      </w:r>
      <w:r>
        <w:rPr>
          <w:spacing w:val="-43"/>
        </w:rPr>
      </w:r>
      <w:r>
        <w:rPr/>
        <w:t>形成的交易且该交易发生时既不影响会计利润也不影响应纳税所得额所形成的暂时性差异。</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left="212" w:right="0" w:hanging="8"/>
        <w:jc w:val="left"/>
      </w:pPr>
      <w:r>
        <w:rPr>
          <w:rFonts w:ascii="Times New Roman" w:hAnsi="Times New Roman" w:cs="Times New Roman" w:eastAsia="Times New Roman" w:hint="default"/>
          <w:b/>
          <w:bCs/>
        </w:rPr>
        <w:t>1</w:t>
      </w:r>
      <w:r>
        <w:rPr>
          <w:rFonts w:ascii="宋体" w:hAnsi="宋体" w:cs="宋体" w:eastAsia="宋体" w:hint="default"/>
          <w:b/>
          <w:bCs/>
        </w:rPr>
        <w:t>、经营性租入</w:t>
      </w:r>
      <w:r>
        <w:rPr>
          <w:rFonts w:ascii="宋体" w:hAnsi="宋体" w:cs="宋体" w:eastAsia="宋体" w:hint="default"/>
          <w:b/>
          <w:bCs/>
          <w:spacing w:val="-103"/>
        </w:rPr>
        <w:t> </w:t>
      </w:r>
      <w:r>
        <w:rPr>
          <w:spacing w:val="-4"/>
        </w:rPr>
        <w:t>公司租入资产所支付的租赁费，在不扣除免租期的整个租赁期内，按直线法进行分摊，计入当期费用。公</w:t>
      </w:r>
      <w:r>
        <w:rPr>
          <w:spacing w:val="-22"/>
        </w:rPr>
        <w:t> </w:t>
      </w:r>
      <w:r>
        <w:rPr>
          <w:spacing w:val="-22"/>
        </w:rPr>
      </w:r>
      <w:r>
        <w:rPr/>
        <w:t>司支付的与租赁交易相关的初始直接费用，计入当期费用。</w:t>
      </w:r>
      <w:r>
        <w:rPr>
          <w:w w:val="100"/>
        </w:rPr>
        <w:t> </w:t>
      </w:r>
      <w:r>
        <w:rPr>
          <w:spacing w:val="-4"/>
        </w:rPr>
        <w:t>资产出租方承担了应由公司承担的与租赁相关的费用时，公司将该部分费用从租赁总额中扣除，按扣除后</w:t>
      </w:r>
      <w:r>
        <w:rPr>
          <w:spacing w:val="-22"/>
        </w:rPr>
        <w:t> </w:t>
      </w:r>
      <w:r>
        <w:rPr>
          <w:spacing w:val="-22"/>
        </w:rPr>
      </w:r>
      <w:r>
        <w:rPr/>
        <w:t>的租租赁费在租赁期内分摊，计入当期费用。</w:t>
      </w:r>
    </w:p>
    <w:p>
      <w:pPr>
        <w:pStyle w:val="BodyText"/>
        <w:spacing w:line="268" w:lineRule="auto" w:before="12"/>
        <w:ind w:left="212" w:right="0" w:hanging="8"/>
        <w:jc w:val="left"/>
      </w:pPr>
      <w:r>
        <w:rPr>
          <w:rFonts w:ascii="Times New Roman" w:hAnsi="Times New Roman" w:cs="Times New Roman" w:eastAsia="Times New Roman" w:hint="default"/>
          <w:b/>
          <w:bCs/>
        </w:rPr>
        <w:t>2</w:t>
      </w:r>
      <w:r>
        <w:rPr>
          <w:rFonts w:ascii="宋体" w:hAnsi="宋体" w:cs="宋体" w:eastAsia="宋体" w:hint="default"/>
          <w:b/>
          <w:bCs/>
        </w:rPr>
        <w:t>、经营性租出</w:t>
      </w:r>
      <w:r>
        <w:rPr>
          <w:rFonts w:ascii="宋体" w:hAnsi="宋体" w:cs="宋体" w:eastAsia="宋体" w:hint="default"/>
          <w:b/>
          <w:bCs/>
          <w:spacing w:val="-103"/>
        </w:rPr>
        <w:t> </w:t>
      </w:r>
      <w:r>
        <w:rPr>
          <w:spacing w:val="-2"/>
        </w:rPr>
        <w:t>公司出租资产所收取的租赁费，在不扣除免租期的整个租赁期内，按直线法进行分摊，确认为租赁收入。</w:t>
      </w:r>
      <w:r>
        <w:rPr>
          <w:spacing w:val="-29"/>
        </w:rPr>
        <w:t> </w:t>
      </w:r>
      <w:r>
        <w:rPr>
          <w:spacing w:val="-29"/>
        </w:rPr>
      </w:r>
      <w:r>
        <w:rPr>
          <w:spacing w:val="-4"/>
        </w:rPr>
        <w:t>公司支付的与租赁交易相关的初始直接费用，计入当期费用；如金额较大的，则予以资本化，在整个租赁</w:t>
      </w:r>
      <w:r>
        <w:rPr>
          <w:spacing w:val="-22"/>
        </w:rPr>
        <w:t> </w:t>
      </w:r>
      <w:r>
        <w:rPr>
          <w:spacing w:val="-22"/>
        </w:rPr>
      </w:r>
      <w:r>
        <w:rPr/>
        <w:t>期间内按照与租赁收入确认相同的基础分期计入当期收益。</w:t>
      </w:r>
      <w:r>
        <w:rPr>
          <w:w w:val="100"/>
        </w:rPr>
        <w:t> </w:t>
      </w:r>
      <w:r>
        <w:rPr>
          <w:spacing w:val="-4"/>
        </w:rPr>
        <w:t>公司承担了应由承租方承担的与租赁相关的费用时，公司将该部分费用从租赁收入总额中扣除，按扣除后</w:t>
      </w:r>
      <w:r>
        <w:rPr>
          <w:spacing w:val="-22"/>
        </w:rPr>
        <w:t> </w:t>
      </w:r>
      <w:r>
        <w:rPr>
          <w:spacing w:val="-22"/>
        </w:rPr>
      </w:r>
      <w:r>
        <w:rPr/>
        <w:t>的租赁收入在租赁期内分配。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0" w:top="1060" w:bottom="2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line="338" w:lineRule="auto" w:before="117"/>
        <w:ind w:left="152" w:right="88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无</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line="338" w:lineRule="auto" w:before="118"/>
        <w:ind w:left="152" w:right="88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无</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line="340" w:lineRule="auto" w:before="115"/>
        <w:ind w:left="152" w:right="88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40" w:lineRule="auto" w:before="115"/>
        <w:ind w:left="152" w:right="88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before="0"/>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9"/>
              <w:jc w:val="left"/>
              <w:rPr>
                <w:rFonts w:ascii="宋体" w:hAnsi="宋体" w:cs="宋体" w:eastAsia="宋体" w:hint="default"/>
                <w:sz w:val="18"/>
                <w:szCs w:val="18"/>
              </w:rPr>
            </w:pPr>
            <w:r>
              <w:rPr>
                <w:rFonts w:ascii="宋体" w:hAnsi="宋体" w:cs="宋体" w:eastAsia="宋体" w:hint="default"/>
                <w:sz w:val="18"/>
                <w:szCs w:val="18"/>
              </w:rPr>
              <w:t>软硬件销售及数据中心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基础设施服 务等</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基础设施服务等</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pStyle w:val="BodyText"/>
        <w:spacing w:line="256" w:lineRule="auto" w:before="96"/>
        <w:ind w:right="146"/>
        <w:jc w:val="both"/>
      </w:pPr>
      <w:r>
        <w:rPr>
          <w:spacing w:val="-2"/>
        </w:rPr>
        <w:t>根据《交通运输业和部分现代服务业营业税改征增值税试点实施办法》，自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日起，实行营业税</w:t>
      </w:r>
      <w:r>
        <w:rPr>
          <w:spacing w:val="-42"/>
        </w:rPr>
        <w:t> </w:t>
      </w:r>
      <w:r>
        <w:rPr>
          <w:spacing w:val="-42"/>
        </w:rPr>
      </w:r>
      <w:r>
        <w:rPr/>
        <w:t>改征增值税试点地区的公司及分公司提供现代服务业劳务缴纳增值税，不再缴纳营业税。</w:t>
      </w:r>
    </w:p>
    <w:p>
      <w:pPr>
        <w:spacing w:line="240" w:lineRule="auto" w:before="7"/>
        <w:rPr>
          <w:rFonts w:ascii="宋体" w:hAnsi="宋体" w:cs="宋体" w:eastAsia="宋体" w:hint="default"/>
          <w:sz w:val="25"/>
          <w:szCs w:val="25"/>
        </w:rPr>
      </w:pPr>
    </w:p>
    <w:p>
      <w:pPr>
        <w:pStyle w:val="BodyText"/>
        <w:spacing w:line="273" w:lineRule="auto"/>
        <w:ind w:right="146"/>
        <w:jc w:val="both"/>
      </w:pPr>
      <w:r>
        <w:rPr>
          <w:spacing w:val="-2"/>
        </w:rPr>
        <w:t>本年度，公司子公司极品数据系统公司注册于美国华盛顿州，缴纳的销售税是根据年度销售总额扣除海外</w:t>
      </w:r>
      <w:r>
        <w:rPr>
          <w:spacing w:val="-43"/>
        </w:rPr>
        <w:t> </w:t>
      </w:r>
      <w:r>
        <w:rPr>
          <w:spacing w:val="-43"/>
        </w:rPr>
      </w:r>
      <w:r>
        <w:rPr/>
        <w:t>及外州出口交易的销售额后乘以</w:t>
      </w:r>
      <w:r>
        <w:rPr>
          <w:rFonts w:ascii="Times New Roman" w:hAnsi="Times New Roman" w:cs="Times New Roman" w:eastAsia="Times New Roman" w:hint="default"/>
        </w:rPr>
        <w:t>0.484%</w:t>
      </w:r>
      <w:r>
        <w:rPr/>
        <w:t>销售税率计算征收。</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146"/>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2008</w:t>
      </w:r>
      <w:r>
        <w:rPr/>
        <w:t>年认定为高新技术企业，有效期为三年。</w:t>
      </w:r>
      <w:r>
        <w:rPr>
          <w:rFonts w:ascii="Times New Roman" w:hAnsi="Times New Roman" w:cs="Times New Roman" w:eastAsia="Times New Roman" w:hint="default"/>
        </w:rPr>
        <w:t>2011</w:t>
      </w:r>
      <w:r>
        <w:rPr/>
        <w:t>年，经公司继续申请，于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日取</w:t>
      </w:r>
      <w:r>
        <w:rPr>
          <w:spacing w:val="-25"/>
        </w:rPr>
        <w:t> </w:t>
      </w:r>
      <w:r>
        <w:rPr>
          <w:spacing w:val="-2"/>
        </w:rPr>
        <w:t>得上海市科学技术委员会、上海市财政局、上海市国家税务局、上海市地方税务局联合颁发的《高新技术</w:t>
      </w:r>
      <w:r>
        <w:rPr>
          <w:spacing w:val="-47"/>
        </w:rPr>
        <w:t> </w:t>
      </w:r>
      <w:r>
        <w:rPr>
          <w:spacing w:val="-47"/>
        </w:rPr>
      </w:r>
      <w:r>
        <w:rPr>
          <w:spacing w:val="-7"/>
        </w:rPr>
        <w:t>企业证书》（证书编号：</w:t>
      </w:r>
      <w:r>
        <w:rPr>
          <w:rFonts w:ascii="Times New Roman" w:hAnsi="Times New Roman" w:cs="Times New Roman" w:eastAsia="Times New Roman" w:hint="default"/>
          <w:spacing w:val="-7"/>
        </w:rPr>
        <w:t>GF201131001371</w:t>
      </w:r>
      <w:r>
        <w:rPr>
          <w:spacing w:val="-7"/>
        </w:rPr>
        <w:t>），有效期为三年。根据《中华人民共和国企业所得税法》和《中</w:t>
      </w:r>
      <w:r>
        <w:rPr>
          <w:spacing w:val="-32"/>
        </w:rPr>
        <w:t> </w:t>
      </w:r>
      <w:r>
        <w:rPr>
          <w:spacing w:val="-32"/>
        </w:rPr>
      </w:r>
      <w:r>
        <w:rPr>
          <w:spacing w:val="-2"/>
        </w:rPr>
        <w:t>华人民共和国企业所得税法实施条例》的相关规定，公司于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日取得了上海市青浦区国家税务局</w:t>
      </w:r>
      <w:r>
        <w:rPr>
          <w:spacing w:val="-38"/>
        </w:rPr>
        <w:t> </w:t>
      </w:r>
      <w:r>
        <w:rPr>
          <w:spacing w:val="-38"/>
        </w:rPr>
      </w:r>
      <w:r>
        <w:rPr/>
        <w:t>编号青税高新十三（</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001</w:t>
      </w:r>
      <w:r>
        <w:rPr/>
        <w:t>号《企业所得税优惠事先备案结果通知书》，同意公司自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spacing w:val="-27"/>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税率征收。</w:t>
      </w:r>
      <w:r>
        <w:rPr>
          <w:rFonts w:ascii="Times New Roman" w:hAnsi="Times New Roman" w:cs="Times New Roman" w:eastAsia="Times New Roman" w:hint="default"/>
        </w:rPr>
        <w:t>2012</w:t>
      </w:r>
      <w:r>
        <w:rPr/>
        <w:t>年度，公司执行的企业所得税税率为</w:t>
      </w:r>
      <w:r>
        <w:rPr>
          <w:rFonts w:ascii="Times New Roman" w:hAnsi="Times New Roman" w:cs="Times New Roman" w:eastAsia="Times New Roman" w:hint="default"/>
        </w:rPr>
        <w:t>15%</w:t>
      </w:r>
      <w:r>
        <w:rPr/>
        <w:t>。</w:t>
      </w:r>
    </w:p>
    <w:p>
      <w:pPr>
        <w:spacing w:line="240" w:lineRule="auto" w:before="11"/>
        <w:rPr>
          <w:rFonts w:ascii="宋体" w:hAnsi="宋体" w:cs="宋体" w:eastAsia="宋体" w:hint="default"/>
          <w:sz w:val="23"/>
          <w:szCs w:val="23"/>
        </w:rPr>
      </w:pPr>
    </w:p>
    <w:p>
      <w:pPr>
        <w:pStyle w:val="BodyText"/>
        <w:spacing w:line="256" w:lineRule="auto"/>
        <w:ind w:right="146"/>
        <w:jc w:val="both"/>
      </w:pPr>
      <w:r>
        <w:rPr>
          <w:rFonts w:ascii="Times New Roman" w:hAnsi="Times New Roman" w:cs="Times New Roman" w:eastAsia="Times New Roman" w:hint="default"/>
        </w:rPr>
        <w:t>2</w:t>
      </w:r>
      <w:r>
        <w:rPr/>
        <w:t>、公司子公司上海天玑信息技术服务有限公司，根据《财政部国家税务总局关于企业所得税若干优惠政</w:t>
      </w:r>
      <w:r>
        <w:rPr>
          <w:spacing w:val="-25"/>
        </w:rPr>
        <w:t> </w:t>
      </w:r>
      <w:r>
        <w:rPr>
          <w:spacing w:val="-25"/>
        </w:rPr>
      </w:r>
      <w:r>
        <w:rPr>
          <w:spacing w:val="-3"/>
        </w:rPr>
        <w:t>策的通知》（财税</w:t>
      </w:r>
      <w:r>
        <w:rPr>
          <w:rFonts w:ascii="Times New Roman" w:hAnsi="Times New Roman" w:cs="Times New Roman" w:eastAsia="Times New Roman" w:hint="default"/>
          <w:spacing w:val="-3"/>
        </w:rPr>
        <w:t>[2008]1</w:t>
      </w:r>
      <w:r>
        <w:rPr>
          <w:spacing w:val="-3"/>
        </w:rPr>
        <w:t>号）、《国家发改委、工信部、海关总署、国家税务总局关于发布</w:t>
      </w:r>
      <w:r>
        <w:rPr>
          <w:rFonts w:ascii="Times New Roman" w:hAnsi="Times New Roman" w:cs="Times New Roman" w:eastAsia="Times New Roman" w:hint="default"/>
          <w:spacing w:val="-3"/>
        </w:rPr>
        <w:t>2008</w:t>
      </w:r>
      <w:r>
        <w:rPr>
          <w:spacing w:val="-3"/>
        </w:rPr>
        <w:t>年国家鼓</w:t>
      </w:r>
      <w:r>
        <w:rPr>
          <w:spacing w:val="-14"/>
        </w:rPr>
        <w:t> </w:t>
      </w:r>
      <w:r>
        <w:rPr>
          <w:spacing w:val="-14"/>
        </w:rPr>
      </w:r>
      <w:r>
        <w:rPr>
          <w:spacing w:val="-2"/>
        </w:rPr>
        <w:t>励的集成电路企业名单的通知》的相关规定，经青浦区国家税务局审批同意免征所述公司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spacing w:val="-38"/>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日期间的企业所得税，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日期间企业所得税减半按</w:t>
      </w:r>
      <w:r>
        <w:rPr>
          <w:rFonts w:ascii="Times New Roman" w:hAnsi="Times New Roman" w:cs="Times New Roman" w:eastAsia="Times New Roman" w:hint="default"/>
        </w:rPr>
        <w:t>12.5%</w:t>
      </w:r>
      <w:r>
        <w:rPr/>
        <w:t>税率征</w:t>
      </w:r>
      <w:r>
        <w:rPr>
          <w:spacing w:val="-48"/>
        </w:rPr>
        <w:t> </w:t>
      </w:r>
      <w:r>
        <w:rPr/>
        <w:t>收。</w:t>
      </w:r>
    </w:p>
    <w:p>
      <w:pPr>
        <w:spacing w:line="240" w:lineRule="auto" w:before="7"/>
        <w:rPr>
          <w:rFonts w:ascii="宋体" w:hAnsi="宋体" w:cs="宋体" w:eastAsia="宋体" w:hint="default"/>
          <w:sz w:val="25"/>
          <w:szCs w:val="25"/>
        </w:rPr>
      </w:pPr>
    </w:p>
    <w:p>
      <w:pPr>
        <w:pStyle w:val="BodyText"/>
        <w:spacing w:line="259" w:lineRule="auto"/>
        <w:ind w:right="148"/>
        <w:jc w:val="both"/>
      </w:pPr>
      <w:r>
        <w:rPr>
          <w:rFonts w:ascii="Times New Roman" w:hAnsi="Times New Roman" w:cs="Times New Roman" w:eastAsia="Times New Roman" w:hint="default"/>
          <w:spacing w:val="-2"/>
        </w:rPr>
        <w:t>3</w:t>
      </w:r>
      <w:r>
        <w:rPr>
          <w:spacing w:val="-2"/>
        </w:rPr>
        <w:t>、公司子公司上海复深蓝信息技术有限公司经申请，于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日取得上海市科学技术委员会、上海</w:t>
      </w:r>
      <w:r>
        <w:rPr>
          <w:spacing w:val="-40"/>
        </w:rPr>
        <w:t> </w:t>
      </w:r>
      <w:r>
        <w:rPr>
          <w:spacing w:val="-40"/>
        </w:rPr>
      </w:r>
      <w:r>
        <w:rPr>
          <w:spacing w:val="11"/>
        </w:rPr>
        <w:t>市财政局、上海市国家税务局、上海市地方税务局联合颁发的《高新技术企业证书》（证书编号：</w:t>
      </w:r>
      <w:r>
        <w:rPr>
          <w:spacing w:val="1"/>
        </w:rPr>
        <w:t> </w:t>
      </w:r>
      <w:r>
        <w:rPr>
          <w:spacing w:val="1"/>
        </w:rPr>
      </w:r>
      <w:r>
        <w:rPr>
          <w:rFonts w:ascii="Times New Roman" w:hAnsi="Times New Roman" w:cs="Times New Roman" w:eastAsia="Times New Roman" w:hint="default"/>
          <w:spacing w:val="-3"/>
        </w:rPr>
        <w:t>GF201231000086</w:t>
      </w:r>
      <w:r>
        <w:rPr>
          <w:spacing w:val="-3"/>
        </w:rPr>
        <w:t>），有效期为三年。根据《中华人民共和国企业所得税法》和《中华人民共和国企业所得</w:t>
      </w:r>
      <w:r>
        <w:rPr>
          <w:spacing w:val="-37"/>
        </w:rPr>
        <w:t> </w:t>
      </w:r>
      <w:r>
        <w:rPr>
          <w:spacing w:val="-37"/>
        </w:rPr>
      </w:r>
      <w:r>
        <w:rPr/>
        <w:t>税法实施条例》的相关规定，公司于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日取得了上海市徐汇区国家税务局及上海市地方税务局</w:t>
      </w:r>
      <w:r>
        <w:rPr>
          <w:spacing w:val="-26"/>
        </w:rPr>
        <w:t> </w:t>
      </w:r>
      <w:r>
        <w:rPr>
          <w:spacing w:val="-26"/>
        </w:rPr>
      </w:r>
      <w:r>
        <w:rPr>
          <w:spacing w:val="-6"/>
        </w:rPr>
        <w:t>徐汇区分局编号：</w:t>
      </w:r>
      <w:r>
        <w:rPr>
          <w:rFonts w:ascii="Times New Roman" w:hAnsi="Times New Roman" w:cs="Times New Roman" w:eastAsia="Times New Roman" w:hint="default"/>
          <w:spacing w:val="-6"/>
        </w:rPr>
        <w:t>310104046004322</w:t>
      </w:r>
      <w:r>
        <w:rPr>
          <w:spacing w:val="-6"/>
        </w:rPr>
        <w:t>《企业所得税优惠事先备案结果通知书》和沪国税徐所（</w:t>
      </w:r>
      <w:r>
        <w:rPr>
          <w:rFonts w:ascii="Times New Roman" w:hAnsi="Times New Roman" w:cs="Times New Roman" w:eastAsia="Times New Roman" w:hint="default"/>
          <w:spacing w:val="-6"/>
        </w:rPr>
        <w:t>2013</w:t>
      </w:r>
      <w:r>
        <w:rPr>
          <w:spacing w:val="-6"/>
        </w:rPr>
        <w:t>）</w:t>
      </w:r>
      <w:r>
        <w:rPr>
          <w:rFonts w:ascii="Times New Roman" w:hAnsi="Times New Roman" w:cs="Times New Roman" w:eastAsia="Times New Roman" w:hint="default"/>
          <w:spacing w:val="-6"/>
        </w:rPr>
        <w:t>8</w:t>
      </w:r>
      <w:r>
        <w:rPr>
          <w:spacing w:val="-6"/>
        </w:rPr>
        <w:t>号《告</w:t>
      </w:r>
      <w:r>
        <w:rPr>
          <w:spacing w:val="-10"/>
        </w:rPr>
        <w:t> </w:t>
      </w:r>
      <w:r>
        <w:rPr>
          <w:spacing w:val="-10"/>
        </w:rPr>
      </w:r>
      <w:r>
        <w:rPr>
          <w:spacing w:val="-1"/>
        </w:rPr>
        <w:t>知书》，同意公司自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日期间企业所得税减按</w:t>
      </w:r>
      <w:r>
        <w:rPr>
          <w:rFonts w:ascii="Times New Roman" w:hAnsi="Times New Roman" w:cs="Times New Roman" w:eastAsia="Times New Roman" w:hint="default"/>
          <w:spacing w:val="-1"/>
        </w:rPr>
        <w:t>15%</w:t>
      </w:r>
      <w:r>
        <w:rPr>
          <w:spacing w:val="-1"/>
        </w:rPr>
        <w:t>税率征收。</w:t>
      </w:r>
      <w:r>
        <w:rPr>
          <w:rFonts w:ascii="Times New Roman" w:hAnsi="Times New Roman" w:cs="Times New Roman" w:eastAsia="Times New Roman" w:hint="default"/>
          <w:spacing w:val="-1"/>
        </w:rPr>
        <w:t>2012</w:t>
      </w:r>
      <w:r>
        <w:rPr>
          <w:spacing w:val="-1"/>
        </w:rPr>
        <w:t>年度，公司</w:t>
      </w:r>
      <w:r>
        <w:rPr>
          <w:spacing w:val="-45"/>
        </w:rPr>
        <w:t> </w:t>
      </w:r>
      <w:r>
        <w:rPr>
          <w:spacing w:val="-45"/>
        </w:rPr>
      </w:r>
      <w:r>
        <w:rPr/>
        <w:t>执行的企业所得税税率为</w:t>
      </w:r>
      <w:r>
        <w:rPr>
          <w:rFonts w:ascii="Times New Roman" w:hAnsi="Times New Roman" w:cs="Times New Roman" w:eastAsia="Times New Roman" w:hint="default"/>
        </w:rPr>
        <w:t>15%</w:t>
      </w:r>
      <w:r>
        <w:rPr/>
        <w:t>。</w:t>
      </w:r>
    </w:p>
    <w:p>
      <w:pPr>
        <w:spacing w:after="0" w:line="259" w:lineRule="auto"/>
        <w:jc w:val="both"/>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BodyText"/>
        <w:spacing w:line="256" w:lineRule="auto" w:before="36"/>
        <w:ind w:right="0"/>
        <w:jc w:val="left"/>
      </w:pPr>
      <w:r>
        <w:rPr>
          <w:rFonts w:ascii="Times New Roman" w:hAnsi="Times New Roman" w:cs="Times New Roman" w:eastAsia="Times New Roman" w:hint="default"/>
          <w:spacing w:val="-4"/>
        </w:rPr>
        <w:t>4</w:t>
      </w:r>
      <w:r>
        <w:rPr>
          <w:spacing w:val="-4"/>
        </w:rPr>
        <w:t>、公司子公司极品数据系统公司注册于美国华盛顿州，缴纳的联邦所得税税率为</w:t>
      </w:r>
      <w:r>
        <w:rPr>
          <w:rFonts w:ascii="Times New Roman" w:hAnsi="Times New Roman" w:cs="Times New Roman" w:eastAsia="Times New Roman" w:hint="default"/>
          <w:spacing w:val="-4"/>
        </w:rPr>
        <w:t>15%</w:t>
      </w:r>
      <w:r>
        <w:rPr>
          <w:spacing w:val="-4"/>
        </w:rPr>
        <w:t>，缴纳的联邦所得税</w:t>
      </w:r>
      <w:r>
        <w:rPr>
          <w:spacing w:val="-18"/>
        </w:rPr>
        <w:t> </w:t>
      </w:r>
      <w:r>
        <w:rPr>
          <w:spacing w:val="-18"/>
        </w:rPr>
      </w:r>
      <w:r>
        <w:rPr/>
        <w:t>是根据全年度总收入减去可扣除的支出后的应纳税年度的净所得额以及规定税率计算征收。</w:t>
      </w:r>
    </w:p>
    <w:p>
      <w:pPr>
        <w:spacing w:line="240" w:lineRule="auto" w:before="7"/>
        <w:rPr>
          <w:rFonts w:ascii="宋体" w:hAnsi="宋体" w:cs="宋体" w:eastAsia="宋体" w:hint="default"/>
          <w:sz w:val="25"/>
          <w:szCs w:val="25"/>
        </w:rPr>
      </w:pPr>
    </w:p>
    <w:p>
      <w:pPr>
        <w:pStyle w:val="BodyText"/>
        <w:spacing w:line="264" w:lineRule="auto"/>
        <w:ind w:right="150"/>
        <w:jc w:val="both"/>
      </w:pPr>
      <w:r>
        <w:rPr>
          <w:rFonts w:ascii="Times New Roman" w:hAnsi="Times New Roman" w:cs="Times New Roman" w:eastAsia="Times New Roman" w:hint="default"/>
          <w:spacing w:val="-3"/>
        </w:rPr>
        <w:t>5</w:t>
      </w:r>
      <w:r>
        <w:rPr>
          <w:spacing w:val="-3"/>
        </w:rPr>
        <w:t>、公司子公司极品数据系统（香港）有限公司注册于中国香港，缴纳的利得税税率为</w:t>
      </w:r>
      <w:r>
        <w:rPr>
          <w:rFonts w:ascii="Times New Roman" w:hAnsi="Times New Roman" w:cs="Times New Roman" w:eastAsia="Times New Roman" w:hint="default"/>
          <w:spacing w:val="-3"/>
        </w:rPr>
        <w:t>16.5%</w:t>
      </w:r>
      <w:r>
        <w:rPr>
          <w:spacing w:val="-3"/>
        </w:rPr>
        <w:t>，缴纳的利得</w:t>
      </w:r>
      <w:r>
        <w:rPr>
          <w:spacing w:val="-13"/>
        </w:rPr>
        <w:t> </w:t>
      </w:r>
      <w:r>
        <w:rPr>
          <w:spacing w:val="-13"/>
        </w:rPr>
      </w:r>
      <w:r>
        <w:rPr>
          <w:spacing w:val="2"/>
        </w:rPr>
        <w:t>税是根据全年度企业在香港境内经营活动中产生的收入减去可扣减的支出所得的净额以及规定税率计算</w:t>
      </w:r>
      <w:r>
        <w:rPr>
          <w:spacing w:val="-30"/>
        </w:rPr>
        <w:t> </w:t>
      </w:r>
      <w:r>
        <w:rPr>
          <w:spacing w:val="-30"/>
        </w:rPr>
      </w:r>
      <w:r>
        <w:rPr/>
        <w:t>征收。</w:t>
      </w:r>
    </w:p>
    <w:p>
      <w:pPr>
        <w:spacing w:line="240" w:lineRule="auto" w:before="1"/>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6</w:t>
      </w:r>
      <w:r>
        <w:rPr/>
        <w:t>、合并范围内除上述公司以外其他控股子公司</w:t>
      </w:r>
      <w:r>
        <w:rPr>
          <w:rFonts w:ascii="Times New Roman" w:hAnsi="Times New Roman" w:cs="Times New Roman" w:eastAsia="Times New Roman" w:hint="default"/>
        </w:rPr>
        <w:t>2012</w:t>
      </w:r>
      <w:r>
        <w:rPr/>
        <w:t>年度执行的企业所得税率为</w:t>
      </w:r>
      <w:r>
        <w:rPr>
          <w:rFonts w:ascii="Times New Roman" w:hAnsi="Times New Roman" w:cs="Times New Roman" w:eastAsia="Times New Roman" w:hint="default"/>
        </w:rPr>
        <w:t>25%</w:t>
      </w:r>
      <w:r>
        <w:rPr/>
        <w:t>。</w:t>
      </w:r>
    </w:p>
    <w:p>
      <w:pPr>
        <w:spacing w:line="240" w:lineRule="auto" w:before="7"/>
        <w:rPr>
          <w:rFonts w:ascii="宋体" w:hAnsi="宋体" w:cs="宋体" w:eastAsia="宋体" w:hint="default"/>
          <w:sz w:val="24"/>
          <w:szCs w:val="24"/>
        </w:rPr>
      </w:pPr>
    </w:p>
    <w:p>
      <w:pPr>
        <w:spacing w:line="487" w:lineRule="auto" w:before="0"/>
        <w:ind w:left="152" w:right="66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5"/>
        <w:gridCol w:w="682"/>
        <w:gridCol w:w="673"/>
      </w:tblGrid>
      <w:tr>
        <w:trPr>
          <w:trHeight w:val="570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3"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65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上海天 玑信息 技术服 务有限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w:t>
            </w:r>
            <w:r>
              <w:rPr>
                <w:rFonts w:ascii="宋体" w:hAnsi="宋体" w:cs="宋体" w:eastAsia="宋体" w:hint="default"/>
                <w:w w:val="99"/>
                <w:sz w:val="18"/>
                <w:szCs w:val="18"/>
              </w:rPr>
              <w:t> </w:t>
            </w:r>
            <w:r>
              <w:rPr>
                <w:rFonts w:ascii="宋体" w:hAnsi="宋体" w:cs="宋体" w:eastAsia="宋体" w:hint="default"/>
                <w:sz w:val="18"/>
                <w:szCs w:val="18"/>
              </w:rPr>
              <w:t>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极品数 据系统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US$500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97" w:lineRule="auto"/>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w:t>
            </w:r>
            <w:r>
              <w:rPr>
                <w:rFonts w:ascii="宋体" w:hAnsi="宋体" w:cs="宋体" w:eastAsia="宋体" w:hint="default"/>
                <w:w w:val="99"/>
                <w:sz w:val="18"/>
                <w:szCs w:val="18"/>
              </w:rPr>
              <w:t> </w:t>
            </w:r>
            <w:r>
              <w:rPr>
                <w:rFonts w:ascii="宋体" w:hAnsi="宋体" w:cs="宋体" w:eastAsia="宋体" w:hint="default"/>
                <w:sz w:val="18"/>
                <w:szCs w:val="18"/>
              </w:rPr>
              <w:t>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US$100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5"/>
        <w:gridCol w:w="682"/>
        <w:gridCol w:w="684"/>
        <w:gridCol w:w="684"/>
        <w:gridCol w:w="682"/>
        <w:gridCol w:w="684"/>
        <w:gridCol w:w="682"/>
        <w:gridCol w:w="685"/>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8"/>
              <w:ind w:left="24" w:right="5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TopD</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ataSyste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msInc.)</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上海力 克数码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w:t>
            </w:r>
            <w:r>
              <w:rPr>
                <w:rFonts w:ascii="宋体" w:hAnsi="宋体" w:cs="宋体" w:eastAsia="宋体" w:hint="default"/>
                <w:w w:val="99"/>
                <w:sz w:val="18"/>
                <w:szCs w:val="18"/>
              </w:rPr>
              <w:t> </w:t>
            </w:r>
            <w:r>
              <w:rPr>
                <w:rFonts w:ascii="宋体" w:hAnsi="宋体" w:cs="宋体" w:eastAsia="宋体" w:hint="default"/>
                <w:sz w:val="18"/>
                <w:szCs w:val="18"/>
              </w:rPr>
              <w:t>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极品数 据系统</w:t>
            </w:r>
          </w:p>
          <w:p>
            <w:pPr>
              <w:pStyle w:val="TableParagraph"/>
              <w:spacing w:line="316"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（香 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US$200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w:t>
            </w:r>
            <w:r>
              <w:rPr>
                <w:rFonts w:ascii="宋体" w:hAnsi="宋体" w:cs="宋体" w:eastAsia="宋体" w:hint="default"/>
                <w:w w:val="99"/>
                <w:sz w:val="18"/>
                <w:szCs w:val="18"/>
              </w:rPr>
              <w:t> </w:t>
            </w:r>
            <w:r>
              <w:rPr>
                <w:rFonts w:ascii="宋体" w:hAnsi="宋体" w:cs="宋体" w:eastAsia="宋体" w:hint="default"/>
                <w:sz w:val="18"/>
                <w:szCs w:val="18"/>
              </w:rPr>
              <w:t>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US$200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上海领 卓企业 管理咨 询有限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咨询</w:t>
            </w:r>
            <w:r>
              <w:rPr>
                <w:rFonts w:ascii="宋体" w:hAnsi="宋体" w:cs="宋体" w:eastAsia="宋体" w:hint="default"/>
                <w:w w:val="99"/>
                <w:sz w:val="18"/>
                <w:szCs w:val="18"/>
              </w:rPr>
              <w:t> </w:t>
            </w:r>
            <w:r>
              <w:rPr>
                <w:rFonts w:ascii="宋体" w:hAnsi="宋体" w:cs="宋体" w:eastAsia="宋体" w:hint="default"/>
                <w:sz w:val="18"/>
                <w:szCs w:val="18"/>
              </w:rPr>
              <w:t>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5"/>
        <w:gridCol w:w="682"/>
        <w:gridCol w:w="673"/>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7"/>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13"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7"/>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13"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649"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上海复 深蓝信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w:t>
            </w:r>
            <w:r>
              <w:rPr>
                <w:rFonts w:ascii="宋体" w:hAnsi="宋体" w:cs="宋体" w:eastAsia="宋体" w:hint="default"/>
                <w:w w:val="99"/>
                <w:sz w:val="18"/>
                <w:szCs w:val="18"/>
              </w:rPr>
              <w:t> </w:t>
            </w:r>
            <w:r>
              <w:rPr>
                <w:rFonts w:ascii="宋体" w:hAnsi="宋体" w:cs="宋体" w:eastAsia="宋体" w:hint="default"/>
                <w:sz w:val="18"/>
                <w:szCs w:val="18"/>
              </w:rPr>
              <w:t>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27,840,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10,233,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460.38</w:t>
            </w: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pStyle w:val="BodyText"/>
        <w:spacing w:line="256" w:lineRule="auto" w:before="96"/>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日，经公司第一届董事会第二十二次会议审议通过《关于使用部分超募资金收购上海复深蓝</w:t>
      </w:r>
      <w:r>
        <w:rPr>
          <w:w w:val="100"/>
        </w:rPr>
        <w:t> </w:t>
      </w:r>
      <w:r>
        <w:rPr>
          <w:spacing w:val="-3"/>
        </w:rPr>
        <w:t>信息技术有限公司部分股权并增资》的议案，同意公司使用超募资金</w:t>
      </w:r>
      <w:r>
        <w:rPr>
          <w:rFonts w:ascii="Times New Roman" w:hAnsi="Times New Roman" w:cs="Times New Roman" w:eastAsia="Times New Roman" w:hint="default"/>
          <w:spacing w:val="-3"/>
        </w:rPr>
        <w:t>3,640</w:t>
      </w:r>
      <w:r>
        <w:rPr>
          <w:spacing w:val="-3"/>
        </w:rPr>
        <w:t>万元，以受让上海复深蓝信息技</w:t>
      </w:r>
      <w:r>
        <w:rPr>
          <w:spacing w:val="-45"/>
        </w:rPr>
        <w:t> </w:t>
      </w:r>
      <w:r>
        <w:rPr>
          <w:spacing w:val="-45"/>
        </w:rPr>
      </w:r>
      <w:r>
        <w:rPr>
          <w:spacing w:val="-3"/>
        </w:rPr>
        <w:t>术有限公司（以下简称</w:t>
      </w:r>
      <w:r>
        <w:rPr>
          <w:rFonts w:ascii="Times New Roman" w:hAnsi="Times New Roman" w:cs="Times New Roman" w:eastAsia="Times New Roman" w:hint="default"/>
          <w:spacing w:val="-3"/>
        </w:rPr>
        <w:t>“</w:t>
      </w:r>
      <w:r>
        <w:rPr>
          <w:spacing w:val="-3"/>
        </w:rPr>
        <w:t>复深蓝</w:t>
      </w:r>
      <w:r>
        <w:rPr>
          <w:rFonts w:ascii="Times New Roman" w:hAnsi="Times New Roman" w:cs="Times New Roman" w:eastAsia="Times New Roman" w:hint="default"/>
          <w:spacing w:val="-3"/>
        </w:rPr>
        <w:t>”</w:t>
      </w:r>
      <w:r>
        <w:rPr>
          <w:spacing w:val="-3"/>
        </w:rPr>
        <w:t>）原股东股权及增资结合的方式，获得复深蓝</w:t>
      </w:r>
      <w:r>
        <w:rPr>
          <w:rFonts w:ascii="Times New Roman" w:hAnsi="Times New Roman" w:cs="Times New Roman" w:eastAsia="Times New Roman" w:hint="default"/>
          <w:spacing w:val="-3"/>
        </w:rPr>
        <w:t>60%</w:t>
      </w:r>
      <w:r>
        <w:rPr>
          <w:spacing w:val="-3"/>
        </w:rPr>
        <w:t>的股权。公司于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6"/>
        </w:rPr>
        <w:t> </w:t>
      </w:r>
      <w:r>
        <w:rPr>
          <w:spacing w:val="-4"/>
        </w:rPr>
        <w:t>月完成对复深蓝的增资；于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3</w:t>
      </w:r>
      <w:r>
        <w:rPr>
          <w:spacing w:val="-4"/>
        </w:rPr>
        <w:t>月支付了</w:t>
      </w:r>
      <w:r>
        <w:rPr>
          <w:rFonts w:ascii="Times New Roman" w:hAnsi="Times New Roman" w:cs="Times New Roman" w:eastAsia="Times New Roman" w:hint="default"/>
          <w:spacing w:val="-4"/>
        </w:rPr>
        <w:t>60%</w:t>
      </w:r>
      <w:r>
        <w:rPr>
          <w:spacing w:val="-4"/>
        </w:rPr>
        <w:t>股权转让款，并办理了工商变更登记手续。至此，公司持</w:t>
      </w:r>
      <w:r>
        <w:rPr>
          <w:spacing w:val="-7"/>
        </w:rPr>
        <w:t> </w:t>
      </w:r>
      <w:r>
        <w:rPr>
          <w:spacing w:val="-7"/>
        </w:rPr>
      </w:r>
      <w:r>
        <w:rPr>
          <w:spacing w:val="-2"/>
        </w:rPr>
        <w:t>有复深蓝</w:t>
      </w:r>
      <w:r>
        <w:rPr>
          <w:rFonts w:ascii="Times New Roman" w:hAnsi="Times New Roman" w:cs="Times New Roman" w:eastAsia="Times New Roman" w:hint="default"/>
          <w:spacing w:val="-2"/>
        </w:rPr>
        <w:t>60%</w:t>
      </w:r>
      <w:r>
        <w:rPr>
          <w:spacing w:val="-2"/>
        </w:rPr>
        <w:t>的股权，并在董事会席位的</w:t>
      </w:r>
      <w:r>
        <w:rPr>
          <w:rFonts w:ascii="Times New Roman" w:hAnsi="Times New Roman" w:cs="Times New Roman" w:eastAsia="Times New Roman" w:hint="default"/>
          <w:spacing w:val="-2"/>
        </w:rPr>
        <w:t>3</w:t>
      </w:r>
      <w:r>
        <w:rPr>
          <w:spacing w:val="-2"/>
        </w:rPr>
        <w:t>席中占有</w:t>
      </w:r>
      <w:r>
        <w:rPr>
          <w:rFonts w:ascii="Times New Roman" w:hAnsi="Times New Roman" w:cs="Times New Roman" w:eastAsia="Times New Roman" w:hint="default"/>
          <w:spacing w:val="-2"/>
        </w:rPr>
        <w:t>2</w:t>
      </w:r>
      <w:r>
        <w:rPr>
          <w:spacing w:val="-2"/>
        </w:rPr>
        <w:t>席，在复深蓝的表决权比例超过半数，形成对该公司</w:t>
      </w:r>
      <w:r>
        <w:rPr>
          <w:spacing w:val="-21"/>
        </w:rPr>
        <w:t> </w:t>
      </w:r>
      <w:r>
        <w:rPr>
          <w:spacing w:val="-21"/>
        </w:rPr>
      </w:r>
      <w:r>
        <w:rPr/>
        <w:t>的控制。</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rFonts w:ascii="Times New Roman" w:hAnsi="Times New Roman" w:cs="Times New Roman" w:eastAsia="Times New Roman" w:hint="default"/>
        </w:rPr>
        <w:t>1</w:t>
      </w:r>
      <w:r>
        <w:rPr/>
        <w:t>、与上年相比本年新增合并单位</w:t>
      </w:r>
      <w:r>
        <w:rPr>
          <w:rFonts w:ascii="Times New Roman" w:hAnsi="Times New Roman" w:cs="Times New Roman" w:eastAsia="Times New Roman" w:hint="default"/>
        </w:rPr>
        <w:t>1</w:t>
      </w:r>
      <w:r>
        <w:rPr/>
        <w:t>家，原因为：</w:t>
      </w:r>
    </w:p>
    <w:p>
      <w:pPr>
        <w:pStyle w:val="BodyText"/>
        <w:spacing w:line="256" w:lineRule="auto" w:before="21"/>
        <w:ind w:right="148"/>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日，经公司第一届董事会第二十二次会议审议通过《关于使用部分超募资金收购上海复深蓝</w:t>
      </w:r>
      <w:r>
        <w:rPr>
          <w:spacing w:val="-28"/>
        </w:rPr>
        <w:t> </w:t>
      </w:r>
      <w:r>
        <w:rPr>
          <w:spacing w:val="-28"/>
        </w:rPr>
      </w:r>
      <w:r>
        <w:rPr>
          <w:spacing w:val="-3"/>
        </w:rPr>
        <w:t>信息技术有限公司部分股权并增资》的议案，同意公司使用超募资金</w:t>
      </w:r>
      <w:r>
        <w:rPr>
          <w:rFonts w:ascii="Times New Roman" w:hAnsi="Times New Roman" w:cs="Times New Roman" w:eastAsia="Times New Roman" w:hint="default"/>
          <w:spacing w:val="-3"/>
        </w:rPr>
        <w:t>3,640</w:t>
      </w:r>
      <w:r>
        <w:rPr>
          <w:spacing w:val="-3"/>
        </w:rPr>
        <w:t>万元，以受让上海复深蓝信息技</w:t>
      </w:r>
      <w:r>
        <w:rPr>
          <w:spacing w:val="-45"/>
        </w:rPr>
        <w:t> </w:t>
      </w:r>
      <w:r>
        <w:rPr>
          <w:spacing w:val="-45"/>
        </w:rPr>
      </w:r>
      <w:r>
        <w:rPr>
          <w:spacing w:val="-3"/>
        </w:rPr>
        <w:t>术有限公司（以下简称</w:t>
      </w:r>
      <w:r>
        <w:rPr>
          <w:rFonts w:ascii="Times New Roman" w:hAnsi="Times New Roman" w:cs="Times New Roman" w:eastAsia="Times New Roman" w:hint="default"/>
          <w:spacing w:val="-3"/>
        </w:rPr>
        <w:t>“</w:t>
      </w:r>
      <w:r>
        <w:rPr>
          <w:spacing w:val="-3"/>
        </w:rPr>
        <w:t>复深蓝</w:t>
      </w:r>
      <w:r>
        <w:rPr>
          <w:rFonts w:ascii="Times New Roman" w:hAnsi="Times New Roman" w:cs="Times New Roman" w:eastAsia="Times New Roman" w:hint="default"/>
          <w:spacing w:val="-3"/>
        </w:rPr>
        <w:t>”</w:t>
      </w:r>
      <w:r>
        <w:rPr>
          <w:spacing w:val="-3"/>
        </w:rPr>
        <w:t>）原股东股权及增资结合的方式，获得复深蓝</w:t>
      </w:r>
      <w:r>
        <w:rPr>
          <w:rFonts w:ascii="Times New Roman" w:hAnsi="Times New Roman" w:cs="Times New Roman" w:eastAsia="Times New Roman" w:hint="default"/>
          <w:spacing w:val="-3"/>
        </w:rPr>
        <w:t>60%</w:t>
      </w:r>
      <w:r>
        <w:rPr>
          <w:spacing w:val="-3"/>
        </w:rPr>
        <w:t>的股权。公司于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6"/>
        </w:rPr>
        <w:t> </w:t>
      </w:r>
      <w:r>
        <w:rPr>
          <w:spacing w:val="-4"/>
        </w:rPr>
        <w:t>月完成对复深蓝的增资；于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3</w:t>
      </w:r>
      <w:r>
        <w:rPr>
          <w:spacing w:val="-4"/>
        </w:rPr>
        <w:t>月支付了</w:t>
      </w:r>
      <w:r>
        <w:rPr>
          <w:rFonts w:ascii="Times New Roman" w:hAnsi="Times New Roman" w:cs="Times New Roman" w:eastAsia="Times New Roman" w:hint="default"/>
          <w:spacing w:val="-4"/>
        </w:rPr>
        <w:t>60%</w:t>
      </w:r>
      <w:r>
        <w:rPr>
          <w:spacing w:val="-4"/>
        </w:rPr>
        <w:t>股权转让款，并办理了工商变更登记手续。至此，公司持</w:t>
      </w:r>
      <w:r>
        <w:rPr>
          <w:spacing w:val="-7"/>
        </w:rPr>
        <w:t> </w:t>
      </w:r>
      <w:r>
        <w:rPr>
          <w:spacing w:val="-7"/>
        </w:rPr>
      </w:r>
      <w:r>
        <w:rPr>
          <w:spacing w:val="-1"/>
        </w:rPr>
        <w:t>有复深蓝</w:t>
      </w:r>
      <w:r>
        <w:rPr>
          <w:rFonts w:ascii="Times New Roman" w:hAnsi="Times New Roman" w:cs="Times New Roman" w:eastAsia="Times New Roman" w:hint="default"/>
          <w:spacing w:val="-1"/>
        </w:rPr>
        <w:t>60%</w:t>
      </w:r>
      <w:r>
        <w:rPr>
          <w:spacing w:val="-1"/>
        </w:rPr>
        <w:t>的股权，并在董事会席位的</w:t>
      </w:r>
      <w:r>
        <w:rPr>
          <w:rFonts w:ascii="Times New Roman" w:hAnsi="Times New Roman" w:cs="Times New Roman" w:eastAsia="Times New Roman" w:hint="default"/>
          <w:spacing w:val="-1"/>
        </w:rPr>
        <w:t>3</w:t>
      </w:r>
      <w:r>
        <w:rPr>
          <w:spacing w:val="-1"/>
        </w:rPr>
        <w:t>席中占有</w:t>
      </w:r>
      <w:r>
        <w:rPr>
          <w:rFonts w:ascii="Times New Roman" w:hAnsi="Times New Roman" w:cs="Times New Roman" w:eastAsia="Times New Roman" w:hint="default"/>
          <w:spacing w:val="-1"/>
        </w:rPr>
        <w:t>2</w:t>
      </w:r>
      <w:r>
        <w:rPr>
          <w:spacing w:val="-1"/>
        </w:rPr>
        <w:t>席，在复深蓝的表决权比例超过半数，形成对该公司</w:t>
      </w:r>
      <w:r>
        <w:rPr>
          <w:spacing w:val="-50"/>
        </w:rPr>
        <w:t> </w:t>
      </w:r>
      <w:r>
        <w:rPr>
          <w:spacing w:val="-50"/>
        </w:rPr>
      </w:r>
      <w:r>
        <w:rPr/>
        <w:t>的控制。故自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月起公司将复深蓝纳入合并范围。</w:t>
      </w:r>
    </w:p>
    <w:p>
      <w:pPr>
        <w:spacing w:line="240" w:lineRule="auto" w:before="3"/>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2</w:t>
      </w:r>
      <w:r>
        <w:rPr/>
        <w:t>、与上年相比本年不存在减少合并单位的情况。</w:t>
      </w:r>
    </w:p>
    <w:p>
      <w:pPr>
        <w:spacing w:line="240" w:lineRule="auto" w:before="2"/>
        <w:rPr>
          <w:rFonts w:ascii="宋体" w:hAnsi="宋体" w:cs="宋体" w:eastAsia="宋体" w:hint="default"/>
          <w:sz w:val="30"/>
          <w:szCs w:val="30"/>
        </w:rPr>
      </w:pPr>
    </w:p>
    <w:p>
      <w:pPr>
        <w:spacing w:line="338" w:lineRule="auto" w:before="0"/>
        <w:ind w:left="152"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与上年相比本年（期）新增合并单位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BodyText"/>
        <w:spacing w:line="256" w:lineRule="auto" w:before="1"/>
        <w:ind w:right="148"/>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日，经公司第一届董事会第二十二次会议审议通过《关于使用部分超募资金收购上海复深蓝</w:t>
      </w:r>
      <w:r>
        <w:rPr>
          <w:spacing w:val="-28"/>
        </w:rPr>
        <w:t> </w:t>
      </w:r>
      <w:r>
        <w:rPr>
          <w:spacing w:val="-28"/>
        </w:rPr>
      </w:r>
      <w:r>
        <w:rPr>
          <w:spacing w:val="-3"/>
        </w:rPr>
        <w:t>信息技术有限公司部分股权并增资》的议案，同意公司使用超募资金</w:t>
      </w:r>
      <w:r>
        <w:rPr>
          <w:rFonts w:ascii="Times New Roman" w:hAnsi="Times New Roman" w:cs="Times New Roman" w:eastAsia="Times New Roman" w:hint="default"/>
          <w:spacing w:val="-3"/>
        </w:rPr>
        <w:t>3,640</w:t>
      </w:r>
      <w:r>
        <w:rPr>
          <w:spacing w:val="-3"/>
        </w:rPr>
        <w:t>万元，以受让上海复深蓝信息技</w:t>
      </w:r>
      <w:r>
        <w:rPr>
          <w:spacing w:val="-45"/>
        </w:rPr>
        <w:t> </w:t>
      </w:r>
      <w:r>
        <w:rPr>
          <w:spacing w:val="-45"/>
        </w:rPr>
      </w:r>
      <w:r>
        <w:rPr>
          <w:spacing w:val="-3"/>
        </w:rPr>
        <w:t>术有限公司（以下简称</w:t>
      </w:r>
      <w:r>
        <w:rPr>
          <w:rFonts w:ascii="Times New Roman" w:hAnsi="Times New Roman" w:cs="Times New Roman" w:eastAsia="Times New Roman" w:hint="default"/>
          <w:spacing w:val="-3"/>
        </w:rPr>
        <w:t>“</w:t>
      </w:r>
      <w:r>
        <w:rPr>
          <w:spacing w:val="-3"/>
        </w:rPr>
        <w:t>复深蓝</w:t>
      </w:r>
      <w:r>
        <w:rPr>
          <w:rFonts w:ascii="Times New Roman" w:hAnsi="Times New Roman" w:cs="Times New Roman" w:eastAsia="Times New Roman" w:hint="default"/>
          <w:spacing w:val="-3"/>
        </w:rPr>
        <w:t>”</w:t>
      </w:r>
      <w:r>
        <w:rPr>
          <w:spacing w:val="-3"/>
        </w:rPr>
        <w:t>）原股东股权及增资结合的方式，获得复深蓝</w:t>
      </w:r>
      <w:r>
        <w:rPr>
          <w:rFonts w:ascii="Times New Roman" w:hAnsi="Times New Roman" w:cs="Times New Roman" w:eastAsia="Times New Roman" w:hint="default"/>
          <w:spacing w:val="-3"/>
        </w:rPr>
        <w:t>60%</w:t>
      </w:r>
      <w:r>
        <w:rPr>
          <w:spacing w:val="-3"/>
        </w:rPr>
        <w:t>的股权。公司于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6"/>
        </w:rPr>
        <w:t> </w:t>
      </w:r>
      <w:r>
        <w:rPr>
          <w:spacing w:val="-4"/>
        </w:rPr>
        <w:t>月完成对复深蓝的增资；于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3</w:t>
      </w:r>
      <w:r>
        <w:rPr>
          <w:spacing w:val="-4"/>
        </w:rPr>
        <w:t>月支付了</w:t>
      </w:r>
      <w:r>
        <w:rPr>
          <w:rFonts w:ascii="Times New Roman" w:hAnsi="Times New Roman" w:cs="Times New Roman" w:eastAsia="Times New Roman" w:hint="default"/>
          <w:spacing w:val="-4"/>
        </w:rPr>
        <w:t>60%</w:t>
      </w:r>
      <w:r>
        <w:rPr>
          <w:spacing w:val="-4"/>
        </w:rPr>
        <w:t>股权转让款，并办理了工商变更登记手续。至此，公司持</w:t>
      </w:r>
      <w:r>
        <w:rPr>
          <w:spacing w:val="-7"/>
        </w:rPr>
        <w:t> </w:t>
      </w:r>
      <w:r>
        <w:rPr>
          <w:spacing w:val="-7"/>
        </w:rPr>
      </w:r>
      <w:r>
        <w:rPr>
          <w:spacing w:val="-1"/>
        </w:rPr>
        <w:t>有复深蓝</w:t>
      </w:r>
      <w:r>
        <w:rPr>
          <w:rFonts w:ascii="Times New Roman" w:hAnsi="Times New Roman" w:cs="Times New Roman" w:eastAsia="Times New Roman" w:hint="default"/>
          <w:spacing w:val="-1"/>
        </w:rPr>
        <w:t>60%</w:t>
      </w:r>
      <w:r>
        <w:rPr>
          <w:spacing w:val="-1"/>
        </w:rPr>
        <w:t>的股权，并在董事会席位的</w:t>
      </w:r>
      <w:r>
        <w:rPr>
          <w:rFonts w:ascii="Times New Roman" w:hAnsi="Times New Roman" w:cs="Times New Roman" w:eastAsia="Times New Roman" w:hint="default"/>
          <w:spacing w:val="-1"/>
        </w:rPr>
        <w:t>3</w:t>
      </w:r>
      <w:r>
        <w:rPr>
          <w:spacing w:val="-1"/>
        </w:rPr>
        <w:t>席中占有</w:t>
      </w:r>
      <w:r>
        <w:rPr>
          <w:rFonts w:ascii="Times New Roman" w:hAnsi="Times New Roman" w:cs="Times New Roman" w:eastAsia="Times New Roman" w:hint="default"/>
          <w:spacing w:val="-1"/>
        </w:rPr>
        <w:t>2</w:t>
      </w:r>
      <w:r>
        <w:rPr>
          <w:spacing w:val="-1"/>
        </w:rPr>
        <w:t>席，在复深蓝的表决权比例超过半数，形成对该公司</w:t>
      </w:r>
      <w:r>
        <w:rPr>
          <w:spacing w:val="-50"/>
        </w:rPr>
        <w:t> </w:t>
      </w:r>
      <w:r>
        <w:rPr>
          <w:spacing w:val="-50"/>
        </w:rPr>
      </w:r>
      <w:r>
        <w:rPr/>
        <w:t>的控制。故自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月起公司将复深蓝纳入合并范围。</w:t>
      </w:r>
    </w:p>
    <w:p>
      <w:pPr>
        <w:spacing w:line="338" w:lineRule="auto" w:before="66"/>
        <w:ind w:left="152" w:right="5812" w:firstLine="0"/>
        <w:jc w:val="left"/>
        <w:rPr>
          <w:rFonts w:ascii="宋体" w:hAnsi="宋体" w:cs="宋体" w:eastAsia="宋体" w:hint="default"/>
          <w:sz w:val="18"/>
          <w:szCs w:val="18"/>
        </w:rPr>
      </w:pPr>
      <w:r>
        <w:rPr>
          <w:rFonts w:ascii="宋体" w:hAnsi="宋体" w:cs="宋体" w:eastAsia="宋体" w:hint="default"/>
          <w:sz w:val="18"/>
          <w:szCs w:val="18"/>
        </w:rPr>
        <w:t>与上年相比本年（期）减少合并单位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 未发生变化</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70"/>
              <w:jc w:val="right"/>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上海复深蓝信息技术有限公司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3"/>
              <w:jc w:val="right"/>
              <w:rPr>
                <w:rFonts w:ascii="Times New Roman" w:hAnsi="Times New Roman" w:cs="Times New Roman" w:eastAsia="Times New Roman" w:hint="default"/>
                <w:sz w:val="18"/>
                <w:szCs w:val="18"/>
              </w:rPr>
            </w:pPr>
            <w:r>
              <w:rPr>
                <w:rFonts w:ascii="Times New Roman"/>
                <w:spacing w:val="-1"/>
                <w:sz w:val="18"/>
              </w:rPr>
              <w:t>26,242,316.64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5,420,344.18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5"/>
        <w:gridCol w:w="1545"/>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line="357" w:lineRule="auto" w:before="50"/>
        <w:ind w:left="152" w:right="7254"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 无</w:t>
      </w:r>
    </w:p>
    <w:p>
      <w:pPr>
        <w:spacing w:after="0" w:line="357"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6"/>
        <w:gridCol w:w="3032"/>
        <w:gridCol w:w="3862"/>
      </w:tblGrid>
      <w:tr>
        <w:trPr>
          <w:trHeight w:val="403"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13" w:hRule="exact"/>
        </w:trPr>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上海复深蓝信息技术有限公司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8" w:right="0"/>
              <w:jc w:val="left"/>
              <w:rPr>
                <w:rFonts w:ascii="Times New Roman" w:hAnsi="Times New Roman" w:cs="Times New Roman" w:eastAsia="Times New Roman" w:hint="default"/>
                <w:sz w:val="18"/>
                <w:szCs w:val="18"/>
              </w:rPr>
            </w:pPr>
            <w:r>
              <w:rPr>
                <w:rFonts w:ascii="Times New Roman"/>
                <w:sz w:val="18"/>
              </w:rPr>
              <w:t>24,302,015.94</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其初始成本是合并成本大于合并中取得的被购买 方可辨认净资产公允价值份额的差额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pStyle w:val="BodyText"/>
        <w:spacing w:line="256" w:lineRule="auto" w:before="96"/>
        <w:ind w:left="212" w:right="0" w:hanging="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）参与合并企业的基本情况</w:t>
      </w:r>
      <w:r>
        <w:rPr>
          <w:rFonts w:ascii="宋体" w:hAnsi="宋体" w:cs="宋体" w:eastAsia="宋体" w:hint="default"/>
          <w:b/>
          <w:bCs/>
          <w:w w:val="100"/>
        </w:rPr>
        <w:t> </w:t>
      </w:r>
      <w:r>
        <w:rPr>
          <w:spacing w:val="-5"/>
        </w:rPr>
        <w:t>公司与上海复深蓝信息技术有限公司（以下简称</w:t>
      </w:r>
      <w:r>
        <w:rPr>
          <w:rFonts w:ascii="Times New Roman" w:hAnsi="Times New Roman" w:cs="Times New Roman" w:eastAsia="Times New Roman" w:hint="default"/>
          <w:spacing w:val="-5"/>
        </w:rPr>
        <w:t>“</w:t>
      </w:r>
      <w:r>
        <w:rPr>
          <w:spacing w:val="-5"/>
        </w:rPr>
        <w:t>复深蓝</w:t>
      </w:r>
      <w:r>
        <w:rPr>
          <w:rFonts w:ascii="Times New Roman" w:hAnsi="Times New Roman" w:cs="Times New Roman" w:eastAsia="Times New Roman" w:hint="default"/>
          <w:spacing w:val="-5"/>
        </w:rPr>
        <w:t>”</w:t>
      </w:r>
      <w:r>
        <w:rPr>
          <w:spacing w:val="-5"/>
        </w:rPr>
        <w:t>）的原股东杨万强、杨文芳于</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w:t>
      </w:r>
      <w:r>
        <w:rPr>
          <w:spacing w:val="-5"/>
        </w:rPr>
        <w:t>月签署《股</w:t>
      </w:r>
      <w:r>
        <w:rPr>
          <w:spacing w:val="-39"/>
        </w:rPr>
        <w:t> </w:t>
      </w:r>
      <w:r>
        <w:rPr>
          <w:spacing w:val="-39"/>
        </w:rPr>
      </w:r>
      <w:r>
        <w:rPr>
          <w:spacing w:val="-1"/>
        </w:rPr>
        <w:t>权转让及增资协议》，参照上海申威资产评估有限公司出具的沪申威评报字（</w:t>
      </w:r>
      <w:r>
        <w:rPr>
          <w:rFonts w:ascii="Times New Roman" w:hAnsi="Times New Roman" w:cs="Times New Roman" w:eastAsia="Times New Roman" w:hint="default"/>
          <w:spacing w:val="-1"/>
        </w:rPr>
        <w:t>2012</w:t>
      </w:r>
      <w:r>
        <w:rPr>
          <w:spacing w:val="-1"/>
        </w:rPr>
        <w:t>）第</w:t>
      </w:r>
      <w:r>
        <w:rPr>
          <w:rFonts w:ascii="Times New Roman" w:hAnsi="Times New Roman" w:cs="Times New Roman" w:eastAsia="Times New Roman" w:hint="default"/>
          <w:spacing w:val="-1"/>
        </w:rPr>
        <w:t>009</w:t>
      </w:r>
      <w:r>
        <w:rPr>
          <w:spacing w:val="-1"/>
        </w:rPr>
        <w:t>号资产评估报</w:t>
      </w:r>
      <w:r>
        <w:rPr>
          <w:spacing w:val="-43"/>
        </w:rPr>
        <w:t> </w:t>
      </w:r>
      <w:r>
        <w:rPr>
          <w:spacing w:val="-43"/>
        </w:rPr>
      </w:r>
      <w:r>
        <w:rPr/>
        <w:t>告，以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日为评估基准日的评估结果，公司以货币资金</w:t>
      </w:r>
      <w:r>
        <w:rPr>
          <w:rFonts w:ascii="Times New Roman" w:hAnsi="Times New Roman" w:cs="Times New Roman" w:eastAsia="Times New Roman" w:hint="default"/>
        </w:rPr>
        <w:t>3,640</w:t>
      </w:r>
      <w:r>
        <w:rPr/>
        <w:t>万元通过受让原股东股权和增资</w:t>
      </w:r>
      <w:r>
        <w:rPr>
          <w:spacing w:val="-38"/>
        </w:rPr>
        <w:t> </w:t>
      </w:r>
      <w:r>
        <w:rPr>
          <w:spacing w:val="-38"/>
        </w:rPr>
      </w:r>
      <w:r>
        <w:rPr>
          <w:spacing w:val="-4"/>
        </w:rPr>
        <w:t>结合的方式收购复深蓝</w:t>
      </w:r>
      <w:r>
        <w:rPr>
          <w:rFonts w:ascii="Times New Roman" w:hAnsi="Times New Roman" w:cs="Times New Roman" w:eastAsia="Times New Roman" w:hint="default"/>
          <w:spacing w:val="-4"/>
        </w:rPr>
        <w:t>60%</w:t>
      </w:r>
      <w:r>
        <w:rPr>
          <w:spacing w:val="-4"/>
        </w:rPr>
        <w:t>的股权，其中支付复深蓝增资款</w:t>
      </w:r>
      <w:r>
        <w:rPr>
          <w:rFonts w:ascii="Times New Roman" w:hAnsi="Times New Roman" w:cs="Times New Roman" w:eastAsia="Times New Roman" w:hint="default"/>
          <w:spacing w:val="-4"/>
        </w:rPr>
        <w:t>1,500</w:t>
      </w:r>
      <w:r>
        <w:rPr>
          <w:spacing w:val="-4"/>
        </w:rPr>
        <w:t>万元，支付原股东持有复深蓝股权的股权</w:t>
      </w:r>
      <w:r>
        <w:rPr>
          <w:spacing w:val="-21"/>
        </w:rPr>
        <w:t> </w:t>
      </w:r>
      <w:r>
        <w:rPr>
          <w:spacing w:val="-21"/>
        </w:rPr>
      </w:r>
      <w:r>
        <w:rPr>
          <w:spacing w:val="-2"/>
        </w:rPr>
        <w:t>收购款</w:t>
      </w:r>
      <w:r>
        <w:rPr>
          <w:rFonts w:ascii="Times New Roman" w:hAnsi="Times New Roman" w:cs="Times New Roman" w:eastAsia="Times New Roman" w:hint="default"/>
          <w:spacing w:val="-2"/>
        </w:rPr>
        <w:t>2,140</w:t>
      </w:r>
      <w:r>
        <w:rPr>
          <w:spacing w:val="-2"/>
        </w:rPr>
        <w:t>万元。本年度已完成支付复深蓝增资款</w:t>
      </w:r>
      <w:r>
        <w:rPr>
          <w:rFonts w:ascii="Times New Roman" w:hAnsi="Times New Roman" w:cs="Times New Roman" w:eastAsia="Times New Roman" w:hint="default"/>
          <w:spacing w:val="-2"/>
        </w:rPr>
        <w:t>1,500</w:t>
      </w:r>
      <w:r>
        <w:rPr>
          <w:spacing w:val="-2"/>
        </w:rPr>
        <w:t>万元和</w:t>
      </w:r>
      <w:r>
        <w:rPr>
          <w:rFonts w:ascii="Times New Roman" w:hAnsi="Times New Roman" w:cs="Times New Roman" w:eastAsia="Times New Roman" w:hint="default"/>
          <w:spacing w:val="-2"/>
        </w:rPr>
        <w:t>60%</w:t>
      </w:r>
      <w:r>
        <w:rPr>
          <w:spacing w:val="-2"/>
        </w:rPr>
        <w:t>的股权收购款</w:t>
      </w:r>
      <w:r>
        <w:rPr>
          <w:rFonts w:ascii="Times New Roman" w:hAnsi="Times New Roman" w:cs="Times New Roman" w:eastAsia="Times New Roman" w:hint="default"/>
          <w:spacing w:val="-2"/>
        </w:rPr>
        <w:t>1,284</w:t>
      </w:r>
      <w:r>
        <w:rPr>
          <w:spacing w:val="-2"/>
        </w:rPr>
        <w:t>万元，其余股权收</w:t>
      </w:r>
      <w:r>
        <w:rPr>
          <w:spacing w:val="-5"/>
        </w:rPr>
        <w:t> </w:t>
      </w:r>
      <w:r>
        <w:rPr>
          <w:spacing w:val="-5"/>
        </w:rPr>
      </w:r>
      <w:r>
        <w:rPr>
          <w:spacing w:val="-1"/>
        </w:rPr>
        <w:t>购款</w:t>
      </w:r>
      <w:r>
        <w:rPr>
          <w:rFonts w:ascii="Times New Roman" w:hAnsi="Times New Roman" w:cs="Times New Roman" w:eastAsia="Times New Roman" w:hint="default"/>
          <w:spacing w:val="-1"/>
        </w:rPr>
        <w:t>856</w:t>
      </w:r>
      <w:r>
        <w:rPr>
          <w:spacing w:val="-1"/>
        </w:rPr>
        <w:t>万元作为复深蓝</w:t>
      </w:r>
      <w:r>
        <w:rPr>
          <w:rFonts w:ascii="Times New Roman" w:hAnsi="Times New Roman" w:cs="Times New Roman" w:eastAsia="Times New Roman" w:hint="default"/>
          <w:spacing w:val="-1"/>
        </w:rPr>
        <w:t>2012</w:t>
      </w:r>
      <w:r>
        <w:rPr>
          <w:spacing w:val="-1"/>
        </w:rPr>
        <w:t>年度至</w:t>
      </w:r>
      <w:r>
        <w:rPr>
          <w:rFonts w:ascii="Times New Roman" w:hAnsi="Times New Roman" w:cs="Times New Roman" w:eastAsia="Times New Roman" w:hint="default"/>
          <w:spacing w:val="-1"/>
        </w:rPr>
        <w:t>2014</w:t>
      </w:r>
      <w:r>
        <w:rPr>
          <w:spacing w:val="-1"/>
        </w:rPr>
        <w:t>年度利润承诺保证金，待实现利润承诺时支付。投资成本总额为</w:t>
      </w:r>
      <w:r>
        <w:rPr>
          <w:spacing w:val="-44"/>
        </w:rPr>
        <w:t> </w:t>
      </w:r>
      <w:r>
        <w:rPr>
          <w:spacing w:val="-44"/>
        </w:rPr>
      </w:r>
      <w:r>
        <w:rPr/>
        <w:t>人民币</w:t>
      </w:r>
      <w:r>
        <w:rPr>
          <w:rFonts w:ascii="Times New Roman" w:hAnsi="Times New Roman" w:cs="Times New Roman" w:eastAsia="Times New Roman" w:hint="default"/>
        </w:rPr>
        <w:t>3,640</w:t>
      </w:r>
      <w:r>
        <w:rPr/>
        <w:t>万元。本年度，复深蓝实现利润承诺。</w:t>
      </w:r>
    </w:p>
    <w:p>
      <w:pPr>
        <w:spacing w:line="240" w:lineRule="auto" w:before="3"/>
        <w:rPr>
          <w:rFonts w:ascii="宋体" w:hAnsi="宋体" w:cs="宋体" w:eastAsia="宋体" w:hint="default"/>
          <w:sz w:val="24"/>
          <w:szCs w:val="24"/>
        </w:rPr>
      </w:pPr>
    </w:p>
    <w:p>
      <w:pPr>
        <w:pStyle w:val="BodyText"/>
        <w:spacing w:line="256" w:lineRule="auto"/>
        <w:ind w:left="212" w:right="0" w:hanging="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）购买日的确定依据</w:t>
      </w:r>
      <w:r>
        <w:rPr>
          <w:rFonts w:ascii="宋体" w:hAnsi="宋体" w:cs="宋体" w:eastAsia="宋体" w:hint="default"/>
          <w:b/>
          <w:bCs/>
          <w:w w:val="100"/>
        </w:rPr>
        <w:t> </w:t>
      </w:r>
      <w:r>
        <w:rPr>
          <w:spacing w:val="-3"/>
          <w:w w:val="100"/>
        </w:rPr>
        <w:t>公司于</w:t>
      </w:r>
      <w:r>
        <w:rPr>
          <w:rFonts w:ascii="Times New Roman" w:hAnsi="Times New Roman" w:cs="Times New Roman" w:eastAsia="Times New Roman" w:hint="default"/>
          <w:spacing w:val="-3"/>
          <w:w w:val="100"/>
        </w:rPr>
        <w:t>2012</w:t>
      </w:r>
      <w:r>
        <w:rPr>
          <w:spacing w:val="-3"/>
          <w:w w:val="100"/>
        </w:rPr>
        <w:t>年</w:t>
      </w:r>
      <w:r>
        <w:rPr>
          <w:rFonts w:ascii="Times New Roman" w:hAnsi="Times New Roman" w:cs="Times New Roman" w:eastAsia="Times New Roman" w:hint="default"/>
          <w:spacing w:val="-3"/>
          <w:w w:val="100"/>
        </w:rPr>
        <w:t>1</w:t>
      </w:r>
      <w:r>
        <w:rPr>
          <w:spacing w:val="-3"/>
          <w:w w:val="100"/>
        </w:rPr>
        <w:t>月</w:t>
      </w:r>
      <w:r>
        <w:rPr>
          <w:rFonts w:ascii="Times New Roman" w:hAnsi="Times New Roman" w:cs="Times New Roman" w:eastAsia="Times New Roman" w:hint="default"/>
          <w:spacing w:val="-3"/>
          <w:w w:val="100"/>
        </w:rPr>
        <w:t>18</w:t>
      </w:r>
      <w:r>
        <w:rPr>
          <w:spacing w:val="-3"/>
          <w:w w:val="100"/>
        </w:rPr>
        <w:t>日只支付了复深蓝增资款</w:t>
      </w:r>
      <w:r>
        <w:rPr>
          <w:rFonts w:ascii="Times New Roman" w:hAnsi="Times New Roman" w:cs="Times New Roman" w:eastAsia="Times New Roman" w:hint="default"/>
          <w:spacing w:val="-3"/>
          <w:w w:val="100"/>
        </w:rPr>
        <w:t>1,500</w:t>
      </w:r>
      <w:r>
        <w:rPr>
          <w:spacing w:val="-3"/>
          <w:w w:val="100"/>
        </w:rPr>
        <w:t>万元，于</w:t>
      </w:r>
      <w:r>
        <w:rPr>
          <w:rFonts w:ascii="Times New Roman" w:hAnsi="Times New Roman" w:cs="Times New Roman" w:eastAsia="Times New Roman" w:hint="default"/>
          <w:spacing w:val="-3"/>
          <w:w w:val="100"/>
        </w:rPr>
        <w:t>2012</w:t>
      </w:r>
      <w:r>
        <w:rPr>
          <w:spacing w:val="-3"/>
          <w:w w:val="100"/>
        </w:rPr>
        <w:t>年</w:t>
      </w:r>
      <w:r>
        <w:rPr>
          <w:rFonts w:ascii="Times New Roman" w:hAnsi="Times New Roman" w:cs="Times New Roman" w:eastAsia="Times New Roman" w:hint="default"/>
          <w:spacing w:val="-3"/>
          <w:w w:val="100"/>
        </w:rPr>
        <w:t>3</w:t>
      </w:r>
      <w:r>
        <w:rPr>
          <w:spacing w:val="-3"/>
          <w:w w:val="100"/>
        </w:rPr>
        <w:t>月</w:t>
      </w:r>
      <w:r>
        <w:rPr>
          <w:rFonts w:ascii="Times New Roman" w:hAnsi="Times New Roman" w:cs="Times New Roman" w:eastAsia="Times New Roman" w:hint="default"/>
          <w:spacing w:val="-3"/>
          <w:w w:val="100"/>
        </w:rPr>
        <w:t>29</w:t>
      </w:r>
      <w:r>
        <w:rPr>
          <w:spacing w:val="-3"/>
          <w:w w:val="100"/>
        </w:rPr>
        <w:t>日支付给原股东</w:t>
      </w:r>
      <w:r>
        <w:rPr>
          <w:rFonts w:ascii="Times New Roman" w:hAnsi="Times New Roman" w:cs="Times New Roman" w:eastAsia="Times New Roman" w:hint="default"/>
          <w:spacing w:val="-3"/>
          <w:w w:val="100"/>
        </w:rPr>
        <w:t>60%</w:t>
      </w:r>
      <w:r>
        <w:rPr>
          <w:spacing w:val="-3"/>
          <w:w w:val="100"/>
        </w:rPr>
        <w:t>的复深蓝股权</w:t>
      </w:r>
      <w:r>
        <w:rPr>
          <w:w w:val="100"/>
        </w:rPr>
        <w:t> </w:t>
      </w:r>
      <w:r>
        <w:rPr/>
        <w:t>转让款</w:t>
      </w:r>
      <w:r>
        <w:rPr>
          <w:rFonts w:ascii="Times New Roman" w:hAnsi="Times New Roman" w:cs="Times New Roman" w:eastAsia="Times New Roman" w:hint="default"/>
        </w:rPr>
        <w:t>1,284</w:t>
      </w:r>
      <w:r>
        <w:rPr/>
        <w:t>万元，并办理了相关工商登记变更手续。根据股权交易双方的股权交割确认书，公司对复深</w:t>
      </w:r>
      <w:r>
        <w:rPr>
          <w:spacing w:val="-37"/>
        </w:rPr>
        <w:t> </w:t>
      </w:r>
      <w:r>
        <w:rPr>
          <w:spacing w:val="-37"/>
        </w:rPr>
      </w:r>
      <w:r>
        <w:rPr/>
        <w:t>蓝的股权收购款的大部分已经支付</w:t>
      </w:r>
      <w:r>
        <w:rPr>
          <w:rFonts w:ascii="Times New Roman" w:hAnsi="Times New Roman" w:cs="Times New Roman" w:eastAsia="Times New Roman" w:hint="default"/>
        </w:rPr>
        <w:t>,</w:t>
      </w:r>
      <w:r>
        <w:rPr/>
        <w:t>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日起实质形成对复深蓝的控制。</w:t>
      </w:r>
      <w:r>
        <w:rPr>
          <w:w w:val="100"/>
        </w:rPr>
        <w:t> </w:t>
      </w:r>
      <w:r>
        <w:rPr/>
        <w:t>购买日确定为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p>
    <w:p>
      <w:pPr>
        <w:spacing w:line="240" w:lineRule="auto" w:before="3"/>
        <w:rPr>
          <w:rFonts w:ascii="宋体" w:hAnsi="宋体" w:cs="宋体" w:eastAsia="宋体" w:hint="default"/>
          <w:sz w:val="24"/>
          <w:szCs w:val="24"/>
        </w:rPr>
      </w:pPr>
    </w:p>
    <w:p>
      <w:pPr>
        <w:pStyle w:val="Heading3"/>
        <w:spacing w:line="240" w:lineRule="auto"/>
        <w:ind w:left="207" w:right="0"/>
        <w:jc w:val="left"/>
        <w:rPr>
          <w:b w:val="0"/>
          <w:bCs w:val="0"/>
        </w:rPr>
      </w:pPr>
      <w:r>
        <w:rPr/>
        <w:t>（</w:t>
      </w:r>
      <w:r>
        <w:rPr>
          <w:rFonts w:ascii="Times New Roman" w:hAnsi="Times New Roman" w:cs="Times New Roman" w:eastAsia="Times New Roman" w:hint="default"/>
        </w:rPr>
        <w:t>3</w:t>
      </w:r>
      <w:r>
        <w:rPr/>
        <w:t>）形成商誉情况</w:t>
      </w:r>
      <w:r>
        <w:rPr>
          <w:b w:val="0"/>
          <w:bCs w:val="0"/>
        </w:rPr>
      </w:r>
    </w:p>
    <w:p>
      <w:pPr>
        <w:spacing w:line="240" w:lineRule="auto" w:before="8"/>
        <w:rPr>
          <w:rFonts w:ascii="宋体" w:hAnsi="宋体" w:cs="宋体" w:eastAsia="宋体" w:hint="default"/>
          <w:b/>
          <w:bCs/>
          <w:sz w:val="2"/>
          <w:szCs w:val="2"/>
        </w:rPr>
      </w:pPr>
    </w:p>
    <w:tbl>
      <w:tblPr>
        <w:tblW w:w="0" w:type="auto"/>
        <w:jc w:val="left"/>
        <w:tblInd w:w="755" w:type="dxa"/>
        <w:tblLayout w:type="fixed"/>
        <w:tblCellMar>
          <w:top w:w="0" w:type="dxa"/>
          <w:left w:w="0" w:type="dxa"/>
          <w:bottom w:w="0" w:type="dxa"/>
          <w:right w:w="0" w:type="dxa"/>
        </w:tblCellMar>
        <w:tblLook w:val="01E0"/>
      </w:tblPr>
      <w:tblGrid>
        <w:gridCol w:w="1519"/>
        <w:gridCol w:w="1474"/>
        <w:gridCol w:w="1361"/>
        <w:gridCol w:w="1983"/>
        <w:gridCol w:w="1412"/>
      </w:tblGrid>
      <w:tr>
        <w:trPr>
          <w:trHeight w:val="665" w:hRule="exact"/>
        </w:trPr>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31" w:right="0"/>
              <w:jc w:val="left"/>
              <w:rPr>
                <w:rFonts w:ascii="宋体" w:hAnsi="宋体" w:cs="宋体" w:eastAsia="宋体" w:hint="default"/>
                <w:sz w:val="16"/>
                <w:szCs w:val="16"/>
              </w:rPr>
            </w:pPr>
            <w:r>
              <w:rPr>
                <w:rFonts w:ascii="宋体" w:hAnsi="宋体" w:cs="宋体" w:eastAsia="宋体" w:hint="default"/>
                <w:sz w:val="16"/>
                <w:szCs w:val="16"/>
              </w:rPr>
              <w:t>公司名称</w:t>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89" w:right="0"/>
              <w:jc w:val="left"/>
              <w:rPr>
                <w:rFonts w:ascii="宋体" w:hAnsi="宋体" w:cs="宋体" w:eastAsia="宋体" w:hint="default"/>
                <w:sz w:val="16"/>
                <w:szCs w:val="16"/>
              </w:rPr>
            </w:pPr>
            <w:r>
              <w:rPr>
                <w:rFonts w:ascii="宋体" w:hAnsi="宋体" w:cs="宋体" w:eastAsia="宋体" w:hint="default"/>
                <w:sz w:val="16"/>
                <w:szCs w:val="16"/>
              </w:rPr>
              <w:t>购买日</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352" w:right="0"/>
              <w:jc w:val="left"/>
              <w:rPr>
                <w:rFonts w:ascii="宋体" w:hAnsi="宋体" w:cs="宋体" w:eastAsia="宋体" w:hint="default"/>
                <w:sz w:val="16"/>
                <w:szCs w:val="16"/>
              </w:rPr>
            </w:pPr>
            <w:r>
              <w:rPr>
                <w:rFonts w:ascii="宋体" w:hAnsi="宋体" w:cs="宋体" w:eastAsia="宋体" w:hint="default"/>
                <w:sz w:val="16"/>
                <w:szCs w:val="16"/>
              </w:rPr>
              <w:t>购买成本</w:t>
            </w:r>
          </w:p>
        </w:tc>
        <w:tc>
          <w:tcPr>
            <w:tcW w:w="1983"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36"/>
              <w:ind w:left="503" w:right="20" w:hanging="480"/>
              <w:jc w:val="left"/>
              <w:rPr>
                <w:rFonts w:ascii="宋体" w:hAnsi="宋体" w:cs="宋体" w:eastAsia="宋体" w:hint="default"/>
                <w:sz w:val="16"/>
                <w:szCs w:val="16"/>
              </w:rPr>
            </w:pPr>
            <w:r>
              <w:rPr>
                <w:rFonts w:ascii="宋体" w:hAnsi="宋体" w:cs="宋体" w:eastAsia="宋体" w:hint="default"/>
                <w:sz w:val="16"/>
                <w:szCs w:val="16"/>
              </w:rPr>
              <w:t>取得被购买方可辨认净资产</w:t>
            </w:r>
            <w:r>
              <w:rPr>
                <w:rFonts w:ascii="宋体" w:hAnsi="宋体" w:cs="宋体" w:eastAsia="宋体" w:hint="default"/>
                <w:w w:val="100"/>
                <w:sz w:val="16"/>
                <w:szCs w:val="16"/>
              </w:rPr>
              <w:t> </w:t>
            </w:r>
            <w:r>
              <w:rPr>
                <w:rFonts w:ascii="宋体" w:hAnsi="宋体" w:cs="宋体" w:eastAsia="宋体" w:hint="default"/>
                <w:sz w:val="16"/>
                <w:szCs w:val="16"/>
              </w:rPr>
              <w:t>公允价值份额</w:t>
            </w:r>
          </w:p>
        </w:tc>
        <w:tc>
          <w:tcPr>
            <w:tcW w:w="14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left="376" w:right="0"/>
              <w:jc w:val="left"/>
              <w:rPr>
                <w:rFonts w:ascii="宋体" w:hAnsi="宋体" w:cs="宋体" w:eastAsia="宋体" w:hint="default"/>
                <w:sz w:val="16"/>
                <w:szCs w:val="16"/>
              </w:rPr>
            </w:pPr>
            <w:r>
              <w:rPr>
                <w:rFonts w:ascii="宋体" w:hAnsi="宋体" w:cs="宋体" w:eastAsia="宋体" w:hint="default"/>
                <w:sz w:val="16"/>
                <w:szCs w:val="16"/>
              </w:rPr>
              <w:t>商誉金额</w:t>
            </w:r>
          </w:p>
        </w:tc>
      </w:tr>
      <w:tr>
        <w:trPr>
          <w:trHeight w:val="665" w:hRule="exact"/>
        </w:trPr>
        <w:tc>
          <w:tcPr>
            <w:tcW w:w="1519"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4" w:right="55"/>
              <w:jc w:val="left"/>
              <w:rPr>
                <w:rFonts w:ascii="宋体" w:hAnsi="宋体" w:cs="宋体" w:eastAsia="宋体" w:hint="default"/>
                <w:sz w:val="16"/>
                <w:szCs w:val="16"/>
              </w:rPr>
            </w:pPr>
            <w:r>
              <w:rPr>
                <w:rFonts w:ascii="宋体" w:hAnsi="宋体" w:cs="宋体" w:eastAsia="宋体" w:hint="default"/>
                <w:sz w:val="16"/>
                <w:szCs w:val="16"/>
              </w:rPr>
              <w:t>上海复深蓝信息技术</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96" w:right="-1"/>
              <w:jc w:val="left"/>
              <w:rPr>
                <w:rFonts w:ascii="宋体" w:hAnsi="宋体" w:cs="宋体" w:eastAsia="宋体" w:hint="default"/>
                <w:sz w:val="16"/>
                <w:szCs w:val="16"/>
              </w:rPr>
            </w:pPr>
            <w:r>
              <w:rPr>
                <w:rFonts w:ascii="Times New Roman" w:hAnsi="Times New Roman" w:cs="Times New Roman" w:eastAsia="Times New Roman" w:hint="default"/>
                <w:sz w:val="16"/>
                <w:szCs w:val="16"/>
              </w:rPr>
              <w:t>2012</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w:t>
            </w:r>
          </w:p>
        </w:tc>
        <w:tc>
          <w:tcPr>
            <w:tcW w:w="13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24" w:right="0"/>
              <w:jc w:val="left"/>
              <w:rPr>
                <w:rFonts w:ascii="Times New Roman" w:hAnsi="Times New Roman" w:cs="Times New Roman" w:eastAsia="Times New Roman" w:hint="default"/>
                <w:sz w:val="16"/>
                <w:szCs w:val="16"/>
              </w:rPr>
            </w:pPr>
            <w:r>
              <w:rPr>
                <w:rFonts w:ascii="Times New Roman"/>
                <w:sz w:val="16"/>
              </w:rPr>
              <w:t>36,400,000.00</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1046" w:right="0"/>
              <w:jc w:val="left"/>
              <w:rPr>
                <w:rFonts w:ascii="Times New Roman" w:hAnsi="Times New Roman" w:cs="Times New Roman" w:eastAsia="Times New Roman" w:hint="default"/>
                <w:sz w:val="16"/>
                <w:szCs w:val="16"/>
              </w:rPr>
            </w:pPr>
            <w:r>
              <w:rPr>
                <w:rFonts w:ascii="Times New Roman"/>
                <w:sz w:val="16"/>
              </w:rPr>
              <w:t>12,097,984.06</w:t>
            </w:r>
          </w:p>
        </w:tc>
        <w:tc>
          <w:tcPr>
            <w:tcW w:w="1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left="475" w:right="0"/>
              <w:jc w:val="left"/>
              <w:rPr>
                <w:rFonts w:ascii="Times New Roman" w:hAnsi="Times New Roman" w:cs="Times New Roman" w:eastAsia="Times New Roman" w:hint="default"/>
                <w:sz w:val="16"/>
                <w:szCs w:val="16"/>
              </w:rPr>
            </w:pPr>
            <w:r>
              <w:rPr>
                <w:rFonts w:ascii="Times New Roman"/>
                <w:sz w:val="16"/>
              </w:rPr>
              <w:t>24,302,015.94</w:t>
            </w:r>
          </w:p>
        </w:tc>
      </w:tr>
    </w:tbl>
    <w:p>
      <w:pPr>
        <w:spacing w:line="240" w:lineRule="auto" w:before="2"/>
        <w:rPr>
          <w:rFonts w:ascii="宋体" w:hAnsi="宋体" w:cs="宋体" w:eastAsia="宋体" w:hint="default"/>
          <w:b/>
          <w:bCs/>
          <w:sz w:val="20"/>
          <w:szCs w:val="20"/>
        </w:rPr>
      </w:pPr>
    </w:p>
    <w:p>
      <w:pPr>
        <w:pStyle w:val="Heading3"/>
        <w:spacing w:line="240" w:lineRule="auto" w:before="36"/>
        <w:ind w:left="207" w:right="0"/>
        <w:jc w:val="left"/>
        <w:rPr>
          <w:b w:val="0"/>
          <w:bCs w:val="0"/>
        </w:rPr>
      </w:pPr>
      <w:r>
        <w:rPr>
          <w:rFonts w:ascii="Times New Roman" w:hAnsi="Times New Roman" w:cs="Times New Roman" w:eastAsia="Times New Roman" w:hint="default"/>
        </w:rPr>
        <w:t>2</w:t>
      </w:r>
      <w:r>
        <w:rPr/>
        <w:t>、被购买方可辨认资产和负债的情况</w:t>
      </w:r>
      <w:r>
        <w:rPr>
          <w:b w:val="0"/>
          <w:bCs w:val="0"/>
        </w:rPr>
      </w:r>
    </w:p>
    <w:p>
      <w:pPr>
        <w:spacing w:line="240" w:lineRule="auto" w:before="8"/>
        <w:rPr>
          <w:rFonts w:ascii="宋体" w:hAnsi="宋体" w:cs="宋体" w:eastAsia="宋体" w:hint="default"/>
          <w:b/>
          <w:bCs/>
          <w:sz w:val="2"/>
          <w:szCs w:val="2"/>
        </w:rPr>
      </w:pPr>
    </w:p>
    <w:tbl>
      <w:tblPr>
        <w:tblW w:w="0" w:type="auto"/>
        <w:jc w:val="left"/>
        <w:tblInd w:w="755" w:type="dxa"/>
        <w:tblLayout w:type="fixed"/>
        <w:tblCellMar>
          <w:top w:w="0" w:type="dxa"/>
          <w:left w:w="0" w:type="dxa"/>
          <w:bottom w:w="0" w:type="dxa"/>
          <w:right w:w="0" w:type="dxa"/>
        </w:tblCellMar>
        <w:tblLook w:val="01E0"/>
      </w:tblPr>
      <w:tblGrid>
        <w:gridCol w:w="1519"/>
        <w:gridCol w:w="1637"/>
        <w:gridCol w:w="1634"/>
        <w:gridCol w:w="1508"/>
        <w:gridCol w:w="1409"/>
      </w:tblGrid>
      <w:tr>
        <w:trPr>
          <w:trHeight w:val="355"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50"/>
                <w:sz w:val="16"/>
                <w:szCs w:val="16"/>
              </w:rPr>
              <w:t> </w:t>
            </w:r>
            <w:r>
              <w:rPr>
                <w:rFonts w:ascii="宋体" w:hAnsi="宋体" w:cs="宋体" w:eastAsia="宋体" w:hint="default"/>
                <w:sz w:val="16"/>
                <w:szCs w:val="16"/>
              </w:rPr>
              <w:t>目</w:t>
            </w:r>
          </w:p>
        </w:tc>
        <w:tc>
          <w:tcPr>
            <w:tcW w:w="327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5" w:right="0"/>
              <w:jc w:val="center"/>
              <w:rPr>
                <w:rFonts w:ascii="宋体" w:hAnsi="宋体" w:cs="宋体" w:eastAsia="宋体" w:hint="default"/>
                <w:sz w:val="16"/>
                <w:szCs w:val="16"/>
              </w:rPr>
            </w:pPr>
            <w:r>
              <w:rPr>
                <w:rFonts w:ascii="宋体" w:hAnsi="宋体" w:cs="宋体" w:eastAsia="宋体" w:hint="default"/>
                <w:sz w:val="16"/>
                <w:szCs w:val="16"/>
              </w:rPr>
              <w:t>购买日</w:t>
            </w:r>
          </w:p>
        </w:tc>
        <w:tc>
          <w:tcPr>
            <w:tcW w:w="2917"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38"/>
              <w:ind w:left="813" w:right="0"/>
              <w:jc w:val="left"/>
              <w:rPr>
                <w:rFonts w:ascii="宋体" w:hAnsi="宋体" w:cs="宋体" w:eastAsia="宋体" w:hint="default"/>
                <w:sz w:val="16"/>
                <w:szCs w:val="16"/>
              </w:rPr>
            </w:pPr>
            <w:r>
              <w:rPr>
                <w:rFonts w:ascii="宋体" w:hAnsi="宋体" w:cs="宋体" w:eastAsia="宋体" w:hint="default"/>
                <w:sz w:val="16"/>
                <w:szCs w:val="16"/>
              </w:rPr>
              <w:t>上一资产负债表日</w:t>
            </w:r>
          </w:p>
        </w:tc>
      </w:tr>
      <w:tr>
        <w:trPr>
          <w:trHeight w:val="353" w:hRule="exact"/>
        </w:trPr>
        <w:tc>
          <w:tcPr>
            <w:tcW w:w="1519" w:type="dxa"/>
            <w:vMerge/>
            <w:tcBorders>
              <w:left w:val="single" w:sz="6" w:space="0" w:color="000000"/>
              <w:bottom w:val="single" w:sz="12" w:space="0" w:color="000000"/>
              <w:right w:val="single" w:sz="6" w:space="0" w:color="000000"/>
            </w:tcBorders>
          </w:tcPr>
          <w:p>
            <w:pP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91"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89" w:right="0"/>
              <w:jc w:val="left"/>
              <w:rPr>
                <w:rFonts w:ascii="宋体" w:hAnsi="宋体" w:cs="宋体" w:eastAsia="宋体" w:hint="default"/>
                <w:sz w:val="16"/>
                <w:szCs w:val="16"/>
              </w:rPr>
            </w:pPr>
            <w:r>
              <w:rPr>
                <w:rFonts w:ascii="宋体" w:hAnsi="宋体" w:cs="宋体" w:eastAsia="宋体" w:hint="default"/>
                <w:sz w:val="16"/>
                <w:szCs w:val="16"/>
              </w:rPr>
              <w:t>公允价值</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27"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4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9"/>
              <w:ind w:left="379" w:right="0"/>
              <w:jc w:val="left"/>
              <w:rPr>
                <w:rFonts w:ascii="宋体" w:hAnsi="宋体" w:cs="宋体" w:eastAsia="宋体" w:hint="default"/>
                <w:sz w:val="16"/>
                <w:szCs w:val="16"/>
              </w:rPr>
            </w:pPr>
            <w:r>
              <w:rPr>
                <w:rFonts w:ascii="宋体" w:hAnsi="宋体" w:cs="宋体" w:eastAsia="宋体" w:hint="default"/>
                <w:sz w:val="16"/>
                <w:szCs w:val="16"/>
              </w:rPr>
              <w:t>公允价值</w:t>
            </w:r>
          </w:p>
        </w:tc>
      </w:tr>
      <w:tr>
        <w:trPr>
          <w:trHeight w:val="350" w:hRule="exact"/>
        </w:trPr>
        <w:tc>
          <w:tcPr>
            <w:tcW w:w="15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2"/>
                <w:sz w:val="16"/>
              </w:rPr>
              <w:t>22,896,628.22</w:t>
            </w:r>
          </w:p>
        </w:tc>
        <w:tc>
          <w:tcPr>
            <w:tcW w:w="1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2"/>
                <w:sz w:val="16"/>
              </w:rPr>
              <w:t>22,896,628.22</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8,210,501.52</w:t>
            </w:r>
          </w:p>
        </w:tc>
        <w:tc>
          <w:tcPr>
            <w:tcW w:w="14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6"/>
                <w:szCs w:val="16"/>
              </w:rPr>
            </w:pPr>
            <w:r>
              <w:rPr>
                <w:rFonts w:ascii="Times New Roman"/>
                <w:spacing w:val="-1"/>
                <w:sz w:val="16"/>
              </w:rPr>
              <w:t>8,210,501.52</w:t>
            </w:r>
          </w:p>
        </w:tc>
      </w:tr>
      <w:tr>
        <w:trPr>
          <w:trHeight w:val="353" w:hRule="exact"/>
        </w:trPr>
        <w:tc>
          <w:tcPr>
            <w:tcW w:w="15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685,204.64</w:t>
            </w:r>
          </w:p>
        </w:tc>
        <w:tc>
          <w:tcPr>
            <w:tcW w:w="1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685,204.64</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639,761.91</w:t>
            </w:r>
          </w:p>
        </w:tc>
        <w:tc>
          <w:tcPr>
            <w:tcW w:w="14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6"/>
                <w:szCs w:val="16"/>
              </w:rPr>
            </w:pPr>
            <w:r>
              <w:rPr>
                <w:rFonts w:ascii="Times New Roman"/>
                <w:spacing w:val="-1"/>
                <w:sz w:val="16"/>
              </w:rPr>
              <w:t>639,761.91</w:t>
            </w:r>
          </w:p>
        </w:tc>
      </w:tr>
      <w:tr>
        <w:trPr>
          <w:trHeight w:val="353" w:hRule="exact"/>
        </w:trPr>
        <w:tc>
          <w:tcPr>
            <w:tcW w:w="15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2,274,595.49</w:t>
            </w:r>
          </w:p>
        </w:tc>
        <w:tc>
          <w:tcPr>
            <w:tcW w:w="1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2,274,595.49</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2,446,246.44</w:t>
            </w:r>
          </w:p>
        </w:tc>
        <w:tc>
          <w:tcPr>
            <w:tcW w:w="14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6"/>
                <w:szCs w:val="16"/>
              </w:rPr>
            </w:pPr>
            <w:r>
              <w:rPr>
                <w:rFonts w:ascii="Times New Roman"/>
                <w:spacing w:val="-1"/>
                <w:sz w:val="16"/>
              </w:rPr>
              <w:t>2,446,246.44</w:t>
            </w:r>
          </w:p>
        </w:tc>
      </w:tr>
    </w:tbl>
    <w:p>
      <w:pPr>
        <w:spacing w:line="240" w:lineRule="auto" w:before="2"/>
        <w:rPr>
          <w:rFonts w:ascii="宋体" w:hAnsi="宋体" w:cs="宋体" w:eastAsia="宋体" w:hint="default"/>
          <w:b/>
          <w:bCs/>
          <w:sz w:val="20"/>
          <w:szCs w:val="20"/>
        </w:rPr>
      </w:pPr>
    </w:p>
    <w:p>
      <w:pPr>
        <w:pStyle w:val="Heading3"/>
        <w:spacing w:line="240" w:lineRule="auto" w:before="36"/>
        <w:ind w:left="207" w:right="0"/>
        <w:jc w:val="left"/>
        <w:rPr>
          <w:b w:val="0"/>
          <w:bCs w:val="0"/>
        </w:rPr>
      </w:pPr>
      <w:r>
        <w:rPr>
          <w:rFonts w:ascii="Times New Roman" w:hAnsi="Times New Roman" w:cs="Times New Roman" w:eastAsia="Times New Roman" w:hint="default"/>
        </w:rPr>
        <w:t>3</w:t>
      </w:r>
      <w:r>
        <w:rPr/>
        <w:t>、被购买方自购买日起至报告期期末的收入、净利润和现金流量等情况</w:t>
      </w:r>
      <w:r>
        <w:rPr>
          <w:b w:val="0"/>
          <w:bCs w:val="0"/>
        </w:rPr>
      </w:r>
    </w:p>
    <w:p>
      <w:pPr>
        <w:spacing w:line="240" w:lineRule="auto" w:before="8"/>
        <w:rPr>
          <w:rFonts w:ascii="宋体" w:hAnsi="宋体" w:cs="宋体" w:eastAsia="宋体" w:hint="default"/>
          <w:b/>
          <w:bCs/>
          <w:sz w:val="2"/>
          <w:szCs w:val="2"/>
        </w:rPr>
      </w:pPr>
    </w:p>
    <w:tbl>
      <w:tblPr>
        <w:tblW w:w="0" w:type="auto"/>
        <w:jc w:val="left"/>
        <w:tblInd w:w="755" w:type="dxa"/>
        <w:tblLayout w:type="fixed"/>
        <w:tblCellMar>
          <w:top w:w="0" w:type="dxa"/>
          <w:left w:w="0" w:type="dxa"/>
          <w:bottom w:w="0" w:type="dxa"/>
          <w:right w:w="0" w:type="dxa"/>
        </w:tblCellMar>
        <w:tblLook w:val="01E0"/>
      </w:tblPr>
      <w:tblGrid>
        <w:gridCol w:w="2367"/>
        <w:gridCol w:w="1702"/>
        <w:gridCol w:w="1700"/>
        <w:gridCol w:w="1988"/>
      </w:tblGrid>
      <w:tr>
        <w:trPr>
          <w:trHeight w:val="667" w:hRule="exact"/>
        </w:trPr>
        <w:tc>
          <w:tcPr>
            <w:tcW w:w="2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被购买方</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38"/>
              <w:ind w:left="683" w:right="38" w:hanging="641"/>
              <w:jc w:val="left"/>
              <w:rPr>
                <w:rFonts w:ascii="宋体" w:hAnsi="宋体" w:cs="宋体" w:eastAsia="宋体" w:hint="default"/>
                <w:sz w:val="16"/>
                <w:szCs w:val="16"/>
              </w:rPr>
            </w:pPr>
            <w:r>
              <w:rPr>
                <w:rFonts w:ascii="宋体" w:hAnsi="宋体" w:cs="宋体" w:eastAsia="宋体" w:hint="default"/>
                <w:sz w:val="16"/>
                <w:szCs w:val="16"/>
              </w:rPr>
              <w:t>自购买日至本期期末的</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收入</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38"/>
              <w:ind w:left="604" w:right="36" w:hanging="562"/>
              <w:jc w:val="left"/>
              <w:rPr>
                <w:rFonts w:ascii="宋体" w:hAnsi="宋体" w:cs="宋体" w:eastAsia="宋体" w:hint="default"/>
                <w:sz w:val="16"/>
                <w:szCs w:val="16"/>
              </w:rPr>
            </w:pPr>
            <w:r>
              <w:rPr>
                <w:rFonts w:ascii="宋体" w:hAnsi="宋体" w:cs="宋体" w:eastAsia="宋体" w:hint="default"/>
                <w:sz w:val="16"/>
                <w:szCs w:val="16"/>
              </w:rPr>
              <w:t>自购买日至本期期末的</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净利润</w:t>
            </w:r>
          </w:p>
        </w:tc>
        <w:tc>
          <w:tcPr>
            <w:tcW w:w="1988" w:type="dxa"/>
            <w:tcBorders>
              <w:top w:val="single" w:sz="6" w:space="0" w:color="000000"/>
              <w:left w:val="single" w:sz="6" w:space="0" w:color="000000"/>
              <w:bottom w:val="single" w:sz="12" w:space="0" w:color="000000"/>
              <w:right w:val="nil" w:sz="6" w:space="0" w:color="auto"/>
            </w:tcBorders>
          </w:tcPr>
          <w:p>
            <w:pPr>
              <w:pStyle w:val="TableParagraph"/>
              <w:spacing w:line="357" w:lineRule="auto" w:before="38"/>
              <w:ind w:left="506" w:right="29" w:hanging="480"/>
              <w:jc w:val="left"/>
              <w:rPr>
                <w:rFonts w:ascii="宋体" w:hAnsi="宋体" w:cs="宋体" w:eastAsia="宋体" w:hint="default"/>
                <w:sz w:val="16"/>
                <w:szCs w:val="16"/>
              </w:rPr>
            </w:pPr>
            <w:r>
              <w:rPr>
                <w:rFonts w:ascii="宋体" w:hAnsi="宋体" w:cs="宋体" w:eastAsia="宋体" w:hint="default"/>
                <w:spacing w:val="-1"/>
                <w:sz w:val="16"/>
                <w:szCs w:val="16"/>
              </w:rPr>
              <w:t>自购买日至本期期末的经营</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活动净现金流</w:t>
            </w:r>
          </w:p>
        </w:tc>
      </w:tr>
      <w:tr>
        <w:trPr>
          <w:trHeight w:val="353" w:hRule="exact"/>
        </w:trPr>
        <w:tc>
          <w:tcPr>
            <w:tcW w:w="23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上海复深蓝信息技术有限公司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765" w:right="0"/>
              <w:jc w:val="left"/>
              <w:rPr>
                <w:rFonts w:ascii="Times New Roman" w:hAnsi="Times New Roman" w:cs="Times New Roman" w:eastAsia="Times New Roman" w:hint="default"/>
                <w:sz w:val="16"/>
                <w:szCs w:val="16"/>
              </w:rPr>
            </w:pPr>
            <w:r>
              <w:rPr>
                <w:rFonts w:ascii="Times New Roman"/>
                <w:sz w:val="16"/>
              </w:rPr>
              <w:t>43,764,381.00</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845" w:right="-1"/>
              <w:jc w:val="left"/>
              <w:rPr>
                <w:rFonts w:ascii="Times New Roman" w:hAnsi="Times New Roman" w:cs="Times New Roman" w:eastAsia="Times New Roman" w:hint="default"/>
                <w:sz w:val="16"/>
                <w:szCs w:val="16"/>
              </w:rPr>
            </w:pPr>
            <w:r>
              <w:rPr>
                <w:rFonts w:ascii="Times New Roman"/>
                <w:sz w:val="16"/>
              </w:rPr>
              <w:t>5,420,344.18</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left="1077" w:right="0"/>
              <w:jc w:val="left"/>
              <w:rPr>
                <w:rFonts w:ascii="Times New Roman" w:hAnsi="Times New Roman" w:cs="Times New Roman" w:eastAsia="Times New Roman" w:hint="default"/>
                <w:sz w:val="16"/>
                <w:szCs w:val="16"/>
              </w:rPr>
            </w:pPr>
            <w:r>
              <w:rPr>
                <w:rFonts w:ascii="Times New Roman"/>
                <w:sz w:val="16"/>
              </w:rPr>
              <w:t>-3,860,411.16</w:t>
            </w:r>
          </w:p>
        </w:tc>
      </w:tr>
    </w:tbl>
    <w:p>
      <w:pPr>
        <w:spacing w:after="0" w:line="240" w:lineRule="auto"/>
        <w:jc w:val="left"/>
        <w:rPr>
          <w:rFonts w:ascii="Times New Roman" w:hAnsi="Times New Roman" w:cs="Times New Roman" w:eastAsia="Times New Roman" w:hint="default"/>
          <w:sz w:val="16"/>
          <w:szCs w:val="16"/>
        </w:rPr>
        <w:sectPr>
          <w:pgSz w:w="11910" w:h="16840"/>
          <w:pgMar w:header="745" w:footer="0" w:top="1060" w:bottom="2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4"/>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7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4"/>
        <w:rPr>
          <w:rFonts w:ascii="宋体" w:hAnsi="宋体" w:cs="宋体" w:eastAsia="宋体" w:hint="default"/>
          <w:b/>
          <w:bCs/>
          <w:sz w:val="26"/>
          <w:szCs w:val="26"/>
        </w:rPr>
      </w:pPr>
    </w:p>
    <w:p>
      <w:pPr>
        <w:tabs>
          <w:tab w:pos="1636" w:val="left" w:leader="none"/>
        </w:tabs>
        <w:spacing w:before="0"/>
        <w:ind w:left="152"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美元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汇率</w:t>
      </w:r>
      <w:r>
        <w:rPr>
          <w:rFonts w:ascii="Times New Roman" w:hAnsi="Times New Roman" w:cs="Times New Roman" w:eastAsia="Times New Roman" w:hint="default"/>
          <w:spacing w:val="-1"/>
          <w:sz w:val="18"/>
          <w:szCs w:val="18"/>
        </w:rPr>
        <w:t>6.2855</w:t>
        <w:tab/>
      </w:r>
      <w:r>
        <w:rPr>
          <w:rFonts w:ascii="宋体" w:hAnsi="宋体" w:cs="宋体" w:eastAsia="宋体" w:hint="default"/>
          <w:spacing w:val="-1"/>
          <w:sz w:val="18"/>
          <w:szCs w:val="18"/>
        </w:rPr>
        <w:t>港币</w:t>
      </w:r>
      <w:r>
        <w:rPr>
          <w:rFonts w:ascii="Times New Roman" w:hAnsi="Times New Roman" w:cs="Times New Roman" w:eastAsia="Times New Roman" w:hint="default"/>
          <w:spacing w:val="-1"/>
          <w:sz w:val="18"/>
          <w:szCs w:val="18"/>
        </w:rPr>
        <w:t>:0.81085</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0"/>
        <w:jc w:val="left"/>
        <w:rPr>
          <w:b w:val="0"/>
          <w:bCs w:val="0"/>
        </w:rPr>
      </w:pPr>
      <w:r>
        <w:rPr/>
        <w:t>七、合并财务报表主要项目注释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1"/>
        <w:gridCol w:w="1594"/>
      </w:tblGrid>
      <w:tr>
        <w:trPr>
          <w:trHeight w:val="204"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81,392.63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123,980.82</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81,392.63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123,980.82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364,750,181.66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387,991,101.84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362,584,411.86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386,328,467.79</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340,493.03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2,140,168.94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262,850.86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1,656,196.99</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31,572.87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0.81085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25,600.86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7,940.13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0.8107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6,437.06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2,499,458.16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746,938.00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2,499,458.16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746,938.00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367,331,032.45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388,862,020.66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40" w:lineRule="auto" w:before="97"/>
        <w:ind w:left="870" w:right="0"/>
        <w:jc w:val="left"/>
      </w:pPr>
      <w:r>
        <w:rPr/>
        <w:t>其中受限制的货币资金明细如下：</w:t>
      </w:r>
    </w:p>
    <w:p>
      <w:pPr>
        <w:spacing w:line="240" w:lineRule="auto" w:before="10"/>
        <w:rPr>
          <w:rFonts w:ascii="宋体" w:hAnsi="宋体" w:cs="宋体" w:eastAsia="宋体" w:hint="default"/>
          <w:sz w:val="3"/>
          <w:szCs w:val="3"/>
        </w:rPr>
      </w:pPr>
    </w:p>
    <w:tbl>
      <w:tblPr>
        <w:tblW w:w="0" w:type="auto"/>
        <w:jc w:val="left"/>
        <w:tblInd w:w="854" w:type="dxa"/>
        <w:tblLayout w:type="fixed"/>
        <w:tblCellMar>
          <w:top w:w="0" w:type="dxa"/>
          <w:left w:w="0" w:type="dxa"/>
          <w:bottom w:w="0" w:type="dxa"/>
          <w:right w:w="0" w:type="dxa"/>
        </w:tblCellMar>
        <w:tblLook w:val="01E0"/>
      </w:tblPr>
      <w:tblGrid>
        <w:gridCol w:w="3488"/>
        <w:gridCol w:w="2141"/>
        <w:gridCol w:w="2028"/>
      </w:tblGrid>
      <w:tr>
        <w:trPr>
          <w:trHeight w:val="353" w:hRule="exact"/>
        </w:trPr>
        <w:tc>
          <w:tcPr>
            <w:tcW w:w="3488" w:type="dxa"/>
            <w:tcBorders>
              <w:top w:val="single" w:sz="6" w:space="0" w:color="000000"/>
              <w:left w:val="single" w:sz="6" w:space="0" w:color="000000"/>
              <w:bottom w:val="single" w:sz="12" w:space="0" w:color="000000"/>
              <w:right w:val="single" w:sz="6" w:space="0" w:color="000000"/>
            </w:tcBorders>
          </w:tcPr>
          <w:p>
            <w:pPr>
              <w:pStyle w:val="TableParagraph"/>
              <w:tabs>
                <w:tab w:pos="631" w:val="left" w:leader="none"/>
              </w:tabs>
              <w:spacing w:line="272" w:lineRule="exact"/>
              <w:ind w:right="131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4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43"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028"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587"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348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141" w:type="dxa"/>
            <w:tcBorders>
              <w:top w:val="single" w:sz="12" w:space="0" w:color="000000"/>
              <w:left w:val="single" w:sz="6" w:space="0" w:color="000000"/>
              <w:bottom w:val="single" w:sz="12" w:space="0" w:color="000000"/>
              <w:right w:val="single" w:sz="6" w:space="0" w:color="000000"/>
            </w:tcBorders>
          </w:tcPr>
          <w:p>
            <w:pPr/>
          </w:p>
        </w:tc>
        <w:tc>
          <w:tcPr>
            <w:tcW w:w="202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48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2,499,458.16</w:t>
            </w:r>
          </w:p>
        </w:tc>
        <w:tc>
          <w:tcPr>
            <w:tcW w:w="2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746,938.00</w:t>
            </w:r>
          </w:p>
        </w:tc>
      </w:tr>
      <w:tr>
        <w:trPr>
          <w:trHeight w:val="353" w:hRule="exact"/>
        </w:trPr>
        <w:tc>
          <w:tcPr>
            <w:tcW w:w="3488" w:type="dxa"/>
            <w:tcBorders>
              <w:top w:val="single" w:sz="12" w:space="0" w:color="000000"/>
              <w:left w:val="single" w:sz="6" w:space="0" w:color="000000"/>
              <w:bottom w:val="single" w:sz="12" w:space="0" w:color="000000"/>
              <w:right w:val="single" w:sz="6" w:space="0" w:color="000000"/>
            </w:tcBorders>
          </w:tcPr>
          <w:p>
            <w:pPr>
              <w:pStyle w:val="TableParagraph"/>
              <w:tabs>
                <w:tab w:pos="631" w:val="left" w:leader="none"/>
              </w:tabs>
              <w:spacing w:line="262" w:lineRule="exact"/>
              <w:ind w:right="131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2,499,458.16</w:t>
            </w:r>
          </w:p>
        </w:tc>
        <w:tc>
          <w:tcPr>
            <w:tcW w:w="2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746,938.00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3,586,715.00</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3,586,715.00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59" w:lineRule="auto" w:before="36"/>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2"/>
        </w:rPr>
        <w:t> </w:t>
      </w:r>
      <w:r>
        <w:rPr>
          <w:spacing w:val="-62"/>
        </w:rPr>
      </w:r>
      <w:r>
        <w:rPr/>
        <w:t>情况</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0" w:top="1060" w:bottom="280" w:left="980" w:right="980"/>
        </w:sectPr>
      </w:pPr>
    </w:p>
    <w:p>
      <w:pPr>
        <w:spacing w:line="360" w:lineRule="auto" w:before="49"/>
        <w:ind w:left="152" w:right="2860"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3393" w:space="54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360" w:lineRule="auto" w:before="49"/>
        <w:ind w:left="152" w:right="941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已贴现或质押的商业承兑票据的说明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1339"/>
        <w:gridCol w:w="1340"/>
        <w:gridCol w:w="1433"/>
        <w:gridCol w:w="1339"/>
        <w:gridCol w:w="1337"/>
        <w:gridCol w:w="1339"/>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定期存款应收利息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3,511,594.60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3,795,205.48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3,511,594.60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3,795,205.48</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3,511,594.60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3,795,205.48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3,511,594.60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3,795,205.48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type w:val="continuous"/>
          <w:pgSz w:w="11910" w:h="16840"/>
          <w:pgMar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98,404,622.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1,563,171.8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55,534,34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1,240,808.06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98,404,622.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1,563,171.8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55,534,34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1,240,808.06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98,404,622.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1,563,171.8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55,534,34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1,240,808.06</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0" w:top="1060" w:bottom="280" w:left="980" w:right="980"/>
        </w:sectPr>
      </w:pPr>
    </w:p>
    <w:p>
      <w:pPr>
        <w:spacing w:line="331"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w:t>
      </w:r>
      <w:r>
        <w:rPr>
          <w:rFonts w:ascii="宋体" w:hAnsi="宋体" w:cs="宋体" w:eastAsia="宋体" w:hint="default"/>
          <w:sz w:val="21"/>
          <w:szCs w:val="21"/>
        </w:rPr>
        <w:t>采用账龄分析法计提坏账准备</w:t>
      </w:r>
      <w:r>
        <w:rPr>
          <w:rFonts w:ascii="宋体" w:hAnsi="宋体" w:cs="宋体" w:eastAsia="宋体" w:hint="default"/>
          <w:w w:val="100"/>
          <w:sz w:val="21"/>
          <w:szCs w:val="21"/>
        </w:rPr>
        <w:t> </w:t>
      </w:r>
      <w:r>
        <w:rPr>
          <w:rFonts w:ascii="宋体" w:hAnsi="宋体" w:cs="宋体" w:eastAsia="宋体" w:hint="default"/>
          <w:sz w:val="18"/>
          <w:szCs w:val="18"/>
        </w:rPr>
        <w:t>期末单项金额重大并单项计提坏账准备的应收账款</w:t>
      </w:r>
    </w:p>
    <w:p>
      <w:pPr>
        <w:spacing w:line="338" w:lineRule="auto" w:before="49"/>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343"/>
        <w:gridCol w:w="1251"/>
        <w:gridCol w:w="929"/>
        <w:gridCol w:w="1728"/>
        <w:gridCol w:w="1459"/>
        <w:gridCol w:w="931"/>
        <w:gridCol w:w="1460"/>
      </w:tblGrid>
      <w:tr>
        <w:trPr>
          <w:trHeight w:val="403"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7" w:type="dxa"/>
            <w:vMerge/>
            <w:tcBorders>
              <w:left w:val="single" w:sz="4" w:space="0" w:color="000000"/>
              <w:right w:val="single" w:sz="4" w:space="0" w:color="000000"/>
            </w:tcBorders>
            <w:shd w:val="clear" w:color="auto" w:fill="D2D2D2"/>
          </w:tcPr>
          <w:p>
            <w:pPr/>
          </w:p>
        </w:tc>
        <w:tc>
          <w:tcPr>
            <w:tcW w:w="25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71,836,097.96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73%</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32,468,220.20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58.46%</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23,523,076.50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1,176,153.82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22,419,311.90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40.37%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1,120,965.61</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75"/>
                <w:sz w:val="18"/>
                <w:szCs w:val="18"/>
              </w:rPr>
              <w:t>年</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343" w:type="dxa"/>
            <w:tcBorders>
              <w:top w:val="single" w:sz="4" w:space="0" w:color="000000"/>
              <w:left w:val="single" w:sz="4" w:space="0" w:color="000000"/>
              <w:bottom w:val="single" w:sz="4" w:space="0" w:color="000000"/>
              <w:right w:val="nil" w:sz="6" w:space="0" w:color="auto"/>
            </w:tcBorders>
          </w:tcPr>
          <w:p>
            <w:pPr/>
          </w:p>
        </w:tc>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2,639,212.03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263,921.21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421,306.04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42,130.60</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75"/>
                <w:sz w:val="18"/>
                <w:szCs w:val="18"/>
              </w:rPr>
              <w:t>年</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343" w:type="dxa"/>
            <w:tcBorders>
              <w:top w:val="single" w:sz="4" w:space="0" w:color="000000"/>
              <w:left w:val="single" w:sz="4" w:space="0" w:color="000000"/>
              <w:bottom w:val="single" w:sz="4" w:space="0" w:color="000000"/>
              <w:right w:val="nil" w:sz="6" w:space="0" w:color="auto"/>
            </w:tcBorders>
          </w:tcPr>
          <w:p>
            <w:pPr/>
          </w:p>
        </w:tc>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293,404.00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58,680.80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23,360.00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75"/>
                <w:sz w:val="18"/>
                <w:szCs w:val="18"/>
              </w:rPr>
              <w:t>年</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343" w:type="dxa"/>
            <w:tcBorders>
              <w:top w:val="single" w:sz="4" w:space="0" w:color="000000"/>
              <w:left w:val="single" w:sz="4" w:space="0" w:color="000000"/>
              <w:bottom w:val="single" w:sz="4" w:space="0" w:color="000000"/>
              <w:right w:val="nil" w:sz="6" w:space="0" w:color="auto"/>
            </w:tcBorders>
          </w:tcPr>
          <w:p>
            <w:pPr/>
          </w:p>
        </w:tc>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96,832.00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48,416.00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108,703.70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54,351.85</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16,000.00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98,404,622.49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1,563,171.83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55,534,341.84</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1,240,808.06</w:t>
            </w:r>
          </w:p>
        </w:tc>
      </w:tr>
    </w:tbl>
    <w:p>
      <w:pPr>
        <w:spacing w:before="49"/>
        <w:ind w:left="152" w:right="0" w:firstLine="0"/>
        <w:jc w:val="left"/>
        <w:rPr>
          <w:rFonts w:ascii="宋体" w:hAnsi="宋体" w:cs="宋体" w:eastAsia="宋体" w:hint="default"/>
          <w:sz w:val="18"/>
          <w:szCs w:val="18"/>
        </w:rPr>
      </w:pPr>
      <w:r>
        <w:rPr/>
        <w:pict>
          <v:shape style="position:absolute;margin-left:115.220001pt;margin-top:-100.458282pt;width:93.15pt;height:19.6pt;mso-position-horizontal-relative:page;mso-position-vertical-relative:paragraph;z-index:-8267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txbxContent>
            </v:textbox>
            <w10:wrap type="none"/>
          </v:shape>
        </w:pict>
      </w:r>
      <w:r>
        <w:rPr/>
        <w:pict>
          <v:shape style="position:absolute;margin-left:115.220001pt;margin-top:-80.394287pt;width:93.15pt;height:19.7pt;mso-position-horizontal-relative:page;mso-position-vertical-relative:paragraph;z-index:-8267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txbxContent>
            </v:textbox>
            <w10:wrap type="none"/>
          </v:shape>
        </w:pict>
      </w:r>
      <w:r>
        <w:rPr/>
        <w:pict>
          <v:shape style="position:absolute;margin-left:115.220001pt;margin-top:-60.234283pt;width:93.15pt;height:19.6pt;mso-position-horizontal-relative:page;mso-position-vertical-relative:paragraph;z-index:-82672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txbxContent>
            </v:textbox>
            <w10:wrap type="none"/>
          </v:shape>
        </w:pict>
      </w:r>
      <w:r>
        <w:rPr/>
        <w:pict>
          <v:group style="position:absolute;margin-left:130.220001pt;margin-top:-101.058281pt;width:78.150pt;height:61pt;mso-position-horizontal-relative:page;mso-position-vertical-relative:paragraph;z-index:-826696" coordorigin="2604,-2021" coordsize="1563,1220">
            <v:group style="position:absolute;left:2616;top:-2009;width:2;height:392" coordorigin="2616,-2009" coordsize="2,392">
              <v:shape style="position:absolute;left:2616;top:-2009;width:2;height:392" coordorigin="2616,-2009" coordsize="0,392" path="m2616,-2009l2616,-1617e" filled="false" stroked="true" strokeweight="1.2pt" strokecolor="#ffffff">
                <v:path arrowok="t"/>
              </v:shape>
            </v:group>
            <v:group style="position:absolute;left:2628;top:-2009;width:1539;height:392" coordorigin="2628,-2009" coordsize="1539,392">
              <v:shape style="position:absolute;left:2628;top:-2009;width:1539;height:392" coordorigin="2628,-2009" coordsize="1539,392" path="m2628,-1617l4167,-1617,4167,-2009,2628,-2009,2628,-1617xe" filled="true" fillcolor="#ffffff" stroked="false">
                <v:path arrowok="t"/>
                <v:fill type="solid"/>
              </v:shape>
            </v:group>
            <v:group style="position:absolute;left:2616;top:-1608;width:2;height:394" coordorigin="2616,-1608" coordsize="2,394">
              <v:shape style="position:absolute;left:2616;top:-1608;width:2;height:394" coordorigin="2616,-1608" coordsize="0,394" path="m2616,-1608l2616,-1214e" filled="false" stroked="true" strokeweight="1.2pt" strokecolor="#ffffff">
                <v:path arrowok="t"/>
              </v:shape>
            </v:group>
            <v:group style="position:absolute;left:2628;top:-1608;width:1539;height:394" coordorigin="2628,-1608" coordsize="1539,394">
              <v:shape style="position:absolute;left:2628;top:-1608;width:1539;height:394" coordorigin="2628,-1608" coordsize="1539,394" path="m2628,-1214l4167,-1214,4167,-1608,2628,-1608,2628,-1214xe" filled="true" fillcolor="#ffffff" stroked="false">
                <v:path arrowok="t"/>
                <v:fill type="solid"/>
              </v:shape>
            </v:group>
            <v:group style="position:absolute;left:2616;top:-1205;width:2;height:392" coordorigin="2616,-1205" coordsize="2,392">
              <v:shape style="position:absolute;left:2616;top:-1205;width:2;height:392" coordorigin="2616,-1205" coordsize="0,392" path="m2616,-1205l2616,-813e" filled="false" stroked="true" strokeweight="1.2pt" strokecolor="#ffffff">
                <v:path arrowok="t"/>
              </v:shape>
            </v:group>
            <v:group style="position:absolute;left:2628;top:-1205;width:1539;height:392" coordorigin="2628,-1205" coordsize="1539,392">
              <v:shape style="position:absolute;left:2628;top:-1205;width:1539;height:392" coordorigin="2628,-1205" coordsize="1539,392" path="m2628,-813l4167,-813,4167,-1205,2628,-1205,2628,-813xe" filled="true" fillcolor="#ffffff" stroked="false">
                <v:path arrowok="t"/>
                <v:fill type="solid"/>
              </v:shape>
            </v:group>
            <w10:wrap type="none"/>
          </v:group>
        </w:pict>
      </w:r>
      <w:r>
        <w:rPr>
          <w:rFonts w:ascii="宋体" w:hAnsi="宋体" w:cs="宋体" w:eastAsia="宋体" w:hint="default"/>
          <w:sz w:val="18"/>
          <w:szCs w:val="18"/>
        </w:rPr>
        <w:t>组合中，采用余额百分比法计提坏账准备的应收账款</w:t>
      </w:r>
    </w:p>
    <w:p>
      <w:pPr>
        <w:spacing w:after="0"/>
        <w:jc w:val="left"/>
        <w:rPr>
          <w:rFonts w:ascii="宋体" w:hAnsi="宋体" w:cs="宋体" w:eastAsia="宋体" w:hint="default"/>
          <w:sz w:val="18"/>
          <w:szCs w:val="18"/>
        </w:rPr>
        <w:sectPr>
          <w:type w:val="continuous"/>
          <w:pgSz w:w="11910" w:h="16840"/>
          <w:pgMar w:top="1060" w:bottom="280" w:left="980" w:right="980"/>
        </w:sectPr>
      </w:pPr>
    </w:p>
    <w:p>
      <w:pPr>
        <w:spacing w:line="240" w:lineRule="auto" w:before="9"/>
        <w:rPr>
          <w:rFonts w:ascii="宋体" w:hAnsi="宋体" w:cs="宋体" w:eastAsia="宋体" w:hint="default"/>
          <w:sz w:val="25"/>
          <w:szCs w:val="25"/>
        </w:rPr>
      </w:pPr>
    </w:p>
    <w:p>
      <w:pPr>
        <w:spacing w:line="340" w:lineRule="auto" w:before="44"/>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59"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line="357" w:lineRule="auto" w:before="49"/>
        <w:ind w:left="152" w:right="8334"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8"/>
        <w:gridCol w:w="1729"/>
        <w:gridCol w:w="1594"/>
        <w:gridCol w:w="1860"/>
        <w:gridCol w:w="1723"/>
      </w:tblGrid>
      <w:tr>
        <w:trPr>
          <w:trHeight w:val="403" w:hRule="exact"/>
        </w:trPr>
        <w:tc>
          <w:tcPr>
            <w:tcW w:w="2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8"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133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14,342,566.68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天以内</w:t>
            </w:r>
          </w:p>
          <w:p>
            <w:pPr>
              <w:pStyle w:val="TableParagraph"/>
              <w:tabs>
                <w:tab w:pos="1600" w:val="left" w:leader="none"/>
              </w:tabs>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13,570,451.01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tab/>
            </w:r>
            <w:r>
              <w:rPr>
                <w:rFonts w:ascii="Times New Roman" w:hAnsi="Times New Roman" w:cs="Times New Roman" w:eastAsia="Times New Roman" w:hint="default"/>
                <w:sz w:val="18"/>
                <w:szCs w:val="18"/>
              </w:rPr>
              <w:t>90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天至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772,115.67</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14.58%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7"/>
              <w:jc w:val="center"/>
              <w:rPr>
                <w:rFonts w:ascii="宋体" w:hAnsi="宋体" w:cs="宋体" w:eastAsia="宋体" w:hint="default"/>
                <w:sz w:val="18"/>
                <w:szCs w:val="18"/>
              </w:rPr>
            </w:pPr>
            <w:r>
              <w:rPr>
                <w:rFonts w:ascii="宋体" w:hAnsi="宋体" w:cs="宋体" w:eastAsia="宋体" w:hint="default"/>
                <w:sz w:val="18"/>
                <w:szCs w:val="18"/>
              </w:rPr>
              <w:t>中国移动通信集团浙江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8,721,905.29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天以内</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8,476,653.75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67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tabs>
                <w:tab w:pos="475" w:val="left" w:leader="none"/>
              </w:tabs>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元</w:t>
              <w:tab/>
            </w:r>
            <w:r>
              <w:rPr>
                <w:rFonts w:ascii="Times New Roman" w:hAnsi="Times New Roman" w:cs="Times New Roman" w:eastAsia="Times New Roman" w:hint="default"/>
                <w:sz w:val="18"/>
                <w:szCs w:val="18"/>
              </w:rPr>
              <w:t>90 </w:t>
            </w:r>
            <w:r>
              <w:rPr>
                <w:rFonts w:ascii="宋体" w:hAnsi="宋体" w:cs="宋体" w:eastAsia="宋体" w:hint="default"/>
                <w:sz w:val="18"/>
                <w:szCs w:val="18"/>
              </w:rPr>
              <w:t>天至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245,251.54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5,029,884.13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天以内</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1,209,287.80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  </w:t>
            </w:r>
            <w:r>
              <w:rPr>
                <w:rFonts w:ascii="Times New Roman" w:hAnsi="Times New Roman" w:cs="Times New Roman" w:eastAsia="Times New Roman" w:hint="default"/>
                <w:sz w:val="18"/>
                <w:szCs w:val="18"/>
              </w:rPr>
              <w:t>90 </w:t>
            </w:r>
            <w:r>
              <w:rPr>
                <w:rFonts w:ascii="宋体" w:hAnsi="宋体" w:cs="宋体" w:eastAsia="宋体" w:hint="default"/>
                <w:sz w:val="18"/>
                <w:szCs w:val="18"/>
              </w:rPr>
              <w:t>天至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3,820,596.33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5.11%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衣念（上海）时装贸易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4,881,832.00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戴尔（中国）有限公司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4,618,511.02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天以内</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1,812,950.71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  </w:t>
            </w:r>
            <w:r>
              <w:rPr>
                <w:rFonts w:ascii="Times New Roman" w:hAnsi="Times New Roman" w:cs="Times New Roman" w:eastAsia="Times New Roman" w:hint="default"/>
                <w:sz w:val="18"/>
                <w:szCs w:val="18"/>
              </w:rPr>
              <w:t>90 </w:t>
            </w:r>
            <w:r>
              <w:rPr>
                <w:rFonts w:ascii="宋体" w:hAnsi="宋体" w:cs="宋体" w:eastAsia="宋体" w:hint="default"/>
                <w:sz w:val="18"/>
                <w:szCs w:val="18"/>
              </w:rPr>
              <w:t>天至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2,805,560.31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37,594,699.12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9"/>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6"/>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846;top:14;width:2;height:392" coordorigin="3846,14" coordsize="2,392">
              <v:shape style="position:absolute;left:3846;top:14;width:2;height:392" coordorigin="3846,14" coordsize="0,392" path="m3846,14l3846,406e" filled="false" stroked="true" strokeweight="1.2pt" strokecolor="#d2d2d2">
                <v:path arrowok="t"/>
              </v:shape>
            </v:group>
            <v:group style="position:absolute;left:34;top:14;width:3801;height:392" coordorigin="34,14" coordsize="3801,392">
              <v:shape style="position:absolute;left:34;top:14;width:3801;height:392" coordorigin="34,14" coordsize="3801,392" path="m34,406l3834,406,3834,14,34,14,34,406xe" filled="true" fillcolor="#d2d2d2" stroked="false">
                <v:path arrowok="t"/>
                <v:fill type="solid"/>
              </v:shape>
            </v:group>
            <v:group style="position:absolute;left:3879;top:14;width:2;height:392" coordorigin="3879,14" coordsize="2,392">
              <v:shape style="position:absolute;left:3879;top:14;width:2;height:392" coordorigin="3879,14" coordsize="0,392" path="m3879,14l3879,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891;top:14;width:5656;height:392" coordorigin="3891,14" coordsize="5656,392">
              <v:shape style="position:absolute;left:3891;top:14;width:5656;height:392" coordorigin="3891,14" coordsize="5656,392" path="m3891,406l9547,406,9547,14,3891,14,3891,406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001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001pt" strokecolor="#000000">
                <v:path arrowok="t"/>
              </v:shape>
            </v:group>
            <v:group style="position:absolute;left:3863;top:5;width:2;height:411" coordorigin="3863,5" coordsize="2,411">
              <v:shape style="position:absolute;left:3863;top:5;width:2;height:411" coordorigin="3863,5" coordsize="0,411" path="m3863,5l3863,415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0;width:3849;height:2" coordorigin="10,410" coordsize="3849,2">
              <v:shape style="position:absolute;left:10;top:410;width:3849;height:2" coordorigin="10,410" coordsize="3849,0" path="m10,410l3858,410e" filled="false" stroked="true" strokeweight=".48004pt" strokecolor="#000000">
                <v:path arrowok="t"/>
              </v:shape>
            </v:group>
            <v:group style="position:absolute;left:3867;top:410;width:5704;height:2" coordorigin="3867,410" coordsize="5704,2">
              <v:shape style="position:absolute;left:3867;top:410;width:5704;height:2" coordorigin="3867,410" coordsize="5704,0" path="m3867,410l9571,410e" filled="false" stroked="true" strokeweight=".48004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799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004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799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7"/>
        <w:gridCol w:w="792"/>
        <w:gridCol w:w="1058"/>
        <w:gridCol w:w="795"/>
        <w:gridCol w:w="1058"/>
        <w:gridCol w:w="926"/>
        <w:gridCol w:w="1191"/>
        <w:gridCol w:w="779"/>
      </w:tblGrid>
      <w:tr>
        <w:trPr>
          <w:trHeight w:val="403" w:hRule="exact"/>
        </w:trPr>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1"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按组合计提坏账准备的 其他应收款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6,959,444.32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495,955.38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8,503,544.61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478,935.95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2"/>
        <w:gridCol w:w="1057"/>
        <w:gridCol w:w="792"/>
        <w:gridCol w:w="1058"/>
        <w:gridCol w:w="795"/>
        <w:gridCol w:w="1058"/>
        <w:gridCol w:w="926"/>
        <w:gridCol w:w="1191"/>
        <w:gridCol w:w="790"/>
      </w:tblGrid>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6,959,444.32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495,955.38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7.13%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8,503,544.61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478,935.95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5.63%</w:t>
            </w:r>
          </w:p>
        </w:tc>
      </w:tr>
      <w:tr>
        <w:trPr>
          <w:trHeight w:val="404"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6,959,444.32</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3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495,955.38</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3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8,503,544.61</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478,935.95</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31"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0" w:top="1060" w:bottom="280" w:left="980" w:right="980"/>
        </w:sectPr>
      </w:pPr>
    </w:p>
    <w:p>
      <w:pPr>
        <w:spacing w:line="331"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w:t>
      </w:r>
      <w:r>
        <w:rPr>
          <w:rFonts w:ascii="宋体" w:hAnsi="宋体" w:cs="宋体" w:eastAsia="宋体" w:hint="default"/>
          <w:sz w:val="21"/>
          <w:szCs w:val="21"/>
        </w:rPr>
        <w:t>采用账龄分析法计提坏账准备</w:t>
      </w:r>
      <w:r>
        <w:rPr>
          <w:rFonts w:ascii="宋体" w:hAnsi="宋体" w:cs="宋体" w:eastAsia="宋体" w:hint="default"/>
          <w:w w:val="100"/>
          <w:sz w:val="21"/>
          <w:szCs w:val="21"/>
        </w:rPr>
        <w:t> </w:t>
      </w:r>
      <w:r>
        <w:rPr>
          <w:rFonts w:ascii="宋体" w:hAnsi="宋体" w:cs="宋体" w:eastAsia="宋体" w:hint="default"/>
          <w:sz w:val="18"/>
          <w:szCs w:val="18"/>
        </w:rPr>
        <w:t>期末单项金额重大并单项计提坏账准备的其他应收款</w:t>
      </w:r>
    </w:p>
    <w:p>
      <w:pPr>
        <w:spacing w:line="338" w:lineRule="auto" w:before="4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9"/>
      </w:tblGrid>
      <w:tr>
        <w:trPr>
          <w:trHeight w:val="402"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5,139,688.43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73.86%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256,982.30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7,902,286.51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92.93%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395,114.33</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1,404,689.00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20.18%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140,468.90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498,358.00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49,835.80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363,430.90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72,686.18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58,214.11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11,642.82</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51,635.99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25,818.00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44,685.99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22,343.00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6,959,444.32</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495,955.38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8,503,544.61</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478,935.95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39"/>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5"/>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4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after="0"/>
        <w:jc w:val="left"/>
        <w:rPr>
          <w:rFonts w:ascii="宋体" w:hAnsi="宋体" w:cs="宋体" w:eastAsia="宋体" w:hint="default"/>
          <w:sz w:val="18"/>
          <w:szCs w:val="18"/>
        </w:rPr>
        <w:sectPr>
          <w:type w:val="continuous"/>
          <w:pgSz w:w="11910" w:h="16840"/>
          <w:pgMar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79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1729"/>
        <w:gridCol w:w="1594"/>
        <w:gridCol w:w="1860"/>
        <w:gridCol w:w="1591"/>
      </w:tblGrid>
      <w:tr>
        <w:trPr>
          <w:trHeight w:val="401" w:hRule="exact"/>
        </w:trPr>
        <w:tc>
          <w:tcPr>
            <w:tcW w:w="2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0"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上海市青浦区金泽镇人 民政府</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2,120,700.00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30.47%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滕健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杭州市市级机关事业单 位会计结算中心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中招国际招标有限公司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3,681,500.00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9"/>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6"/>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8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8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799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3"/>
        <w:gridCol w:w="3054"/>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4"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305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34,096,591.30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98.25%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4,305,759.43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34.36%</w:t>
            </w: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606,528.64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8,225,906.10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65.64%</w:t>
            </w: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34,703,119.94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12,531,665.53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万科（重庆）房地产有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14,463,561.90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北京北玻嘉美科技发展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北京东方龙马软件发展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5,132,906.09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预付技术服务费</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北京佳德润讯咨询有限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600,500.14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预付咨询费</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上海乾景进出口有限公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387,985.87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33,384,954.00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pStyle w:val="BodyText"/>
        <w:spacing w:line="256" w:lineRule="auto" w:before="96"/>
        <w:ind w:left="205" w:right="0"/>
        <w:jc w:val="left"/>
      </w:pPr>
      <w:r>
        <w:rPr>
          <w:spacing w:val="-2"/>
        </w:rPr>
        <w:t>注</w:t>
      </w:r>
      <w:r>
        <w:rPr>
          <w:rFonts w:ascii="Times New Roman" w:hAnsi="Times New Roman" w:cs="Times New Roman" w:eastAsia="Times New Roman" w:hint="default"/>
          <w:spacing w:val="-2"/>
        </w:rPr>
        <w:t>1</w:t>
      </w:r>
      <w:r>
        <w:rPr>
          <w:spacing w:val="-2"/>
        </w:rPr>
        <w:t>：本年度，公司向万科（重庆）房地产有限公司预付</w:t>
      </w:r>
      <w:r>
        <w:rPr>
          <w:rFonts w:ascii="Times New Roman" w:hAnsi="Times New Roman" w:cs="Times New Roman" w:eastAsia="Times New Roman" w:hint="default"/>
          <w:spacing w:val="-2"/>
        </w:rPr>
        <w:t>50%</w:t>
      </w:r>
      <w:r>
        <w:rPr>
          <w:spacing w:val="-2"/>
        </w:rPr>
        <w:t>购买重庆市渝中区大坪正街</w:t>
      </w:r>
      <w:r>
        <w:rPr>
          <w:rFonts w:ascii="Times New Roman" w:hAnsi="Times New Roman" w:cs="Times New Roman" w:eastAsia="Times New Roman" w:hint="default"/>
          <w:spacing w:val="-2"/>
        </w:rPr>
        <w:t>160</w:t>
      </w:r>
      <w:r>
        <w:rPr>
          <w:spacing w:val="-2"/>
        </w:rPr>
        <w:t>号</w:t>
      </w:r>
      <w:r>
        <w:rPr>
          <w:rFonts w:ascii="Times New Roman" w:hAnsi="Times New Roman" w:cs="Times New Roman" w:eastAsia="Times New Roman" w:hint="default"/>
          <w:spacing w:val="-2"/>
        </w:rPr>
        <w:t>1</w:t>
      </w:r>
      <w:r>
        <w:rPr>
          <w:spacing w:val="-2"/>
        </w:rPr>
        <w:t>幢</w:t>
      </w:r>
      <w:r>
        <w:rPr>
          <w:rFonts w:ascii="Times New Roman" w:hAnsi="Times New Roman" w:cs="Times New Roman" w:eastAsia="Times New Roman" w:hint="default"/>
          <w:spacing w:val="-2"/>
        </w:rPr>
        <w:t>5-1~7</w:t>
      </w:r>
      <w:r>
        <w:rPr>
          <w:spacing w:val="-2"/>
        </w:rPr>
        <w:t>单</w:t>
      </w:r>
      <w:r>
        <w:rPr>
          <w:spacing w:val="-27"/>
        </w:rPr>
        <w:t> </w:t>
      </w:r>
      <w:r>
        <w:rPr/>
        <w:t>元募投项目使用房产，房产将于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日前交付使用，相关土地权证尚在办理中。</w:t>
      </w:r>
    </w:p>
    <w:p>
      <w:pPr>
        <w:spacing w:after="0" w:line="256" w:lineRule="auto"/>
        <w:jc w:val="left"/>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BodyText"/>
        <w:spacing w:line="256" w:lineRule="auto" w:before="36"/>
        <w:ind w:left="205" w:right="0"/>
        <w:jc w:val="left"/>
      </w:pPr>
      <w:r>
        <w:rPr>
          <w:spacing w:val="-1"/>
        </w:rPr>
        <w:t>注</w:t>
      </w:r>
      <w:r>
        <w:rPr>
          <w:rFonts w:ascii="Times New Roman" w:hAnsi="Times New Roman" w:cs="Times New Roman" w:eastAsia="Times New Roman" w:hint="default"/>
          <w:spacing w:val="-1"/>
        </w:rPr>
        <w:t>2</w:t>
      </w:r>
      <w:r>
        <w:rPr>
          <w:spacing w:val="-1"/>
        </w:rPr>
        <w:t>：本年度，公司向北京北玻嘉美科技发展有限公司预付购买北京经济技术开发区经海四路</w:t>
      </w:r>
      <w:r>
        <w:rPr>
          <w:rFonts w:ascii="Times New Roman" w:hAnsi="Times New Roman" w:cs="Times New Roman" w:eastAsia="Times New Roman" w:hint="default"/>
          <w:spacing w:val="-1"/>
        </w:rPr>
        <w:t>25</w:t>
      </w:r>
      <w:r>
        <w:rPr>
          <w:spacing w:val="-1"/>
        </w:rPr>
        <w:t>号第</w:t>
      </w:r>
      <w:r>
        <w:rPr>
          <w:rFonts w:ascii="Times New Roman" w:hAnsi="Times New Roman" w:cs="Times New Roman" w:eastAsia="Times New Roman" w:hint="default"/>
          <w:spacing w:val="-1"/>
        </w:rPr>
        <w:t>11</w:t>
      </w:r>
      <w:r>
        <w:rPr>
          <w:spacing w:val="-1"/>
        </w:rPr>
        <w:t>号</w:t>
      </w:r>
      <w:r>
        <w:rPr>
          <w:spacing w:val="-29"/>
        </w:rPr>
        <w:t> </w:t>
      </w:r>
      <w:r>
        <w:rPr/>
        <w:t>楼</w:t>
      </w:r>
      <w:r>
        <w:rPr>
          <w:rFonts w:ascii="Times New Roman" w:hAnsi="Times New Roman" w:cs="Times New Roman" w:eastAsia="Times New Roman" w:hint="default"/>
        </w:rPr>
        <w:t>4</w:t>
      </w:r>
      <w:r>
        <w:rPr/>
        <w:t>楼募投项目使用房产，相关土地权证尚在办理中。</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1729"/>
        <w:gridCol w:w="1594"/>
        <w:gridCol w:w="1728"/>
        <w:gridCol w:w="1723"/>
      </w:tblGrid>
      <w:tr>
        <w:trPr>
          <w:trHeight w:val="403" w:hRule="exact"/>
        </w:trPr>
        <w:tc>
          <w:tcPr>
            <w:tcW w:w="2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0"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25,500,812.72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2,242,445.31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23,258,367.41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30,758,010.12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1,922,171.99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28,835,838.13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610,698.50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610,698.50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110,342.25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110,342.25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26,111,511.22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2,242,445.31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23,869,065.91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30,868,352.37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1,922,171.99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28,946,180.38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0"/>
        <w:gridCol w:w="1757"/>
      </w:tblGrid>
      <w:tr>
        <w:trPr>
          <w:trHeight w:val="204"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1,922,171.99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320,273.32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2,242,445.31</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1,922,171.99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320,273.32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2,242,445.31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95"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56"/>
        <w:gridCol w:w="2924"/>
        <w:gridCol w:w="3178"/>
      </w:tblGrid>
      <w:tr>
        <w:trPr>
          <w:trHeight w:val="402"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357" w:lineRule="auto" w:before="49"/>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可供出售金融资产的说明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4"/>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3"/>
        <w:gridCol w:w="1064"/>
        <w:gridCol w:w="1063"/>
        <w:gridCol w:w="1064"/>
        <w:gridCol w:w="1063"/>
      </w:tblGrid>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78"/>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5"/>
        <w:gridCol w:w="2792"/>
        <w:gridCol w:w="3970"/>
      </w:tblGrid>
      <w:tr>
        <w:trPr>
          <w:trHeight w:val="402"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3"/>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3325"/>
        <w:gridCol w:w="3442"/>
      </w:tblGrid>
      <w:tr>
        <w:trPr>
          <w:trHeight w:val="402" w:hRule="exact"/>
        </w:trPr>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0" w:top="1060" w:bottom="2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800"/>
        <w:gridCol w:w="797"/>
      </w:tblGrid>
      <w:tr>
        <w:trPr>
          <w:trHeight w:val="1964"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58"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5349;top:14;width:2;height:394" coordorigin="5349,14" coordsize="2,394">
              <v:shape style="position:absolute;left:5349;top:14;width:2;height:394" coordorigin="5349,14" coordsize="0,394" path="m5349,14l5349,408e" filled="false" stroked="true" strokeweight="1.08pt" strokecolor="#d2d2d2">
                <v:path arrowok="t"/>
              </v:shape>
            </v:group>
            <v:group style="position:absolute;left:34;top:14;width:5305;height:394" coordorigin="34,14" coordsize="5305,394">
              <v:shape style="position:absolute;left:34;top:14;width:5305;height:394" coordorigin="34,14" coordsize="5305,394" path="m34,408l5339,408,5339,14,34,14,34,408xe" filled="true" fillcolor="#d2d2d2" stroked="false">
                <v:path arrowok="t"/>
                <v:fill type="solid"/>
              </v:shape>
            </v:group>
            <v:group style="position:absolute;left:5382;top:14;width:2;height:394" coordorigin="5382,14" coordsize="2,394">
              <v:shape style="position:absolute;left:5382;top:14;width:2;height:394" coordorigin="5382,14" coordsize="0,394" path="m5382,14l5382,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5394;top:14;width:4153;height:394" coordorigin="5394,14" coordsize="4153,394">
              <v:shape style="position:absolute;left:5394;top:14;width:4153;height:394" coordorigin="5394,14" coordsize="4153,394" path="m5394,408l9547,408,9547,14,5394,14,5394,408xe" filled="true" fillcolor="#d2d2d2" stroked="false">
                <v:path arrowok="t"/>
                <v:fill type="solid"/>
              </v:shape>
            </v:group>
            <v:group style="position:absolute;left:10;top:10;width:5351;height:2" coordorigin="10,10" coordsize="5351,2">
              <v:shape style="position:absolute;left:10;top:10;width:5351;height:2" coordorigin="10,10" coordsize="5351,0" path="m10,10l5360,10e" filled="false" stroked="true" strokeweight=".4799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351;height:2" coordorigin="10,413" coordsize="5351,2">
              <v:shape style="position:absolute;left:10;top:413;width:5351;height:2" coordorigin="10,413" coordsize="5351,0" path="m10,413l5360,413e" filled="false" stroked="true" strokeweight=".47998pt" strokecolor="#000000">
                <v:path arrowok="t"/>
              </v:shape>
            </v:group>
            <v:group style="position:absolute;left:5365;top:5;width:2;height:413" coordorigin="5365,5" coordsize="2,413">
              <v:shape style="position:absolute;left:5365;top:5;width:2;height:413" coordorigin="5365,5" coordsize="0,413" path="m5365,5l5365,418e" filled="false" stroked="true" strokeweight=".48001pt" strokecolor="#000000">
                <v:path arrowok="t"/>
              </v:shape>
            </v:group>
            <v:group style="position:absolute;left:5370;top:413;width:4201;height:2" coordorigin="5370,413" coordsize="4201,2">
              <v:shape style="position:absolute;left:5370;top:413;width:4201;height:2" coordorigin="5370,413" coordsize="4201,0" path="m5370,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729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2"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1" w:hanging="269"/>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line="319" w:lineRule="auto" w:before="44"/>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办结时间</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96"/>
        <w:gridCol w:w="1460"/>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67,325,937.23</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3" w:right="0"/>
              <w:jc w:val="left"/>
              <w:rPr>
                <w:rFonts w:ascii="Times New Roman" w:hAnsi="Times New Roman" w:cs="Times New Roman" w:eastAsia="Times New Roman" w:hint="default"/>
                <w:sz w:val="18"/>
                <w:szCs w:val="18"/>
              </w:rPr>
            </w:pPr>
            <w:r>
              <w:rPr>
                <w:rFonts w:ascii="Times New Roman"/>
                <w:sz w:val="18"/>
              </w:rPr>
              <w:t>20,468,473.05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87,788.47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87,706,621.81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37,074,619.62</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3" w:right="0"/>
              <w:jc w:val="left"/>
              <w:rPr>
                <w:rFonts w:ascii="Times New Roman" w:hAnsi="Times New Roman" w:cs="Times New Roman" w:eastAsia="Times New Roman" w:hint="default"/>
                <w:sz w:val="18"/>
                <w:szCs w:val="18"/>
              </w:rPr>
            </w:pPr>
            <w:r>
              <w:rPr>
                <w:rFonts w:ascii="Times New Roman"/>
                <w:sz w:val="18"/>
              </w:rPr>
              <w:t>13,782,941.02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50,857,560.64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24,284,967.11</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2,951,841.87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27,236,808.98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766,305.19</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273,851.22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1,040,156.41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3,325,757.69</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2,391,871.03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54,087.02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5,663,541.70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1,874,287.62</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1,067,967.91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33,701.45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2,908,554.08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7,973,643.53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1,093,911.39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5,733,698.41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72,489.31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14,728,764.02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2,891,618.60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1,628,698.98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4,520,317.58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2,280,282.23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2,329,025.84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4,609,308.07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247,487.01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203,791.06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194,201.66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645,479.73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1,699,689.83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732,720.54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969,512.14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48,476.33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3,353,446.18</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854,565.86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157,399.79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612,259.79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24,012.98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1,600,212.46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59,352,293.70</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72,977,857.79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34,183,001.02</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46,337,243.06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22,004,684.88</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22,627,500.91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518,818.18</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394,676.68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1,626,067.86</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2,310,095.52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1,019,721.76</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1,308,341.62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59,352,293.70</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72,977,857.79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34,183,001.02</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46,337,243.06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22,004,684.88</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22,627,500.91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518,818.18</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394,676.68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1,626,067.86</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2,310,095.52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5"/>
        <w:gridCol w:w="1460"/>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1,019,721.76</w:t>
            </w:r>
          </w:p>
        </w:tc>
        <w:tc>
          <w:tcPr>
            <w:tcW w:w="4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1,308,341.62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5,733,698.41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4"/>
        <w:gridCol w:w="4795"/>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24,749,625.14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4"/>
        <w:gridCol w:w="1864"/>
      </w:tblGrid>
      <w:tr>
        <w:trPr>
          <w:trHeight w:val="401"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20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64" w:right="-24" w:firstLine="26"/>
              <w:jc w:val="both"/>
              <w:rPr>
                <w:rFonts w:ascii="宋体" w:hAnsi="宋体" w:cs="宋体" w:eastAsia="宋体" w:hint="default"/>
                <w:sz w:val="18"/>
                <w:szCs w:val="18"/>
              </w:rPr>
            </w:pP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基础设施支持与维护服务 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在北京购置的备件中心。</w:t>
            </w:r>
          </w:p>
          <w:p>
            <w:pPr>
              <w:pStyle w:val="TableParagraph"/>
              <w:spacing w:line="328" w:lineRule="auto" w:before="15"/>
              <w:ind w:left="24" w:right="20" w:firstLine="36"/>
              <w:jc w:val="both"/>
              <w:rPr>
                <w:rFonts w:ascii="宋体" w:hAnsi="宋体" w:cs="宋体" w:eastAsia="宋体" w:hint="default"/>
                <w:sz w:val="18"/>
                <w:szCs w:val="18"/>
              </w:rPr>
            </w:pPr>
            <w:r>
              <w:rPr>
                <w:rFonts w:ascii="宋体" w:hAnsi="宋体" w:cs="宋体" w:eastAsia="宋体" w:hint="default"/>
                <w:sz w:val="18"/>
                <w:szCs w:val="18"/>
              </w:rPr>
              <w:t>（房屋地址：北京经济技术开发区经海 四路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BOX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企业汇第</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的房 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根据双方签订的《房屋买卖合同》，买受</w:t>
            </w:r>
            <w:r>
              <w:rPr>
                <w:rFonts w:ascii="宋体" w:hAnsi="宋体" w:cs="宋体" w:eastAsia="宋体" w:hint="default"/>
                <w:sz w:val="18"/>
                <w:szCs w:val="18"/>
              </w:rPr>
              <w:t> 人办理完成在北京经济技术开发区新公 司注册或迁址手续，满足开发区对购买 区内办公物业的企业所提出的必须为区 内注册企业的条件之日起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日内办 理取得房屋所有权证书。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169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10" w:right="92" w:hanging="20"/>
              <w:jc w:val="both"/>
              <w:rPr>
                <w:rFonts w:ascii="宋体" w:hAnsi="宋体" w:cs="宋体" w:eastAsia="宋体" w:hint="default"/>
                <w:sz w:val="18"/>
                <w:szCs w:val="18"/>
              </w:rPr>
            </w:pP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基础设施支持与维护服务 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在重庆购置的备件中心</w:t>
            </w:r>
          </w:p>
          <w:p>
            <w:pPr>
              <w:pStyle w:val="TableParagraph"/>
              <w:spacing w:line="319" w:lineRule="auto" w:before="15"/>
              <w:ind w:left="24" w:right="20"/>
              <w:jc w:val="both"/>
              <w:rPr>
                <w:rFonts w:ascii="宋体" w:hAnsi="宋体" w:cs="宋体" w:eastAsia="宋体" w:hint="default"/>
                <w:sz w:val="18"/>
                <w:szCs w:val="18"/>
              </w:rPr>
            </w:pPr>
            <w:r>
              <w:rPr>
                <w:rFonts w:ascii="宋体" w:hAnsi="宋体" w:cs="宋体" w:eastAsia="宋体" w:hint="default"/>
                <w:spacing w:val="-4"/>
                <w:sz w:val="18"/>
                <w:szCs w:val="18"/>
              </w:rPr>
              <w:t>（房屋地址：重庆市渝中区大坪正街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160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5-3</w:t>
            </w:r>
            <w:r>
              <w:rPr>
                <w:rFonts w:ascii="宋体" w:hAnsi="宋体" w:cs="宋体" w:eastAsia="宋体" w:hint="default"/>
                <w:sz w:val="18"/>
                <w:szCs w:val="18"/>
              </w:rPr>
              <w:t>、</w:t>
            </w:r>
            <w:r>
              <w:rPr>
                <w:rFonts w:ascii="Times New Roman" w:hAnsi="Times New Roman" w:cs="Times New Roman" w:eastAsia="Times New Roman" w:hint="default"/>
                <w:sz w:val="18"/>
                <w:szCs w:val="18"/>
              </w:rPr>
              <w:t>5-4</w:t>
            </w:r>
            <w:r>
              <w:rPr>
                <w:rFonts w:ascii="宋体" w:hAnsi="宋体" w:cs="宋体" w:eastAsia="宋体" w:hint="default"/>
                <w:sz w:val="18"/>
                <w:szCs w:val="18"/>
              </w:rPr>
              <w:t>、</w:t>
            </w:r>
            <w:r>
              <w:rPr>
                <w:rFonts w:ascii="Times New Roman" w:hAnsi="Times New Roman" w:cs="Times New Roman" w:eastAsia="Times New Roman" w:hint="default"/>
                <w:sz w:val="18"/>
                <w:szCs w:val="18"/>
              </w:rPr>
              <w:t>5-5</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7" w:firstLine="36"/>
              <w:jc w:val="left"/>
              <w:rPr>
                <w:rFonts w:ascii="宋体" w:hAnsi="宋体" w:cs="宋体" w:eastAsia="宋体" w:hint="default"/>
                <w:sz w:val="18"/>
                <w:szCs w:val="18"/>
              </w:rPr>
            </w:pPr>
            <w:r>
              <w:rPr>
                <w:rFonts w:ascii="宋体" w:hAnsi="宋体" w:cs="宋体" w:eastAsia="宋体" w:hint="default"/>
                <w:sz w:val="18"/>
                <w:szCs w:val="18"/>
              </w:rPr>
              <w:t>此房屋尚未交付，属预售商品房。根据 合同约定，对方应在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340" w:lineRule="auto"/>
              <w:ind w:left="23" w:right="17"/>
              <w:jc w:val="left"/>
              <w:rPr>
                <w:rFonts w:ascii="宋体" w:hAnsi="宋体" w:cs="宋体" w:eastAsia="宋体" w:hint="default"/>
                <w:sz w:val="18"/>
                <w:szCs w:val="18"/>
              </w:rPr>
            </w:pPr>
            <w:r>
              <w:rPr>
                <w:rFonts w:ascii="宋体" w:hAnsi="宋体" w:cs="宋体" w:eastAsia="宋体" w:hint="default"/>
                <w:sz w:val="18"/>
                <w:szCs w:val="18"/>
              </w:rPr>
              <w:t>前交付我司使用，并于交付后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日内办 理房地产权证。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300" w:lineRule="auto" w:before="11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、北京经济技术开发区经海四路</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BOX</w:t>
      </w:r>
      <w:r>
        <w:rPr>
          <w:rFonts w:ascii="宋体" w:hAnsi="宋体" w:cs="宋体" w:eastAsia="宋体" w:hint="default"/>
          <w:spacing w:val="-1"/>
          <w:sz w:val="18"/>
          <w:szCs w:val="18"/>
        </w:rPr>
        <w:t>企业汇第</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号楼</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的房屋，是公司为募投项目一</w:t>
      </w:r>
      <w:r>
        <w:rPr>
          <w:rFonts w:ascii="Times New Roman" w:hAnsi="Times New Roman" w:cs="Times New Roman" w:eastAsia="Times New Roman" w:hint="default"/>
          <w:spacing w:val="-1"/>
          <w:sz w:val="18"/>
          <w:szCs w:val="18"/>
        </w:rPr>
        <w:t>“IT</w:t>
      </w:r>
      <w:r>
        <w:rPr>
          <w:rFonts w:ascii="宋体" w:hAnsi="宋体" w:cs="宋体" w:eastAsia="宋体" w:hint="default"/>
          <w:spacing w:val="-1"/>
          <w:sz w:val="18"/>
          <w:szCs w:val="18"/>
        </w:rPr>
        <w:t>基础设施支持与维护服务区域</w:t>
      </w:r>
      <w:r>
        <w:rPr>
          <w:rFonts w:ascii="宋体" w:hAnsi="宋体" w:cs="宋体" w:eastAsia="宋体" w:hint="default"/>
          <w:spacing w:val="-40"/>
          <w:sz w:val="18"/>
          <w:szCs w:val="18"/>
        </w:rPr>
        <w:t> </w:t>
      </w:r>
      <w:r>
        <w:rPr>
          <w:rFonts w:ascii="宋体" w:hAnsi="宋体" w:cs="宋体" w:eastAsia="宋体" w:hint="default"/>
          <w:sz w:val="18"/>
          <w:szCs w:val="18"/>
        </w:rPr>
        <w:t>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在北京购置的拟建设华北区域备件中心。</w:t>
      </w:r>
    </w:p>
    <w:p>
      <w:pPr>
        <w:spacing w:after="0" w:line="30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line="300" w:lineRule="auto" w:before="44"/>
        <w:ind w:left="152"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、重庆市渝中区大坪正街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5-3</w:t>
      </w:r>
      <w:r>
        <w:rPr>
          <w:rFonts w:ascii="宋体" w:hAnsi="宋体" w:cs="宋体" w:eastAsia="宋体" w:hint="default"/>
          <w:sz w:val="18"/>
          <w:szCs w:val="18"/>
        </w:rPr>
        <w:t>、</w:t>
      </w:r>
      <w:r>
        <w:rPr>
          <w:rFonts w:ascii="Times New Roman" w:hAnsi="Times New Roman" w:cs="Times New Roman" w:eastAsia="Times New Roman" w:hint="default"/>
          <w:sz w:val="18"/>
          <w:szCs w:val="18"/>
        </w:rPr>
        <w:t>5-4</w:t>
      </w:r>
      <w:r>
        <w:rPr>
          <w:rFonts w:ascii="宋体" w:hAnsi="宋体" w:cs="宋体" w:eastAsia="宋体" w:hint="default"/>
          <w:sz w:val="18"/>
          <w:szCs w:val="18"/>
        </w:rPr>
        <w:t>、</w:t>
      </w:r>
      <w:r>
        <w:rPr>
          <w:rFonts w:ascii="Times New Roman" w:hAnsi="Times New Roman" w:cs="Times New Roman" w:eastAsia="Times New Roman" w:hint="default"/>
          <w:sz w:val="18"/>
          <w:szCs w:val="18"/>
        </w:rPr>
        <w:t>5-5</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5-7</w:t>
      </w:r>
      <w:r>
        <w:rPr>
          <w:rFonts w:ascii="宋体" w:hAnsi="宋体" w:cs="宋体" w:eastAsia="宋体" w:hint="default"/>
          <w:sz w:val="18"/>
          <w:szCs w:val="18"/>
        </w:rPr>
        <w:t>，是公司为募投项目一</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基础设施支持与维护服 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在重庆购置的拟建设西部区域备件中心。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1,216,716.84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1,216,716.84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1,216,716.84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1,216,716.84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4"/>
        <w:gridCol w:w="737"/>
        <w:gridCol w:w="737"/>
      </w:tblGrid>
      <w:tr>
        <w:trPr>
          <w:trHeight w:val="1339"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北京亦 庄办公 室装修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1,216,71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81.11%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1,216,71</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6.84</w:t>
            </w:r>
          </w:p>
        </w:tc>
      </w:tr>
      <w:tr>
        <w:trPr>
          <w:trHeight w:val="716"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1,216,71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1,216,71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6"/>
        <w:gridCol w:w="1581"/>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60"/>
        <w:gridCol w:w="1594"/>
        <w:gridCol w:w="1462"/>
        <w:gridCol w:w="1594"/>
        <w:gridCol w:w="1849"/>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年的固定资产清理进展情况</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6"/>
        <w:gridCol w:w="1850"/>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6"/>
        <w:gridCol w:w="185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6"/>
        <w:gridCol w:w="1829"/>
      </w:tblGrid>
      <w:tr>
        <w:trPr>
          <w:trHeight w:val="404"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9,076,645.00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9,076,645.00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9,076,645.00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9,076,645.00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151,277.42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151,277.42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151,277.42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151,277.42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8,925,367.58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8,925,367.58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8,925,367.58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8,925,367.58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8,925,367.58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8,925,367.58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8,925,367.58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151,277.42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line="357" w:lineRule="auto" w:before="49"/>
        <w:ind w:left="152" w:right="4374"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9"/>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59"/>
        <w:gridCol w:w="1460"/>
        <w:gridCol w:w="1462"/>
        <w:gridCol w:w="1198"/>
      </w:tblGrid>
      <w:tr>
        <w:trPr>
          <w:trHeight w:val="7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上海天玑信息技术服务有限公 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216,030.80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216,030.80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216,030.80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上海复深蓝信息技术有限公司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24,302,015.94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24,302,015.94</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216,030.80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24,302,015.94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24,518,046.74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216,030.80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13"/>
        <w:rPr>
          <w:rFonts w:ascii="宋体" w:hAnsi="宋体" w:cs="宋体" w:eastAsia="宋体" w:hint="default"/>
          <w:sz w:val="13"/>
          <w:szCs w:val="13"/>
        </w:rPr>
      </w:pPr>
    </w:p>
    <w:p>
      <w:pPr>
        <w:pStyle w:val="BodyText"/>
        <w:spacing w:line="328" w:lineRule="auto"/>
        <w:ind w:right="142"/>
        <w:jc w:val="left"/>
      </w:pPr>
      <w:r>
        <w:rPr/>
        <w:t>经公司管理层会议决议通过调整公司经营构架，公司子公司上海天玑信息技术服务有限公司拟于 </w:t>
      </w:r>
      <w:r>
        <w:rPr>
          <w:rFonts w:ascii="Times New Roman" w:hAnsi="Times New Roman" w:cs="Times New Roman" w:eastAsia="Times New Roman" w:hint="default"/>
        </w:rPr>
        <w:t>2013</w:t>
      </w:r>
      <w:r>
        <w:rPr>
          <w:rFonts w:ascii="Times New Roman" w:hAnsi="Times New Roman" w:cs="Times New Roman" w:eastAsia="Times New Roman" w:hint="default"/>
          <w:spacing w:val="24"/>
        </w:rPr>
        <w:t> </w:t>
      </w:r>
      <w:r>
        <w:rPr/>
        <w:t>年</w:t>
      </w:r>
      <w:r>
        <w:rPr>
          <w:w w:val="100"/>
        </w:rPr>
        <w:t> </w:t>
      </w:r>
      <w:r>
        <w:rPr/>
        <w:t>度关闭，故对以前年度收购少数股东股权时形成的合并商誉进行全额计提减值准备。</w:t>
      </w:r>
    </w:p>
    <w:p>
      <w:pPr>
        <w:spacing w:after="0" w:line="328" w:lineRule="auto"/>
        <w:jc w:val="left"/>
        <w:sectPr>
          <w:pgSz w:w="11910" w:h="16840"/>
          <w:pgMar w:header="745" w:footer="0" w:top="1060" w:bottom="2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ind w:right="0"/>
        <w:jc w:val="left"/>
      </w:pPr>
      <w:r>
        <w:rPr>
          <w:spacing w:val="-2"/>
        </w:rPr>
        <w:t>本年度，公司溢价收购上海复深蓝信息技术有限公司股权。复深蓝本期完成收购协议预计的利润承诺，实</w:t>
      </w:r>
      <w:r>
        <w:rPr>
          <w:spacing w:val="-42"/>
        </w:rPr>
        <w:t> </w:t>
      </w:r>
      <w:r>
        <w:rPr>
          <w:spacing w:val="-42"/>
        </w:rPr>
      </w:r>
      <w:r>
        <w:rPr/>
        <w:t>现收购评估对盈利预测的预期。经测试，本年度无需计提复深蓝的商誉减值准备。</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北京恒基办公楼 装修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594,007.22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上海远中园区办 公楼装修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214,735.09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42,946.92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171,788.17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874,743.09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108,947.70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765,795.39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7"/>
        <w:gridCol w:w="2929"/>
        <w:gridCol w:w="2921"/>
      </w:tblGrid>
      <w:tr>
        <w:trPr>
          <w:trHeight w:val="406"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642,608.10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497,771.16</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26,935.82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27,001.81</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669,543.92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524,772.97</w:t>
            </w:r>
          </w:p>
        </w:tc>
      </w:tr>
      <w:tr>
        <w:trPr>
          <w:trHeight w:val="403"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2,254.00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9,591.49</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2,254.00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9,591.49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5713"/>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bl>
    <w:p>
      <w:pPr>
        <w:spacing w:after="0" w:line="240" w:lineRule="auto"/>
        <w:jc w:val="center"/>
        <w:rPr>
          <w:rFonts w:ascii="宋体" w:hAnsi="宋体" w:cs="宋体" w:eastAsia="宋体"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4,299,318.56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3,632,324.51</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179,572.13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180,012.07</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4,478,890.69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3,812,336.58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7"/>
        <w:gridCol w:w="1617"/>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7"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c>
          <w:tcPr>
            <w:tcW w:w="161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669,543.92</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524,772.97</w:t>
            </w:r>
          </w:p>
        </w:tc>
        <w:tc>
          <w:tcPr>
            <w:tcW w:w="161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400"/>
        <w:gridCol w:w="1397"/>
        <w:gridCol w:w="1453"/>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1,719,744.01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339,383.20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2,059,127.21</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1,922,171.99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320,273.32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2,242,445.31</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216,030.80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216,030.80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3,641,916.00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875,687.32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4,517,603.32</w:t>
            </w:r>
          </w:p>
        </w:tc>
      </w:tr>
    </w:tbl>
    <w:p>
      <w:pPr>
        <w:spacing w:line="367" w:lineRule="auto" w:before="49"/>
        <w:ind w:left="152" w:right="1171" w:firstLine="0"/>
        <w:jc w:val="left"/>
        <w:rPr>
          <w:rFonts w:ascii="Times New Roman" w:hAnsi="Times New Roman" w:cs="Times New Roman" w:eastAsia="Times New Roman" w:hint="default"/>
          <w:sz w:val="21"/>
          <w:szCs w:val="21"/>
        </w:rPr>
      </w:pPr>
      <w:r>
        <w:rPr>
          <w:rFonts w:ascii="宋体" w:hAnsi="宋体" w:cs="宋体" w:eastAsia="宋体" w:hint="default"/>
          <w:sz w:val="18"/>
          <w:szCs w:val="18"/>
        </w:rPr>
        <w:t>资产减值明细情况的说明 坏账准备本期增加</w:t>
      </w:r>
      <w:r>
        <w:rPr>
          <w:rFonts w:ascii="Times New Roman" w:hAnsi="Times New Roman" w:cs="Times New Roman" w:eastAsia="Times New Roman" w:hint="default"/>
          <w:sz w:val="18"/>
          <w:szCs w:val="18"/>
        </w:rPr>
        <w:t>339,383.20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其中本期计提增加</w:t>
      </w:r>
      <w:r>
        <w:rPr>
          <w:rFonts w:ascii="Times New Roman" w:hAnsi="Times New Roman" w:cs="Times New Roman" w:eastAsia="Times New Roman" w:hint="default"/>
          <w:sz w:val="18"/>
          <w:szCs w:val="18"/>
        </w:rPr>
        <w:t>324,975.90,</w:t>
      </w:r>
      <w:r>
        <w:rPr>
          <w:rFonts w:ascii="宋体" w:hAnsi="宋体" w:cs="宋体" w:eastAsia="宋体" w:hint="default"/>
          <w:sz w:val="18"/>
          <w:szCs w:val="18"/>
        </w:rPr>
        <w:t>新增纳入合并范围子公司期初数转入</w:t>
      </w:r>
      <w:r>
        <w:rPr>
          <w:rFonts w:ascii="Times New Roman" w:hAnsi="Times New Roman" w:cs="Times New Roman" w:eastAsia="Times New Roman" w:hint="default"/>
          <w:sz w:val="18"/>
          <w:szCs w:val="18"/>
        </w:rPr>
        <w:t>14,407.30</w:t>
      </w:r>
      <w:r>
        <w:rPr>
          <w:rFonts w:ascii="宋体" w:hAnsi="宋体" w:cs="宋体" w:eastAsia="宋体" w:hint="default"/>
          <w:sz w:val="18"/>
          <w:szCs w:val="18"/>
        </w:rPr>
        <w:t>。</w:t>
      </w:r>
      <w:r>
        <w:rPr>
          <w:rFonts w:ascii="Times New Roman" w:hAnsi="Times New Roman" w:cs="Times New Roman" w:eastAsia="Times New Roman" w:hint="default"/>
          <w:sz w:val="21"/>
          <w:szCs w:val="21"/>
        </w:rPr>
        <w:t>.</w:t>
      </w:r>
    </w:p>
    <w:p>
      <w:pPr>
        <w:spacing w:line="240" w:lineRule="auto" w:before="8"/>
        <w:rPr>
          <w:rFonts w:ascii="Times New Roman" w:hAnsi="Times New Roman" w:cs="Times New Roman" w:eastAsia="Times New Roman"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3"/>
        <w:gridCol w:w="2921"/>
        <w:gridCol w:w="3043"/>
      </w:tblGrid>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357"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下一会计期间将到期的金额元。 应付票据的说明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应付购买商品、接受劳务等款项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27,279,533.26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14,532,195.98</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27,279,533.26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14,532,195.98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预收服务款及货款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44,259,155.61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28,804,744.20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44,259,155.61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28,804,744.20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1"/>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8,226,638.71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98,259,874.78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88,826,039.26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17,660,474.23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23,417.52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2,404,907.03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2,428,324.55</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282,353.34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9,501,296.42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8,728,293.42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1,055,356.34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91,016.73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3,005,574.11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2,389,754.64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706,836.20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162,280.69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5,688,503.13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5,544,542.50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306,241.32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17,845.58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446,567.63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441,310.50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23,102.71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5,197.43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149,417.09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146,442.58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8,171.94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6,012.91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199,423.75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194,432.49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11,004.17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综合保险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11,810.71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11,810.71</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101,271.60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4,545,974.31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4,216,753.11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430,492.80</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1,965,929.70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1,965,929.70</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1,521,689.70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1,521,689.70</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商业保险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444,240.00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444,240.00</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8,633,681.17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116,677,982.24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106,165,340.04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19,146,323.37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48" w:lineRule="auto" w:before="104"/>
        <w:ind w:left="152" w:right="1006"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1,521,689.70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元，因解除劳动关系给予补偿</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 应付职工薪酬预计发放时间、金额等安排 应付职工薪酬中</w:t>
      </w:r>
      <w:r>
        <w:rPr>
          <w:rFonts w:ascii="Times New Roman" w:hAnsi="Times New Roman" w:cs="Times New Roman" w:eastAsia="Times New Roman" w:hint="default"/>
          <w:sz w:val="18"/>
          <w:szCs w:val="18"/>
        </w:rPr>
        <w:t>12</w:t>
      </w:r>
      <w:r>
        <w:rPr>
          <w:rFonts w:ascii="宋体" w:hAnsi="宋体" w:cs="宋体" w:eastAsia="宋体" w:hint="default"/>
          <w:sz w:val="18"/>
          <w:szCs w:val="18"/>
        </w:rPr>
        <w:t>份工资于</w:t>
      </w:r>
      <w:r>
        <w:rPr>
          <w:rFonts w:ascii="宋体" w:hAnsi="宋体" w:cs="宋体" w:eastAsia="宋体"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日发放，</w:t>
      </w:r>
      <w:r>
        <w:rPr>
          <w:rFonts w:ascii="Times New Roman" w:hAnsi="Times New Roman" w:cs="Times New Roman" w:eastAsia="Times New Roman" w:hint="default"/>
          <w:sz w:val="18"/>
          <w:szCs w:val="18"/>
        </w:rPr>
        <w:t>12</w:t>
      </w:r>
      <w:r>
        <w:rPr>
          <w:rFonts w:ascii="宋体" w:hAnsi="宋体" w:cs="宋体" w:eastAsia="宋体" w:hint="default"/>
          <w:sz w:val="18"/>
          <w:szCs w:val="18"/>
        </w:rPr>
        <w:t>年度双薪绩效于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全部发放完毕。</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4,603,232.74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-351,596.49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4,132.92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1,920,998.29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3,914,603.52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6,984,435.44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1,518,303.92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10,289,047.63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47,305.49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19,731.81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191,032.23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140,049.64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280,414.45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38,997.27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14,074.87</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10,317,608.09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19,297,155.64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1996"/>
        <w:gridCol w:w="2126"/>
        <w:gridCol w:w="2645"/>
      </w:tblGrid>
      <w:tr>
        <w:trPr>
          <w:trHeight w:val="401" w:hRule="exact"/>
        </w:trPr>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其他各项应付款项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4" w:right="0"/>
              <w:jc w:val="left"/>
              <w:rPr>
                <w:rFonts w:ascii="Times New Roman" w:hAnsi="Times New Roman" w:cs="Times New Roman" w:eastAsia="Times New Roman" w:hint="default"/>
                <w:sz w:val="18"/>
                <w:szCs w:val="18"/>
              </w:rPr>
            </w:pPr>
            <w:r>
              <w:rPr>
                <w:rFonts w:ascii="Times New Roman"/>
                <w:sz w:val="18"/>
              </w:rPr>
              <w:t>11,019,055.36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12" w:right="0"/>
              <w:jc w:val="left"/>
              <w:rPr>
                <w:rFonts w:ascii="Times New Roman" w:hAnsi="Times New Roman" w:cs="Times New Roman" w:eastAsia="Times New Roman" w:hint="default"/>
                <w:sz w:val="18"/>
                <w:szCs w:val="18"/>
              </w:rPr>
            </w:pPr>
            <w:r>
              <w:rPr>
                <w:rFonts w:ascii="Times New Roman"/>
                <w:sz w:val="18"/>
              </w:rPr>
              <w:t>3,699,085.01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89"/>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11,019,055.36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2" w:right="0"/>
              <w:jc w:val="left"/>
              <w:rPr>
                <w:rFonts w:ascii="Times New Roman" w:hAnsi="Times New Roman" w:cs="Times New Roman" w:eastAsia="Times New Roman" w:hint="default"/>
                <w:sz w:val="18"/>
                <w:szCs w:val="18"/>
              </w:rPr>
            </w:pPr>
            <w:r>
              <w:rPr>
                <w:rFonts w:ascii="Times New Roman"/>
                <w:sz w:val="18"/>
              </w:rPr>
              <w:t>3,699,085.01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tbl>
      <w:tblPr>
        <w:tblW w:w="0" w:type="auto"/>
        <w:jc w:val="left"/>
        <w:tblInd w:w="712" w:type="dxa"/>
        <w:tblLayout w:type="fixed"/>
        <w:tblCellMar>
          <w:top w:w="0" w:type="dxa"/>
          <w:left w:w="0" w:type="dxa"/>
          <w:bottom w:w="0" w:type="dxa"/>
          <w:right w:w="0" w:type="dxa"/>
        </w:tblCellMar>
        <w:tblLook w:val="01E0"/>
      </w:tblPr>
      <w:tblGrid>
        <w:gridCol w:w="2415"/>
        <w:gridCol w:w="1274"/>
        <w:gridCol w:w="2919"/>
        <w:gridCol w:w="1474"/>
      </w:tblGrid>
      <w:tr>
        <w:trPr>
          <w:trHeight w:val="355" w:hRule="exact"/>
        </w:trPr>
        <w:tc>
          <w:tcPr>
            <w:tcW w:w="2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309" w:right="0"/>
              <w:jc w:val="left"/>
              <w:rPr>
                <w:rFonts w:ascii="宋体" w:hAnsi="宋体" w:cs="宋体" w:eastAsia="宋体" w:hint="default"/>
                <w:sz w:val="16"/>
                <w:szCs w:val="16"/>
              </w:rPr>
            </w:pPr>
            <w:r>
              <w:rPr>
                <w:rFonts w:ascii="宋体" w:hAnsi="宋体" w:cs="宋体" w:eastAsia="宋体" w:hint="default"/>
                <w:sz w:val="16"/>
                <w:szCs w:val="16"/>
              </w:rPr>
              <w:t>年末余额</w:t>
            </w:r>
          </w:p>
        </w:tc>
        <w:tc>
          <w:tcPr>
            <w:tcW w:w="29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性质或内容</w:t>
            </w:r>
          </w:p>
        </w:tc>
        <w:tc>
          <w:tcPr>
            <w:tcW w:w="14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备注</w:t>
            </w:r>
          </w:p>
        </w:tc>
      </w:tr>
      <w:tr>
        <w:trPr>
          <w:trHeight w:val="353" w:hRule="exact"/>
        </w:trPr>
        <w:tc>
          <w:tcPr>
            <w:tcW w:w="24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上海市经济和信息化委员会</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17" w:right="0"/>
              <w:jc w:val="left"/>
              <w:rPr>
                <w:rFonts w:ascii="Times New Roman" w:hAnsi="Times New Roman" w:cs="Times New Roman" w:eastAsia="Times New Roman" w:hint="default"/>
                <w:sz w:val="16"/>
                <w:szCs w:val="16"/>
              </w:rPr>
            </w:pPr>
            <w:r>
              <w:rPr>
                <w:rFonts w:ascii="Times New Roman"/>
                <w:sz w:val="16"/>
              </w:rPr>
              <w:t>1,000,000.00</w:t>
            </w:r>
          </w:p>
        </w:tc>
        <w:tc>
          <w:tcPr>
            <w:tcW w:w="2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软件和集成电路产业发展专项资金</w:t>
            </w:r>
          </w:p>
        </w:tc>
        <w:tc>
          <w:tcPr>
            <w:tcW w:w="14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尚未验收评审</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7"/>
        <w:rPr>
          <w:rFonts w:ascii="宋体" w:hAnsi="宋体" w:cs="宋体" w:eastAsia="宋体" w:hint="default"/>
          <w:b/>
          <w:bCs/>
          <w:sz w:val="25"/>
          <w:szCs w:val="25"/>
        </w:rPr>
      </w:pPr>
    </w:p>
    <w:tbl>
      <w:tblPr>
        <w:tblW w:w="0" w:type="auto"/>
        <w:jc w:val="left"/>
        <w:tblInd w:w="712" w:type="dxa"/>
        <w:tblLayout w:type="fixed"/>
        <w:tblCellMar>
          <w:top w:w="0" w:type="dxa"/>
          <w:left w:w="0" w:type="dxa"/>
          <w:bottom w:w="0" w:type="dxa"/>
          <w:right w:w="0" w:type="dxa"/>
        </w:tblCellMar>
        <w:tblLook w:val="01E0"/>
      </w:tblPr>
      <w:tblGrid>
        <w:gridCol w:w="2413"/>
        <w:gridCol w:w="1277"/>
        <w:gridCol w:w="2921"/>
        <w:gridCol w:w="1472"/>
      </w:tblGrid>
      <w:tr>
        <w:trPr>
          <w:trHeight w:val="362" w:hRule="exact"/>
        </w:trPr>
        <w:tc>
          <w:tcPr>
            <w:tcW w:w="24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50"/>
                <w:sz w:val="16"/>
                <w:szCs w:val="16"/>
              </w:rPr>
              <w:t> </w:t>
            </w:r>
            <w:r>
              <w:rPr>
                <w:rFonts w:ascii="宋体" w:hAnsi="宋体" w:cs="宋体" w:eastAsia="宋体" w:hint="default"/>
                <w:sz w:val="16"/>
                <w:szCs w:val="16"/>
              </w:rPr>
              <w:t>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left="311" w:right="0"/>
              <w:jc w:val="left"/>
              <w:rPr>
                <w:rFonts w:ascii="宋体" w:hAnsi="宋体" w:cs="宋体" w:eastAsia="宋体" w:hint="default"/>
                <w:sz w:val="16"/>
                <w:szCs w:val="16"/>
              </w:rPr>
            </w:pPr>
            <w:r>
              <w:rPr>
                <w:rFonts w:ascii="宋体" w:hAnsi="宋体" w:cs="宋体" w:eastAsia="宋体" w:hint="default"/>
                <w:sz w:val="16"/>
                <w:szCs w:val="16"/>
              </w:rPr>
              <w:t>年末余额</w:t>
            </w:r>
          </w:p>
        </w:tc>
        <w:tc>
          <w:tcPr>
            <w:tcW w:w="2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16"/>
                <w:szCs w:val="16"/>
              </w:rPr>
            </w:pPr>
            <w:r>
              <w:rPr>
                <w:rFonts w:ascii="宋体" w:hAnsi="宋体" w:cs="宋体" w:eastAsia="宋体" w:hint="default"/>
                <w:sz w:val="16"/>
                <w:szCs w:val="16"/>
              </w:rPr>
              <w:t>性质或内容</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16"/>
                <w:szCs w:val="16"/>
              </w:rPr>
            </w:pPr>
            <w:r>
              <w:rPr>
                <w:rFonts w:ascii="宋体" w:hAnsi="宋体" w:cs="宋体" w:eastAsia="宋体" w:hint="default"/>
                <w:sz w:val="16"/>
                <w:szCs w:val="16"/>
              </w:rPr>
              <w:t>备注</w:t>
            </w:r>
          </w:p>
        </w:tc>
      </w:tr>
      <w:tr>
        <w:trPr>
          <w:trHeight w:val="362" w:hRule="exact"/>
        </w:trPr>
        <w:tc>
          <w:tcPr>
            <w:tcW w:w="24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复深蓝原股东杨万强</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7,760,000.00</w:t>
            </w:r>
          </w:p>
        </w:tc>
        <w:tc>
          <w:tcPr>
            <w:tcW w:w="2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left="561" w:right="0"/>
              <w:jc w:val="left"/>
              <w:rPr>
                <w:rFonts w:ascii="宋体" w:hAnsi="宋体" w:cs="宋体" w:eastAsia="宋体" w:hint="default"/>
                <w:sz w:val="16"/>
                <w:szCs w:val="16"/>
              </w:rPr>
            </w:pPr>
            <w:r>
              <w:rPr>
                <w:rFonts w:ascii="宋体" w:hAnsi="宋体" w:cs="宋体" w:eastAsia="宋体" w:hint="default"/>
                <w:sz w:val="16"/>
                <w:szCs w:val="16"/>
              </w:rPr>
              <w:t>复深蓝利润承诺保证金</w:t>
            </w:r>
          </w:p>
        </w:tc>
        <w:tc>
          <w:tcPr>
            <w:tcW w:w="1472" w:type="dxa"/>
            <w:tcBorders>
              <w:top w:val="single" w:sz="12" w:space="0" w:color="000000"/>
              <w:left w:val="single" w:sz="6" w:space="0" w:color="000000"/>
              <w:bottom w:val="single" w:sz="12" w:space="0" w:color="000000"/>
              <w:right w:val="single" w:sz="6" w:space="0" w:color="000000"/>
            </w:tcBorders>
          </w:tcPr>
          <w:p>
            <w:pPr/>
          </w:p>
        </w:tc>
      </w:tr>
      <w:tr>
        <w:trPr>
          <w:trHeight w:val="362" w:hRule="exact"/>
        </w:trPr>
        <w:tc>
          <w:tcPr>
            <w:tcW w:w="24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复深蓝原股东杨文芳</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800,000.00</w:t>
            </w:r>
          </w:p>
        </w:tc>
        <w:tc>
          <w:tcPr>
            <w:tcW w:w="2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8"/>
              <w:ind w:left="561" w:right="0"/>
              <w:jc w:val="left"/>
              <w:rPr>
                <w:rFonts w:ascii="宋体" w:hAnsi="宋体" w:cs="宋体" w:eastAsia="宋体" w:hint="default"/>
                <w:sz w:val="16"/>
                <w:szCs w:val="16"/>
              </w:rPr>
            </w:pPr>
            <w:r>
              <w:rPr>
                <w:rFonts w:ascii="宋体" w:hAnsi="宋体" w:cs="宋体" w:eastAsia="宋体" w:hint="default"/>
                <w:sz w:val="16"/>
                <w:szCs w:val="16"/>
              </w:rPr>
              <w:t>复深蓝利润承诺保证金</w:t>
            </w:r>
          </w:p>
        </w:tc>
        <w:tc>
          <w:tcPr>
            <w:tcW w:w="1472" w:type="dxa"/>
            <w:tcBorders>
              <w:top w:val="single" w:sz="12" w:space="0" w:color="000000"/>
              <w:left w:val="single" w:sz="6" w:space="0" w:color="000000"/>
              <w:bottom w:val="single" w:sz="12" w:space="0" w:color="000000"/>
              <w:right w:val="single" w:sz="6" w:space="0" w:color="000000"/>
            </w:tcBorders>
          </w:tcPr>
          <w:p>
            <w:pPr/>
          </w:p>
        </w:tc>
      </w:tr>
      <w:tr>
        <w:trPr>
          <w:trHeight w:val="362" w:hRule="exact"/>
        </w:trPr>
        <w:tc>
          <w:tcPr>
            <w:tcW w:w="2413" w:type="dxa"/>
            <w:tcBorders>
              <w:top w:val="single" w:sz="12" w:space="0" w:color="000000"/>
              <w:left w:val="single" w:sz="6" w:space="0" w:color="000000"/>
              <w:bottom w:val="single" w:sz="12" w:space="0" w:color="000000"/>
              <w:right w:val="single" w:sz="6" w:space="0" w:color="000000"/>
            </w:tcBorders>
          </w:tcPr>
          <w:p>
            <w:pPr>
              <w:pStyle w:val="TableParagraph"/>
              <w:tabs>
                <w:tab w:pos="488" w:val="left" w:leader="none"/>
              </w:tabs>
              <w:spacing w:line="240" w:lineRule="auto" w:before="38"/>
              <w:ind w:left="6"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8,560,000.00</w:t>
            </w:r>
          </w:p>
        </w:tc>
        <w:tc>
          <w:tcPr>
            <w:tcW w:w="2921" w:type="dxa"/>
            <w:tcBorders>
              <w:top w:val="single" w:sz="12" w:space="0" w:color="000000"/>
              <w:left w:val="single" w:sz="6" w:space="0" w:color="000000"/>
              <w:bottom w:val="single" w:sz="12" w:space="0" w:color="000000"/>
              <w:right w:val="single" w:sz="6" w:space="0" w:color="000000"/>
            </w:tcBorders>
          </w:tcPr>
          <w:p>
            <w:pPr/>
          </w:p>
        </w:tc>
        <w:tc>
          <w:tcPr>
            <w:tcW w:w="1472" w:type="dxa"/>
            <w:tcBorders>
              <w:top w:val="single" w:sz="12" w:space="0" w:color="000000"/>
              <w:left w:val="single" w:sz="6" w:space="0" w:color="000000"/>
              <w:bottom w:val="single" w:sz="12"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0" w:top="1060" w:bottom="28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833" w:space="399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4"/>
        <w:gridCol w:w="1063"/>
        <w:gridCol w:w="1066"/>
        <w:gridCol w:w="1061"/>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2"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2" w:right="22"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after="0"/>
        <w:jc w:val="left"/>
        <w:rPr>
          <w:rFonts w:ascii="宋体" w:hAnsi="宋体" w:cs="宋体" w:eastAsia="宋体" w:hint="default"/>
          <w:sz w:val="18"/>
          <w:szCs w:val="18"/>
        </w:rPr>
        <w:sectPr>
          <w:type w:val="continuous"/>
          <w:pgSz w:w="11910" w:h="16840"/>
          <w:pgMar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4"/>
        <w:gridCol w:w="1063"/>
        <w:gridCol w:w="1066"/>
        <w:gridCol w:w="1056"/>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2" w:right="22"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1"/>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60"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89"/>
        <w:gridCol w:w="3046"/>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67,000,000.00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67,000,000.00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67,000,000.00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134,000,000.00</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pStyle w:val="BodyText"/>
        <w:spacing w:line="256" w:lineRule="auto" w:before="94"/>
        <w:ind w:right="190" w:firstLine="420"/>
        <w:jc w:val="both"/>
      </w:pPr>
      <w:r>
        <w:rPr/>
        <w:t>根据公司</w:t>
      </w:r>
      <w:r>
        <w:rPr>
          <w:rFonts w:ascii="Times New Roman" w:hAnsi="Times New Roman" w:cs="Times New Roman" w:eastAsia="Times New Roman" w:hint="default"/>
        </w:rPr>
        <w:t>2011</w:t>
      </w:r>
      <w:r>
        <w:rPr/>
        <w:t>年度股东大会决议通过的</w:t>
      </w:r>
      <w:r>
        <w:rPr>
          <w:rFonts w:ascii="Times New Roman" w:hAnsi="Times New Roman" w:cs="Times New Roman" w:eastAsia="Times New Roman" w:hint="default"/>
        </w:rPr>
        <w:t>2011</w:t>
      </w:r>
      <w:r>
        <w:rPr/>
        <w:t>年度利润分配方案，公司以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6,700</w:t>
      </w:r>
      <w:r>
        <w:rPr>
          <w:rFonts w:ascii="Times New Roman" w:hAnsi="Times New Roman" w:cs="Times New Roman" w:eastAsia="Times New Roman" w:hint="default"/>
          <w:w w:val="100"/>
        </w:rPr>
        <w:t> </w:t>
      </w:r>
      <w:r>
        <w:rPr>
          <w:spacing w:val="-3"/>
        </w:rPr>
        <w:t>万股为基数，以资本公积金向全体股东每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w:t>
      </w:r>
      <w:r>
        <w:rPr>
          <w:rFonts w:ascii="Times New Roman" w:hAnsi="Times New Roman" w:cs="Times New Roman" w:eastAsia="Times New Roman" w:hint="default"/>
          <w:spacing w:val="-3"/>
        </w:rPr>
        <w:t>,</w:t>
      </w:r>
      <w:r>
        <w:rPr>
          <w:spacing w:val="-3"/>
        </w:rPr>
        <w:t>共计转增</w:t>
      </w:r>
      <w:r>
        <w:rPr>
          <w:rFonts w:ascii="Times New Roman" w:hAnsi="Times New Roman" w:cs="Times New Roman" w:eastAsia="Times New Roman" w:hint="default"/>
          <w:spacing w:val="-3"/>
        </w:rPr>
        <w:t>6,700</w:t>
      </w:r>
      <w:r>
        <w:rPr>
          <w:spacing w:val="-3"/>
        </w:rPr>
        <w:t>万股，转增后公司总股本增至</w:t>
      </w:r>
      <w:r>
        <w:rPr>
          <w:rFonts w:ascii="Times New Roman" w:hAnsi="Times New Roman" w:cs="Times New Roman" w:eastAsia="Times New Roman" w:hint="default"/>
          <w:spacing w:val="-3"/>
        </w:rPr>
        <w:t>13,400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万股。本次资本公积转增业经立信会计师事务所（特殊普通合伙）于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日出具信会师报字</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第</w:t>
      </w:r>
      <w:r>
        <w:rPr>
          <w:rFonts w:ascii="Times New Roman" w:hAnsi="Times New Roman" w:cs="Times New Roman" w:eastAsia="Times New Roman" w:hint="default"/>
        </w:rPr>
        <w:t>113721</w:t>
      </w:r>
      <w:r>
        <w:rPr/>
        <w:t>号验资报告验证。</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299,775,347.05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232,775,347.05</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299,775,347.05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232,775,347.05</w:t>
            </w:r>
          </w:p>
        </w:tc>
      </w:tr>
    </w:tbl>
    <w:p>
      <w:pPr>
        <w:spacing w:line="357"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资本公积说明 </w:t>
      </w:r>
      <w:r>
        <w:rPr>
          <w:rFonts w:ascii="宋体" w:hAnsi="宋体" w:cs="宋体" w:eastAsia="宋体" w:hint="default"/>
          <w:spacing w:val="-2"/>
          <w:sz w:val="18"/>
          <w:szCs w:val="18"/>
        </w:rPr>
        <w:t>本次资本公积转增业经立信会计师事务所（特殊普通合伙）于</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日出具信会师报字</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113721</w:t>
      </w:r>
      <w:r>
        <w:rPr>
          <w:rFonts w:ascii="宋体" w:hAnsi="宋体" w:cs="宋体" w:eastAsia="宋体" w:hint="default"/>
          <w:spacing w:val="-2"/>
          <w:sz w:val="18"/>
          <w:szCs w:val="18"/>
        </w:rPr>
        <w:t>号验资报告验证。</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12,513,774.60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4,409,615.32</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16,923,389.92</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12,513,774.60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4,409,615.32</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16,923,389.92</w:t>
            </w:r>
          </w:p>
        </w:tc>
      </w:tr>
    </w:tbl>
    <w:p>
      <w:pPr>
        <w:spacing w:line="360" w:lineRule="auto" w:before="49"/>
        <w:ind w:left="152" w:right="3514"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 法定盈余公积按</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w:t>
      </w:r>
    </w:p>
    <w:p>
      <w:pPr>
        <w:spacing w:after="0" w:line="360" w:lineRule="auto"/>
        <w:jc w:val="left"/>
        <w:rPr>
          <w:rFonts w:ascii="宋体" w:hAnsi="宋体" w:cs="宋体" w:eastAsia="宋体" w:hint="default"/>
          <w:sz w:val="18"/>
          <w:szCs w:val="18"/>
        </w:rPr>
        <w:sectPr>
          <w:pgSz w:w="11910" w:h="16840"/>
          <w:pgMar w:header="745" w:footer="0" w:top="1060" w:bottom="2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105,743,509.37</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105,743,509.37</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48,207,495.51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4,409,615.32</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136,141,389.56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6" w:lineRule="auto"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经审计的利润数</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313,260,727.26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224,453,830.60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182,042,152.25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105,151,346.63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15"/>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 </w:t>
            </w:r>
            <w:r>
              <w:rPr>
                <w:rFonts w:ascii="宋体" w:hAnsi="宋体" w:cs="宋体" w:eastAsia="宋体" w:hint="default"/>
                <w:spacing w:val="2"/>
                <w:sz w:val="18"/>
                <w:szCs w:val="18"/>
              </w:rPr>
              <w:t> </w:t>
            </w:r>
            <w:r>
              <w:rPr>
                <w:rFonts w:ascii="宋体" w:hAnsi="宋体" w:cs="宋体" w:eastAsia="宋体" w:hint="default"/>
                <w:sz w:val="18"/>
                <w:szCs w:val="18"/>
              </w:rPr>
              <w:t>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88,489,163.18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38,345,122.01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81,517,384.57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28,799,673.10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融</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84,894,094.08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59,096,136.68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40,129,018.80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21,697,883.15</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 </w:t>
            </w:r>
            <w:r>
              <w:rPr>
                <w:rFonts w:ascii="宋体" w:hAnsi="宋体" w:cs="宋体" w:eastAsia="宋体" w:hint="default"/>
                <w:spacing w:val="2"/>
                <w:sz w:val="18"/>
                <w:szCs w:val="18"/>
              </w:rPr>
              <w:t> </w:t>
            </w:r>
            <w:r>
              <w:rPr>
                <w:rFonts w:ascii="宋体" w:hAnsi="宋体" w:cs="宋体" w:eastAsia="宋体" w:hint="default"/>
                <w:sz w:val="18"/>
                <w:szCs w:val="18"/>
              </w:rPr>
              <w:t>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21,269,233.26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12,390,440.95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22,945,137.09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9,545,503.43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能源交通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20,614,952.09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10,743,173.37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27,336,849.60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14,721,268.89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97,993,284.65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61,467,279.24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52,525,440.54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30,387,018.06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313,260,727.26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182,042,152.25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224,453,830.60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105,151,346.63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支持与维护服务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145,248,160.61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70,096,023.80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139,960,636.00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51,799,724.27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50,090,302.76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25,652,120.41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19,932,371.98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6,406,838.58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8,899,056.22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4,302,518.48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19,951,052.43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8,551,481.85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36,589,726.23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23,173,694.01</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72,433,481.44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58,817,795.55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44,609,770.19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38,393,301.93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313,260,727.26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182,042,152.25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224,453,830.60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105,151,346.63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4"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207,023,376.67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118,165,806.33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139,914,648.86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60,201,287.50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40,564,512.54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26,333,887.44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32,265,927.01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19,264,086.75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26,637,777.64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15,021,288.98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20,601,353.72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9,496,036.63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13,731,102.92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8,206,903.46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15,977,714.79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9,305,128.83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11,721,865.94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5,975,493.42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9,884,960.69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3,886,590.49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13,237,485.64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8,169,647.29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5,549,795.76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2,907,721.07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344,605.91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169,125.33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259,429.77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90,495.36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313,260,727.26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182,042,152.25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224,453,830.60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105,151,346.63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49"/>
        <w:gridCol w:w="4127"/>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1" w:right="0"/>
              <w:jc w:val="left"/>
              <w:rPr>
                <w:rFonts w:ascii="Times New Roman" w:hAnsi="Times New Roman" w:cs="Times New Roman" w:eastAsia="Times New Roman" w:hint="default"/>
                <w:sz w:val="18"/>
                <w:szCs w:val="18"/>
              </w:rPr>
            </w:pPr>
            <w:r>
              <w:rPr>
                <w:rFonts w:ascii="Times New Roman"/>
                <w:sz w:val="18"/>
              </w:rPr>
              <w:t>46,851,255.16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95"/>
        <w:gridCol w:w="2849"/>
        <w:gridCol w:w="4127"/>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19,614,744.66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15,548,029.45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4.96%</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12,356,146.10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衣念（上海）时装贸易有限公司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9,201,927.78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103,572,103.15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1"/>
        <w:gridCol w:w="1597"/>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19"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9"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1"/>
        <w:gridCol w:w="2003"/>
        <w:gridCol w:w="1863"/>
        <w:gridCol w:w="2921"/>
      </w:tblGrid>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687,069.57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7,418,113.63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189,915.36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150,463.67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4"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562,371.41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381,048.30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119,283.56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72,564.95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1,558,639.90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8,022,190.55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19,119,040.62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12,463,138.69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3,023,660.90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3,183,951.75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业务宣传及广告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1,390,659.73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1,225,294.90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车辆运行费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1,259,523.64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360,994.90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1,157,115.77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1,334,017.39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853,644.03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315,307.70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391,815.93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358,077.65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27,195,460.62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19,240,782.98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17,768,750.27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11,579,719.20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16,461,673.23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8,786,074.92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5,197,625.18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2,493,087.13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3,616,208.03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1,976,773.45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3,222,852.37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2,121,616.78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1,802,730.47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1,824,752.30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1,673,682.11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986,536.98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电话网络通讯费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1,528,849.23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627,724.31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1,065,616.89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677,602.75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市内交通运行费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996,519.00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748,126.60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858,913.38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463,294.55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858,070.19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1,249,053.22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682,232.48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563,520.07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房产税及印花税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434,281.79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381,663.47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930,988.22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485,998.21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57,098,992.84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34,965,543.94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275,334.54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-8,914,733.26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-4,294,836.63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182,342.64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47,624.28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-8,731,968.69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-3,971,877.81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1"/>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0" w:top="1060" w:bottom="2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1"/>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324,975.90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1,039,897.72</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320,273.32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511,435.02</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216,030.80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861,280.02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1,551,332.74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2"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1,498.38</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1,498.38</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1,498.38</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1,498.38</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499,300.00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499,300.00</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扶持基金</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4,828,803.93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83" w:right="0"/>
              <w:jc w:val="left"/>
              <w:rPr>
                <w:rFonts w:ascii="Times New Roman" w:hAnsi="Times New Roman" w:cs="Times New Roman" w:eastAsia="Times New Roman" w:hint="default"/>
                <w:sz w:val="18"/>
                <w:szCs w:val="18"/>
              </w:rPr>
            </w:pPr>
            <w:r>
              <w:rPr>
                <w:rFonts w:ascii="Times New Roman"/>
                <w:sz w:val="18"/>
              </w:rPr>
              <w:t>5,406,154.41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4,828,803.93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小巨人培育企业项目</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增值税免抵退</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481,029.46</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代扣代缴个税手续费返还</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327,160.98</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327,160.98</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134,319.08</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134,319.08</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106,711.00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39,577.96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106,711.00</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6,378,822.83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6,945,732.37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5,897,793.37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5"/>
        <w:gridCol w:w="1995"/>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科技型中小企业技术创新基金无 偿资助项目</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徐汇区高新技术产业化及科技创 新管理费用补贴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关于政府支持和鼓励本区企业组 织开展职工职业培训补贴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沪府办发〔</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上海市名牌奖励费</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沪名办〔</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499,300.00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 </w:t>
      </w:r>
      <w:r>
        <w:rPr>
          <w:rFonts w:ascii="宋体" w:hAnsi="宋体" w:cs="宋体" w:eastAsia="宋体" w:hint="default"/>
          <w:spacing w:val="-2"/>
          <w:sz w:val="18"/>
          <w:szCs w:val="18"/>
        </w:rPr>
        <w:t>本年度，根据上海市青浦区金泽镇人民政府和上海淀山湖经济城相关文件和协议，公司及子公司上海天玑信息技术服务有限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公司及上海领卓企业管理咨询有限公司计收的扶持基金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474.82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万元；本年子公司上海力克数码科技有限公司收到上海市奉</w:t>
      </w:r>
    </w:p>
    <w:p>
      <w:pPr>
        <w:spacing w:line="231"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贤区财政扶持资金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9,357.14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4,434.22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9,357.14</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9,357.14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4,434.22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9,357.14</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罚款、赔偿和违约支出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74,304.00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74,304.00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344.22</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86,773.73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86,773.73</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220,779.09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57,125.76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220,779.09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9,163,351.83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13,121,008.95</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-144,770.95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-202,668.59</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9,018,580.88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12,918,340.36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10"/>
        <w:rPr>
          <w:rFonts w:ascii="宋体" w:hAnsi="宋体" w:cs="宋体" w:eastAsia="宋体" w:hint="default"/>
          <w:b/>
          <w:bCs/>
          <w:sz w:val="24"/>
          <w:szCs w:val="24"/>
        </w:rPr>
      </w:pPr>
    </w:p>
    <w:p>
      <w:pPr>
        <w:spacing w:line="256" w:lineRule="auto" w:before="0"/>
        <w:ind w:left="870" w:right="723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、基本每股收益</w:t>
      </w:r>
      <w:r>
        <w:rPr>
          <w:rFonts w:ascii="宋体" w:hAnsi="宋体" w:cs="宋体" w:eastAsia="宋体" w:hint="default"/>
          <w:b/>
          <w:bCs/>
          <w:spacing w:val="-103"/>
          <w:sz w:val="21"/>
          <w:szCs w:val="21"/>
        </w:rPr>
        <w:t> </w:t>
      </w:r>
      <w:r>
        <w:rPr>
          <w:rFonts w:ascii="宋体" w:hAnsi="宋体" w:cs="宋体" w:eastAsia="宋体" w:hint="default"/>
          <w:spacing w:val="-1"/>
          <w:sz w:val="21"/>
          <w:szCs w:val="21"/>
        </w:rPr>
        <w:t>基本每股收益</w:t>
      </w:r>
      <w:r>
        <w:rPr>
          <w:rFonts w:ascii="Times New Roman" w:hAnsi="Times New Roman" w:cs="Times New Roman" w:eastAsia="Times New Roman" w:hint="default"/>
          <w:spacing w:val="-1"/>
          <w:sz w:val="21"/>
          <w:szCs w:val="21"/>
        </w:rPr>
        <w:t>=P0÷S</w:t>
      </w:r>
    </w:p>
    <w:p>
      <w:pPr>
        <w:pStyle w:val="BodyText"/>
        <w:spacing w:line="240" w:lineRule="auto" w:before="5"/>
        <w:ind w:left="870" w:right="0"/>
        <w:jc w:val="both"/>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6"/>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p>
    <w:p>
      <w:pPr>
        <w:pStyle w:val="BodyText"/>
        <w:spacing w:line="256" w:lineRule="auto" w:before="21"/>
        <w:ind w:left="870" w:right="146"/>
        <w:jc w:val="both"/>
      </w:pPr>
      <w:r>
        <w:rPr>
          <w:spacing w:val="-2"/>
        </w:rPr>
        <w:t>其中：</w:t>
      </w:r>
      <w:r>
        <w:rPr>
          <w:rFonts w:ascii="Times New Roman" w:hAnsi="Times New Roman" w:cs="Times New Roman" w:eastAsia="Times New Roman" w:hint="default"/>
          <w:spacing w:val="-2"/>
        </w:rPr>
        <w:t>P0</w:t>
      </w:r>
      <w:r>
        <w:rPr>
          <w:spacing w:val="-2"/>
        </w:rPr>
        <w:t>为归属于公司普通股股东的净利润或扣除非经常性损益后归属于普通股股东的净利润；</w:t>
      </w:r>
      <w:r>
        <w:rPr>
          <w:rFonts w:ascii="Times New Roman" w:hAnsi="Times New Roman" w:cs="Times New Roman" w:eastAsia="Times New Roman" w:hint="default"/>
          <w:spacing w:val="-2"/>
        </w:rPr>
        <w:t>S</w:t>
      </w:r>
      <w:r>
        <w:rPr>
          <w:rFonts w:ascii="Times New Roman" w:hAnsi="Times New Roman" w:cs="Times New Roman" w:eastAsia="Times New Roman" w:hint="default"/>
          <w:spacing w:val="1"/>
        </w:rPr>
        <w:t> </w:t>
      </w:r>
      <w:r>
        <w:rPr/>
        <w:t>为发行在外的普通股加权平均数；</w:t>
      </w:r>
      <w:r>
        <w:rPr>
          <w:rFonts w:ascii="Times New Roman" w:hAnsi="Times New Roman" w:cs="Times New Roman" w:eastAsia="Times New Roman" w:hint="default"/>
        </w:rPr>
        <w:t>S0</w:t>
      </w:r>
      <w:r>
        <w:rPr/>
        <w:t>为期初股份总数；</w:t>
      </w:r>
      <w:r>
        <w:rPr>
          <w:rFonts w:ascii="Times New Roman" w:hAnsi="Times New Roman" w:cs="Times New Roman" w:eastAsia="Times New Roman" w:hint="default"/>
        </w:rPr>
        <w:t>S1</w:t>
      </w:r>
      <w:r>
        <w:rPr/>
        <w:t>为报告期因公积金转增股本或股票股利</w:t>
      </w:r>
      <w:r>
        <w:rPr>
          <w:spacing w:val="-30"/>
        </w:rPr>
        <w:t> </w:t>
      </w:r>
      <w:r>
        <w:rPr>
          <w:spacing w:val="-30"/>
        </w:rPr>
      </w:r>
      <w:r>
        <w:rPr>
          <w:spacing w:val="-3"/>
        </w:rPr>
        <w:t>分配等增加股份数；</w:t>
      </w:r>
      <w:r>
        <w:rPr>
          <w:rFonts w:ascii="Times New Roman" w:hAnsi="Times New Roman" w:cs="Times New Roman" w:eastAsia="Times New Roman" w:hint="default"/>
          <w:spacing w:val="-3"/>
        </w:rPr>
        <w:t>Si</w:t>
      </w:r>
      <w:r>
        <w:rPr>
          <w:spacing w:val="-3"/>
        </w:rPr>
        <w:t>为报告期因发行新股或债转股等增加股份数；</w:t>
      </w:r>
      <w:r>
        <w:rPr>
          <w:rFonts w:ascii="Times New Roman" w:hAnsi="Times New Roman" w:cs="Times New Roman" w:eastAsia="Times New Roman" w:hint="default"/>
          <w:spacing w:val="-3"/>
        </w:rPr>
        <w:t>Sj</w:t>
      </w:r>
      <w:r>
        <w:rPr>
          <w:spacing w:val="-3"/>
        </w:rPr>
        <w:t>为报告期因回购等减少股份</w:t>
      </w:r>
      <w:r>
        <w:rPr>
          <w:spacing w:val="-19"/>
        </w:rPr>
        <w:t> </w:t>
      </w:r>
      <w:r>
        <w:rPr>
          <w:spacing w:val="-19"/>
        </w:rPr>
      </w:r>
      <w:r>
        <w:rPr/>
        <w:t>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24"/>
        </w:rPr>
        <w:t> </w:t>
      </w:r>
      <w:r>
        <w:rPr/>
        <w:t>为减少股份次月起至报告期期末的累计月数。</w:t>
      </w:r>
    </w:p>
    <w:p>
      <w:pPr>
        <w:spacing w:line="240" w:lineRule="auto" w:before="7"/>
        <w:rPr>
          <w:rFonts w:ascii="宋体" w:hAnsi="宋体" w:cs="宋体" w:eastAsia="宋体" w:hint="default"/>
          <w:sz w:val="25"/>
          <w:szCs w:val="25"/>
        </w:rPr>
      </w:pPr>
    </w:p>
    <w:p>
      <w:pPr>
        <w:pStyle w:val="BodyText"/>
        <w:spacing w:line="256" w:lineRule="auto"/>
        <w:ind w:left="870" w:right="0"/>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、稀释每股收益</w:t>
      </w:r>
      <w:r>
        <w:rPr>
          <w:rFonts w:ascii="宋体" w:hAnsi="宋体" w:cs="宋体" w:eastAsia="宋体" w:hint="default"/>
          <w:b/>
          <w:bCs/>
          <w:spacing w:val="-103"/>
        </w:rPr>
        <w:t> </w:t>
      </w:r>
      <w:r>
        <w:rPr>
          <w:spacing w:val="-3"/>
        </w:rPr>
        <w:t>稀释每股收益</w:t>
      </w:r>
      <w:r>
        <w:rPr>
          <w:rFonts w:ascii="Times New Roman" w:hAnsi="Times New Roman" w:cs="Times New Roman" w:eastAsia="Times New Roman" w:hint="default"/>
          <w:spacing w:val="-3"/>
        </w:rPr>
        <w:t>=P1/(S0</w:t>
      </w:r>
      <w:r>
        <w:rPr>
          <w:spacing w:val="-3"/>
        </w:rPr>
        <w:t>＋</w:t>
      </w:r>
      <w:r>
        <w:rPr>
          <w:rFonts w:ascii="Times New Roman" w:hAnsi="Times New Roman" w:cs="Times New Roman" w:eastAsia="Times New Roman" w:hint="default"/>
          <w:spacing w:val="-3"/>
        </w:rPr>
        <w:t>S1</w:t>
      </w:r>
      <w:r>
        <w:rPr>
          <w:spacing w:val="-3"/>
        </w:rPr>
        <w:t>＋</w:t>
      </w:r>
      <w:r>
        <w:rPr>
          <w:rFonts w:ascii="Times New Roman" w:hAnsi="Times New Roman" w:cs="Times New Roman" w:eastAsia="Times New Roman" w:hint="default"/>
          <w:spacing w:val="-3"/>
        </w:rPr>
        <w:t>Si×Mi÷M0</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Sj×Mj÷M0</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Sk+</w:t>
      </w:r>
      <w:r>
        <w:rPr>
          <w:spacing w:val="-3"/>
        </w:rPr>
        <w:t>认股权证、股份期权、可转换债券等增加的</w:t>
      </w:r>
      <w:r>
        <w:rPr>
          <w:spacing w:val="-49"/>
        </w:rPr>
        <w:t> </w:t>
      </w:r>
      <w:r>
        <w:rPr>
          <w:spacing w:val="-49"/>
        </w:rPr>
      </w:r>
      <w:r>
        <w:rPr/>
        <w:t>普通股加权平均数</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27"/>
          <w:szCs w:val="27"/>
        </w:rPr>
      </w:pPr>
    </w:p>
    <w:p>
      <w:pPr>
        <w:pStyle w:val="BodyText"/>
        <w:spacing w:line="268" w:lineRule="auto"/>
        <w:ind w:left="870" w:right="149"/>
        <w:jc w:val="both"/>
      </w:pP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w:t>
      </w:r>
      <w:r>
        <w:rPr>
          <w:spacing w:val="-23"/>
        </w:rPr>
        <w:t> </w:t>
      </w:r>
      <w:r>
        <w:rPr>
          <w:spacing w:val="-23"/>
        </w:rPr>
      </w:r>
      <w:r>
        <w:rPr/>
        <w:t>润，并考虑稀释性潜在普通股对其影响，按《企业会计准则》及有关规定进行调整。公司在计算</w:t>
      </w:r>
      <w:r>
        <w:rPr>
          <w:spacing w:val="-4"/>
        </w:rPr>
        <w:t> </w:t>
      </w:r>
      <w:r>
        <w:rPr>
          <w:spacing w:val="-4"/>
        </w:rPr>
      </w:r>
      <w:r>
        <w:rPr/>
        <w:t>稀释每股收益时，应考虑所有稀释性潜在普通股对归属于公司普通股股东的净利润或扣除非经常</w:t>
      </w:r>
      <w:r>
        <w:rPr>
          <w:spacing w:val="-9"/>
        </w:rPr>
        <w:t> </w:t>
      </w:r>
      <w:r>
        <w:rPr>
          <w:spacing w:val="-9"/>
        </w:rPr>
      </w:r>
      <w:r>
        <w:rPr/>
        <w:t>性损益后归属于公司普通股股东的净利润和加权平均股数的影响，按照其稀释程度从大到小的顺</w:t>
      </w:r>
      <w:r>
        <w:rPr>
          <w:spacing w:val="-9"/>
        </w:rPr>
        <w:t> </w:t>
      </w:r>
      <w:r>
        <w:rPr>
          <w:spacing w:val="-9"/>
        </w:rPr>
      </w:r>
      <w:r>
        <w:rPr/>
        <w:t>序计入稀释每股收益，直至稀释每股收益达到最小值。</w:t>
      </w:r>
    </w:p>
    <w:p>
      <w:pPr>
        <w:spacing w:line="240" w:lineRule="auto" w:before="10"/>
        <w:rPr>
          <w:rFonts w:ascii="宋体" w:hAnsi="宋体" w:cs="宋体" w:eastAsia="宋体" w:hint="default"/>
          <w:sz w:val="24"/>
          <w:szCs w:val="24"/>
        </w:rPr>
      </w:pPr>
    </w:p>
    <w:p>
      <w:pPr>
        <w:pStyle w:val="BodyText"/>
        <w:spacing w:line="273" w:lineRule="auto"/>
        <w:ind w:left="870" w:right="7802"/>
        <w:jc w:val="left"/>
      </w:pPr>
      <w:r>
        <w:rPr/>
        <w:t>计算过程：</w:t>
      </w:r>
      <w:r>
        <w:rPr>
          <w:spacing w:val="-102"/>
        </w:rPr>
        <w:t> </w:t>
      </w:r>
      <w:r>
        <w:rPr>
          <w:spacing w:val="-102"/>
        </w:rPr>
      </w:r>
      <w:r>
        <w:rPr>
          <w:spacing w:val="-1"/>
        </w:rPr>
        <w:t>基本每股收益</w:t>
      </w:r>
    </w:p>
    <w:p>
      <w:pPr>
        <w:pStyle w:val="BodyText"/>
        <w:spacing w:line="273" w:lineRule="auto" w:before="7"/>
        <w:ind w:left="870" w:right="0"/>
        <w:jc w:val="left"/>
      </w:pPr>
      <w:r>
        <w:rPr/>
        <w:t>基本每股收益以归属于本公司普通股股东的合并净利润除以本公司发行在外普通股的加权平均数</w:t>
      </w:r>
      <w:r>
        <w:rPr>
          <w:spacing w:val="-9"/>
        </w:rPr>
        <w:t> </w:t>
      </w:r>
      <w:r>
        <w:rPr>
          <w:spacing w:val="-9"/>
        </w:rPr>
      </w:r>
      <w:r>
        <w:rPr/>
        <w:t>计算：</w:t>
      </w:r>
    </w:p>
    <w:tbl>
      <w:tblPr>
        <w:tblW w:w="0" w:type="auto"/>
        <w:jc w:val="left"/>
        <w:tblInd w:w="854" w:type="dxa"/>
        <w:tblLayout w:type="fixed"/>
        <w:tblCellMar>
          <w:top w:w="0" w:type="dxa"/>
          <w:left w:w="0" w:type="dxa"/>
          <w:bottom w:w="0" w:type="dxa"/>
          <w:right w:w="0" w:type="dxa"/>
        </w:tblCellMar>
        <w:tblLook w:val="01E0"/>
      </w:tblPr>
      <w:tblGrid>
        <w:gridCol w:w="4349"/>
        <w:gridCol w:w="1721"/>
        <w:gridCol w:w="1587"/>
      </w:tblGrid>
      <w:tr>
        <w:trPr>
          <w:trHeight w:val="353" w:hRule="exact"/>
        </w:trPr>
        <w:tc>
          <w:tcPr>
            <w:tcW w:w="4349" w:type="dxa"/>
            <w:tcBorders>
              <w:top w:val="single" w:sz="6" w:space="0" w:color="000000"/>
              <w:left w:val="single" w:sz="6" w:space="0" w:color="000000"/>
              <w:bottom w:val="single" w:sz="12" w:space="0" w:color="000000"/>
              <w:right w:val="single" w:sz="6" w:space="0" w:color="000000"/>
            </w:tcBorders>
          </w:tcPr>
          <w:p>
            <w:pPr>
              <w:pStyle w:val="TableParagraph"/>
              <w:tabs>
                <w:tab w:pos="634" w:val="left" w:leader="none"/>
              </w:tabs>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31"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87"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364"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3" w:hRule="exact"/>
        </w:trPr>
        <w:tc>
          <w:tcPr>
            <w:tcW w:w="43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48,207,559.26</w:t>
            </w:r>
          </w:p>
        </w:tc>
        <w:tc>
          <w:tcPr>
            <w:tcW w:w="15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53,464,777.82</w:t>
            </w:r>
          </w:p>
        </w:tc>
      </w:tr>
      <w:tr>
        <w:trPr>
          <w:trHeight w:val="353" w:hRule="exact"/>
        </w:trPr>
        <w:tc>
          <w:tcPr>
            <w:tcW w:w="43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134,000,000.00</w:t>
            </w:r>
          </w:p>
        </w:tc>
        <w:tc>
          <w:tcPr>
            <w:tcW w:w="15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124,083,333.33</w:t>
            </w:r>
          </w:p>
        </w:tc>
      </w:tr>
      <w:tr>
        <w:trPr>
          <w:trHeight w:val="353" w:hRule="exact"/>
        </w:trPr>
        <w:tc>
          <w:tcPr>
            <w:tcW w:w="4349" w:type="dxa"/>
            <w:tcBorders>
              <w:top w:val="single" w:sz="12" w:space="0" w:color="000000"/>
              <w:left w:val="single" w:sz="6" w:space="0" w:color="000000"/>
              <w:bottom w:val="single" w:sz="12" w:space="0" w:color="000000"/>
              <w:right w:val="single" w:sz="6" w:space="0" w:color="000000"/>
            </w:tcBorders>
          </w:tcPr>
          <w:p>
            <w:pPr>
              <w:pStyle w:val="TableParagraph"/>
              <w:spacing w:line="279"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0.36</w:t>
            </w:r>
          </w:p>
        </w:tc>
        <w:tc>
          <w:tcPr>
            <w:tcW w:w="15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z w:val="21"/>
              </w:rPr>
              <w:t>0.43</w:t>
            </w:r>
          </w:p>
        </w:tc>
      </w:tr>
    </w:tbl>
    <w:p>
      <w:pPr>
        <w:spacing w:line="240" w:lineRule="auto" w:before="9"/>
        <w:rPr>
          <w:rFonts w:ascii="宋体" w:hAnsi="宋体" w:cs="宋体" w:eastAsia="宋体" w:hint="default"/>
          <w:sz w:val="21"/>
          <w:szCs w:val="21"/>
        </w:rPr>
      </w:pPr>
    </w:p>
    <w:p>
      <w:pPr>
        <w:pStyle w:val="BodyText"/>
        <w:spacing w:line="240" w:lineRule="auto" w:before="36"/>
        <w:ind w:left="887" w:right="0"/>
        <w:jc w:val="left"/>
      </w:pPr>
      <w:r>
        <w:rPr/>
        <w:t>普通股的加权平均数计算过程如下：</w:t>
      </w:r>
    </w:p>
    <w:p>
      <w:pPr>
        <w:spacing w:line="240" w:lineRule="auto" w:before="10"/>
        <w:rPr>
          <w:rFonts w:ascii="宋体" w:hAnsi="宋体" w:cs="宋体" w:eastAsia="宋体" w:hint="default"/>
          <w:sz w:val="3"/>
          <w:szCs w:val="3"/>
        </w:rPr>
      </w:pPr>
    </w:p>
    <w:tbl>
      <w:tblPr>
        <w:tblW w:w="0" w:type="auto"/>
        <w:jc w:val="left"/>
        <w:tblInd w:w="854" w:type="dxa"/>
        <w:tblLayout w:type="fixed"/>
        <w:tblCellMar>
          <w:top w:w="0" w:type="dxa"/>
          <w:left w:w="0" w:type="dxa"/>
          <w:bottom w:w="0" w:type="dxa"/>
          <w:right w:w="0" w:type="dxa"/>
        </w:tblCellMar>
        <w:tblLook w:val="01E0"/>
      </w:tblPr>
      <w:tblGrid>
        <w:gridCol w:w="4321"/>
        <w:gridCol w:w="1709"/>
        <w:gridCol w:w="1620"/>
      </w:tblGrid>
      <w:tr>
        <w:trPr>
          <w:trHeight w:val="355" w:hRule="exact"/>
        </w:trPr>
        <w:tc>
          <w:tcPr>
            <w:tcW w:w="4321" w:type="dxa"/>
            <w:tcBorders>
              <w:top w:val="single" w:sz="6" w:space="0" w:color="000000"/>
              <w:left w:val="single" w:sz="6" w:space="0" w:color="000000"/>
              <w:bottom w:val="single" w:sz="12" w:space="0" w:color="000000"/>
              <w:right w:val="single" w:sz="6" w:space="0" w:color="000000"/>
            </w:tcBorders>
          </w:tcPr>
          <w:p>
            <w:pPr>
              <w:pStyle w:val="TableParagraph"/>
              <w:tabs>
                <w:tab w:pos="634" w:val="left" w:leader="none"/>
              </w:tabs>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20"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38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0" w:hRule="exact"/>
        </w:trPr>
        <w:tc>
          <w:tcPr>
            <w:tcW w:w="432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年初已发行普通股股数</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124,083,333.33</w:t>
            </w:r>
          </w:p>
        </w:tc>
        <w:tc>
          <w:tcPr>
            <w:tcW w:w="16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395" w:right="0"/>
              <w:jc w:val="left"/>
              <w:rPr>
                <w:rFonts w:ascii="Times New Roman" w:hAnsi="Times New Roman" w:cs="Times New Roman" w:eastAsia="Times New Roman" w:hint="default"/>
                <w:sz w:val="21"/>
                <w:szCs w:val="21"/>
              </w:rPr>
            </w:pPr>
            <w:r>
              <w:rPr>
                <w:rFonts w:ascii="Times New Roman"/>
                <w:sz w:val="21"/>
              </w:rPr>
              <w:t>50,000,000.00</w:t>
            </w:r>
          </w:p>
        </w:tc>
      </w:tr>
      <w:tr>
        <w:trPr>
          <w:trHeight w:val="353" w:hRule="exact"/>
        </w:trPr>
        <w:tc>
          <w:tcPr>
            <w:tcW w:w="432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加：本年度发行的普通股加权数</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9,916,666.67</w:t>
            </w:r>
          </w:p>
        </w:tc>
        <w:tc>
          <w:tcPr>
            <w:tcW w:w="16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left="395" w:right="0"/>
              <w:jc w:val="left"/>
              <w:rPr>
                <w:rFonts w:ascii="Times New Roman" w:hAnsi="Times New Roman" w:cs="Times New Roman" w:eastAsia="Times New Roman" w:hint="default"/>
                <w:sz w:val="21"/>
                <w:szCs w:val="21"/>
              </w:rPr>
            </w:pPr>
            <w:r>
              <w:rPr>
                <w:rFonts w:ascii="Times New Roman"/>
                <w:sz w:val="21"/>
              </w:rPr>
              <w:t>74,083,333.33</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854" w:type="dxa"/>
        <w:tblLayout w:type="fixed"/>
        <w:tblCellMar>
          <w:top w:w="0" w:type="dxa"/>
          <w:left w:w="0" w:type="dxa"/>
          <w:bottom w:w="0" w:type="dxa"/>
          <w:right w:w="0" w:type="dxa"/>
        </w:tblCellMar>
        <w:tblLook w:val="01E0"/>
      </w:tblPr>
      <w:tblGrid>
        <w:gridCol w:w="4321"/>
        <w:gridCol w:w="1709"/>
        <w:gridCol w:w="1620"/>
      </w:tblGrid>
      <w:tr>
        <w:trPr>
          <w:trHeight w:val="355" w:hRule="exact"/>
        </w:trPr>
        <w:tc>
          <w:tcPr>
            <w:tcW w:w="432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减：本年度回购的普通股加权数</w:t>
            </w:r>
          </w:p>
        </w:tc>
        <w:tc>
          <w:tcPr>
            <w:tcW w:w="1709" w:type="dxa"/>
            <w:tcBorders>
              <w:top w:val="single" w:sz="6" w:space="0" w:color="000000"/>
              <w:left w:val="single" w:sz="6" w:space="0" w:color="000000"/>
              <w:bottom w:val="single" w:sz="12" w:space="0" w:color="000000"/>
              <w:right w:val="single" w:sz="6" w:space="0" w:color="000000"/>
            </w:tcBorders>
          </w:tcPr>
          <w:p>
            <w:pPr/>
          </w:p>
        </w:tc>
        <w:tc>
          <w:tcPr>
            <w:tcW w:w="1620" w:type="dxa"/>
            <w:tcBorders>
              <w:top w:val="single" w:sz="6" w:space="0" w:color="000000"/>
              <w:left w:val="single" w:sz="6" w:space="0" w:color="000000"/>
              <w:bottom w:val="single" w:sz="12" w:space="0" w:color="000000"/>
              <w:right w:val="nil" w:sz="6" w:space="0" w:color="auto"/>
            </w:tcBorders>
          </w:tcPr>
          <w:p>
            <w:pPr/>
          </w:p>
        </w:tc>
      </w:tr>
      <w:tr>
        <w:trPr>
          <w:trHeight w:val="353" w:hRule="exact"/>
        </w:trPr>
        <w:tc>
          <w:tcPr>
            <w:tcW w:w="4321" w:type="dxa"/>
            <w:tcBorders>
              <w:top w:val="single" w:sz="12" w:space="0" w:color="000000"/>
              <w:left w:val="single" w:sz="6" w:space="0" w:color="000000"/>
              <w:bottom w:val="single" w:sz="12" w:space="0" w:color="000000"/>
              <w:right w:val="single" w:sz="6" w:space="0" w:color="000000"/>
            </w:tcBorders>
          </w:tcPr>
          <w:p>
            <w:pPr>
              <w:pStyle w:val="TableParagraph"/>
              <w:spacing w:line="263" w:lineRule="exact"/>
              <w:ind w:left="4"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379" w:right="0"/>
              <w:jc w:val="left"/>
              <w:rPr>
                <w:rFonts w:ascii="Times New Roman" w:hAnsi="Times New Roman" w:cs="Times New Roman" w:eastAsia="Times New Roman" w:hint="default"/>
                <w:sz w:val="21"/>
                <w:szCs w:val="21"/>
              </w:rPr>
            </w:pPr>
            <w:r>
              <w:rPr>
                <w:rFonts w:ascii="Times New Roman"/>
                <w:sz w:val="21"/>
              </w:rPr>
              <w:t>134,000,000.00</w:t>
            </w:r>
          </w:p>
        </w:tc>
        <w:tc>
          <w:tcPr>
            <w:tcW w:w="16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90" w:right="0"/>
              <w:jc w:val="left"/>
              <w:rPr>
                <w:rFonts w:ascii="Times New Roman" w:hAnsi="Times New Roman" w:cs="Times New Roman" w:eastAsia="Times New Roman" w:hint="default"/>
                <w:sz w:val="21"/>
                <w:szCs w:val="21"/>
              </w:rPr>
            </w:pPr>
            <w:r>
              <w:rPr>
                <w:rFonts w:ascii="Times New Roman"/>
                <w:sz w:val="21"/>
              </w:rPr>
              <w:t>124,083,333.33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-95,441.83</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-95,441.83</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-95,441.83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8,619,287.23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补贴收入及其他营业外收入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5,008,029.05</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收回押金、保证金及备用金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3,773,025.84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收到其他往来款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69,685.47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17,470,027.59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8,076,420.00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21,022,571.64</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182,342.64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124,648.22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保证金、押金及备用金支付等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4,133,911.73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33,539,894.23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70"/>
              <w:jc w:val="right"/>
              <w:rPr>
                <w:rFonts w:ascii="宋体" w:hAnsi="宋体" w:cs="宋体" w:eastAsia="宋体" w:hint="default"/>
                <w:sz w:val="18"/>
                <w:szCs w:val="18"/>
              </w:rPr>
            </w:pPr>
            <w:r>
              <w:rPr>
                <w:rFonts w:ascii="宋体" w:hAnsi="宋体" w:cs="宋体" w:eastAsia="宋体" w:hint="default"/>
                <w:sz w:val="18"/>
                <w:szCs w:val="18"/>
              </w:rPr>
              <w:t>本年新增子公司复深蓝期初货币资金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18,188,479.84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18,188,479.84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2"/>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2"/>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2"/>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50,375,633.18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53,464,777.82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861,280.02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1,551,332.74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5,733,698.41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3,378,362.81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151,277.42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108,947.70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w w:val="95"/>
                <w:sz w:val="18"/>
              </w:rPr>
              <w:t>4,724.40</w:t>
            </w: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36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FFFFFF"/>
            </w:tcBorders>
          </w:tcPr>
          <w:p>
            <w:pPr/>
          </w:p>
        </w:tc>
        <w:tc>
          <w:tcPr>
            <w:tcW w:w="2657" w:type="dxa"/>
            <w:tcBorders>
              <w:top w:val="single" w:sz="4" w:space="0" w:color="000000"/>
              <w:left w:val="single" w:sz="4" w:space="0" w:color="FFFFFF"/>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3,134.36</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4,434.22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FFFFFF"/>
            </w:tcBorders>
          </w:tcPr>
          <w:p>
            <w:pP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275,334.54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-144,770.95</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-202,668.59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4,756,841.15</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-12,212,963.71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-34,293,488.91</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-25,002,903.95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25,103,017.91</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8,380,179.21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52,660,294.69</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29,635,885.09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365,206,474.29</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388,115,082.66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388,115,082.66</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67,223,101.75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-22,908,608.37</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320,891,980.91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365,206,474.29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388,115,082.66</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81,392.63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123,980.82</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364,750,181.66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387,991,101.84</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365,206,474.29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388,115,082.66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334"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 无</w:t>
      </w:r>
    </w:p>
    <w:p>
      <w:pPr>
        <w:spacing w:after="0" w:line="3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8"/>
        <w:rPr>
          <w:rFonts w:ascii="宋体" w:hAnsi="宋体" w:cs="宋体" w:eastAsia="宋体" w:hint="default"/>
          <w:sz w:val="23"/>
          <w:szCs w:val="23"/>
        </w:rPr>
      </w:pPr>
    </w:p>
    <w:p>
      <w:pPr>
        <w:spacing w:line="506" w:lineRule="auto" w:before="26"/>
        <w:ind w:left="152" w:right="2875" w:firstLine="0"/>
        <w:jc w:val="left"/>
        <w:rPr>
          <w:rFonts w:ascii="宋体" w:hAnsi="宋体" w:cs="宋体" w:eastAsia="宋体" w:hint="default"/>
          <w:sz w:val="18"/>
          <w:szCs w:val="18"/>
        </w:rPr>
      </w:pPr>
      <w:r>
        <w:rPr>
          <w:rFonts w:ascii="宋体" w:hAnsi="宋体" w:cs="宋体" w:eastAsia="宋体" w:hint="default"/>
          <w:b/>
          <w:bCs/>
          <w:sz w:val="24"/>
          <w:szCs w:val="24"/>
        </w:rPr>
        <w:t>八、资产证券化业务的会计处理</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、说明资产证券化业务的主要交易安排及其会计处理、破产隔离条款</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18"/>
          <w:szCs w:val="18"/>
        </w:rPr>
        <w:t>不适用</w:t>
      </w:r>
    </w:p>
    <w:p>
      <w:pPr>
        <w:pStyle w:val="Heading3"/>
        <w:spacing w:line="240" w:lineRule="auto" w:before="156"/>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70"/>
        <w:gridCol w:w="1366"/>
        <w:gridCol w:w="1367"/>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九、关联方及关联交易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3"/>
        <w:gridCol w:w="869"/>
        <w:gridCol w:w="871"/>
        <w:gridCol w:w="869"/>
        <w:gridCol w:w="871"/>
        <w:gridCol w:w="869"/>
        <w:gridCol w:w="872"/>
        <w:gridCol w:w="869"/>
        <w:gridCol w:w="871"/>
        <w:gridCol w:w="869"/>
        <w:gridCol w:w="862"/>
      </w:tblGrid>
      <w:tr>
        <w:trPr>
          <w:trHeight w:val="1337"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9"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831728pt;width:85.5pt;height:15.6pt;mso-position-horizontal-relative:page;mso-position-vertical-relative:paragraph;z-index:-826384"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68273pt;width:479.1pt;height:71.9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5"/>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5"/>
        <w:rPr>
          <w:rFonts w:ascii="宋体" w:hAnsi="宋体" w:cs="宋体" w:eastAsia="宋体" w:hint="default"/>
          <w:sz w:val="9"/>
          <w:szCs w:val="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831743pt;width:85.5pt;height:15.6pt;mso-position-horizontal-relative:page;mso-position-vertical-relative:paragraph;z-index:-82636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98268pt;width:479.1pt;height:71.9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5"/>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71"/>
        <w:gridCol w:w="1370"/>
        <w:gridCol w:w="1368"/>
        <w:gridCol w:w="1371"/>
        <w:gridCol w:w="1348"/>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1" w:right="23" w:hanging="565"/>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71"/>
        <w:gridCol w:w="1370"/>
        <w:gridCol w:w="1368"/>
        <w:gridCol w:w="1372"/>
        <w:gridCol w:w="1346"/>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1" w:right="23" w:hanging="565"/>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3"/>
        <w:gridCol w:w="1373"/>
        <w:gridCol w:w="1368"/>
        <w:gridCol w:w="1371"/>
        <w:gridCol w:w="1372"/>
        <w:gridCol w:w="1360"/>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0"/>
        <w:gridCol w:w="1373"/>
        <w:gridCol w:w="1368"/>
        <w:gridCol w:w="1368"/>
        <w:gridCol w:w="1369"/>
        <w:gridCol w:w="1351"/>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59" w:hanging="541"/>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416.350006pt;margin-top:3.831719pt;width:78.75pt;height:15.6pt;mso-position-horizontal-relative:page;mso-position-vertical-relative:paragraph;z-index:-82628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68292pt;width:479.2pt;height:71.9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1"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2"/>
        <w:gridCol w:w="1459"/>
        <w:gridCol w:w="1449"/>
      </w:tblGrid>
      <w:tr>
        <w:trPr>
          <w:trHeight w:val="403"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3"/>
        <w:gridCol w:w="2260"/>
        <w:gridCol w:w="2258"/>
        <w:gridCol w:w="2247"/>
      </w:tblGrid>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after="0"/>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0" w:top="1060" w:bottom="280" w:left="980" w:right="980"/>
        </w:sectPr>
      </w:pPr>
    </w:p>
    <w:p>
      <w:pPr>
        <w:spacing w:line="240" w:lineRule="auto" w:before="0"/>
        <w:rPr>
          <w:rFonts w:ascii="宋体" w:hAnsi="宋体" w:cs="宋体" w:eastAsia="宋体" w:hint="default"/>
          <w:b/>
          <w:bCs/>
          <w:sz w:val="18"/>
          <w:szCs w:val="18"/>
        </w:rPr>
      </w:pPr>
    </w:p>
    <w:p>
      <w:pPr>
        <w:spacing w:before="159"/>
        <w:ind w:left="152" w:right="-5"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5"/>
        <w:jc w:val="left"/>
        <w:rPr>
          <w:b w:val="0"/>
          <w:bCs w:val="0"/>
        </w:rPr>
      </w:pPr>
      <w:r>
        <w:rPr>
          <w:rFonts w:ascii="Times New Roman" w:hAnsi="Times New Roman" w:cs="Times New Roman" w:eastAsia="Times New Roman" w:hint="default"/>
          <w:spacing w:val="-1"/>
        </w:rPr>
        <w:t>3</w:t>
      </w:r>
      <w:r>
        <w:rPr>
          <w:spacing w:val="-1"/>
        </w:rPr>
        <w:t>、以现金结算的股份支付情况</w:t>
      </w:r>
      <w:r>
        <w:rPr>
          <w:b w:val="0"/>
          <w:bCs w:val="0"/>
          <w:spacing w:val="-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3000" w:space="5829"/>
            <w:col w:w="112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280" w:left="980" w:right="980"/>
        </w:sectPr>
      </w:pPr>
    </w:p>
    <w:p>
      <w:pPr>
        <w:spacing w:line="240" w:lineRule="auto" w:before="0"/>
        <w:rPr>
          <w:rFonts w:ascii="宋体" w:hAnsi="宋体" w:cs="宋体" w:eastAsia="宋体" w:hint="default"/>
          <w:sz w:val="18"/>
          <w:szCs w:val="18"/>
        </w:rPr>
      </w:pPr>
    </w:p>
    <w:p>
      <w:pPr>
        <w:spacing w:before="159"/>
        <w:ind w:left="152" w:right="-20"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2493" w:space="6336"/>
            <w:col w:w="1121"/>
          </w:cols>
        </w:sectPr>
      </w:pPr>
    </w:p>
    <w:p>
      <w:pPr>
        <w:spacing w:line="240" w:lineRule="auto" w:before="12"/>
        <w:rPr>
          <w:rFonts w:ascii="宋体" w:hAnsi="宋体" w:cs="宋体" w:eastAsia="宋体" w:hint="default"/>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8"/>
        <w:rPr>
          <w:rFonts w:ascii="宋体" w:hAnsi="宋体" w:cs="宋体" w:eastAsia="宋体" w:hint="default"/>
          <w:b/>
          <w:bCs/>
          <w:sz w:val="22"/>
          <w:szCs w:val="22"/>
        </w:rPr>
      </w:pPr>
    </w:p>
    <w:p>
      <w:pPr>
        <w:pStyle w:val="Heading2"/>
        <w:spacing w:line="240" w:lineRule="auto" w:before="0"/>
        <w:ind w:right="0"/>
        <w:jc w:val="left"/>
        <w:rPr>
          <w:b w:val="0"/>
          <w:bCs w:val="0"/>
        </w:rPr>
      </w:pPr>
      <w:r>
        <w:rPr/>
        <w:t>十一、或有事项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54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spacing w:before="10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146"/>
        <w:jc w:val="both"/>
      </w:pPr>
      <w:r>
        <w:rPr/>
        <w:t>根据公司于</w:t>
      </w:r>
      <w:r>
        <w:rPr>
          <w:spacing w:val="-3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日公司第二届董事会第五次会议决议：根据公司经营发展的需要，为了整合资</w:t>
      </w:r>
      <w:r>
        <w:rPr>
          <w:w w:val="100"/>
        </w:rPr>
        <w:t> </w:t>
      </w:r>
      <w:r>
        <w:rPr>
          <w:spacing w:val="-2"/>
        </w:rPr>
        <w:t>源，提高管理效率和运作效率，减少中间环节和节约资源，降低管理成本，公司拟决定清算并注销子公司</w:t>
      </w:r>
      <w:r>
        <w:rPr>
          <w:spacing w:val="-47"/>
        </w:rPr>
        <w:t> </w:t>
      </w:r>
      <w:r>
        <w:rPr>
          <w:spacing w:val="-47"/>
        </w:rPr>
      </w:r>
      <w:r>
        <w:rPr/>
        <w:t>上海天玑信息技术服务有限公司，并授权公司管理层按照国家相关规定办理有关注销的手续。</w:t>
      </w:r>
    </w:p>
    <w:p>
      <w:pPr>
        <w:spacing w:line="240" w:lineRule="auto" w:before="0"/>
        <w:rPr>
          <w:rFonts w:ascii="宋体" w:hAnsi="宋体" w:cs="宋体" w:eastAsia="宋体" w:hint="default"/>
          <w:sz w:val="22"/>
          <w:szCs w:val="22"/>
        </w:rPr>
      </w:pPr>
    </w:p>
    <w:p>
      <w:pPr>
        <w:spacing w:line="506" w:lineRule="auto" w:before="0"/>
        <w:ind w:left="152" w:right="7605"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3"/>
        <w:spacing w:line="240" w:lineRule="auto" w:before="15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60"/>
        <w:gridCol w:w="1520"/>
        <w:gridCol w:w="1524"/>
        <w:gridCol w:w="1522"/>
        <w:gridCol w:w="1522"/>
        <w:gridCol w:w="1522"/>
      </w:tblGrid>
      <w:tr>
        <w:trPr>
          <w:trHeight w:val="714"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8"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34"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714"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3"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487" w:lineRule="auto" w:before="12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75,977,697.42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1,338,916.74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48,197,366.36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1,183,795.18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75,977,697.42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1,338,916.74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48,197,366.36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1,183,795.18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75,977,697.42</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1,338,916.74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48,197,366.36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1,183,795.18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0" w:top="1060" w:bottom="280" w:left="980" w:right="980"/>
        </w:sectPr>
      </w:pPr>
    </w:p>
    <w:p>
      <w:pPr>
        <w:spacing w:line="331"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w:t>
      </w:r>
      <w:r>
        <w:rPr>
          <w:rFonts w:ascii="宋体" w:hAnsi="宋体" w:cs="宋体" w:eastAsia="宋体" w:hint="default"/>
          <w:sz w:val="21"/>
          <w:szCs w:val="21"/>
        </w:rPr>
        <w:t>采用账龄分析法计提坏账准备</w:t>
      </w:r>
      <w:r>
        <w:rPr>
          <w:rFonts w:ascii="宋体" w:hAnsi="宋体" w:cs="宋体" w:eastAsia="宋体" w:hint="default"/>
          <w:w w:val="100"/>
          <w:sz w:val="21"/>
          <w:szCs w:val="21"/>
        </w:rPr>
        <w:t> </w:t>
      </w:r>
      <w:r>
        <w:rPr>
          <w:rFonts w:ascii="宋体" w:hAnsi="宋体" w:cs="宋体" w:eastAsia="宋体" w:hint="default"/>
          <w:sz w:val="18"/>
          <w:szCs w:val="18"/>
        </w:rPr>
        <w:t>期末单项金额重大并单项计提坏账准备的应收账款</w:t>
      </w:r>
    </w:p>
    <w:p>
      <w:pPr>
        <w:spacing w:line="338" w:lineRule="auto" w:before="4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113" w:space="4716"/>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7"/>
        <w:gridCol w:w="665"/>
        <w:gridCol w:w="1594"/>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53,232,083.12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70.06%</w:t>
            </w:r>
          </w:p>
        </w:tc>
        <w:tc>
          <w:tcPr>
            <w:tcW w:w="146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26,221,862.21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20,299,429.72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1,014,971.48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21,378,334.45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1,068,916.73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7"/>
        <w:gridCol w:w="665"/>
        <w:gridCol w:w="1594"/>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年（含</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2,071,412.58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2.73%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207,141.26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371,666.00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37,166.60</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年（含</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261,940.00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0.34%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52,388.00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116,800.00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23,360.00</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年（含</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96,832.00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0.13%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48,416.00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108,703.70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54,351.85</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center"/>
              <w:rPr>
                <w:rFonts w:ascii="Times New Roman" w:hAnsi="Times New Roman" w:cs="Times New Roman" w:eastAsia="Times New Roman" w:hint="default"/>
                <w:sz w:val="18"/>
                <w:szCs w:val="18"/>
              </w:rPr>
            </w:pPr>
            <w:r>
              <w:rPr>
                <w:rFonts w:ascii="Times New Roman"/>
                <w:sz w:val="18"/>
              </w:rPr>
              <w:t>0.02%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75,977,697.42</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1,338,916.74</w:t>
            </w:r>
          </w:p>
        </w:tc>
        <w:tc>
          <w:tcPr>
            <w:tcW w:w="21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48,197,366.36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1,183,795.18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0"/>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2"/>
        <w:gridCol w:w="1823"/>
      </w:tblGrid>
      <w:tr>
        <w:trPr>
          <w:trHeight w:val="401"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59"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2"/>
        <w:gridCol w:w="1857"/>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7"/>
              <w:jc w:val="center"/>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13,566,948.68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天以内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12794833.01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772115.67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17.86%</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中国移动通信集团浙江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8,721,905.29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天以内</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8,476,653.75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245,251.54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11.48%</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5,029,884.13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天以内</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1,209,287.80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3,820,596.33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中国移动通信集团江苏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4,618,511.02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天以内</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1,812,950.71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2,805,560.31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7"/>
              <w:jc w:val="center"/>
              <w:rPr>
                <w:rFonts w:ascii="宋体" w:hAnsi="宋体" w:cs="宋体" w:eastAsia="宋体" w:hint="default"/>
                <w:sz w:val="18"/>
                <w:szCs w:val="18"/>
              </w:rPr>
            </w:pPr>
            <w:r>
              <w:rPr>
                <w:rFonts w:ascii="宋体" w:hAnsi="宋体" w:cs="宋体" w:eastAsia="宋体" w:hint="default"/>
                <w:sz w:val="18"/>
                <w:szCs w:val="18"/>
              </w:rPr>
              <w:t>戴尔（中国）有限公司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4,102,374.56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天以内</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3,988,518.56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113,856.00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36,039,623.68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9"/>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9"/>
        <w:gridCol w:w="3831"/>
        <w:gridCol w:w="3556"/>
      </w:tblGrid>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8"/>
        <w:gridCol w:w="1191"/>
        <w:gridCol w:w="52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4"/>
              <w:jc w:val="left"/>
              <w:rPr>
                <w:rFonts w:ascii="宋体" w:hAnsi="宋体" w:cs="宋体" w:eastAsia="宋体" w:hint="default"/>
                <w:sz w:val="18"/>
                <w:szCs w:val="18"/>
              </w:rPr>
            </w:pPr>
            <w:r>
              <w:rPr>
                <w:rFonts w:ascii="宋体" w:hAnsi="宋体" w:cs="宋体" w:eastAsia="宋体" w:hint="default"/>
                <w:sz w:val="18"/>
                <w:szCs w:val="18"/>
              </w:rPr>
              <w:t>按组合计提坏账准备的其 他应收款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10,111,789.98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619,741.48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6.13%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8,549,114.21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478,536.32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10,111,789.98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619,741.48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6.13%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8,549,114.21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478,536.32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10,111,789.98</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619,741.48</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8,549,114.21</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478,536.32</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0" w:top="1060" w:bottom="280" w:left="980" w:right="980"/>
        </w:sectPr>
      </w:pPr>
    </w:p>
    <w:p>
      <w:pPr>
        <w:spacing w:line="331"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w:t>
      </w:r>
      <w:r>
        <w:rPr>
          <w:rFonts w:ascii="宋体" w:hAnsi="宋体" w:cs="宋体" w:eastAsia="宋体" w:hint="default"/>
          <w:sz w:val="21"/>
          <w:szCs w:val="21"/>
        </w:rPr>
        <w:t>采用账龄分析法计提坏账准备</w:t>
      </w:r>
      <w:r>
        <w:rPr>
          <w:rFonts w:ascii="宋体" w:hAnsi="宋体" w:cs="宋体" w:eastAsia="宋体" w:hint="default"/>
          <w:w w:val="100"/>
          <w:sz w:val="21"/>
          <w:szCs w:val="21"/>
        </w:rPr>
        <w:t> </w:t>
      </w:r>
      <w:r>
        <w:rPr>
          <w:rFonts w:ascii="宋体" w:hAnsi="宋体" w:cs="宋体" w:eastAsia="宋体" w:hint="default"/>
          <w:sz w:val="18"/>
          <w:szCs w:val="18"/>
        </w:rPr>
        <w:t>期末单项金额重大并单项计提坏账准备的其他应收款</w:t>
      </w:r>
    </w:p>
    <w:p>
      <w:pPr>
        <w:spacing w:line="338" w:lineRule="auto" w:before="4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3"/>
        <w:gridCol w:w="665"/>
        <w:gridCol w:w="1726"/>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8,523,056.09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426,152.80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7,983,070.22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93.39%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399,153.52</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1,396,489.00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139,648.90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472,318.00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47,231.80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140,608.90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28,121.78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9,808.00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51,635.99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25,818.00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44,685.99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22,343.00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10,111,789.98</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619,741.48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8,549,114.21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478,536.32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39"/>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4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7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8"/>
        <w:gridCol w:w="1729"/>
        <w:gridCol w:w="1726"/>
        <w:gridCol w:w="1860"/>
        <w:gridCol w:w="1591"/>
      </w:tblGrid>
      <w:tr>
        <w:trPr>
          <w:trHeight w:val="402" w:hRule="exact"/>
        </w:trPr>
        <w:tc>
          <w:tcPr>
            <w:tcW w:w="2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8"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上海力克数码科技有限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2,368,951.64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23.43%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上海市青浦区金泽镇人 民政府</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2,120,700.00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20.97%</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上海领卓企业管理咨询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1,286,555.06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滕健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6,965,206.70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上海力克数码科技有限公司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2,368,951.64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23.43%</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上海领卓企业管理咨询有限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1,286,555.06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3,655,506.70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上海天玑 信息技术 服务有限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极品数据 系统公司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684,420.0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684,420.0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684,420.0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上海力克 数码科技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上海领卓 企业管理 咨询有限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极品数码 系统（香 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1,357,800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上海复深 蓝信息技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27,840,00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27,840,00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27,840,00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66.67%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51,882,22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24,042,22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27,840,00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51,882,22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长期股权投资的说明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250,394,595.11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202,971,851.70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1,687,025.64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252,081,620.75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203,178,851.70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146,503,583.64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93,008,285.40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4"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 </w:t>
            </w:r>
            <w:r>
              <w:rPr>
                <w:rFonts w:ascii="宋体" w:hAnsi="宋体" w:cs="宋体" w:eastAsia="宋体" w:hint="default"/>
                <w:spacing w:val="2"/>
                <w:sz w:val="18"/>
                <w:szCs w:val="18"/>
              </w:rPr>
              <w:t> </w:t>
            </w:r>
            <w:r>
              <w:rPr>
                <w:rFonts w:ascii="宋体" w:hAnsi="宋体" w:cs="宋体" w:eastAsia="宋体" w:hint="default"/>
                <w:sz w:val="18"/>
                <w:szCs w:val="18"/>
              </w:rPr>
              <w:t>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86,957,124.35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37,616,722.40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80,861,809.55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28,508,637.21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融</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67,446,357.60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48,227,692.85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39,851,018.62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21,594,115.75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 </w:t>
            </w:r>
            <w:r>
              <w:rPr>
                <w:rFonts w:ascii="宋体" w:hAnsi="宋体" w:cs="宋体" w:eastAsia="宋体" w:hint="default"/>
                <w:spacing w:val="2"/>
                <w:sz w:val="18"/>
                <w:szCs w:val="18"/>
              </w:rPr>
              <w:t> </w:t>
            </w:r>
            <w:r>
              <w:rPr>
                <w:rFonts w:ascii="宋体" w:hAnsi="宋体" w:cs="宋体" w:eastAsia="宋体" w:hint="default"/>
                <w:sz w:val="18"/>
                <w:szCs w:val="18"/>
              </w:rPr>
              <w:t>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19,609,376.82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11,306,750.55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20,645,486.53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8,703,294.45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能源交通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17,730,949.78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10,183,155.31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23,442,910.19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13,619,604.60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58,650,786.56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39,169,262.53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38,170,626.81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20,582,633.39</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250,394,595.11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146,503,583.64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202,971,851.70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93,008,285.40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0"/>
        <w:gridCol w:w="1715"/>
      </w:tblGrid>
      <w:tr>
        <w:trPr>
          <w:trHeight w:val="402"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支持与维护服务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138,389,099.36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4" w:right="0"/>
              <w:jc w:val="left"/>
              <w:rPr>
                <w:rFonts w:ascii="Times New Roman" w:hAnsi="Times New Roman" w:cs="Times New Roman" w:eastAsia="Times New Roman" w:hint="default"/>
                <w:sz w:val="18"/>
                <w:szCs w:val="18"/>
              </w:rPr>
            </w:pPr>
            <w:r>
              <w:rPr>
                <w:rFonts w:ascii="Times New Roman"/>
                <w:sz w:val="18"/>
              </w:rPr>
              <w:t>72,283,749.15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130,257,636.10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0" w:right="0"/>
              <w:jc w:val="left"/>
              <w:rPr>
                <w:rFonts w:ascii="Times New Roman" w:hAnsi="Times New Roman" w:cs="Times New Roman" w:eastAsia="Times New Roman" w:hint="default"/>
                <w:sz w:val="18"/>
                <w:szCs w:val="18"/>
              </w:rPr>
            </w:pPr>
            <w:r>
              <w:rPr>
                <w:rFonts w:ascii="Times New Roman"/>
                <w:sz w:val="18"/>
              </w:rPr>
              <w:t>48,212,831.48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49,876,338.94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25,978,105.35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19,782,560.63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6,396,681.90</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5,821,056.05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2,803,302.20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17,955,110.52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7,833,714.08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6,291,316.49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5,694,304.17</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50,016,784.27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39,744,122.77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34,976,544.45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30,565,057.94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250,394,595.11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146,503,583.64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202,971,851.70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93,008,285.40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147,916,479.68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84,531,641.15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127,123,353.91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55,686,418.95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39,067,469.77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25,256,946.23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29,048,085.43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16,753,741.00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26,623,299.02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15,013,953.51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20,601,353.72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9,496,036.63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12,522,224.10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7,847,796.01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10,520,257.04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4,199,481.90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10,683,030.99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5,514,474.12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9,884,960.69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3,886,590.49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13,237,485.64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8,169,647.29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5,549,795.76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2,907,721.07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344,605.91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169,125.33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244,045.15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78,295.36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250,394,595.11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146,503,583.64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202,971,851.70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93,008,285.40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1"/>
        <w:gridCol w:w="1865"/>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45,432,690.85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19,614,744.66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15,548,029.45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12,356,146.10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中国移动通信集团江苏有限公司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8,167,829.03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101,119,440.09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0"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21"/>
        <w:gridCol w:w="2523"/>
        <w:gridCol w:w="2513"/>
      </w:tblGrid>
      <w:tr>
        <w:trPr>
          <w:trHeight w:val="402"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1"/>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1"/>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44,096,153.20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56,345,983.25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616,600.04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1,386,915.41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5,496,066.36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3,353,116.44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151,277.42</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66,000.78</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1,259.62</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3,134.36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2,483.84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275,334.54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-92,490.00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-208,037.31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-955,565.57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901,889.10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-22,765,115.26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-16,529,408.40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27,961,005.92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-378,273.68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54,578,326.87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45,150,003.19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336,149,432.29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380,176,103.39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380,176,103.39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55,245,940.53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-44,026,671.10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324,930,162.86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0" w:top="1060" w:bottom="2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206"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1083"/>
        <w:gridCol w:w="1610"/>
        <w:gridCol w:w="1609"/>
        <w:gridCol w:w="912"/>
        <w:gridCol w:w="4446"/>
      </w:tblGrid>
      <w:tr>
        <w:trPr>
          <w:trHeight w:val="658"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（或本年金额）</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（或上年金额）</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变动比率</w:t>
            </w:r>
          </w:p>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8"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96,841,450.66</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54,293,533.78</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78.37</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主要系本年度公司业务规模扩大所致</w:t>
            </w:r>
          </w:p>
        </w:tc>
      </w:tr>
      <w:tr>
        <w:trPr>
          <w:trHeight w:val="346"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34,703,119.94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12,531,665.53</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176.92</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主要系本年度公司采购固定资产增加所致</w:t>
            </w:r>
          </w:p>
        </w:tc>
      </w:tr>
      <w:tr>
        <w:trPr>
          <w:trHeight w:val="348"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134,000,000.00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67,000,000.00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系本年度公司资本公积转增股本所致</w:t>
            </w:r>
          </w:p>
        </w:tc>
      </w:tr>
      <w:tr>
        <w:trPr>
          <w:trHeight w:val="358"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313,260,727.26</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224,453,830.60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39.57</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主要系本年度公司业务规模扩大所致</w:t>
            </w:r>
          </w:p>
        </w:tc>
      </w:tr>
      <w:tr>
        <w:trPr>
          <w:trHeight w:val="355"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182,042,152.25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105,151,346.63</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73.12</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主要系本年度公司业务规模扩大所致</w:t>
            </w:r>
          </w:p>
        </w:tc>
      </w:tr>
      <w:tr>
        <w:trPr>
          <w:trHeight w:val="358"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27,195,460.62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19,240,782.98</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41.34</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主要系本年度开拓新业务、扩大市场规模所致</w:t>
            </w:r>
          </w:p>
        </w:tc>
      </w:tr>
      <w:tr>
        <w:trPr>
          <w:trHeight w:val="348"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57,098,992.84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34,965,543.94</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63.30</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主要系本年度研发投入增加、人员薪酬调整所致</w:t>
            </w:r>
          </w:p>
        </w:tc>
      </w:tr>
      <w:tr>
        <w:trPr>
          <w:trHeight w:val="346"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-8,731,968.69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-3,971,877.81</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119.84</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主要系本年度公司银行存款增加所致</w:t>
            </w:r>
          </w:p>
        </w:tc>
      </w:tr>
      <w:tr>
        <w:trPr>
          <w:trHeight w:val="358"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9,018,580.88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12,918,340.36</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-30.19</w:t>
            </w:r>
          </w:p>
        </w:tc>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主要系本年度公司成本费用增加而利润减少所致</w:t>
            </w:r>
          </w:p>
        </w:tc>
      </w:tr>
    </w:tbl>
    <w:p>
      <w:pPr>
        <w:spacing w:after="0" w:line="240" w:lineRule="auto"/>
        <w:jc w:val="left"/>
        <w:rPr>
          <w:rFonts w:ascii="宋体" w:hAnsi="宋体" w:cs="宋体" w:eastAsia="宋体" w:hint="default"/>
          <w:sz w:val="18"/>
          <w:szCs w:val="18"/>
        </w:rPr>
        <w:sectPr>
          <w:pgSz w:w="11910" w:h="16840"/>
          <w:pgMar w:header="745" w:footer="0" w:top="106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453"/>
        <w:jc w:val="center"/>
        <w:rPr>
          <w:b w:val="0"/>
          <w:bCs w:val="0"/>
        </w:rPr>
      </w:pPr>
      <w:bookmarkStart w:name="_bookmark9" w:id="10"/>
      <w:bookmarkEnd w:id="10"/>
      <w:r>
        <w:rPr>
          <w:b w:val="0"/>
          <w:bCs w:val="0"/>
        </w:rPr>
      </w:r>
      <w:r>
        <w:rPr/>
        <w:t>第十节</w:t>
      </w:r>
      <w:r>
        <w:rPr>
          <w:spacing w:val="-6"/>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BodyText"/>
        <w:spacing w:line="240" w:lineRule="auto"/>
        <w:ind w:right="0"/>
        <w:jc w:val="left"/>
      </w:pPr>
      <w:r>
        <w:rPr/>
        <w:t>公司</w:t>
      </w:r>
      <w:r>
        <w:rPr>
          <w:rFonts w:ascii="Times New Roman" w:hAnsi="Times New Roman" w:cs="Times New Roman" w:eastAsia="Times New Roman" w:hint="default"/>
        </w:rPr>
        <w:t>2012</w:t>
      </w:r>
      <w:r>
        <w:rPr/>
        <w:t>年年报备查文件包括：</w:t>
      </w:r>
    </w:p>
    <w:p>
      <w:pPr>
        <w:pStyle w:val="BodyText"/>
        <w:spacing w:line="240" w:lineRule="auto" w:before="21"/>
        <w:ind w:right="0"/>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2012</w:t>
      </w:r>
      <w:r>
        <w:rPr/>
        <w:t>年度报告全文的文件。</w:t>
      </w:r>
    </w:p>
    <w:p>
      <w:pPr>
        <w:pStyle w:val="BodyText"/>
        <w:spacing w:line="240" w:lineRule="auto" w:before="21"/>
        <w:ind w:right="0"/>
        <w:jc w:val="left"/>
      </w:pPr>
      <w:r>
        <w:rPr>
          <w:rFonts w:ascii="Times New Roman" w:hAnsi="Times New Roman" w:cs="Times New Roman" w:eastAsia="Times New Roman" w:hint="default"/>
        </w:rPr>
        <w:t>2</w:t>
      </w:r>
      <w:r>
        <w:rPr/>
        <w:t>、载有公司负责人、主管会计工作负责人、会计机构负责人签名并盖章的财务报表。</w:t>
      </w:r>
    </w:p>
    <w:p>
      <w:pPr>
        <w:pStyle w:val="BodyText"/>
        <w:spacing w:line="240" w:lineRule="auto" w:before="21"/>
        <w:ind w:right="0"/>
        <w:jc w:val="left"/>
      </w:pPr>
      <w:r>
        <w:rPr>
          <w:rFonts w:ascii="Times New Roman" w:hAnsi="Times New Roman" w:cs="Times New Roman" w:eastAsia="Times New Roman" w:hint="default"/>
        </w:rPr>
        <w:t>3</w:t>
      </w:r>
      <w:r>
        <w:rPr/>
        <w:t>、报告期内在中国证监会指定网站上披露过的所有文件的正本及公告原稿。</w:t>
      </w:r>
    </w:p>
    <w:p>
      <w:pPr>
        <w:pStyle w:val="BodyText"/>
        <w:spacing w:line="256" w:lineRule="auto" w:before="21"/>
        <w:ind w:right="1674"/>
        <w:jc w:val="left"/>
      </w:pPr>
      <w:r>
        <w:rPr>
          <w:rFonts w:ascii="Times New Roman" w:hAnsi="Times New Roman" w:cs="Times New Roman" w:eastAsia="Times New Roman" w:hint="default"/>
        </w:rPr>
        <w:t>4</w:t>
      </w:r>
      <w:r>
        <w:rPr/>
        <w:t>、其他备查文件。</w:t>
      </w:r>
      <w:r>
        <w:rPr>
          <w:w w:val="100"/>
        </w:rPr>
        <w:t> </w:t>
      </w:r>
      <w:r>
        <w:rPr>
          <w:spacing w:val="-2"/>
        </w:rPr>
        <w:t>以上备查文件的备至地点为：上海市桂平路</w:t>
      </w:r>
      <w:r>
        <w:rPr>
          <w:rFonts w:ascii="Times New Roman" w:hAnsi="Times New Roman" w:cs="Times New Roman" w:eastAsia="Times New Roman" w:hint="default"/>
          <w:spacing w:val="-2"/>
        </w:rPr>
        <w:t>481</w:t>
      </w:r>
      <w:r>
        <w:rPr>
          <w:spacing w:val="-2"/>
        </w:rPr>
        <w:t>号</w:t>
      </w:r>
      <w:r>
        <w:rPr>
          <w:rFonts w:ascii="Times New Roman" w:hAnsi="Times New Roman" w:cs="Times New Roman" w:eastAsia="Times New Roman" w:hint="default"/>
          <w:spacing w:val="-2"/>
        </w:rPr>
        <w:t>18</w:t>
      </w:r>
      <w:r>
        <w:rPr>
          <w:spacing w:val="-2"/>
        </w:rPr>
        <w:t>号楼</w:t>
      </w:r>
      <w:r>
        <w:rPr>
          <w:rFonts w:ascii="Times New Roman" w:hAnsi="Times New Roman" w:cs="Times New Roman" w:eastAsia="Times New Roman" w:hint="default"/>
          <w:spacing w:val="-2"/>
        </w:rPr>
        <w:t>4</w:t>
      </w:r>
      <w:r>
        <w:rPr>
          <w:spacing w:val="-2"/>
        </w:rPr>
        <w:t>楼证券事务部。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9"/>
          <w:szCs w:val="29"/>
        </w:rPr>
      </w:pPr>
    </w:p>
    <w:p>
      <w:pPr>
        <w:pStyle w:val="BodyText"/>
        <w:spacing w:line="240" w:lineRule="auto"/>
        <w:ind w:left="7270" w:right="0"/>
        <w:jc w:val="left"/>
      </w:pPr>
      <w:r>
        <w:rPr/>
        <w:t>上海天玑科技股份有限公司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568"/>
        <w:jc w:val="right"/>
      </w:pPr>
      <w:r>
        <w:rPr/>
        <w:t>法定代表人：</w:t>
      </w:r>
      <w:r>
        <w:rPr>
          <w:spacing w:val="-22"/>
        </w:rPr>
        <w:t> </w:t>
      </w:r>
      <w:r>
        <w:rPr/>
        <w:t>陆文雄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148"/>
        <w:jc w:val="righ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w:t>
      </w:r>
    </w:p>
    <w:sectPr>
      <w:pgSz w:w="11910" w:h="16840"/>
      <w:pgMar w:header="745" w:footer="0" w:top="106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827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452"/>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http://www.dnt.com.cn/" TargetMode="External"/><Relationship Id="rId8" Type="http://schemas.openxmlformats.org/officeDocument/2006/relationships/hyperlink" Target="mailto:public@dnt.com.cn"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www.cninfo.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上海天玑科技股份有限公司</dc:creator>
  <dc:title>上海天玑科技股份有限公司2012年度报告全文</dc:title>
  <dcterms:created xsi:type="dcterms:W3CDTF">2020-05-04T02:06:53Z</dcterms:created>
  <dcterms:modified xsi:type="dcterms:W3CDTF">2020-05-04T02:06:53Z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2013-04-09T00:00:00Z</vt:filetime>
  </property>
  <property fmtid="{D5CDD505-2E9C-101B-9397-08002B2CF9AE}" pid="3" name="Creator">
    <vt:lpwstr>Microsoft® Office Word 2007</vt:lpwstr>
  </property>
  <property fmtid="{D5CDD505-2E9C-101B-9397-08002B2CF9AE}" pid="4" name="LastSaved">
    <vt:filetime>2020-05-03T00:00:00Z</vt:filetime>
  </property>
</Properties>
</file>