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580" w:line="240" w:lineRule="auto"/>
        <w:ind w:left="0" w:right="0" w:firstLine="0"/>
        <w:jc w:val="center"/>
        <w:rPr>
          <w:sz w:val="36"/>
          <w:szCs w:val="36"/>
        </w:rPr>
      </w:pPr>
      <w:r>
        <w:rPr>
          <w:b/>
          <w:bCs/>
          <w:color w:val="000000"/>
          <w:spacing w:val="0"/>
          <w:w w:val="100"/>
          <w:position w:val="0"/>
          <w:sz w:val="36"/>
          <w:szCs w:val="36"/>
        </w:rPr>
        <w:t>上海天玑科技股份有限公司</w:t>
      </w:r>
    </w:p>
    <w:p>
      <w:pPr>
        <w:pStyle w:val="Style9"/>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color w:val="000000"/>
          <w:spacing w:val="0"/>
          <w:w w:val="100"/>
          <w:position w:val="0"/>
        </w:rPr>
        <w:t>天</w:t>
      </w:r>
      <w:r>
        <w:rPr>
          <w:rFonts w:ascii="Times New Roman" w:eastAsia="Times New Roman" w:hAnsi="Times New Roman" w:cs="Times New Roman"/>
          <w:color w:val="000000"/>
          <w:spacing w:val="0"/>
          <w:w w:val="100"/>
          <w:position w:val="0"/>
          <w:sz w:val="80"/>
          <w:szCs w:val="80"/>
        </w:rPr>
        <w:t>in</w:t>
      </w:r>
      <w:r>
        <w:rPr>
          <w:color w:val="000000"/>
          <w:spacing w:val="0"/>
          <w:w w:val="100"/>
          <w:position w:val="0"/>
        </w:rPr>
        <w:t>科技</w:t>
      </w:r>
      <w:bookmarkEnd w:id="0"/>
      <w:bookmarkEnd w:id="1"/>
      <w:bookmarkEnd w:id="2"/>
    </w:p>
    <w:p>
      <w:pPr>
        <w:pStyle w:val="Style2"/>
        <w:keepNext w:val="0"/>
        <w:keepLines w:val="0"/>
        <w:widowControl w:val="0"/>
        <w:shd w:val="clear" w:color="auto" w:fill="auto"/>
        <w:bidi w:val="0"/>
        <w:spacing w:before="0" w:after="620" w:line="197" w:lineRule="auto"/>
        <w:ind w:left="4480" w:right="0" w:firstLine="0"/>
        <w:jc w:val="left"/>
        <w:rPr>
          <w:sz w:val="20"/>
          <w:szCs w:val="20"/>
        </w:rPr>
      </w:pPr>
      <w:r>
        <w:rPr>
          <w:rFonts w:ascii="Century Gothic" w:eastAsia="Century Gothic" w:hAnsi="Century Gothic" w:cs="Century Gothic"/>
          <w:color w:val="1C1327"/>
          <w:spacing w:val="0"/>
          <w:w w:val="100"/>
          <w:position w:val="0"/>
          <w:sz w:val="20"/>
          <w:szCs w:val="20"/>
        </w:rPr>
        <w:t xml:space="preserve">Pioneer in </w:t>
      </w:r>
      <w:r>
        <w:rPr>
          <w:rFonts w:ascii="Century Gothic" w:eastAsia="Century Gothic" w:hAnsi="Century Gothic" w:cs="Century Gothic"/>
          <w:color w:val="4C4C4C"/>
          <w:spacing w:val="0"/>
          <w:w w:val="100"/>
          <w:position w:val="0"/>
          <w:sz w:val="20"/>
          <w:szCs w:val="20"/>
        </w:rPr>
        <w:t xml:space="preserve">IT </w:t>
      </w:r>
      <w:r>
        <w:rPr>
          <w:rFonts w:ascii="Century Gothic" w:eastAsia="Century Gothic" w:hAnsi="Century Gothic" w:cs="Century Gothic"/>
          <w:color w:val="1C1327"/>
          <w:spacing w:val="0"/>
          <w:w w:val="100"/>
          <w:position w:val="0"/>
          <w:sz w:val="20"/>
          <w:szCs w:val="20"/>
        </w:rPr>
        <w:t>Service</w:t>
      </w:r>
    </w:p>
    <w:p>
      <w:pPr>
        <w:pStyle w:val="Style14"/>
        <w:keepNext/>
        <w:keepLines/>
        <w:widowControl w:val="0"/>
        <w:shd w:val="clear" w:color="auto" w:fill="auto"/>
        <w:bidi w:val="0"/>
        <w:spacing w:before="0" w:after="328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7"/>
        <w:keepNext w:val="0"/>
        <w:keepLines w:val="0"/>
        <w:widowControl w:val="0"/>
        <w:shd w:val="clear" w:color="auto" w:fill="auto"/>
        <w:bidi w:val="0"/>
        <w:spacing w:before="0" w:after="440" w:line="240" w:lineRule="auto"/>
        <w:ind w:left="3520" w:right="0" w:firstLine="0"/>
        <w:jc w:val="left"/>
      </w:pPr>
      <w:r>
        <w:rPr>
          <w:color w:val="000000"/>
          <w:spacing w:val="0"/>
          <w:w w:val="100"/>
          <w:position w:val="0"/>
        </w:rPr>
        <w:t>股票简称：天巩科技</w:t>
      </w:r>
    </w:p>
    <w:p>
      <w:pPr>
        <w:pStyle w:val="Style2"/>
        <w:keepNext w:val="0"/>
        <w:keepLines w:val="0"/>
        <w:widowControl w:val="0"/>
        <w:shd w:val="clear" w:color="auto" w:fill="auto"/>
        <w:bidi w:val="0"/>
        <w:spacing w:before="0" w:after="440" w:line="240" w:lineRule="auto"/>
        <w:ind w:left="3520" w:right="0" w:firstLine="0"/>
        <w:jc w:val="left"/>
        <w:rPr>
          <w:sz w:val="28"/>
          <w:szCs w:val="28"/>
        </w:rPr>
      </w:pPr>
      <w:r>
        <w:rPr>
          <w:b/>
          <w:bCs/>
          <w:color w:val="000000"/>
          <w:spacing w:val="0"/>
          <w:w w:val="100"/>
          <w:position w:val="0"/>
          <w:sz w:val="28"/>
          <w:szCs w:val="28"/>
        </w:rPr>
        <w:t>股票代码：</w:t>
      </w:r>
      <w:r>
        <w:rPr>
          <w:rFonts w:ascii="Times New Roman" w:eastAsia="Times New Roman" w:hAnsi="Times New Roman" w:cs="Times New Roman"/>
          <w:b/>
          <w:bCs/>
          <w:color w:val="000000"/>
          <w:spacing w:val="0"/>
          <w:w w:val="100"/>
          <w:position w:val="0"/>
          <w:sz w:val="28"/>
          <w:szCs w:val="28"/>
        </w:rPr>
        <w:t>300245</w:t>
      </w:r>
    </w:p>
    <w:p>
      <w:pPr>
        <w:pStyle w:val="Style2"/>
        <w:keepNext w:val="0"/>
        <w:keepLines w:val="0"/>
        <w:widowControl w:val="0"/>
        <w:shd w:val="clear" w:color="auto" w:fill="auto"/>
        <w:bidi w:val="0"/>
        <w:spacing w:before="0" w:after="440" w:line="240" w:lineRule="auto"/>
        <w:ind w:left="3520" w:right="0" w:firstLine="0"/>
        <w:jc w:val="left"/>
        <w:rPr>
          <w:sz w:val="28"/>
          <w:szCs w:val="28"/>
        </w:rPr>
      </w:pPr>
      <w:r>
        <w:rPr>
          <w:b/>
          <w:bCs/>
          <w:color w:val="000000"/>
          <w:spacing w:val="0"/>
          <w:w w:val="100"/>
          <w:position w:val="0"/>
          <w:sz w:val="28"/>
          <w:szCs w:val="28"/>
        </w:rPr>
        <w:t>公告编号：</w:t>
      </w:r>
      <w:r>
        <w:rPr>
          <w:rFonts w:ascii="Times New Roman" w:eastAsia="Times New Roman" w:hAnsi="Times New Roman" w:cs="Times New Roman"/>
          <w:b/>
          <w:bCs/>
          <w:color w:val="000000"/>
          <w:spacing w:val="0"/>
          <w:w w:val="100"/>
          <w:position w:val="0"/>
          <w:sz w:val="28"/>
          <w:szCs w:val="28"/>
        </w:rPr>
        <w:t>2014-018</w:t>
      </w:r>
    </w:p>
    <w:p>
      <w:pPr>
        <w:pStyle w:val="Style2"/>
        <w:keepNext w:val="0"/>
        <w:keepLines w:val="0"/>
        <w:widowControl w:val="0"/>
        <w:shd w:val="clear" w:color="auto" w:fill="auto"/>
        <w:bidi w:val="0"/>
        <w:spacing w:before="0" w:after="500" w:line="240" w:lineRule="auto"/>
        <w:ind w:left="0" w:right="0" w:firstLine="0"/>
        <w:jc w:val="center"/>
        <w:rPr>
          <w:sz w:val="28"/>
          <w:szCs w:val="28"/>
        </w:rPr>
        <w:sectPr>
          <w:headerReference w:type="default" r:id="rId5"/>
          <w:footerReference w:type="default" r:id="rId6"/>
          <w:footnotePr>
            <w:pos w:val="pageBottom"/>
            <w:numFmt w:val="decimal"/>
            <w:numRestart w:val="continuous"/>
          </w:footnotePr>
          <w:pgSz w:w="11900" w:h="16840"/>
          <w:pgMar w:top="2818" w:right="1109" w:bottom="2818" w:left="110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28"/>
          <w:szCs w:val="28"/>
        </w:rPr>
        <w:t>2014</w:t>
      </w:r>
      <w:r>
        <w:rPr>
          <w:b/>
          <w:bCs/>
          <w:color w:val="000000"/>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04</w:t>
      </w:r>
      <w:r>
        <w:rPr>
          <w:b/>
          <w:bCs/>
          <w:color w:val="000000"/>
          <w:spacing w:val="0"/>
          <w:w w:val="100"/>
          <w:position w:val="0"/>
          <w:sz w:val="28"/>
          <w:szCs w:val="28"/>
        </w:rPr>
        <w:t>月</w:t>
      </w:r>
    </w:p>
    <w:p>
      <w:pPr>
        <w:pStyle w:val="Style14"/>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after="80"/>
        <w:ind w:left="0" w:right="0"/>
        <w:jc w:val="both"/>
      </w:pPr>
      <w:bookmarkStart w:id="9" w:name="bookmark9"/>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9"/>
    </w:p>
    <w:p>
      <w:pPr>
        <w:pStyle w:val="Style17"/>
        <w:keepNext w:val="0"/>
        <w:keepLines w:val="0"/>
        <w:widowControl w:val="0"/>
        <w:shd w:val="clear" w:color="auto" w:fill="auto"/>
        <w:bidi w:val="0"/>
        <w:spacing w:before="0" w:after="8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220"/>
        <w:ind w:left="0" w:right="0"/>
        <w:jc w:val="both"/>
        <w:sectPr>
          <w:headerReference w:type="default" r:id="rId7"/>
          <w:footerReference w:type="default" r:id="rId8"/>
          <w:footnotePr>
            <w:pos w:val="pageBottom"/>
            <w:numFmt w:val="decimal"/>
            <w:numRestart w:val="continuous"/>
          </w:footnotePr>
          <w:pgSz w:w="11900" w:h="16840"/>
          <w:pgMar w:top="1969" w:right="1109" w:bottom="1969" w:left="1109" w:header="0" w:footer="3" w:gutter="0"/>
          <w:cols w:space="720"/>
          <w:noEndnote/>
          <w:rtlGutter w:val="0"/>
          <w:docGrid w:linePitch="360"/>
        </w:sectPr>
      </w:pPr>
      <w:r>
        <w:rPr>
          <w:color w:val="000000"/>
          <w:spacing w:val="0"/>
          <w:w w:val="100"/>
          <w:position w:val="0"/>
        </w:rPr>
        <w:t>公司负责人陆文雄、主管会计工作负责人陆廷洁及会计机构负责人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李思琪声明：保证年度报告中财务报告的真实、准确、完整。</w:t>
      </w:r>
    </w:p>
    <w:p>
      <w:pPr>
        <w:pStyle w:val="Style2"/>
        <w:keepNext w:val="0"/>
        <w:keepLines w:val="0"/>
        <w:widowControl w:val="0"/>
        <w:shd w:val="clear" w:color="auto" w:fill="auto"/>
        <w:bidi w:val="0"/>
        <w:spacing w:before="1440" w:after="160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20"/>
            <w:szCs w:val="20"/>
          </w:rPr>
          <w:t>第一节重要提示、目录和释义</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2</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14" w:tooltip="Current Document">
        <w:r>
          <w:rPr>
            <w:color w:val="000000"/>
            <w:spacing w:val="0"/>
            <w:w w:val="100"/>
            <w:position w:val="0"/>
            <w:sz w:val="20"/>
            <w:szCs w:val="20"/>
          </w:rPr>
          <w:t>第二节公司基本情况简介</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5</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32" w:tooltip="Current Document">
        <w:r>
          <w:rPr>
            <w:color w:val="000000"/>
            <w:spacing w:val="0"/>
            <w:w w:val="100"/>
            <w:position w:val="0"/>
            <w:sz w:val="20"/>
            <w:szCs w:val="20"/>
          </w:rPr>
          <w:t>第三节会计数据和财务指标摘要</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7</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67" w:tooltip="Current Document">
        <w:r>
          <w:rPr>
            <w:color w:val="000000"/>
            <w:spacing w:val="0"/>
            <w:w w:val="100"/>
            <w:position w:val="0"/>
            <w:sz w:val="20"/>
            <w:szCs w:val="20"/>
          </w:rPr>
          <w:t>第四节董事会报告</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10</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224" w:tooltip="Current Document">
        <w:r>
          <w:rPr>
            <w:color w:val="000000"/>
            <w:spacing w:val="0"/>
            <w:w w:val="100"/>
            <w:position w:val="0"/>
            <w:sz w:val="20"/>
            <w:szCs w:val="20"/>
          </w:rPr>
          <w:t>第五节重要事项</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36</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306" w:tooltip="Current Document">
        <w:r>
          <w:rPr>
            <w:color w:val="000000"/>
            <w:spacing w:val="0"/>
            <w:w w:val="100"/>
            <w:position w:val="0"/>
            <w:sz w:val="20"/>
            <w:szCs w:val="20"/>
          </w:rPr>
          <w:t>第六节股份变动及股东情况</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46</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366" w:tooltip="Current Document">
        <w:r>
          <w:rPr>
            <w:color w:val="000000"/>
            <w:spacing w:val="0"/>
            <w:w w:val="100"/>
            <w:position w:val="0"/>
            <w:sz w:val="20"/>
            <w:szCs w:val="20"/>
          </w:rPr>
          <w:t>第七节董事、监事、高级管理人员和员工情况</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53</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415" w:tooltip="Current Document">
        <w:r>
          <w:rPr>
            <w:color w:val="000000"/>
            <w:spacing w:val="0"/>
            <w:w w:val="100"/>
            <w:position w:val="0"/>
            <w:sz w:val="20"/>
            <w:szCs w:val="20"/>
          </w:rPr>
          <w:t>第八节公司治理</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60</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448" w:tooltip="Current Document">
        <w:r>
          <w:rPr>
            <w:color w:val="000000"/>
            <w:spacing w:val="0"/>
            <w:w w:val="100"/>
            <w:position w:val="0"/>
            <w:sz w:val="20"/>
            <w:szCs w:val="20"/>
          </w:rPr>
          <w:t>第九节财务报告</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63</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rPr>
          <w:sz w:val="18"/>
          <w:szCs w:val="18"/>
        </w:rPr>
      </w:pPr>
      <w:hyperlink w:anchor="bookmark1849" w:tooltip="Current Document">
        <w:r>
          <w:rPr>
            <w:color w:val="000000"/>
            <w:spacing w:val="0"/>
            <w:w w:val="100"/>
            <w:position w:val="0"/>
            <w:sz w:val="20"/>
            <w:szCs w:val="20"/>
          </w:rPr>
          <w:t>第十节备查文件目录</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18"/>
            <w:szCs w:val="18"/>
          </w:rPr>
          <w:t>166</w:t>
        </w:r>
      </w:hyperlink>
      <w:r>
        <w:br w:type="page"/>
      </w:r>
      <w:r>
        <w:fldChar w:fldCharType="end"/>
      </w:r>
    </w:p>
    <w:p>
      <w:pPr>
        <w:pStyle w:val="Style14"/>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上海天玑信息技术服务有限公司</w:t>
            </w:r>
            <w:r>
              <w:rPr>
                <w:color w:val="000000"/>
                <w:spacing w:val="0"/>
                <w:w w:val="100"/>
                <w:position w:val="0"/>
                <w:sz w:val="18"/>
                <w:szCs w:val="18"/>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力克数码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上海力克数码科技有限公司</w:t>
            </w:r>
            <w:r>
              <w:rPr>
                <w:color w:val="000000"/>
                <w:spacing w:val="0"/>
                <w:w w:val="100"/>
                <w:position w:val="0"/>
                <w:sz w:val="18"/>
                <w:szCs w:val="18"/>
              </w:rPr>
              <w:t>，</w:t>
            </w:r>
            <w:r>
              <w:rPr>
                <w:color w:val="000000"/>
                <w:spacing w:val="0"/>
                <w:w w:val="100"/>
                <w:position w:val="0"/>
              </w:rPr>
              <w:t>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领卓咨询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上海领卓企业管理咨询有限公司</w:t>
            </w:r>
            <w:r>
              <w:rPr>
                <w:color w:val="000000"/>
                <w:spacing w:val="0"/>
                <w:w w:val="100"/>
                <w:position w:val="0"/>
                <w:sz w:val="18"/>
                <w:szCs w:val="18"/>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极品数据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TOP Data Systems,Inc</w:t>
            </w:r>
            <w:r>
              <w:rPr>
                <w:color w:val="000000"/>
                <w:spacing w:val="0"/>
                <w:w w:val="100"/>
                <w:position w:val="0"/>
                <w:sz w:val="18"/>
                <w:szCs w:val="18"/>
              </w:rPr>
              <w:t>，</w:t>
            </w:r>
            <w:r>
              <w:rPr>
                <w:color w:val="000000"/>
                <w:spacing w:val="0"/>
                <w:w w:val="100"/>
                <w:position w:val="0"/>
              </w:rPr>
              <w:t>极品数据系统公司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极品数据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极品数据系统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color w:val="000000"/>
                <w:spacing w:val="0"/>
                <w:w w:val="100"/>
                <w:position w:val="0"/>
                <w:sz w:val="18"/>
                <w:szCs w:val="18"/>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复深蓝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上海复深蓝信息技术有限公司</w:t>
            </w:r>
            <w:r>
              <w:rPr>
                <w:color w:val="000000"/>
                <w:spacing w:val="0"/>
                <w:w w:val="100"/>
                <w:position w:val="0"/>
                <w:sz w:val="18"/>
                <w:szCs w:val="18"/>
              </w:rPr>
              <w:t>，</w:t>
            </w:r>
            <w:r>
              <w:rPr>
                <w:color w:val="000000"/>
                <w:spacing w:val="0"/>
                <w:w w:val="100"/>
                <w:position w:val="0"/>
              </w:rPr>
              <w:t>系公司控股子公司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上海天玑科技股份有限公司杭州分公司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上海天玑科技股份有限公司北京分公司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上海天玑科技股份有限公司武汉分公司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上海天玑科技股份有限公司济南分公司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上海天玑科技股份有限公司沈阳分公司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上海天玑科技股份有限公司广州分公司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上海天玑科技股份有限公司南京分公司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上海天玑科技股份有限公司成都分公司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上海天玑科技股份有限公司深圳分公司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上海天玑科技股份有限公司董事会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上海天玑科技股份有限公司监事会</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13" w:name="bookmark13"/>
      <w:bookmarkStart w:id="14" w:name="bookmark14"/>
      <w:bookmarkStart w:id="15" w:name="bookmark15"/>
      <w:r>
        <w:rPr>
          <w:color w:val="000000"/>
          <w:spacing w:val="0"/>
          <w:w w:val="100"/>
          <w:position w:val="0"/>
        </w:rPr>
        <w:t>第二节公司基本情况简介</w:t>
      </w:r>
      <w:bookmarkEnd w:id="13"/>
      <w:bookmarkEnd w:id="14"/>
      <w:bookmarkEnd w:id="15"/>
    </w:p>
    <w:p>
      <w:pPr>
        <w:pStyle w:val="Style27"/>
        <w:keepNext/>
        <w:keepLines/>
        <w:widowControl w:val="0"/>
        <w:shd w:val="clear" w:color="auto" w:fill="auto"/>
        <w:bidi w:val="0"/>
        <w:spacing w:before="0" w:line="240" w:lineRule="auto"/>
        <w:ind w:left="0" w:right="0" w:firstLine="240"/>
        <w:jc w:val="left"/>
      </w:pPr>
      <w:bookmarkStart w:id="16" w:name="bookmark16"/>
      <w:bookmarkStart w:id="17" w:name="bookmark17"/>
      <w:bookmarkStart w:id="18" w:name="bookmark18"/>
      <w:bookmarkStart w:id="19" w:name="bookmark19"/>
      <w:r>
        <w:rPr>
          <w:color w:val="000000"/>
          <w:spacing w:val="0"/>
          <w:w w:val="100"/>
          <w:position w:val="0"/>
        </w:rPr>
        <w:t>、公司信息</w:t>
      </w:r>
      <w:bookmarkEnd w:id="17"/>
      <w:bookmarkEnd w:id="18"/>
      <w:bookmarkEnd w:id="19"/>
      <w:bookmarkEnd w:id="16"/>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天玑科技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Shanghai DragonNet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上海市青浦区清河湾路</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"http://www.dnt.com.cn" </w:instrText>
            </w:r>
            <w:r>
              <w:fldChar w:fldCharType="separate"/>
            </w:r>
            <w:r>
              <w:rPr>
                <w:rFonts w:ascii="Times New Roman" w:eastAsia="Times New Roman" w:hAnsi="Times New Roman" w:cs="Times New Roman"/>
                <w:color w:val="000000"/>
                <w:spacing w:val="0"/>
                <w:w w:val="100"/>
                <w:position w:val="0"/>
                <w:sz w:val="18"/>
                <w:szCs w:val="18"/>
              </w:rPr>
              <w:t>www.dnt.com.cn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public @dnt. com. 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240"/>
        <w:jc w:val="left"/>
      </w:pPr>
      <w:bookmarkStart w:id="20" w:name="bookmark20"/>
      <w:bookmarkStart w:id="21" w:name="bookmark21"/>
      <w:bookmarkStart w:id="22" w:name="bookmark22"/>
      <w:r>
        <w:rPr>
          <w:color w:val="000000"/>
          <w:spacing w:val="0"/>
          <w:w w:val="100"/>
          <w:position w:val="0"/>
        </w:rPr>
        <w:t>、联系人和联系方式</w:t>
      </w:r>
      <w:bookmarkEnd w:id="20"/>
      <w:bookmarkEnd w:id="21"/>
      <w:bookmarkEnd w:id="2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余美伊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021-54278888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021-54278888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021-54279888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021-54279888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public @dnt.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"mailto:public@dnt.com.cn" </w:instrText>
            </w:r>
            <w:r>
              <w:fldChar w:fldCharType="separate"/>
            </w:r>
            <w:r>
              <w:rPr>
                <w:rFonts w:ascii="Times New Roman" w:eastAsia="Times New Roman" w:hAnsi="Times New Roman" w:cs="Times New Roman"/>
                <w:color w:val="000000"/>
                <w:spacing w:val="0"/>
                <w:w w:val="100"/>
                <w:position w:val="0"/>
                <w:sz w:val="18"/>
                <w:szCs w:val="18"/>
              </w:rPr>
              <w:t>public@dnt.com.cn</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、公司历史沿革</w:t>
      </w:r>
      <w:bookmarkEnd w:id="27"/>
      <w:bookmarkEnd w:id="28"/>
      <w:bookmarkEnd w:id="30"/>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上海市张江高科技 园区郭守敬路</w:t>
            </w:r>
            <w:r>
              <w:rPr>
                <w:rFonts w:ascii="Times New Roman" w:eastAsia="Times New Roman" w:hAnsi="Times New Roman" w:cs="Times New Roman"/>
                <w:color w:val="000000"/>
                <w:spacing w:val="0"/>
                <w:w w:val="100"/>
                <w:position w:val="0"/>
                <w:sz w:val="18"/>
                <w:szCs w:val="18"/>
              </w:rPr>
              <w:t xml:space="preserve">498 </w:t>
            </w:r>
            <w:r>
              <w:rPr>
                <w:color w:val="000000"/>
                <w:spacing w:val="0"/>
                <w:w w:val="100"/>
                <w:position w:val="0"/>
              </w:rPr>
              <w:t>号浦东软件园</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A-580</w:t>
            </w:r>
            <w:r>
              <w:rPr>
                <w:color w:val="000000"/>
                <w:spacing w:val="0"/>
                <w:w w:val="100"/>
                <w:position w:val="0"/>
              </w:rPr>
              <w:t>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3101152004008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310115703400561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703400560-1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有限公司变更为股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上海市青浦区金泽 镇练西路</w:t>
            </w:r>
            <w:r>
              <w:rPr>
                <w:rFonts w:ascii="Times New Roman" w:eastAsia="Times New Roman" w:hAnsi="Times New Roman" w:cs="Times New Roman"/>
                <w:color w:val="000000"/>
                <w:spacing w:val="0"/>
                <w:w w:val="100"/>
                <w:position w:val="0"/>
                <w:sz w:val="18"/>
                <w:szCs w:val="18"/>
              </w:rPr>
              <w:t>2725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310229000614545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310229703400561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703400560-1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首次在创业板上市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上海市青浦区金泽 镇练西路</w:t>
            </w:r>
            <w:r>
              <w:rPr>
                <w:rFonts w:ascii="Times New Roman" w:eastAsia="Times New Roman" w:hAnsi="Times New Roman" w:cs="Times New Roman"/>
                <w:color w:val="000000"/>
                <w:spacing w:val="0"/>
                <w:w w:val="100"/>
                <w:position w:val="0"/>
                <w:sz w:val="18"/>
                <w:szCs w:val="18"/>
              </w:rPr>
              <w:t>2725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310229000614545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310229703400561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703400560-1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首次发行股票注册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变更登记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上海市青浦区金泽 镇练西路</w:t>
            </w:r>
            <w:r>
              <w:rPr>
                <w:rFonts w:ascii="Times New Roman" w:eastAsia="Times New Roman" w:hAnsi="Times New Roman" w:cs="Times New Roman"/>
                <w:color w:val="000000"/>
                <w:spacing w:val="0"/>
                <w:w w:val="100"/>
                <w:position w:val="0"/>
                <w:sz w:val="18"/>
                <w:szCs w:val="18"/>
              </w:rPr>
              <w:t>2725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310229000614545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310229703400561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703400560-1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注册资本变更、注册 经营范围变更、注册 地址变更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上海市青浦区清河</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湾路</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1008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310229000614545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310229703400561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703400560-1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投资总额、注册资本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（实施股权激励）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上海市青浦区清河</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湾路</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1008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310229000614545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310229703400561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703400560-1</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31" w:name="bookmark31"/>
      <w:bookmarkStart w:id="32" w:name="bookmark32"/>
      <w:bookmarkStart w:id="33" w:name="bookmark33"/>
      <w:r>
        <w:rPr>
          <w:color w:val="000000"/>
          <w:spacing w:val="0"/>
          <w:w w:val="100"/>
          <w:position w:val="0"/>
        </w:rPr>
        <w:t>第三节会计数据和财务指标摘要</w:t>
      </w:r>
      <w:bookmarkEnd w:id="31"/>
      <w:bookmarkEnd w:id="32"/>
      <w:bookmarkEnd w:id="33"/>
    </w:p>
    <w:p>
      <w:pPr>
        <w:pStyle w:val="Style27"/>
        <w:keepNext/>
        <w:keepLines/>
        <w:widowControl w:val="0"/>
        <w:shd w:val="clear" w:color="auto" w:fill="auto"/>
        <w:bidi w:val="0"/>
        <w:spacing w:before="0" w:after="220" w:line="240" w:lineRule="auto"/>
        <w:ind w:left="0" w:right="0" w:firstLine="240"/>
        <w:jc w:val="left"/>
      </w:pPr>
      <w:bookmarkStart w:id="34" w:name="bookmark34"/>
      <w:bookmarkStart w:id="35" w:name="bookmark35"/>
      <w:bookmarkStart w:id="36" w:name="bookmark36"/>
      <w:bookmarkStart w:id="37" w:name="bookmark37"/>
      <w:r>
        <w:rPr>
          <w:color w:val="000000"/>
          <w:spacing w:val="0"/>
          <w:w w:val="100"/>
          <w:position w:val="0"/>
        </w:rPr>
        <w:t>、主要会计数据和财务指标</w:t>
      </w:r>
      <w:bookmarkEnd w:id="35"/>
      <w:bookmarkEnd w:id="36"/>
      <w:bookmarkEnd w:id="37"/>
      <w:bookmarkEnd w:id="34"/>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344,940,078.15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313,260,727.26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224,453,830.60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188,769,467.31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182,042,152.25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105,151,346.63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68,236,490.38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53,236,170.32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59,494,511.57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75,598,034.49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59,394,214.06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66,383,118.18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60,842,729.05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48,207,495.51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53,464,777.82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54,545,725.01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43,377,569.99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47,603,154.84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44,687,282.48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52,660,294.69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29,635,885.09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703,239,608.24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641,940,660.84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559,849,416.08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94,067,529.12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112,021,675.69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74,966,862.00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596,669,261.22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519,685,524.77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484,882,554.08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二</w:t>
      </w:r>
      <w:bookmarkEnd w:id="40"/>
      <w:r>
        <w:rPr>
          <w:color w:val="000000"/>
          <w:spacing w:val="0"/>
          <w:w w:val="100"/>
          <w:position w:val="0"/>
        </w:rPr>
        <w:t>、境内外会计准则下会计数据差异</w:t>
      </w:r>
      <w:bookmarkEnd w:id="38"/>
      <w:bookmarkEnd w:id="39"/>
      <w:bookmarkEnd w:id="41"/>
    </w:p>
    <w:p>
      <w:pPr>
        <w:pStyle w:val="Style33"/>
        <w:keepNext/>
        <w:keepLines/>
        <w:widowControl w:val="0"/>
        <w:shd w:val="clear" w:color="auto" w:fill="auto"/>
        <w:bidi w:val="0"/>
        <w:spacing w:before="0" w:after="36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、同时按照国际会计准则与按中国会计准则披露的财务报告中净利润和净资产差异情况</w:t>
      </w:r>
      <w:bookmarkEnd w:id="42"/>
      <w:bookmarkEnd w:id="43"/>
      <w:bookmarkEnd w:id="4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60,842,729.05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48,207,495.51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596,669,261.22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519,685,524.77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、同时按照境外会计准则与按中国会计准则披露的财务报告中净利润和净资产差异情况</w:t>
      </w:r>
      <w:bookmarkEnd w:id="46"/>
      <w:bookmarkEnd w:id="47"/>
      <w:bookmarkEnd w:id="4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60,842,729.05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48,207,495.51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596,669,261.22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519,685,524.77</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3</w:t>
      </w:r>
      <w:bookmarkEnd w:id="52"/>
      <w:r>
        <w:rPr>
          <w:color w:val="000000"/>
          <w:spacing w:val="0"/>
          <w:w w:val="100"/>
          <w:position w:val="0"/>
        </w:rPr>
        <w:t>、境内外会计准则下会计数据差异说明</w:t>
      </w:r>
      <w:bookmarkEnd w:id="50"/>
      <w:bookmarkEnd w:id="51"/>
      <w:bookmarkEnd w:id="53"/>
    </w:p>
    <w:p>
      <w:pPr>
        <w:pStyle w:val="Style27"/>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三</w:t>
      </w:r>
      <w:bookmarkEnd w:id="56"/>
      <w:r>
        <w:rPr>
          <w:color w:val="000000"/>
          <w:spacing w:val="0"/>
          <w:w w:val="100"/>
          <w:position w:val="0"/>
        </w:rPr>
        <w:t>、非经常性损益的项目及金额</w:t>
      </w:r>
      <w:bookmarkEnd w:id="54"/>
      <w:bookmarkEnd w:id="55"/>
      <w:bookmarkEnd w:id="5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6,596,629.00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5,193,703.93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6,906,154.41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125,062.68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1,133,902.58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826,428.62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1,026,983.63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6,297,004.04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4,829,925.52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5,861,622.98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号——非经常性损益》定义界定的非经常性损益项目，以及把《公</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2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rPr>
        <w:t>四</w:t>
      </w:r>
      <w:bookmarkEnd w:id="60"/>
      <w:r>
        <w:rPr>
          <w:color w:val="000000"/>
          <w:spacing w:val="0"/>
          <w:w w:val="100"/>
          <w:position w:val="0"/>
        </w:rPr>
        <w:t>、重大风险提示</w:t>
      </w:r>
      <w:bookmarkEnd w:id="58"/>
      <w:bookmarkEnd w:id="59"/>
      <w:bookmarkEnd w:id="61"/>
    </w:p>
    <w:p>
      <w:pPr>
        <w:pStyle w:val="Style40"/>
        <w:keepNext w:val="0"/>
        <w:keepLines w:val="0"/>
        <w:widowControl w:val="0"/>
        <w:shd w:val="clear" w:color="auto" w:fill="auto"/>
        <w:tabs>
          <w:tab w:pos="328" w:val="left"/>
        </w:tabs>
        <w:bidi w:val="0"/>
        <w:spacing w:before="0" w:after="0" w:line="470" w:lineRule="exact"/>
        <w:ind w:left="0" w:right="0" w:firstLine="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市场转型导致的竞争加剧风险</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当前的</w:t>
      </w:r>
      <w:r>
        <w:rPr>
          <w:rFonts w:ascii="Times New Roman" w:eastAsia="Times New Roman" w:hAnsi="Times New Roman" w:cs="Times New Roman"/>
          <w:color w:val="000000"/>
          <w:spacing w:val="0"/>
          <w:w w:val="100"/>
          <w:position w:val="0"/>
        </w:rPr>
        <w:t>IT</w:t>
      </w:r>
      <w:r>
        <w:rPr>
          <w:color w:val="000000"/>
          <w:spacing w:val="0"/>
          <w:w w:val="100"/>
          <w:position w:val="0"/>
        </w:rPr>
        <w:t>市场已逐渐发生变革，大中型企业客户开始进入</w:t>
      </w:r>
      <w:r>
        <w:rPr>
          <w:rFonts w:ascii="Times New Roman" w:eastAsia="Times New Roman" w:hAnsi="Times New Roman" w:cs="Times New Roman"/>
          <w:color w:val="000000"/>
          <w:spacing w:val="0"/>
          <w:w w:val="100"/>
          <w:position w:val="0"/>
        </w:rPr>
        <w:t>“</w:t>
      </w:r>
      <w:r>
        <w:rPr>
          <w:color w:val="000000"/>
          <w:spacing w:val="0"/>
          <w:w w:val="100"/>
          <w:position w:val="0"/>
        </w:rPr>
        <w:t>云计算''转型的元年，传统应用开发商与</w:t>
      </w:r>
      <w:r>
        <w:rPr>
          <w:rFonts w:ascii="Times New Roman" w:eastAsia="Times New Roman" w:hAnsi="Times New Roman" w:cs="Times New Roman"/>
          <w:color w:val="000000"/>
          <w:spacing w:val="0"/>
          <w:w w:val="100"/>
          <w:position w:val="0"/>
        </w:rPr>
        <w:t xml:space="preserve">IT </w:t>
      </w:r>
      <w:r>
        <w:rPr>
          <w:color w:val="000000"/>
          <w:spacing w:val="0"/>
          <w:w w:val="100"/>
          <w:position w:val="0"/>
        </w:rPr>
        <w:t>设备原厂商将面临新一轮的</w:t>
      </w:r>
      <w:r>
        <w:rPr>
          <w:rFonts w:ascii="Times New Roman" w:eastAsia="Times New Roman" w:hAnsi="Times New Roman" w:cs="Times New Roman"/>
          <w:color w:val="000000"/>
          <w:spacing w:val="0"/>
          <w:w w:val="100"/>
          <w:position w:val="0"/>
        </w:rPr>
        <w:t>“</w:t>
      </w:r>
      <w:r>
        <w:rPr>
          <w:color w:val="000000"/>
          <w:spacing w:val="0"/>
          <w:w w:val="100"/>
          <w:position w:val="0"/>
        </w:rPr>
        <w:t>洗牌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以客户为中心搭建具有弹性的、可扩展的计算架构将成为必须。天玑 科技作为数据中心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基础设施服务行业中的知名企业，将面临市场转型所带来的竞争和巨大挑战。</w:t>
      </w:r>
    </w:p>
    <w:p>
      <w:pPr>
        <w:pStyle w:val="Style40"/>
        <w:keepNext w:val="0"/>
        <w:keepLines w:val="0"/>
        <w:widowControl w:val="0"/>
        <w:shd w:val="clear" w:color="auto" w:fill="auto"/>
        <w:tabs>
          <w:tab w:pos="348" w:val="left"/>
        </w:tabs>
        <w:bidi w:val="0"/>
        <w:spacing w:before="0" w:after="0" w:line="492" w:lineRule="auto"/>
        <w:ind w:left="0" w:right="0" w:firstLine="0"/>
        <w:jc w:val="left"/>
      </w:pPr>
      <w:bookmarkStart w:id="63" w:name="bookmark63"/>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毛利率波动的风险</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由于天玑科技为技术和人员密集型企业，劳动力成本的不断上升，导致毛利率下降。同时，随着市场 环境的影响，公司备品备件成本出现波动，亦导致毛利率的波动。此外，公司创新型业务的拓展，也将导 致毛利率的变化。其他方面，诸如客户结构、公司经营的地区范围、竞争态势的变化，亦将导致毛利率产 生波动。</w:t>
      </w:r>
    </w:p>
    <w:p>
      <w:pPr>
        <w:pStyle w:val="Style40"/>
        <w:keepNext w:val="0"/>
        <w:keepLines w:val="0"/>
        <w:widowControl w:val="0"/>
        <w:shd w:val="clear" w:color="auto" w:fill="auto"/>
        <w:tabs>
          <w:tab w:pos="348" w:val="left"/>
        </w:tabs>
        <w:bidi w:val="0"/>
        <w:spacing w:before="0" w:after="0" w:line="492" w:lineRule="auto"/>
        <w:ind w:left="0" w:right="0" w:firstLine="0"/>
        <w:jc w:val="left"/>
      </w:pPr>
      <w:bookmarkStart w:id="64" w:name="bookmark64"/>
      <w:r>
        <w:rPr>
          <w:rFonts w:ascii="Times New Roman" w:eastAsia="Times New Roman" w:hAnsi="Times New Roman" w:cs="Times New Roman"/>
          <w:color w:val="000000"/>
          <w:spacing w:val="0"/>
          <w:w w:val="100"/>
          <w:position w:val="0"/>
        </w:rPr>
        <w:t>3</w:t>
      </w:r>
      <w:bookmarkEnd w:id="64"/>
      <w:r>
        <w:rPr>
          <w:color w:val="000000"/>
          <w:spacing w:val="0"/>
          <w:w w:val="100"/>
          <w:position w:val="0"/>
        </w:rPr>
        <w:t>、</w:t>
        <w:tab/>
        <w:t>高速成长的管理风险</w:t>
      </w:r>
    </w:p>
    <w:p>
      <w:pPr>
        <w:pStyle w:val="Style40"/>
        <w:keepNext w:val="0"/>
        <w:keepLines w:val="0"/>
        <w:widowControl w:val="0"/>
        <w:shd w:val="clear" w:color="auto" w:fill="auto"/>
        <w:bidi w:val="0"/>
        <w:spacing w:before="0" w:after="220" w:line="470" w:lineRule="exact"/>
        <w:ind w:left="0" w:right="0" w:firstLine="520"/>
        <w:jc w:val="left"/>
      </w:pPr>
      <w:r>
        <w:rPr>
          <w:color w:val="000000"/>
          <w:spacing w:val="0"/>
          <w:w w:val="100"/>
          <w:position w:val="0"/>
        </w:rPr>
        <w:t>公司自成立以来一直保持着较快的发展速度，随着公司经营规模和业务范围不断扩大，组织结构日 益复杂，对公司管理的要求越来越高，公司的人员也有较大规模的扩充。这些变化对公司的管理提出更新、 更高的要求。虽然公司的管理层在经营和管理快速成长的企业方面有着丰富的经验，但仍需不断调整以适 应资本市场要求和公司业务发展需要。</w:t>
      </w:r>
    </w:p>
    <w:p>
      <w:pPr>
        <w:pStyle w:val="Style40"/>
        <w:keepNext w:val="0"/>
        <w:keepLines w:val="0"/>
        <w:widowControl w:val="0"/>
        <w:shd w:val="clear" w:color="auto" w:fill="auto"/>
        <w:tabs>
          <w:tab w:pos="348" w:val="left"/>
        </w:tabs>
        <w:bidi w:val="0"/>
        <w:spacing w:before="0" w:after="0"/>
        <w:ind w:left="0" w:right="0" w:firstLine="0"/>
        <w:jc w:val="left"/>
      </w:pPr>
      <w:bookmarkStart w:id="65" w:name="bookmark65"/>
      <w:r>
        <w:rPr>
          <w:rFonts w:ascii="Times New Roman" w:eastAsia="Times New Roman" w:hAnsi="Times New Roman" w:cs="Times New Roman"/>
          <w:color w:val="000000"/>
          <w:spacing w:val="0"/>
          <w:w w:val="100"/>
          <w:position w:val="0"/>
        </w:rPr>
        <w:t>4</w:t>
      </w:r>
      <w:bookmarkEnd w:id="65"/>
      <w:r>
        <w:rPr>
          <w:color w:val="000000"/>
          <w:spacing w:val="0"/>
          <w:w w:val="100"/>
          <w:position w:val="0"/>
        </w:rPr>
        <w:t>、</w:t>
        <w:tab/>
        <w:t>应收账款增加风险</w:t>
      </w:r>
    </w:p>
    <w:p>
      <w:pPr>
        <w:pStyle w:val="Style40"/>
        <w:keepNext w:val="0"/>
        <w:keepLines w:val="0"/>
        <w:widowControl w:val="0"/>
        <w:shd w:val="clear" w:color="auto" w:fill="auto"/>
        <w:bidi w:val="0"/>
        <w:spacing w:before="0" w:after="220" w:line="468" w:lineRule="exact"/>
        <w:ind w:left="0" w:right="0" w:firstLine="440"/>
        <w:jc w:val="both"/>
        <w:sectPr>
          <w:footnotePr>
            <w:pos w:val="pageBottom"/>
            <w:numFmt w:val="decimal"/>
            <w:numRestart w:val="continuous"/>
          </w:footnotePr>
          <w:pgSz w:w="11900" w:h="16840"/>
          <w:pgMar w:top="1402" w:right="1069" w:bottom="1709" w:left="1039" w:header="0" w:footer="3" w:gutter="0"/>
          <w:cols w:space="720"/>
          <w:noEndnote/>
          <w:rtlGutter w:val="0"/>
          <w:docGrid w:linePitch="360"/>
        </w:sectPr>
      </w:pPr>
      <w:r>
        <w:rPr>
          <w:color w:val="000000"/>
          <w:spacing w:val="0"/>
          <w:w w:val="100"/>
          <w:position w:val="0"/>
        </w:rPr>
        <w:t>应收账款较大的原因是公司按照与客户之间的合同确认相应的应收账款，结算与回款存在时间差，导 致公司应收账款金额和占比均较大，公司按照既定会计政策在期末对应收账款计提了相应的坏账准备。虽 然应收账款余额较大，但公司客户一般是省级运营商、政府部门、资金实力较好的金融等企业等，资金回 收保障较高，应收账款发生坏账的风险较小。但是，随着应收账款余额的增长，并不排除个别项目在未来 可能出现呆坏账金额大于已计提坏账准备的情况，对公司盈利水平造成不利影响。</w:t>
      </w:r>
    </w:p>
    <w:p>
      <w:pPr>
        <w:pStyle w:val="Style14"/>
        <w:keepNext/>
        <w:keepLines/>
        <w:widowControl w:val="0"/>
        <w:shd w:val="clear" w:color="auto" w:fill="auto"/>
        <w:bidi w:val="0"/>
        <w:spacing w:before="660" w:after="540" w:line="240" w:lineRule="auto"/>
        <w:ind w:left="0" w:right="0" w:firstLine="0"/>
        <w:jc w:val="center"/>
      </w:pPr>
      <w:bookmarkStart w:id="66" w:name="bookmark66"/>
      <w:bookmarkStart w:id="67" w:name="bookmark67"/>
      <w:bookmarkStart w:id="68" w:name="bookmark68"/>
      <w:r>
        <w:rPr>
          <w:color w:val="000000"/>
          <w:spacing w:val="0"/>
          <w:w w:val="100"/>
          <w:position w:val="0"/>
        </w:rPr>
        <w:t>第四节董事会报告</w:t>
      </w:r>
      <w:bookmarkEnd w:id="66"/>
      <w:bookmarkEnd w:id="67"/>
      <w:bookmarkEnd w:id="68"/>
    </w:p>
    <w:p>
      <w:pPr>
        <w:pStyle w:val="Style27"/>
        <w:keepNext/>
        <w:keepLines/>
        <w:widowControl w:val="0"/>
        <w:shd w:val="clear" w:color="auto" w:fill="auto"/>
        <w:bidi w:val="0"/>
        <w:spacing w:before="0" w:after="160" w:line="240" w:lineRule="auto"/>
        <w:ind w:left="0" w:right="0" w:firstLine="0"/>
        <w:jc w:val="left"/>
      </w:pPr>
      <w:bookmarkStart w:id="69" w:name="bookmark69"/>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、管理层讨论与分析</w:t>
      </w:r>
      <w:bookmarkEnd w:id="70"/>
      <w:bookmarkEnd w:id="71"/>
      <w:bookmarkEnd w:id="73"/>
      <w:bookmarkEnd w:id="69"/>
    </w:p>
    <w:p>
      <w:pPr>
        <w:pStyle w:val="Style33"/>
        <w:keepNext/>
        <w:keepLines/>
        <w:widowControl w:val="0"/>
        <w:shd w:val="clear" w:color="auto" w:fill="auto"/>
        <w:bidi w:val="0"/>
        <w:spacing w:before="0" w:after="160" w:line="469" w:lineRule="exact"/>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、报告期内主要业务回顾</w:t>
      </w:r>
      <w:bookmarkEnd w:id="74"/>
      <w:bookmarkEnd w:id="75"/>
      <w:bookmarkEnd w:id="77"/>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报告期内，公司较为顺利地完成了</w:t>
      </w:r>
      <w:r>
        <w:rPr>
          <w:rFonts w:ascii="Times New Roman" w:eastAsia="Times New Roman" w:hAnsi="Times New Roman" w:cs="Times New Roman"/>
          <w:color w:val="000000"/>
          <w:spacing w:val="0"/>
          <w:w w:val="100"/>
          <w:position w:val="0"/>
        </w:rPr>
        <w:t>2013</w:t>
      </w:r>
      <w:r>
        <w:rPr>
          <w:color w:val="000000"/>
          <w:spacing w:val="0"/>
          <w:w w:val="100"/>
          <w:position w:val="0"/>
        </w:rPr>
        <w:t>年度各项工作。以提高经营效益为中心，加强经营管理、合理 控制成本，提升业务质量、加强业务创新，保持研发投入，积极开拓市场，有效地保证了公司经营业绩的 稳定增长。报告期内，公司实现营业收入</w:t>
      </w:r>
      <w:r>
        <w:rPr>
          <w:rFonts w:ascii="Times New Roman" w:eastAsia="Times New Roman" w:hAnsi="Times New Roman" w:cs="Times New Roman"/>
          <w:color w:val="000000"/>
          <w:spacing w:val="0"/>
          <w:w w:val="100"/>
          <w:position w:val="0"/>
        </w:rPr>
        <w:t>344,940,078.15</w:t>
      </w:r>
      <w:r>
        <w:rPr>
          <w:color w:val="000000"/>
          <w:spacing w:val="0"/>
          <w:w w:val="100"/>
          <w:position w:val="0"/>
        </w:rPr>
        <w:t>元，比上一年同期增长</w:t>
      </w:r>
      <w:r>
        <w:rPr>
          <w:rFonts w:ascii="Times New Roman" w:eastAsia="Times New Roman" w:hAnsi="Times New Roman" w:cs="Times New Roman"/>
          <w:color w:val="000000"/>
          <w:spacing w:val="0"/>
          <w:w w:val="100"/>
          <w:position w:val="0"/>
        </w:rPr>
        <w:t>10.11%</w:t>
      </w:r>
      <w:r>
        <w:rPr>
          <w:color w:val="000000"/>
          <w:spacing w:val="0"/>
          <w:w w:val="100"/>
          <w:position w:val="0"/>
        </w:rPr>
        <w:t xml:space="preserve">；营业利润 </w:t>
      </w:r>
      <w:r>
        <w:rPr>
          <w:rFonts w:ascii="Times New Roman" w:eastAsia="Times New Roman" w:hAnsi="Times New Roman" w:cs="Times New Roman"/>
          <w:color w:val="000000"/>
          <w:spacing w:val="0"/>
          <w:w w:val="100"/>
          <w:position w:val="0"/>
        </w:rPr>
        <w:t>68,236,490.38</w:t>
      </w:r>
      <w:r>
        <w:rPr>
          <w:color w:val="000000"/>
          <w:spacing w:val="0"/>
          <w:w w:val="100"/>
          <w:position w:val="0"/>
        </w:rPr>
        <w:t>元，比上一年同期增长</w:t>
      </w:r>
      <w:r>
        <w:rPr>
          <w:rFonts w:ascii="Times New Roman" w:eastAsia="Times New Roman" w:hAnsi="Times New Roman" w:cs="Times New Roman"/>
          <w:color w:val="000000"/>
          <w:spacing w:val="0"/>
          <w:w w:val="100"/>
          <w:position w:val="0"/>
        </w:rPr>
        <w:t xml:space="preserve">28.18 </w:t>
      </w:r>
      <w:r>
        <w:rPr>
          <w:rFonts w:ascii="Times New Roman" w:eastAsia="Times New Roman" w:hAnsi="Times New Roman" w:cs="Times New Roman"/>
          <w:color w:val="000000"/>
          <w:spacing w:val="0"/>
          <w:w w:val="100"/>
          <w:position w:val="0"/>
        </w:rPr>
        <w:t>%</w:t>
      </w:r>
      <w:r>
        <w:rPr>
          <w:color w:val="000000"/>
          <w:spacing w:val="0"/>
          <w:w w:val="100"/>
          <w:position w:val="0"/>
        </w:rPr>
        <w:t>；归属于上市公司普通股股东的净利润</w:t>
      </w:r>
      <w:r>
        <w:rPr>
          <w:rFonts w:ascii="Times New Roman" w:eastAsia="Times New Roman" w:hAnsi="Times New Roman" w:cs="Times New Roman"/>
          <w:color w:val="000000"/>
          <w:spacing w:val="0"/>
          <w:w w:val="100"/>
          <w:position w:val="0"/>
        </w:rPr>
        <w:t>60,842,729.05</w:t>
      </w:r>
      <w:r>
        <w:rPr>
          <w:color w:val="000000"/>
          <w:spacing w:val="0"/>
          <w:w w:val="100"/>
          <w:position w:val="0"/>
        </w:rPr>
        <w:t>元，比上 一年同期增长</w:t>
      </w:r>
      <w:r>
        <w:rPr>
          <w:rFonts w:ascii="Times New Roman" w:eastAsia="Times New Roman" w:hAnsi="Times New Roman" w:cs="Times New Roman"/>
          <w:color w:val="000000"/>
          <w:spacing w:val="0"/>
          <w:w w:val="100"/>
          <w:position w:val="0"/>
        </w:rPr>
        <w:t xml:space="preserve">26.21 </w:t>
      </w:r>
      <w:r>
        <w:rPr>
          <w:rFonts w:ascii="Times New Roman" w:eastAsia="Times New Roman" w:hAnsi="Times New Roman" w:cs="Times New Roman"/>
          <w:color w:val="000000"/>
          <w:spacing w:val="0"/>
          <w:w w:val="100"/>
          <w:position w:val="0"/>
        </w:rPr>
        <w:t>%</w:t>
      </w:r>
      <w:r>
        <w:rPr>
          <w:color w:val="000000"/>
          <w:spacing w:val="0"/>
          <w:w w:val="100"/>
          <w:position w:val="0"/>
        </w:rPr>
        <w:t>。报告期内，从行业发展来看</w:t>
      </w:r>
      <w:r>
        <w:rPr>
          <w:rFonts w:ascii="Times New Roman" w:eastAsia="Times New Roman" w:hAnsi="Times New Roman" w:cs="Times New Roman"/>
          <w:color w:val="000000"/>
          <w:spacing w:val="0"/>
          <w:w w:val="100"/>
          <w:position w:val="0"/>
        </w:rPr>
        <w:t>IT</w:t>
      </w:r>
      <w:r>
        <w:rPr>
          <w:color w:val="000000"/>
          <w:spacing w:val="0"/>
          <w:w w:val="100"/>
          <w:position w:val="0"/>
        </w:rPr>
        <w:t>服务业正步入一个转型与创新的关键时期，公司结合 市场发展趋势自</w:t>
      </w:r>
      <w:r>
        <w:rPr>
          <w:color w:val="000000"/>
          <w:spacing w:val="0"/>
          <w:w w:val="100"/>
          <w:position w:val="0"/>
        </w:rPr>
        <w:t>2013</w:t>
      </w:r>
      <w:r>
        <w:rPr>
          <w:color w:val="000000"/>
          <w:spacing w:val="0"/>
          <w:w w:val="100"/>
          <w:position w:val="0"/>
        </w:rPr>
        <w:t>年下半年开始尝试与拓展创新型业务，希望在新的领域寻求新的挑战和突破。公司通 过自主研发，打造出了数据库云平台等产品。同时在公司战略层面，由董事长陆文雄亲自带领的战略发展 部，协同公司管理层的战略小组，引领公司发展创新型业务的同时，也为公司未来中长期的发展指明了方 向。</w:t>
      </w:r>
    </w:p>
    <w:p>
      <w:pPr>
        <w:pStyle w:val="Style40"/>
        <w:keepNext w:val="0"/>
        <w:keepLines w:val="0"/>
        <w:widowControl w:val="0"/>
        <w:shd w:val="clear" w:color="auto" w:fill="auto"/>
        <w:bidi w:val="0"/>
        <w:spacing w:before="0" w:after="0" w:line="469" w:lineRule="exact"/>
        <w:ind w:left="0" w:right="0" w:firstLine="520"/>
        <w:jc w:val="both"/>
      </w:pPr>
      <w:bookmarkStart w:id="78" w:name="bookmark78"/>
      <w:r>
        <w:rPr>
          <w:color w:val="000000"/>
          <w:spacing w:val="0"/>
          <w:w w:val="100"/>
          <w:position w:val="0"/>
        </w:rPr>
        <w:t>（</w:t>
      </w:r>
      <w:bookmarkEnd w:id="78"/>
      <w:r>
        <w:rPr>
          <w:color w:val="000000"/>
          <w:spacing w:val="0"/>
          <w:w w:val="100"/>
          <w:position w:val="0"/>
        </w:rPr>
        <w:t>一）报告期内，公司主要经营情况概述如下：</w:t>
      </w:r>
    </w:p>
    <w:p>
      <w:pPr>
        <w:pStyle w:val="Style40"/>
        <w:keepNext w:val="0"/>
        <w:keepLines w:val="0"/>
        <w:widowControl w:val="0"/>
        <w:shd w:val="clear" w:color="auto" w:fill="auto"/>
        <w:tabs>
          <w:tab w:pos="874" w:val="left"/>
        </w:tabs>
        <w:bidi w:val="0"/>
        <w:spacing w:before="0" w:after="0" w:line="469" w:lineRule="exact"/>
        <w:ind w:left="0" w:right="0" w:firstLine="44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1</w:t>
      </w:r>
      <w:r>
        <w:rPr>
          <w:color w:val="000000"/>
          <w:spacing w:val="0"/>
          <w:w w:val="100"/>
          <w:position w:val="0"/>
        </w:rPr>
        <w:t>）</w:t>
        <w:tab/>
        <w:t>、完善营销组织架构，加强营销团队建设，提高公司产品的市场占有率</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公司根据市场需要适时对营销中心相关职能和岗位进行调整，组建更具有针对性和更为专业的团队， 增强整个团队的销售能力和渠道开拓能力。从销售区域来看，</w:t>
      </w:r>
      <w:r>
        <w:rPr>
          <w:rFonts w:ascii="Times New Roman" w:eastAsia="Times New Roman" w:hAnsi="Times New Roman" w:cs="Times New Roman"/>
          <w:color w:val="000000"/>
          <w:spacing w:val="0"/>
          <w:w w:val="100"/>
          <w:position w:val="0"/>
        </w:rPr>
        <w:t>2013</w:t>
      </w:r>
      <w:r>
        <w:rPr>
          <w:color w:val="000000"/>
          <w:spacing w:val="0"/>
          <w:w w:val="100"/>
          <w:position w:val="0"/>
        </w:rPr>
        <w:t>年仍是华东区域的销售业绩最高，公司 客户方面，以浙江移动、中国银联为代表的前十大客户基本保持不变。营销团队方面，去年成立的华东金 融团队在报告期内取得了不少新客户（包括金融客户）；北方团队亦在年内建立了东北地区电信、金融、 制造业等数个优质客户，使得业务得到较好的延续和发展。团队建设方面，营销中心定期召开事业部销售 总监会议，汇报工作进展，分享行业市场最新情况、市场开拓情况、投标经验、应收账款催收进展情况等, 互相借鉴，共同进步，并通过各种培训积极提升销售团队整体素质。然而，我们也认识到在团队建设等方 面仍然存在不足之处，这都将成为</w:t>
      </w:r>
      <w:r>
        <w:rPr>
          <w:rFonts w:ascii="Times New Roman" w:eastAsia="Times New Roman" w:hAnsi="Times New Roman" w:cs="Times New Roman"/>
          <w:color w:val="000000"/>
          <w:spacing w:val="0"/>
          <w:w w:val="100"/>
          <w:position w:val="0"/>
        </w:rPr>
        <w:t>2014</w:t>
      </w:r>
      <w:r>
        <w:rPr>
          <w:color w:val="000000"/>
          <w:spacing w:val="0"/>
          <w:w w:val="100"/>
          <w:position w:val="0"/>
        </w:rPr>
        <w:t>年重点改进的工作内容。随着公司销售业绩的提升，公司更重视后 台系统分析与加强销售团队的持续建设。</w:t>
      </w:r>
    </w:p>
    <w:p>
      <w:pPr>
        <w:pStyle w:val="Style40"/>
        <w:keepNext w:val="0"/>
        <w:keepLines w:val="0"/>
        <w:widowControl w:val="0"/>
        <w:shd w:val="clear" w:color="auto" w:fill="auto"/>
        <w:tabs>
          <w:tab w:pos="874" w:val="left"/>
        </w:tabs>
        <w:bidi w:val="0"/>
        <w:spacing w:before="0" w:after="0" w:line="469" w:lineRule="exact"/>
        <w:ind w:left="0" w:right="0" w:firstLine="44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2</w:t>
      </w:r>
      <w:r>
        <w:rPr>
          <w:color w:val="000000"/>
          <w:spacing w:val="0"/>
          <w:w w:val="100"/>
          <w:position w:val="0"/>
        </w:rPr>
        <w:t>）</w:t>
        <w:tab/>
        <w:t>、积极推动新品研发工作，进一步提升公司的竞争实力</w:t>
      </w:r>
    </w:p>
    <w:p>
      <w:pPr>
        <w:pStyle w:val="Style40"/>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公司坚持以市场需求为导向，以公司战略为指导，持续加强研发投入。报告期内建立了公司级研发中 心成功研发测试出了公司新的产品“数据库云平台”。同时将</w:t>
      </w:r>
      <w:r>
        <w:rPr>
          <w:rFonts w:ascii="Times New Roman" w:eastAsia="Times New Roman" w:hAnsi="Times New Roman" w:cs="Times New Roman"/>
          <w:color w:val="000000"/>
          <w:spacing w:val="0"/>
          <w:w w:val="100"/>
          <w:position w:val="0"/>
        </w:rPr>
        <w:t>ERP</w:t>
      </w:r>
      <w:r>
        <w:rPr>
          <w:color w:val="000000"/>
          <w:spacing w:val="0"/>
          <w:w w:val="100"/>
          <w:position w:val="0"/>
        </w:rPr>
        <w:t xml:space="preserve">及其他公司内部管理工具的研发、建立 </w:t>
      </w:r>
      <w:r>
        <w:rPr>
          <w:color w:val="000000"/>
          <w:spacing w:val="0"/>
          <w:w w:val="100"/>
          <w:position w:val="0"/>
        </w:rPr>
        <w:t>在私有云基础上的运维管理平台开发，以及数据库云平台</w:t>
      </w:r>
      <w:r>
        <w:rPr>
          <w:color w:val="000000"/>
          <w:spacing w:val="0"/>
          <w:w w:val="100"/>
          <w:position w:val="0"/>
        </w:rPr>
        <w:t>（PBData）</w:t>
      </w:r>
      <w:r>
        <w:rPr>
          <w:color w:val="000000"/>
          <w:spacing w:val="0"/>
          <w:w w:val="100"/>
          <w:position w:val="0"/>
        </w:rPr>
        <w:t>系列产品的研发测试聚拢在一起，形 成公司创新业务的主线。以数据库云平台为代表的新业务产线的研发和推出，势必有益于公司进一步完善 产业布局，提升公司的市场竞争力，亦是公司战略转型的重要举措之一。</w:t>
      </w:r>
    </w:p>
    <w:p>
      <w:pPr>
        <w:pStyle w:val="Style40"/>
        <w:keepNext w:val="0"/>
        <w:keepLines w:val="0"/>
        <w:widowControl w:val="0"/>
        <w:shd w:val="clear" w:color="auto" w:fill="auto"/>
        <w:tabs>
          <w:tab w:pos="868" w:val="left"/>
        </w:tabs>
        <w:bidi w:val="0"/>
        <w:spacing w:before="0" w:after="0" w:line="469" w:lineRule="exact"/>
        <w:ind w:left="0" w:right="0" w:firstLine="440"/>
        <w:jc w:val="left"/>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3</w:t>
      </w:r>
      <w:r>
        <w:rPr>
          <w:color w:val="000000"/>
          <w:spacing w:val="0"/>
          <w:w w:val="100"/>
          <w:position w:val="0"/>
        </w:rPr>
        <w:t>）</w:t>
        <w:tab/>
        <w:t>、提升业务质量，加强业务创新</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报告期内公司始终坚持对现有</w:t>
      </w:r>
      <w:r>
        <w:rPr>
          <w:rFonts w:ascii="Times New Roman" w:eastAsia="Times New Roman" w:hAnsi="Times New Roman" w:cs="Times New Roman"/>
          <w:color w:val="000000"/>
          <w:spacing w:val="0"/>
          <w:w w:val="100"/>
          <w:position w:val="0"/>
        </w:rPr>
        <w:t>IT</w:t>
      </w:r>
      <w:r>
        <w:rPr>
          <w:color w:val="000000"/>
          <w:spacing w:val="0"/>
          <w:w w:val="100"/>
          <w:position w:val="0"/>
        </w:rPr>
        <w:t>服务业务的创新，同时兼顾着创新型业务的尝试与拓展，希望在新的 领域寻求新的挑战和突破。对于现有的</w:t>
      </w:r>
      <w:r>
        <w:rPr>
          <w:rFonts w:ascii="Times New Roman" w:eastAsia="Times New Roman" w:hAnsi="Times New Roman" w:cs="Times New Roman"/>
          <w:color w:val="000000"/>
          <w:spacing w:val="0"/>
          <w:w w:val="100"/>
          <w:position w:val="0"/>
        </w:rPr>
        <w:t>IT</w:t>
      </w:r>
      <w:r>
        <w:rPr>
          <w:color w:val="000000"/>
          <w:spacing w:val="0"/>
          <w:w w:val="100"/>
          <w:position w:val="0"/>
        </w:rPr>
        <w:t>服务业务，公司不断坚持着</w:t>
      </w:r>
      <w:r>
        <w:rPr>
          <w:rFonts w:ascii="Times New Roman" w:eastAsia="Times New Roman" w:hAnsi="Times New Roman" w:cs="Times New Roman"/>
          <w:color w:val="000000"/>
          <w:spacing w:val="0"/>
          <w:w w:val="100"/>
          <w:position w:val="0"/>
        </w:rPr>
        <w:t>“</w:t>
      </w:r>
      <w:r>
        <w:rPr>
          <w:color w:val="000000"/>
          <w:spacing w:val="0"/>
          <w:w w:val="100"/>
          <w:position w:val="0"/>
        </w:rPr>
        <w:t>提升业务质量，加强现有业务创新</w:t>
      </w:r>
      <w:r>
        <w:rPr>
          <w:color w:val="000000"/>
          <w:spacing w:val="0"/>
          <w:w w:val="100"/>
          <w:position w:val="0"/>
        </w:rPr>
        <w:t xml:space="preserve">'' </w:t>
      </w:r>
      <w:r>
        <w:rPr>
          <w:color w:val="000000"/>
          <w:spacing w:val="0"/>
          <w:w w:val="100"/>
          <w:position w:val="0"/>
        </w:rPr>
        <w:t>的原则，更加强调业务的质而非量，在确保公司一定盈利能力的同时，更看重核心客户群的用户体验。公 司在报告期内通过一系列手段，诸如支持服务事业部</w:t>
      </w:r>
      <w:r>
        <w:rPr>
          <w:color w:val="000000"/>
          <w:spacing w:val="0"/>
          <w:w w:val="100"/>
          <w:position w:val="0"/>
        </w:rPr>
        <w:t>（</w:t>
      </w:r>
      <w:r>
        <w:rPr>
          <w:rFonts w:ascii="Times New Roman" w:eastAsia="Times New Roman" w:hAnsi="Times New Roman" w:cs="Times New Roman"/>
          <w:color w:val="000000"/>
          <w:spacing w:val="0"/>
          <w:w w:val="100"/>
          <w:position w:val="0"/>
        </w:rPr>
        <w:t>MABU</w:t>
      </w:r>
      <w:r>
        <w:rPr>
          <w:color w:val="000000"/>
          <w:spacing w:val="0"/>
          <w:w w:val="100"/>
          <w:position w:val="0"/>
        </w:rPr>
        <w:t>）</w:t>
      </w:r>
      <w:r>
        <w:rPr>
          <w:color w:val="000000"/>
          <w:spacing w:val="0"/>
          <w:w w:val="100"/>
          <w:position w:val="0"/>
        </w:rPr>
        <w:t>与客户支持中心</w:t>
      </w:r>
      <w:r>
        <w:rPr>
          <w:color w:val="000000"/>
          <w:spacing w:val="0"/>
          <w:w w:val="100"/>
          <w:position w:val="0"/>
        </w:rPr>
        <w:t>（</w:t>
      </w:r>
      <w:r>
        <w:rPr>
          <w:rFonts w:ascii="Times New Roman" w:eastAsia="Times New Roman" w:hAnsi="Times New Roman" w:cs="Times New Roman"/>
          <w:color w:val="000000"/>
          <w:spacing w:val="0"/>
          <w:w w:val="100"/>
          <w:position w:val="0"/>
        </w:rPr>
        <w:t>CSC</w:t>
      </w:r>
      <w:r>
        <w:rPr>
          <w:color w:val="000000"/>
          <w:spacing w:val="0"/>
          <w:w w:val="100"/>
          <w:position w:val="0"/>
        </w:rPr>
        <w:t>）</w:t>
      </w:r>
      <w:r>
        <w:rPr>
          <w:color w:val="000000"/>
          <w:spacing w:val="0"/>
          <w:w w:val="100"/>
          <w:position w:val="0"/>
        </w:rPr>
        <w:t>联手运营，对</w:t>
      </w:r>
      <w:r>
        <w:rPr>
          <w:rFonts w:ascii="Times New Roman" w:eastAsia="Times New Roman" w:hAnsi="Times New Roman" w:cs="Times New Roman"/>
          <w:color w:val="000000"/>
          <w:spacing w:val="0"/>
          <w:w w:val="100"/>
          <w:position w:val="0"/>
        </w:rPr>
        <w:t xml:space="preserve">MA </w:t>
      </w:r>
      <w:r>
        <w:rPr>
          <w:color w:val="000000"/>
          <w:spacing w:val="0"/>
          <w:w w:val="100"/>
          <w:position w:val="0"/>
        </w:rPr>
        <w:t>工程师实施绩效工资改革，加强</w:t>
      </w:r>
      <w:r>
        <w:rPr>
          <w:rFonts w:ascii="Times New Roman" w:eastAsia="Times New Roman" w:hAnsi="Times New Roman" w:cs="Times New Roman"/>
          <w:color w:val="000000"/>
          <w:spacing w:val="0"/>
          <w:w w:val="100"/>
          <w:position w:val="0"/>
        </w:rPr>
        <w:t>ERP</w:t>
      </w:r>
      <w:r>
        <w:rPr>
          <w:color w:val="000000"/>
          <w:spacing w:val="0"/>
          <w:w w:val="100"/>
          <w:position w:val="0"/>
        </w:rPr>
        <w:t>等内部工单系统的持续开发及功能强化等，努力提升服务质量及客户 体验，提高团队工作效率，不断增加业务的可复制性。</w:t>
      </w:r>
    </w:p>
    <w:p>
      <w:pPr>
        <w:pStyle w:val="Style40"/>
        <w:keepNext w:val="0"/>
        <w:keepLines w:val="0"/>
        <w:widowControl w:val="0"/>
        <w:shd w:val="clear" w:color="auto" w:fill="auto"/>
        <w:tabs>
          <w:tab w:pos="868" w:val="left"/>
        </w:tabs>
        <w:bidi w:val="0"/>
        <w:spacing w:before="0" w:after="0" w:line="469" w:lineRule="exact"/>
        <w:ind w:left="0" w:right="0" w:firstLine="44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4</w:t>
      </w:r>
      <w:r>
        <w:rPr>
          <w:color w:val="000000"/>
          <w:spacing w:val="0"/>
          <w:w w:val="100"/>
          <w:position w:val="0"/>
        </w:rPr>
        <w:t>）</w:t>
        <w:tab/>
        <w:t>、加强公司知识产权的保护和管理</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随着公司规模及其知名度的不断扩大，公司亦越来越注重品牌及知识产权方面的保护和管理，报告期 内公司共获得了</w:t>
      </w:r>
      <w:r>
        <w:rPr>
          <w:color w:val="000000"/>
          <w:spacing w:val="0"/>
          <w:w w:val="100"/>
          <w:position w:val="0"/>
        </w:rPr>
        <w:t>3</w:t>
      </w:r>
      <w:r>
        <w:rPr>
          <w:color w:val="000000"/>
          <w:spacing w:val="0"/>
          <w:w w:val="100"/>
          <w:position w:val="0"/>
        </w:rPr>
        <w:t>项版权、共申请</w:t>
      </w:r>
      <w:r>
        <w:rPr>
          <w:color w:val="000000"/>
          <w:spacing w:val="0"/>
          <w:w w:val="100"/>
          <w:position w:val="0"/>
        </w:rPr>
        <w:t>3</w:t>
      </w:r>
      <w:r>
        <w:rPr>
          <w:color w:val="000000"/>
          <w:spacing w:val="0"/>
          <w:w w:val="100"/>
          <w:position w:val="0"/>
        </w:rPr>
        <w:t>项发明专利；公司及子公司共新增取得</w:t>
      </w:r>
      <w:r>
        <w:rPr>
          <w:color w:val="000000"/>
          <w:spacing w:val="0"/>
          <w:w w:val="100"/>
          <w:position w:val="0"/>
        </w:rPr>
        <w:t>10</w:t>
      </w:r>
      <w:r>
        <w:rPr>
          <w:color w:val="000000"/>
          <w:spacing w:val="0"/>
          <w:w w:val="100"/>
          <w:position w:val="0"/>
        </w:rPr>
        <w:t>项软件著作权；报告期内已授 权待发放证书的商标</w:t>
      </w:r>
      <w:r>
        <w:rPr>
          <w:color w:val="000000"/>
          <w:spacing w:val="0"/>
          <w:w w:val="100"/>
          <w:position w:val="0"/>
        </w:rPr>
        <w:t>8</w:t>
      </w:r>
      <w:r>
        <w:rPr>
          <w:color w:val="000000"/>
          <w:spacing w:val="0"/>
          <w:w w:val="100"/>
          <w:position w:val="0"/>
        </w:rPr>
        <w:t>项，已进入公告阶段的商标有</w:t>
      </w:r>
      <w:r>
        <w:rPr>
          <w:color w:val="000000"/>
          <w:spacing w:val="0"/>
          <w:w w:val="100"/>
          <w:position w:val="0"/>
        </w:rPr>
        <w:t>9</w:t>
      </w:r>
      <w:r>
        <w:rPr>
          <w:color w:val="000000"/>
          <w:spacing w:val="0"/>
          <w:w w:val="100"/>
          <w:position w:val="0"/>
        </w:rPr>
        <w:t>项、新增申请</w:t>
      </w:r>
      <w:r>
        <w:rPr>
          <w:color w:val="000000"/>
          <w:spacing w:val="0"/>
          <w:w w:val="100"/>
          <w:position w:val="0"/>
        </w:rPr>
        <w:t>10</w:t>
      </w:r>
      <w:r>
        <w:rPr>
          <w:color w:val="000000"/>
          <w:spacing w:val="0"/>
          <w:w w:val="100"/>
          <w:position w:val="0"/>
        </w:rPr>
        <w:t>项商标。同时报告期内公司获得了上 海市著名商标的称号。上述知识产权的不断完善有助于更好地提升公司品牌效应、提升公司良好的企业形 象。</w:t>
      </w:r>
    </w:p>
    <w:p>
      <w:pPr>
        <w:pStyle w:val="Style40"/>
        <w:keepNext w:val="0"/>
        <w:keepLines w:val="0"/>
        <w:widowControl w:val="0"/>
        <w:shd w:val="clear" w:color="auto" w:fill="auto"/>
        <w:bidi w:val="0"/>
        <w:spacing w:before="0" w:after="0" w:line="469" w:lineRule="exact"/>
        <w:ind w:left="0" w:right="0" w:firstLine="44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5</w:t>
      </w:r>
      <w:r>
        <w:rPr>
          <w:color w:val="000000"/>
          <w:spacing w:val="0"/>
          <w:w w:val="100"/>
          <w:position w:val="0"/>
        </w:rPr>
        <w:t>） 、加强经营管理，合理控制成本</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公司根据发展战略及年度经营目标，在做好日常经营的同时，不断制定和完善各项管理规章制度，梳 理公司不合理流程，清除繁琐，打造高效顺畅新流程，减少内部沟通成本。报告期内公司通过采取精简管 理机构、控制办公费用、提高库存周转、创新产品、提高服务满意度及控制各类不合理的相关费用开支等 主要措施，确实做到成本和管理都有效益，实现了公司的既定目标。</w:t>
      </w:r>
    </w:p>
    <w:p>
      <w:pPr>
        <w:pStyle w:val="Style40"/>
        <w:keepNext w:val="0"/>
        <w:keepLines w:val="0"/>
        <w:widowControl w:val="0"/>
        <w:shd w:val="clear" w:color="auto" w:fill="auto"/>
        <w:bidi w:val="0"/>
        <w:spacing w:before="0" w:after="0" w:line="469" w:lineRule="exact"/>
        <w:ind w:left="0" w:right="0" w:firstLine="60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6</w:t>
      </w:r>
      <w:r>
        <w:rPr>
          <w:color w:val="000000"/>
          <w:spacing w:val="0"/>
          <w:w w:val="100"/>
          <w:position w:val="0"/>
        </w:rPr>
        <w:t>）、注重人才培育，推进公司企业文化建设</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公司充分认识到企业文化是公司核心竞争力的最重要组成部分，并从战略高度推进企业文化建设。通 过创办公司企业内刊、主办各行业协会相关年会等活动，积极通过内外平台展示公司风貌及文化。公司报 告期内实施了首期股权激励计划，共对</w:t>
      </w:r>
      <w:r>
        <w:rPr>
          <w:rFonts w:ascii="Times New Roman" w:eastAsia="Times New Roman" w:hAnsi="Times New Roman" w:cs="Times New Roman"/>
          <w:color w:val="000000"/>
          <w:spacing w:val="0"/>
          <w:w w:val="100"/>
          <w:position w:val="0"/>
        </w:rPr>
        <w:t>78</w:t>
      </w:r>
      <w:r>
        <w:rPr>
          <w:color w:val="000000"/>
          <w:spacing w:val="0"/>
          <w:w w:val="100"/>
          <w:position w:val="0"/>
        </w:rPr>
        <w:t>名激励对象授予了限制性股票，股权激励计划的实施进一步完善 了公司治理结构，形成良好、均衡的价值分配体系，建立了股东与中、高级管理人员和核心技术（业务） 人员及业务骨干团队之间的利益共享与约束机制；同时，实现了对中、高级管理人员及核心技术（业务） 人员的长期激励与约束，充分调动其积极性和创造性，使其利益与公司长远发展更紧密地结合，防止人才 流失，实现企业可持续发展。</w:t>
      </w:r>
    </w:p>
    <w:p>
      <w:pPr>
        <w:pStyle w:val="Style40"/>
        <w:keepNext w:val="0"/>
        <w:keepLines w:val="0"/>
        <w:widowControl w:val="0"/>
        <w:shd w:val="clear" w:color="auto" w:fill="auto"/>
        <w:bidi w:val="0"/>
        <w:spacing w:before="0" w:after="0" w:line="468" w:lineRule="exact"/>
        <w:ind w:left="0" w:right="0" w:firstLine="68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7</w:t>
      </w:r>
      <w:r>
        <w:rPr>
          <w:color w:val="000000"/>
          <w:spacing w:val="0"/>
          <w:w w:val="100"/>
          <w:position w:val="0"/>
        </w:rPr>
        <w:t>）、加强公司治理，完善治理体系</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公司不断完善法人治理体系，公司股东大会、董事会、监事会和总经理办公会议按照公司制度进行投 资、管理和经营决策与监督，董事会专门委员会规范运作，</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信息和重大信息及时披露，审计工作促 进了内控规范和财务管理水平的提高，体现了公司治理水平的不断提高。在公司董事会领导下，经理层加 大规范管理、建章立制、内控治理、学习培训等规范工作力度。</w:t>
      </w:r>
    </w:p>
    <w:p>
      <w:pPr>
        <w:pStyle w:val="Style40"/>
        <w:keepNext w:val="0"/>
        <w:keepLines w:val="0"/>
        <w:widowControl w:val="0"/>
        <w:shd w:val="clear" w:color="auto" w:fill="auto"/>
        <w:bidi w:val="0"/>
        <w:spacing w:before="0" w:after="0" w:line="468" w:lineRule="exact"/>
        <w:ind w:left="0" w:right="0" w:firstLine="52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8</w:t>
      </w:r>
      <w:r>
        <w:rPr>
          <w:color w:val="000000"/>
          <w:spacing w:val="0"/>
          <w:w w:val="100"/>
          <w:position w:val="0"/>
        </w:rPr>
        <w:t>）、完善内部控制，增强企业抗风险能力</w:t>
      </w:r>
    </w:p>
    <w:p>
      <w:pPr>
        <w:pStyle w:val="Style40"/>
        <w:keepNext w:val="0"/>
        <w:keepLines w:val="0"/>
        <w:widowControl w:val="0"/>
        <w:shd w:val="clear" w:color="auto" w:fill="auto"/>
        <w:bidi w:val="0"/>
        <w:spacing w:before="0" w:after="540" w:line="467" w:lineRule="exact"/>
        <w:ind w:left="0" w:right="0" w:firstLine="440"/>
        <w:jc w:val="left"/>
      </w:pPr>
      <w:r>
        <w:rPr>
          <w:color w:val="000000"/>
          <w:spacing w:val="0"/>
          <w:w w:val="100"/>
          <w:position w:val="0"/>
        </w:rPr>
        <w:t>内部控制是企业为保证实现经营目标、降低经营风险而采取的重要措施，内控制度完善与否，直接影 响着企业经营业绩的好与坏。报告期内，公司根据外部环境变化和公司内部发展与经营的需要，进一步完 善各项内控管理制度，优化管理流程，增强企业抗风险能力。同时，公司通过</w:t>
      </w:r>
      <w:r>
        <w:rPr>
          <w:rFonts w:ascii="Times New Roman" w:eastAsia="Times New Roman" w:hAnsi="Times New Roman" w:cs="Times New Roman"/>
          <w:color w:val="000000"/>
          <w:spacing w:val="0"/>
          <w:w w:val="100"/>
          <w:position w:val="0"/>
        </w:rPr>
        <w:t>ERP</w:t>
      </w:r>
      <w:r>
        <w:rPr>
          <w:color w:val="000000"/>
          <w:spacing w:val="0"/>
          <w:w w:val="100"/>
          <w:position w:val="0"/>
        </w:rPr>
        <w:t>项目的实施，逐步将内 控管理信息化、便捷化、高效化，公司管理手段正在向定量、实时方向迈进。</w:t>
      </w:r>
    </w:p>
    <w:p>
      <w:pPr>
        <w:pStyle w:val="Style40"/>
        <w:keepNext w:val="0"/>
        <w:keepLines w:val="0"/>
        <w:widowControl w:val="0"/>
        <w:shd w:val="clear" w:color="auto" w:fill="auto"/>
        <w:bidi w:val="0"/>
        <w:spacing w:before="0" w:after="0" w:line="468" w:lineRule="exact"/>
        <w:ind w:left="0" w:right="0" w:firstLine="440"/>
        <w:jc w:val="left"/>
      </w:pPr>
      <w:bookmarkStart w:id="87" w:name="bookmark87"/>
      <w:r>
        <w:rPr>
          <w:color w:val="000000"/>
          <w:spacing w:val="0"/>
          <w:w w:val="100"/>
          <w:position w:val="0"/>
        </w:rPr>
        <w:t>（</w:t>
      </w:r>
      <w:bookmarkEnd w:id="87"/>
      <w:r>
        <w:rPr>
          <w:color w:val="000000"/>
          <w:spacing w:val="0"/>
          <w:w w:val="100"/>
          <w:position w:val="0"/>
        </w:rPr>
        <w:t>二）行业发展情况</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党的十八大报告提出，坚持走中国特色新型工业化、信息化、城镇化、农业现代化道路，促进工业化、 信息化、城镇化、农业现代化同步发展。在</w:t>
      </w:r>
      <w:r>
        <w:rPr>
          <w:rFonts w:ascii="Times New Roman" w:eastAsia="Times New Roman" w:hAnsi="Times New Roman" w:cs="Times New Roman"/>
          <w:color w:val="000000"/>
          <w:spacing w:val="0"/>
          <w:w w:val="100"/>
          <w:position w:val="0"/>
        </w:rPr>
        <w:t>“</w:t>
      </w:r>
      <w:r>
        <w:rPr>
          <w:color w:val="000000"/>
          <w:spacing w:val="0"/>
          <w:w w:val="100"/>
          <w:position w:val="0"/>
        </w:rPr>
        <w:t>四化</w:t>
      </w:r>
      <w:r>
        <w:rPr>
          <w:rFonts w:ascii="Times New Roman" w:eastAsia="Times New Roman" w:hAnsi="Times New Roman" w:cs="Times New Roman"/>
          <w:color w:val="000000"/>
          <w:spacing w:val="0"/>
          <w:w w:val="100"/>
          <w:position w:val="0"/>
        </w:rPr>
        <w:t>''</w:t>
      </w:r>
      <w:r>
        <w:rPr>
          <w:color w:val="000000"/>
          <w:spacing w:val="0"/>
          <w:w w:val="100"/>
          <w:position w:val="0"/>
        </w:rPr>
        <w:t>同步发展的新形势下，信息技术产业的战略性、基础性、 先导性作用日趋突出，城镇化、工业化和农业现代化都亟需信息化的有效支撑。在此背景下，</w:t>
      </w:r>
      <w:r>
        <w:rPr>
          <w:rFonts w:ascii="Times New Roman" w:eastAsia="Times New Roman" w:hAnsi="Times New Roman" w:cs="Times New Roman"/>
          <w:color w:val="000000"/>
          <w:spacing w:val="0"/>
          <w:w w:val="100"/>
          <w:position w:val="0"/>
        </w:rPr>
        <w:t>“</w:t>
      </w:r>
      <w:r>
        <w:rPr>
          <w:color w:val="000000"/>
          <w:spacing w:val="0"/>
          <w:w w:val="100"/>
          <w:position w:val="0"/>
        </w:rPr>
        <w:t>云服务''在 实现四化同步发展创新、助力传统</w:t>
      </w:r>
      <w:r>
        <w:rPr>
          <w:rFonts w:ascii="Times New Roman" w:eastAsia="Times New Roman" w:hAnsi="Times New Roman" w:cs="Times New Roman"/>
          <w:color w:val="000000"/>
          <w:spacing w:val="0"/>
          <w:w w:val="100"/>
          <w:position w:val="0"/>
        </w:rPr>
        <w:t>IT</w:t>
      </w:r>
      <w:r>
        <w:rPr>
          <w:color w:val="000000"/>
          <w:spacing w:val="0"/>
          <w:w w:val="100"/>
          <w:position w:val="0"/>
        </w:rPr>
        <w:t>服务行业转型升级中发挥着重大作用。</w:t>
      </w:r>
      <w:r>
        <w:rPr>
          <w:rFonts w:ascii="Times New Roman" w:eastAsia="Times New Roman" w:hAnsi="Times New Roman" w:cs="Times New Roman"/>
          <w:color w:val="000000"/>
          <w:spacing w:val="0"/>
          <w:w w:val="100"/>
          <w:position w:val="0"/>
        </w:rPr>
        <w:t>2013</w:t>
      </w:r>
      <w:r>
        <w:rPr>
          <w:color w:val="000000"/>
          <w:spacing w:val="0"/>
          <w:w w:val="100"/>
          <w:position w:val="0"/>
        </w:rPr>
        <w:t>年，云计算应用的逐步落 地，重构了</w:t>
      </w:r>
      <w:r>
        <w:rPr>
          <w:rFonts w:ascii="Times New Roman" w:eastAsia="Times New Roman" w:hAnsi="Times New Roman" w:cs="Times New Roman"/>
          <w:color w:val="000000"/>
          <w:spacing w:val="0"/>
          <w:w w:val="100"/>
          <w:position w:val="0"/>
        </w:rPr>
        <w:t>IT</w:t>
      </w:r>
      <w:r>
        <w:rPr>
          <w:color w:val="000000"/>
          <w:spacing w:val="0"/>
          <w:w w:val="100"/>
          <w:position w:val="0"/>
        </w:rPr>
        <w:t>服务的价值链，大数据等新兴业态的兴起为</w:t>
      </w:r>
      <w:r>
        <w:rPr>
          <w:rFonts w:ascii="Times New Roman" w:eastAsia="Times New Roman" w:hAnsi="Times New Roman" w:cs="Times New Roman"/>
          <w:color w:val="000000"/>
          <w:spacing w:val="0"/>
          <w:w w:val="100"/>
          <w:position w:val="0"/>
        </w:rPr>
        <w:t>IT</w:t>
      </w:r>
      <w:r>
        <w:rPr>
          <w:color w:val="000000"/>
          <w:spacing w:val="0"/>
          <w:w w:val="100"/>
          <w:position w:val="0"/>
        </w:rPr>
        <w:t>服务注入了新的活力和生机。中国</w:t>
      </w:r>
      <w:r>
        <w:rPr>
          <w:rFonts w:ascii="Times New Roman" w:eastAsia="Times New Roman" w:hAnsi="Times New Roman" w:cs="Times New Roman"/>
          <w:color w:val="000000"/>
          <w:spacing w:val="0"/>
          <w:w w:val="100"/>
          <w:position w:val="0"/>
        </w:rPr>
        <w:t>IT</w:t>
      </w:r>
      <w:r>
        <w:rPr>
          <w:color w:val="000000"/>
          <w:spacing w:val="0"/>
          <w:w w:val="100"/>
          <w:position w:val="0"/>
        </w:rPr>
        <w:t>服务市场 迎来了重大发展机遇。</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当前，</w:t>
      </w:r>
      <w:r>
        <w:rPr>
          <w:rFonts w:ascii="Times New Roman" w:eastAsia="Times New Roman" w:hAnsi="Times New Roman" w:cs="Times New Roman"/>
          <w:color w:val="000000"/>
          <w:spacing w:val="0"/>
          <w:w w:val="100"/>
          <w:position w:val="0"/>
        </w:rPr>
        <w:t>IT</w:t>
      </w:r>
      <w:r>
        <w:rPr>
          <w:color w:val="000000"/>
          <w:spacing w:val="0"/>
          <w:w w:val="100"/>
          <w:position w:val="0"/>
        </w:rPr>
        <w:t>服务业正步入一个转型与创新的关键时期。在</w:t>
      </w:r>
      <w:r>
        <w:rPr>
          <w:rFonts w:ascii="Times New Roman" w:eastAsia="Times New Roman" w:hAnsi="Times New Roman" w:cs="Times New Roman"/>
          <w:color w:val="000000"/>
          <w:spacing w:val="0"/>
          <w:w w:val="100"/>
          <w:position w:val="0"/>
        </w:rPr>
        <w:t>“</w:t>
      </w:r>
      <w:r>
        <w:rPr>
          <w:color w:val="000000"/>
          <w:spacing w:val="0"/>
          <w:w w:val="100"/>
          <w:position w:val="0"/>
        </w:rPr>
        <w:t>四化</w:t>
      </w:r>
      <w:r>
        <w:rPr>
          <w:rFonts w:ascii="Times New Roman" w:eastAsia="Times New Roman" w:hAnsi="Times New Roman" w:cs="Times New Roman"/>
          <w:color w:val="000000"/>
          <w:spacing w:val="0"/>
          <w:w w:val="100"/>
          <w:position w:val="0"/>
        </w:rPr>
        <w:t>”</w:t>
      </w:r>
      <w:r>
        <w:rPr>
          <w:color w:val="000000"/>
          <w:spacing w:val="0"/>
          <w:w w:val="100"/>
          <w:position w:val="0"/>
        </w:rPr>
        <w:t>同步发展过程中，信息化发展的关键在 于新一代信息技术和市场的不断融合创新。一方面，技术突破和产业融合拓展了</w:t>
      </w:r>
      <w:r>
        <w:rPr>
          <w:rFonts w:ascii="Times New Roman" w:eastAsia="Times New Roman" w:hAnsi="Times New Roman" w:cs="Times New Roman"/>
          <w:color w:val="000000"/>
          <w:spacing w:val="0"/>
          <w:w w:val="100"/>
          <w:position w:val="0"/>
        </w:rPr>
        <w:t>IT</w:t>
      </w:r>
      <w:r>
        <w:rPr>
          <w:color w:val="000000"/>
          <w:spacing w:val="0"/>
          <w:w w:val="100"/>
          <w:position w:val="0"/>
        </w:rPr>
        <w:t>创新发展空间，</w:t>
      </w:r>
      <w:r>
        <w:rPr>
          <w:rFonts w:ascii="Times New Roman" w:eastAsia="Times New Roman" w:hAnsi="Times New Roman" w:cs="Times New Roman"/>
          <w:color w:val="000000"/>
          <w:spacing w:val="0"/>
          <w:w w:val="100"/>
          <w:position w:val="0"/>
        </w:rPr>
        <w:t>IT</w:t>
      </w:r>
      <w:r>
        <w:rPr>
          <w:color w:val="000000"/>
          <w:spacing w:val="0"/>
          <w:w w:val="100"/>
          <w:position w:val="0"/>
        </w:rPr>
        <w:t>领域 间相互渗透、边界模糊的趋势愈加明显。另一方面，经济全球化与区域经济一体化推动了创新要素的跨国、 跨区域流动，</w:t>
      </w:r>
      <w:r>
        <w:rPr>
          <w:rFonts w:ascii="Times New Roman" w:eastAsia="Times New Roman" w:hAnsi="Times New Roman" w:cs="Times New Roman"/>
          <w:color w:val="000000"/>
          <w:spacing w:val="0"/>
          <w:w w:val="100"/>
          <w:position w:val="0"/>
        </w:rPr>
        <w:t>IT</w:t>
      </w:r>
      <w:r>
        <w:rPr>
          <w:color w:val="000000"/>
          <w:spacing w:val="0"/>
          <w:w w:val="100"/>
          <w:position w:val="0"/>
        </w:rPr>
        <w:t>创新资源整合已经成为全球竞争的焦点，并将进一步推动</w:t>
      </w:r>
      <w:r>
        <w:rPr>
          <w:rFonts w:ascii="Times New Roman" w:eastAsia="Times New Roman" w:hAnsi="Times New Roman" w:cs="Times New Roman"/>
          <w:color w:val="000000"/>
          <w:spacing w:val="0"/>
          <w:w w:val="100"/>
          <w:position w:val="0"/>
        </w:rPr>
        <w:t>IT</w:t>
      </w:r>
      <w:r>
        <w:rPr>
          <w:color w:val="000000"/>
          <w:spacing w:val="0"/>
          <w:w w:val="100"/>
          <w:position w:val="0"/>
        </w:rPr>
        <w:t>产业融合。</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软件和信息技术服务业面临着新的发展趋势。第一，软件在现代信息技术创新中的核心和灵魂地位更 加突出，软硬件关系正在发生深刻变化。第二，产业垂直整合继续深化，软件企业面临业务转型需要。软 件产业已从传统的单一产品竞争，发展到基于体系架构的产业链竞争，以软件为核心，终端、服务和内容 的垂直整合不断深化。第三，信息消费需求强劲，正在成为软件产业新的增长点。随着互联网带宽的日益 提高，智能终端的快速普及，使得用于通信、网络等方面的消费需求大幅增长，推动移动支付、位置服务 等个人信息消费市场高速增长。第四，新技术新业态发展变化快，对加强和完善行业管理提出挑战。</w:t>
      </w:r>
    </w:p>
    <w:p>
      <w:pPr>
        <w:pStyle w:val="Style40"/>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全球经济一体化、中国城镇化进程、智慧城市</w:t>
      </w:r>
      <w:r>
        <w:rPr>
          <w:color w:val="000000"/>
          <w:spacing w:val="0"/>
          <w:w w:val="100"/>
          <w:position w:val="0"/>
        </w:rPr>
        <w:t>......</w:t>
      </w:r>
      <w:r>
        <w:rPr>
          <w:color w:val="000000"/>
          <w:spacing w:val="0"/>
          <w:w w:val="100"/>
          <w:position w:val="0"/>
        </w:rPr>
        <w:t>政府及企业对于</w:t>
      </w:r>
      <w:r>
        <w:rPr>
          <w:rFonts w:ascii="Times New Roman" w:eastAsia="Times New Roman" w:hAnsi="Times New Roman" w:cs="Times New Roman"/>
          <w:color w:val="000000"/>
          <w:spacing w:val="0"/>
          <w:w w:val="100"/>
          <w:position w:val="0"/>
        </w:rPr>
        <w:t>IT</w:t>
      </w:r>
      <w:r>
        <w:rPr>
          <w:color w:val="000000"/>
          <w:spacing w:val="0"/>
          <w:w w:val="100"/>
          <w:position w:val="0"/>
        </w:rPr>
        <w:t>服务有了比以往更高的要求：</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服务不仅要支撑业务，更要匹配业务发展的速度，并与业务进行无缝地融合。而</w:t>
      </w:r>
      <w:r>
        <w:rPr>
          <w:rFonts w:ascii="Times New Roman" w:eastAsia="Times New Roman" w:hAnsi="Times New Roman" w:cs="Times New Roman"/>
          <w:color w:val="000000"/>
          <w:spacing w:val="0"/>
          <w:w w:val="100"/>
          <w:position w:val="0"/>
        </w:rPr>
        <w:t>IT</w:t>
      </w:r>
      <w:r>
        <w:rPr>
          <w:color w:val="000000"/>
          <w:spacing w:val="0"/>
          <w:w w:val="100"/>
          <w:position w:val="0"/>
        </w:rPr>
        <w:t>管理水平也将直接作用 于企业的核心竞争力。因此</w:t>
      </w:r>
      <w:r>
        <w:rPr>
          <w:rFonts w:ascii="Times New Roman" w:eastAsia="Times New Roman" w:hAnsi="Times New Roman" w:cs="Times New Roman"/>
          <w:color w:val="000000"/>
          <w:spacing w:val="0"/>
          <w:w w:val="100"/>
          <w:position w:val="0"/>
        </w:rPr>
        <w:t>IT</w:t>
      </w:r>
      <w:r>
        <w:rPr>
          <w:color w:val="000000"/>
          <w:spacing w:val="0"/>
          <w:w w:val="100"/>
          <w:position w:val="0"/>
        </w:rPr>
        <w:t>服务越发趋于精细化、专业化。而面对越来越复杂的</w:t>
      </w:r>
      <w:r>
        <w:rPr>
          <w:rFonts w:ascii="Times New Roman" w:eastAsia="Times New Roman" w:hAnsi="Times New Roman" w:cs="Times New Roman"/>
          <w:color w:val="000000"/>
          <w:spacing w:val="0"/>
          <w:w w:val="100"/>
          <w:position w:val="0"/>
        </w:rPr>
        <w:t>IT</w:t>
      </w:r>
      <w:r>
        <w:rPr>
          <w:color w:val="000000"/>
          <w:spacing w:val="0"/>
          <w:w w:val="100"/>
          <w:position w:val="0"/>
        </w:rPr>
        <w:t>系统，用户需要</w:t>
      </w:r>
      <w:r>
        <w:rPr>
          <w:rFonts w:ascii="Times New Roman" w:eastAsia="Times New Roman" w:hAnsi="Times New Roman" w:cs="Times New Roman"/>
          <w:color w:val="000000"/>
          <w:spacing w:val="0"/>
          <w:w w:val="100"/>
          <w:position w:val="0"/>
        </w:rPr>
        <w:t>IT</w:t>
      </w:r>
      <w:r>
        <w:rPr>
          <w:color w:val="000000"/>
          <w:spacing w:val="0"/>
          <w:w w:val="100"/>
          <w:position w:val="0"/>
        </w:rPr>
        <w:t>服 务商来帮助他们化繁为简，化难为易。赛迪股份发布的相关报告显示，</w:t>
      </w:r>
      <w:r>
        <w:rPr>
          <w:rFonts w:ascii="Times New Roman" w:eastAsia="Times New Roman" w:hAnsi="Times New Roman" w:cs="Times New Roman"/>
          <w:color w:val="000000"/>
          <w:spacing w:val="0"/>
          <w:w w:val="100"/>
          <w:position w:val="0"/>
        </w:rPr>
        <w:t>2013</w:t>
      </w:r>
      <w:r>
        <w:rPr>
          <w:color w:val="000000"/>
          <w:spacing w:val="0"/>
          <w:w w:val="100"/>
          <w:position w:val="0"/>
        </w:rPr>
        <w:t>年中国</w:t>
      </w:r>
      <w:r>
        <w:rPr>
          <w:rFonts w:ascii="Times New Roman" w:eastAsia="Times New Roman" w:hAnsi="Times New Roman" w:cs="Times New Roman"/>
          <w:color w:val="000000"/>
          <w:spacing w:val="0"/>
          <w:w w:val="100"/>
          <w:position w:val="0"/>
        </w:rPr>
        <w:t>IT</w:t>
      </w:r>
      <w:r>
        <w:rPr>
          <w:color w:val="000000"/>
          <w:spacing w:val="0"/>
          <w:w w:val="100"/>
          <w:position w:val="0"/>
        </w:rPr>
        <w:t>服务市场将达到</w:t>
      </w:r>
      <w:r>
        <w:rPr>
          <w:rFonts w:ascii="Times New Roman" w:eastAsia="Times New Roman" w:hAnsi="Times New Roman" w:cs="Times New Roman"/>
          <w:color w:val="000000"/>
          <w:spacing w:val="0"/>
          <w:w w:val="100"/>
          <w:position w:val="0"/>
        </w:rPr>
        <w:t xml:space="preserve">3053 </w:t>
      </w:r>
      <w:r>
        <w:rPr>
          <w:color w:val="000000"/>
          <w:spacing w:val="0"/>
          <w:w w:val="100"/>
          <w:position w:val="0"/>
        </w:rPr>
        <w:t>亿元的规模。庞大的市场需求证明</w:t>
      </w:r>
      <w:r>
        <w:rPr>
          <w:rFonts w:ascii="Times New Roman" w:eastAsia="Times New Roman" w:hAnsi="Times New Roman" w:cs="Times New Roman"/>
          <w:color w:val="000000"/>
          <w:spacing w:val="0"/>
          <w:w w:val="100"/>
          <w:position w:val="0"/>
        </w:rPr>
        <w:t>IT</w:t>
      </w:r>
      <w:r>
        <w:rPr>
          <w:color w:val="000000"/>
          <w:spacing w:val="0"/>
          <w:w w:val="100"/>
          <w:position w:val="0"/>
        </w:rPr>
        <w:t>服务专业化和品牌差异化趋势的必然性。</w:t>
      </w:r>
    </w:p>
    <w:p>
      <w:pPr>
        <w:pStyle w:val="Style33"/>
        <w:keepNext/>
        <w:keepLines/>
        <w:widowControl w:val="0"/>
        <w:shd w:val="clear" w:color="auto" w:fill="auto"/>
        <w:bidi w:val="0"/>
        <w:spacing w:before="0" w:after="360" w:line="240" w:lineRule="auto"/>
        <w:ind w:left="0" w:right="0" w:firstLine="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、报告期内主要经营情况</w:t>
      </w:r>
      <w:bookmarkEnd w:id="88"/>
      <w:bookmarkEnd w:id="89"/>
      <w:bookmarkEnd w:id="91"/>
    </w:p>
    <w:p>
      <w:pPr>
        <w:pStyle w:val="Style33"/>
        <w:keepNext/>
        <w:keepLines/>
        <w:widowControl w:val="0"/>
        <w:shd w:val="clear" w:color="auto" w:fill="auto"/>
        <w:bidi w:val="0"/>
        <w:spacing w:before="0" w:after="360" w:line="240" w:lineRule="auto"/>
        <w:ind w:left="0" w:right="0" w:firstLine="0"/>
        <w:jc w:val="both"/>
      </w:pPr>
      <w:bookmarkStart w:id="88" w:name="bookmark88"/>
      <w:bookmarkStart w:id="89" w:name="bookmark89"/>
      <w:bookmarkStart w:id="92" w:name="bookmark92"/>
      <w:bookmarkStart w:id="93" w:name="bookmark93"/>
      <w:r>
        <w:rPr>
          <w:color w:val="000000"/>
          <w:spacing w:val="0"/>
          <w:w w:val="100"/>
          <w:position w:val="0"/>
        </w:rPr>
        <w:t>（</w:t>
      </w:r>
      <w:bookmarkEnd w:id="92"/>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88"/>
      <w:bookmarkEnd w:id="89"/>
      <w:bookmarkEnd w:id="93"/>
    </w:p>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概述</w:t>
      </w:r>
    </w:p>
    <w:tbl>
      <w:tblPr>
        <w:tblOverlap w:val="never"/>
        <w:jc w:val="left"/>
        <w:tblLayout w:type="fixed"/>
      </w:tblPr>
      <w:tblGrid>
        <w:gridCol w:w="2314"/>
        <w:gridCol w:w="1858"/>
        <w:gridCol w:w="1858"/>
        <w:gridCol w:w="1406"/>
      </w:tblGrid>
      <w:tr>
        <w:trPr>
          <w:trHeight w:val="274" w:hRule="exact"/>
        </w:trPr>
        <w:tc>
          <w:tcPr>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60"/>
              <w:jc w:val="left"/>
              <w:rPr>
                <w:sz w:val="24"/>
                <w:szCs w:val="24"/>
              </w:rPr>
            </w:pPr>
            <w:r>
              <w:rPr>
                <w:rFonts w:ascii="SimHei" w:eastAsia="SimHei" w:hAnsi="SimHei" w:cs="SimHei"/>
                <w:color w:val="000000"/>
                <w:spacing w:val="0"/>
                <w:w w:val="100"/>
                <w:position w:val="0"/>
                <w:sz w:val="24"/>
                <w:szCs w:val="24"/>
              </w:rPr>
              <w:t>项目</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b/>
                <w:bCs/>
                <w:color w:val="000000"/>
                <w:spacing w:val="0"/>
                <w:w w:val="100"/>
                <w:position w:val="0"/>
                <w:sz w:val="26"/>
                <w:szCs w:val="26"/>
              </w:rPr>
              <w:t>2013</w:t>
            </w:r>
            <w:r>
              <w:rPr>
                <w:rFonts w:ascii="SimHei" w:eastAsia="SimHei" w:hAnsi="SimHei" w:cs="SimHei"/>
                <w:color w:val="000000"/>
                <w:spacing w:val="0"/>
                <w:w w:val="100"/>
                <w:position w:val="0"/>
                <w:sz w:val="24"/>
                <w:szCs w:val="24"/>
              </w:rPr>
              <w:t>年度</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00"/>
              <w:jc w:val="left"/>
              <w:rPr>
                <w:sz w:val="24"/>
                <w:szCs w:val="24"/>
              </w:rPr>
            </w:pPr>
            <w:r>
              <w:rPr>
                <w:rFonts w:ascii="SimHei" w:eastAsia="SimHei" w:hAnsi="SimHei" w:cs="SimHei"/>
                <w:color w:val="000000"/>
                <w:spacing w:val="0"/>
                <w:w w:val="100"/>
                <w:position w:val="0"/>
                <w:sz w:val="24"/>
                <w:szCs w:val="24"/>
              </w:rPr>
              <w:t>年度</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24"/>
                <w:szCs w:val="24"/>
              </w:rPr>
            </w:pPr>
            <w:r>
              <w:rPr>
                <w:rFonts w:ascii="SimHei" w:eastAsia="SimHei" w:hAnsi="SimHei" w:cs="SimHei"/>
                <w:b/>
                <w:bCs/>
                <w:color w:val="000000"/>
                <w:spacing w:val="0"/>
                <w:w w:val="100"/>
                <w:position w:val="0"/>
                <w:sz w:val="24"/>
                <w:szCs w:val="24"/>
              </w:rPr>
              <w:t>变动幅度</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22"/>
                <w:szCs w:val="22"/>
              </w:rPr>
            </w:pPr>
            <w:r>
              <w:rPr>
                <w:rFonts w:ascii="Times New Roman" w:eastAsia="Times New Roman" w:hAnsi="Times New Roman" w:cs="Times New Roman"/>
                <w:b/>
                <w:bCs/>
                <w:color w:val="1C1327"/>
                <w:spacing w:val="0"/>
                <w:w w:val="100"/>
                <w:position w:val="0"/>
                <w:sz w:val="22"/>
                <w:szCs w:val="22"/>
              </w:rPr>
              <w:t>344,940,078.15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22"/>
                <w:szCs w:val="22"/>
              </w:rPr>
            </w:pPr>
            <w:r>
              <w:rPr>
                <w:rFonts w:ascii="Times New Roman" w:eastAsia="Times New Roman" w:hAnsi="Times New Roman" w:cs="Times New Roman"/>
                <w:b/>
                <w:bCs/>
                <w:color w:val="1C1327"/>
                <w:spacing w:val="0"/>
                <w:w w:val="100"/>
                <w:position w:val="0"/>
                <w:sz w:val="22"/>
                <w:szCs w:val="22"/>
              </w:rPr>
              <w:t>313^60,727.26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b/>
                <w:bCs/>
                <w:color w:val="000000"/>
                <w:spacing w:val="0"/>
                <w:w w:val="100"/>
                <w:position w:val="0"/>
                <w:sz w:val="22"/>
                <w:szCs w:val="22"/>
              </w:rPr>
              <w:t>10.</w:t>
            </w:r>
            <w:r>
              <w:rPr>
                <w:rFonts w:ascii="Times New Roman" w:eastAsia="Times New Roman" w:hAnsi="Times New Roman" w:cs="Times New Roman"/>
                <w:b/>
                <w:bCs/>
                <w:color w:val="000000"/>
                <w:spacing w:val="0"/>
                <w:w w:val="100"/>
                <w:position w:val="0"/>
                <w:sz w:val="22"/>
                <w:szCs w:val="22"/>
              </w:rPr>
              <w:t>11%</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主营业务成本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22"/>
                <w:szCs w:val="22"/>
              </w:rPr>
            </w:pPr>
            <w:r>
              <w:rPr>
                <w:rFonts w:ascii="Times New Roman" w:eastAsia="Times New Roman" w:hAnsi="Times New Roman" w:cs="Times New Roman"/>
                <w:b/>
                <w:bCs/>
                <w:color w:val="1C1327"/>
                <w:spacing w:val="0"/>
                <w:w w:val="100"/>
                <w:position w:val="0"/>
                <w:sz w:val="22"/>
                <w:szCs w:val="22"/>
              </w:rPr>
              <w:t>188</w:t>
            </w:r>
            <w:r>
              <w:rPr>
                <w:rFonts w:ascii="Times New Roman" w:eastAsia="Times New Roman" w:hAnsi="Times New Roman" w:cs="Times New Roman"/>
                <w:b/>
                <w:bCs/>
                <w:color w:val="1C1327"/>
                <w:spacing w:val="0"/>
                <w:w w:val="100"/>
                <w:position w:val="0"/>
                <w:sz w:val="22"/>
                <w:szCs w:val="22"/>
                <w:vertAlign w:val="subscript"/>
              </w:rPr>
              <w:t>P</w:t>
            </w:r>
            <w:r>
              <w:rPr>
                <w:rFonts w:ascii="Times New Roman" w:eastAsia="Times New Roman" w:hAnsi="Times New Roman" w:cs="Times New Roman"/>
                <w:b/>
                <w:bCs/>
                <w:color w:val="1C1327"/>
                <w:spacing w:val="0"/>
                <w:w w:val="100"/>
                <w:position w:val="0"/>
                <w:sz w:val="22"/>
                <w:szCs w:val="22"/>
              </w:rPr>
              <w:t>769</w:t>
            </w:r>
            <w:r>
              <w:rPr>
                <w:rFonts w:ascii="Times New Roman" w:eastAsia="Times New Roman" w:hAnsi="Times New Roman" w:cs="Times New Roman"/>
                <w:b/>
                <w:bCs/>
                <w:color w:val="1C1327"/>
                <w:spacing w:val="0"/>
                <w:w w:val="100"/>
                <w:position w:val="0"/>
                <w:sz w:val="22"/>
                <w:szCs w:val="22"/>
                <w:vertAlign w:val="subscript"/>
              </w:rPr>
              <w:t>?</w:t>
            </w:r>
            <w:r>
              <w:rPr>
                <w:rFonts w:ascii="Times New Roman" w:eastAsia="Times New Roman" w:hAnsi="Times New Roman" w:cs="Times New Roman"/>
                <w:b/>
                <w:bCs/>
                <w:color w:val="1C1327"/>
                <w:spacing w:val="0"/>
                <w:w w:val="100"/>
                <w:position w:val="0"/>
                <w:sz w:val="22"/>
                <w:szCs w:val="22"/>
              </w:rPr>
              <w:t>4d7.31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22"/>
                <w:szCs w:val="22"/>
              </w:rPr>
            </w:pPr>
            <w:r>
              <w:rPr>
                <w:rFonts w:ascii="Times New Roman" w:eastAsia="Times New Roman" w:hAnsi="Times New Roman" w:cs="Times New Roman"/>
                <w:b/>
                <w:bCs/>
                <w:color w:val="1C1327"/>
                <w:spacing w:val="0"/>
                <w:w w:val="100"/>
                <w:position w:val="0"/>
                <w:sz w:val="22"/>
                <w:szCs w:val="22"/>
              </w:rPr>
              <w:t>182,042,152.25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 xml:space="preserve">3. </w:t>
            </w:r>
            <w:r>
              <w:rPr>
                <w:rFonts w:ascii="Times New Roman" w:eastAsia="Times New Roman" w:hAnsi="Times New Roman" w:cs="Times New Roman"/>
                <w:b/>
                <w:bCs/>
                <w:color w:val="000000"/>
                <w:spacing w:val="0"/>
                <w:w w:val="100"/>
                <w:position w:val="0"/>
                <w:sz w:val="22"/>
                <w:szCs w:val="22"/>
              </w:rPr>
              <w:t>70%</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b/>
                <w:bCs/>
                <w:color w:val="1C1327"/>
                <w:spacing w:val="0"/>
                <w:w w:val="100"/>
                <w:position w:val="0"/>
                <w:sz w:val="22"/>
                <w:szCs w:val="22"/>
              </w:rPr>
              <w:t>25,781315.39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Times New Roman" w:eastAsia="Times New Roman" w:hAnsi="Times New Roman" w:cs="Times New Roman"/>
                <w:b/>
                <w:bCs/>
                <w:color w:val="1C1327"/>
                <w:spacing w:val="0"/>
                <w:w w:val="100"/>
                <w:position w:val="0"/>
                <w:sz w:val="22"/>
                <w:szCs w:val="22"/>
              </w:rPr>
              <w:t>27,195,460.62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b/>
                <w:bCs/>
                <w:color w:val="000000"/>
                <w:spacing w:val="0"/>
                <w:w w:val="100"/>
                <w:position w:val="0"/>
                <w:sz w:val="22"/>
                <w:szCs w:val="22"/>
              </w:rPr>
              <w:t>-5.20X</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b/>
                <w:bCs/>
                <w:color w:val="1C1327"/>
                <w:spacing w:val="0"/>
                <w:w w:val="100"/>
                <w:position w:val="0"/>
                <w:sz w:val="22"/>
                <w:szCs w:val="22"/>
              </w:rPr>
              <w:t>68369,647.58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Times New Roman" w:eastAsia="Times New Roman" w:hAnsi="Times New Roman" w:cs="Times New Roman"/>
                <w:b/>
                <w:bCs/>
                <w:color w:val="1C1327"/>
                <w:spacing w:val="0"/>
                <w:w w:val="100"/>
                <w:position w:val="0"/>
                <w:sz w:val="22"/>
                <w:szCs w:val="22"/>
              </w:rPr>
              <w:t>57,098,992.84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b/>
                <w:bCs/>
                <w:color w:val="000000"/>
                <w:spacing w:val="0"/>
                <w:w w:val="100"/>
                <w:position w:val="0"/>
                <w:sz w:val="22"/>
                <w:szCs w:val="22"/>
              </w:rPr>
              <w:t>19.</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研发投入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b/>
                <w:bCs/>
                <w:color w:val="1C1327"/>
                <w:spacing w:val="0"/>
                <w:w w:val="100"/>
                <w:position w:val="0"/>
                <w:sz w:val="22"/>
                <w:szCs w:val="22"/>
              </w:rPr>
              <w:t>29,867,868.11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Times New Roman" w:eastAsia="Times New Roman" w:hAnsi="Times New Roman" w:cs="Times New Roman"/>
                <w:b/>
                <w:bCs/>
                <w:color w:val="1C1327"/>
                <w:spacing w:val="0"/>
                <w:w w:val="100"/>
                <w:position w:val="0"/>
                <w:sz w:val="22"/>
                <w:szCs w:val="22"/>
              </w:rPr>
              <w:t>16461,673.23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b/>
                <w:bCs/>
                <w:color w:val="000000"/>
                <w:spacing w:val="0"/>
                <w:w w:val="100"/>
                <w:position w:val="0"/>
                <w:sz w:val="22"/>
                <w:szCs w:val="22"/>
              </w:rPr>
              <w:t>81.</w:t>
            </w:r>
          </w:p>
        </w:tc>
      </w:tr>
      <w:tr>
        <w:trPr>
          <w:trHeight w:val="57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rPr>
                <w:sz w:val="24"/>
                <w:szCs w:val="24"/>
              </w:rPr>
            </w:pPr>
            <w:r>
              <w:rPr>
                <w:rFonts w:ascii="SimHei" w:eastAsia="SimHei" w:hAnsi="SimHei" w:cs="SimHei"/>
                <w:color w:val="000000"/>
                <w:spacing w:val="0"/>
                <w:w w:val="100"/>
                <w:position w:val="0"/>
                <w:sz w:val="24"/>
                <w:szCs w:val="24"/>
              </w:rPr>
              <w:t>经营活动净现金流 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b/>
                <w:bCs/>
                <w:color w:val="1C1327"/>
                <w:spacing w:val="0"/>
                <w:w w:val="100"/>
                <w:position w:val="0"/>
                <w:sz w:val="22"/>
                <w:szCs w:val="22"/>
              </w:rPr>
              <w:t>44,687,282.48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Times New Roman" w:eastAsia="Times New Roman" w:hAnsi="Times New Roman" w:cs="Times New Roman"/>
                <w:b/>
                <w:bCs/>
                <w:color w:val="1C1327"/>
                <w:spacing w:val="0"/>
                <w:w w:val="100"/>
                <w:position w:val="0"/>
                <w:sz w:val="22"/>
                <w:szCs w:val="22"/>
              </w:rPr>
              <w:t>52,660,294.69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 xml:space="preserve">-15. </w:t>
            </w:r>
            <w:r>
              <w:rPr>
                <w:rFonts w:ascii="Times New Roman" w:eastAsia="Times New Roman" w:hAnsi="Times New Roman" w:cs="Times New Roman"/>
                <w:b/>
                <w:bCs/>
                <w:color w:val="000000"/>
                <w:spacing w:val="0"/>
                <w:w w:val="100"/>
                <w:position w:val="0"/>
                <w:sz w:val="22"/>
                <w:szCs w:val="22"/>
              </w:rPr>
              <w:t>1«</w:t>
            </w:r>
          </w:p>
        </w:tc>
      </w:tr>
    </w:tbl>
    <w:p>
      <w:pPr>
        <w:pStyle w:val="Style40"/>
        <w:keepNext w:val="0"/>
        <w:keepLines w:val="0"/>
        <w:widowControl w:val="0"/>
        <w:shd w:val="clear" w:color="auto" w:fill="auto"/>
        <w:bidi w:val="0"/>
        <w:spacing w:before="0" w:after="0" w:line="480" w:lineRule="exact"/>
        <w:ind w:left="0" w:right="0" w:firstLine="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rPr>
        <w:t>34,494.08</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10.11%</w:t>
      </w:r>
      <w:r>
        <w:rPr>
          <w:color w:val="000000"/>
          <w:spacing w:val="0"/>
          <w:w w:val="100"/>
          <w:position w:val="0"/>
        </w:rPr>
        <w:t>，销售规模进一步扩大；</w:t>
      </w:r>
    </w:p>
    <w:p>
      <w:pPr>
        <w:pStyle w:val="Style40"/>
        <w:keepNext w:val="0"/>
        <w:keepLines w:val="0"/>
        <w:widowControl w:val="0"/>
        <w:shd w:val="clear" w:color="auto" w:fill="auto"/>
        <w:bidi w:val="0"/>
        <w:spacing w:before="0" w:after="0" w:line="480" w:lineRule="exact"/>
        <w:ind w:left="0" w:right="0" w:firstLine="0"/>
        <w:jc w:val="both"/>
      </w:pPr>
      <w:r>
        <w:rPr>
          <w:color w:val="000000"/>
          <w:spacing w:val="0"/>
          <w:w w:val="100"/>
          <w:position w:val="0"/>
        </w:rPr>
        <w:t>报告期内，公司发生营业成本</w:t>
      </w:r>
      <w:r>
        <w:rPr>
          <w:rFonts w:ascii="Times New Roman" w:eastAsia="Times New Roman" w:hAnsi="Times New Roman" w:cs="Times New Roman"/>
          <w:color w:val="000000"/>
          <w:spacing w:val="0"/>
          <w:w w:val="100"/>
          <w:position w:val="0"/>
        </w:rPr>
        <w:t>18,876.95</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3.70%</w:t>
      </w:r>
      <w:r>
        <w:rPr>
          <w:color w:val="000000"/>
          <w:spacing w:val="0"/>
          <w:w w:val="100"/>
          <w:position w:val="0"/>
        </w:rPr>
        <w:t>，增长幅度小于收入，成本得到一定 的控制；</w:t>
      </w:r>
    </w:p>
    <w:p>
      <w:pPr>
        <w:pStyle w:val="Style40"/>
        <w:keepNext w:val="0"/>
        <w:keepLines w:val="0"/>
        <w:widowControl w:val="0"/>
        <w:shd w:val="clear" w:color="auto" w:fill="auto"/>
        <w:bidi w:val="0"/>
        <w:spacing w:before="0" w:after="0" w:line="475" w:lineRule="exact"/>
        <w:ind w:left="0" w:right="0" w:firstLine="0"/>
        <w:jc w:val="both"/>
      </w:pPr>
      <w:r>
        <w:rPr>
          <w:color w:val="000000"/>
          <w:spacing w:val="0"/>
          <w:w w:val="100"/>
          <w:position w:val="0"/>
        </w:rPr>
        <w:t>报告期内，销售费用为</w:t>
      </w:r>
      <w:r>
        <w:rPr>
          <w:rFonts w:ascii="Times New Roman" w:eastAsia="Times New Roman" w:hAnsi="Times New Roman" w:cs="Times New Roman"/>
          <w:color w:val="000000"/>
          <w:spacing w:val="0"/>
          <w:w w:val="100"/>
          <w:position w:val="0"/>
        </w:rPr>
        <w:t>2,578.13</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5.2%</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年业务宣传费用下降所致； 报告期内，管理费用为</w:t>
      </w:r>
      <w:r>
        <w:rPr>
          <w:rFonts w:ascii="Times New Roman" w:eastAsia="Times New Roman" w:hAnsi="Times New Roman" w:cs="Times New Roman"/>
          <w:color w:val="000000"/>
          <w:spacing w:val="0"/>
          <w:w w:val="100"/>
          <w:position w:val="0"/>
        </w:rPr>
        <w:t>6,836.96</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19.74%</w:t>
      </w:r>
      <w:r>
        <w:rPr>
          <w:color w:val="000000"/>
          <w:spacing w:val="0"/>
          <w:w w:val="100"/>
          <w:position w:val="0"/>
        </w:rPr>
        <w:t>,主要系公司研发投入增加及股权激励摊销 费用所致；</w:t>
      </w:r>
    </w:p>
    <w:p>
      <w:pPr>
        <w:pStyle w:val="Style40"/>
        <w:keepNext w:val="0"/>
        <w:keepLines w:val="0"/>
        <w:widowControl w:val="0"/>
        <w:shd w:val="clear" w:color="auto" w:fill="auto"/>
        <w:bidi w:val="0"/>
        <w:spacing w:before="0" w:after="0" w:line="480" w:lineRule="exact"/>
        <w:ind w:left="0" w:right="0" w:firstLine="0"/>
        <w:jc w:val="both"/>
      </w:pPr>
      <w:r>
        <w:rPr>
          <w:color w:val="000000"/>
          <w:spacing w:val="0"/>
          <w:w w:val="100"/>
          <w:position w:val="0"/>
        </w:rPr>
        <w:t>报告期内，经营活动净现金流为</w:t>
      </w:r>
      <w:r>
        <w:rPr>
          <w:rFonts w:ascii="Times New Roman" w:eastAsia="Times New Roman" w:hAnsi="Times New Roman" w:cs="Times New Roman"/>
          <w:color w:val="000000"/>
          <w:spacing w:val="0"/>
          <w:w w:val="100"/>
          <w:position w:val="0"/>
        </w:rPr>
        <w:t>4,468.73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15.14%</w:t>
      </w:r>
      <w:r>
        <w:rPr>
          <w:color w:val="000000"/>
          <w:spacing w:val="0"/>
          <w:w w:val="100"/>
          <w:position w:val="0"/>
        </w:rPr>
        <w:t>,主要系公司应收账款增加、回款 周期加长及人力成本支付增加幅度较大所致；</w:t>
      </w:r>
    </w:p>
    <w:p>
      <w:pPr>
        <w:pStyle w:val="Style40"/>
        <w:keepNext w:val="0"/>
        <w:keepLines w:val="0"/>
        <w:widowControl w:val="0"/>
        <w:shd w:val="clear" w:color="auto" w:fill="auto"/>
        <w:bidi w:val="0"/>
        <w:spacing w:before="0" w:after="200" w:line="475" w:lineRule="exact"/>
        <w:ind w:left="0" w:right="0" w:firstLine="0"/>
        <w:jc w:val="both"/>
      </w:pPr>
      <w:r>
        <w:rPr>
          <w:color w:val="000000"/>
          <w:spacing w:val="0"/>
          <w:w w:val="100"/>
          <w:position w:val="0"/>
        </w:rPr>
        <w:t>报告期内，研发投入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,986.7</w:t>
      </w:r>
      <w:r>
        <w:rPr>
          <w:rFonts w:ascii="Times New Roman" w:eastAsia="Times New Roman" w:hAnsi="Times New Roman" w:cs="Times New Roman"/>
          <w:color w:val="000000"/>
          <w:spacing w:val="0"/>
          <w:w w:val="100"/>
          <w:position w:val="0"/>
        </w:rPr>
        <w:t>9</w:t>
      </w:r>
      <w:r>
        <w:rPr>
          <w:color w:val="000000"/>
          <w:spacing w:val="0"/>
          <w:w w:val="100"/>
          <w:position w:val="0"/>
        </w:rPr>
        <w:t>万元，投资聚焦在公司“现有</w:t>
      </w:r>
      <w:r>
        <w:rPr>
          <w:color w:val="000000"/>
          <w:spacing w:val="0"/>
          <w:w w:val="100"/>
          <w:position w:val="0"/>
        </w:rPr>
        <w:t>IT</w:t>
      </w:r>
      <w:r>
        <w:rPr>
          <w:color w:val="000000"/>
          <w:spacing w:val="0"/>
          <w:w w:val="100"/>
          <w:position w:val="0"/>
        </w:rPr>
        <w:t>服务业务的内部创新”与“探索创新型服务 与产品”两条主线上，力求以多元化的方式，全方位地提供服务与产品，使公司业务与用户需求紧密结合, 形成长期互为依存的合作伙伴关系。</w:t>
      </w:r>
    </w:p>
    <w:p>
      <w:pPr>
        <w:pStyle w:val="Style29"/>
        <w:keepNext w:val="0"/>
        <w:keepLines w:val="0"/>
        <w:widowControl w:val="0"/>
        <w:shd w:val="clear" w:color="auto" w:fill="auto"/>
        <w:tabs>
          <w:tab w:pos="349" w:val="left"/>
        </w:tabs>
        <w:bidi w:val="0"/>
        <w:spacing w:before="0" w:after="140" w:line="240" w:lineRule="auto"/>
        <w:ind w:left="0" w:right="0" w:firstLine="0"/>
        <w:jc w:val="both"/>
      </w:pPr>
      <w:bookmarkStart w:id="94" w:name="bookmark94"/>
      <w:r>
        <w:rPr>
          <w:rFonts w:ascii="Times New Roman" w:eastAsia="Times New Roman" w:hAnsi="Times New Roman" w:cs="Times New Roman"/>
          <w:color w:val="000000"/>
          <w:spacing w:val="0"/>
          <w:w w:val="100"/>
          <w:position w:val="0"/>
          <w:sz w:val="18"/>
          <w:szCs w:val="18"/>
        </w:rPr>
        <w:t>2</w:t>
      </w:r>
      <w:bookmarkEnd w:id="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
        <w:keepNext w:val="0"/>
        <w:keepLines w:val="0"/>
        <w:widowControl w:val="0"/>
        <w:shd w:val="clear" w:color="auto" w:fill="auto"/>
        <w:tabs>
          <w:tab w:pos="349" w:val="left"/>
        </w:tabs>
        <w:bidi w:val="0"/>
        <w:spacing w:before="0" w:after="140" w:line="240" w:lineRule="auto"/>
        <w:ind w:left="0" w:right="0" w:firstLine="0"/>
        <w:jc w:val="both"/>
      </w:pPr>
      <w:bookmarkStart w:id="95" w:name="bookmark95"/>
      <w:r>
        <w:rPr>
          <w:rFonts w:ascii="Times New Roman" w:eastAsia="Times New Roman" w:hAnsi="Times New Roman" w:cs="Times New Roman"/>
          <w:color w:val="000000"/>
          <w:spacing w:val="0"/>
          <w:w w:val="100"/>
          <w:position w:val="0"/>
          <w:sz w:val="18"/>
          <w:szCs w:val="18"/>
        </w:rPr>
        <w:t>3</w:t>
      </w:r>
      <w:bookmarkEnd w:id="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收入</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344,940,078.15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313,260,727.26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报告期内，公司以扩大市场份额为重点，进行了战略布局调整，同时通过技术创新增强对客户的服务能力, 取得了明显成效，主营业务收入增长</w:t>
      </w:r>
      <w:r>
        <w:rPr>
          <w:rFonts w:ascii="Times New Roman" w:eastAsia="Times New Roman" w:hAnsi="Times New Roman" w:cs="Times New Roman"/>
          <w:color w:val="000000"/>
          <w:spacing w:val="0"/>
          <w:w w:val="100"/>
          <w:position w:val="0"/>
        </w:rPr>
        <w:t>10.11%</w:t>
      </w:r>
      <w:r>
        <w:rPr>
          <w:color w:val="000000"/>
          <w:spacing w:val="0"/>
          <w:w w:val="100"/>
          <w:position w:val="0"/>
        </w:rPr>
        <w:t>,具体来看</w:t>
      </w:r>
    </w:p>
    <w:p>
      <w:pPr>
        <w:pStyle w:val="Style40"/>
        <w:keepNext w:val="0"/>
        <w:keepLines w:val="0"/>
        <w:widowControl w:val="0"/>
        <w:shd w:val="clear" w:color="auto" w:fill="auto"/>
        <w:tabs>
          <w:tab w:pos="488" w:val="left"/>
        </w:tabs>
        <w:bidi w:val="0"/>
        <w:spacing w:before="0" w:after="0" w:line="466" w:lineRule="exact"/>
        <w:ind w:left="0" w:right="0" w:firstLine="0"/>
        <w:jc w:val="left"/>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由于服务功能提升和市场拓展能力提升，公司业务收入稳步增长，其中</w:t>
      </w:r>
      <w:r>
        <w:rPr>
          <w:color w:val="000000"/>
          <w:spacing w:val="0"/>
          <w:w w:val="100"/>
          <w:position w:val="0"/>
        </w:rPr>
        <w:t>IT</w:t>
      </w:r>
      <w:r>
        <w:rPr>
          <w:color w:val="000000"/>
          <w:spacing w:val="0"/>
          <w:w w:val="100"/>
          <w:position w:val="0"/>
        </w:rPr>
        <w:t>服务收入较去年增长</w:t>
      </w:r>
      <w:r>
        <w:rPr>
          <w:color w:val="000000"/>
          <w:spacing w:val="0"/>
          <w:w w:val="100"/>
          <w:position w:val="0"/>
        </w:rPr>
        <w:t>24.58%</w:t>
      </w:r>
      <w:r>
        <w:rPr>
          <w:color w:val="000000"/>
          <w:spacing w:val="0"/>
          <w:w w:val="100"/>
          <w:position w:val="0"/>
        </w:rPr>
        <w:t>。</w:t>
      </w:r>
    </w:p>
    <w:p>
      <w:pPr>
        <w:pStyle w:val="Style40"/>
        <w:keepNext w:val="0"/>
        <w:keepLines w:val="0"/>
        <w:widowControl w:val="0"/>
        <w:shd w:val="clear" w:color="auto" w:fill="auto"/>
        <w:bidi w:val="0"/>
        <w:spacing w:before="0" w:after="0" w:line="466" w:lineRule="exact"/>
        <w:ind w:left="0" w:right="0" w:firstLine="0"/>
        <w:jc w:val="left"/>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 随着公司服务能力的提升和市场美誉度的积累，公司在金融、政府部门、电信行业、能源交通的业 务收入分别增长了</w:t>
      </w:r>
      <w:r>
        <w:rPr>
          <w:rFonts w:ascii="Times New Roman" w:eastAsia="Times New Roman" w:hAnsi="Times New Roman" w:cs="Times New Roman"/>
          <w:color w:val="000000"/>
          <w:spacing w:val="0"/>
          <w:w w:val="100"/>
          <w:position w:val="0"/>
        </w:rPr>
        <w:t>25.39%</w:t>
      </w:r>
      <w:r>
        <w:rPr>
          <w:color w:val="000000"/>
          <w:spacing w:val="0"/>
          <w:w w:val="100"/>
          <w:position w:val="0"/>
        </w:rPr>
        <w:t>、</w:t>
      </w:r>
      <w:r>
        <w:rPr>
          <w:rFonts w:ascii="Times New Roman" w:eastAsia="Times New Roman" w:hAnsi="Times New Roman" w:cs="Times New Roman"/>
          <w:color w:val="000000"/>
          <w:spacing w:val="0"/>
          <w:w w:val="100"/>
          <w:position w:val="0"/>
        </w:rPr>
        <w:t>35.18%</w:t>
      </w:r>
      <w:r>
        <w:rPr>
          <w:color w:val="000000"/>
          <w:spacing w:val="0"/>
          <w:w w:val="100"/>
          <w:position w:val="0"/>
        </w:rPr>
        <w:t>、</w:t>
      </w:r>
      <w:r>
        <w:rPr>
          <w:rFonts w:ascii="Times New Roman" w:eastAsia="Times New Roman" w:hAnsi="Times New Roman" w:cs="Times New Roman"/>
          <w:color w:val="000000"/>
          <w:spacing w:val="0"/>
          <w:w w:val="100"/>
          <w:position w:val="0"/>
        </w:rPr>
        <w:t>11.68%</w:t>
      </w:r>
      <w:r>
        <w:rPr>
          <w:color w:val="000000"/>
          <w:spacing w:val="0"/>
          <w:w w:val="100"/>
          <w:position w:val="0"/>
        </w:rPr>
        <w:t>、</w:t>
      </w:r>
      <w:r>
        <w:rPr>
          <w:rFonts w:ascii="Times New Roman" w:eastAsia="Times New Roman" w:hAnsi="Times New Roman" w:cs="Times New Roman"/>
          <w:color w:val="000000"/>
          <w:spacing w:val="0"/>
          <w:w w:val="100"/>
          <w:position w:val="0"/>
        </w:rPr>
        <w:t>22.53%</w:t>
      </w:r>
      <w:r>
        <w:rPr>
          <w:color w:val="000000"/>
          <w:spacing w:val="0"/>
          <w:w w:val="100"/>
          <w:position w:val="0"/>
        </w:rPr>
        <w:t>；</w:t>
      </w:r>
    </w:p>
    <w:p>
      <w:pPr>
        <w:pStyle w:val="Style40"/>
        <w:keepNext w:val="0"/>
        <w:keepLines w:val="0"/>
        <w:widowControl w:val="0"/>
        <w:shd w:val="clear" w:color="auto" w:fill="auto"/>
        <w:tabs>
          <w:tab w:pos="603" w:val="left"/>
        </w:tabs>
        <w:bidi w:val="0"/>
        <w:spacing w:before="0" w:after="220" w:line="466" w:lineRule="exact"/>
        <w:ind w:left="0" w:right="0" w:firstLine="0"/>
        <w:jc w:val="left"/>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战略布局调整与深化，使公司市场覆盖面和占有率得以提升，公司在华南、西南市场收入分别增长 </w:t>
      </w:r>
      <w:r>
        <w:rPr>
          <w:rFonts w:ascii="Times New Roman" w:eastAsia="Times New Roman" w:hAnsi="Times New Roman" w:cs="Times New Roman"/>
          <w:color w:val="000000"/>
          <w:spacing w:val="0"/>
          <w:w w:val="100"/>
          <w:position w:val="0"/>
        </w:rPr>
        <w:t>23.99%</w:t>
      </w:r>
      <w:r>
        <w:rPr>
          <w:color w:val="000000"/>
          <w:spacing w:val="0"/>
          <w:w w:val="100"/>
          <w:position w:val="0"/>
        </w:rPr>
        <w:t>、</w:t>
      </w:r>
      <w:r>
        <w:rPr>
          <w:rFonts w:ascii="Times New Roman" w:eastAsia="Times New Roman" w:hAnsi="Times New Roman" w:cs="Times New Roman"/>
          <w:color w:val="000000"/>
          <w:spacing w:val="0"/>
          <w:w w:val="100"/>
          <w:position w:val="0"/>
        </w:rPr>
        <w:t>144.79%</w:t>
      </w:r>
      <w:r>
        <w:rPr>
          <w:color w:val="000000"/>
          <w:spacing w:val="0"/>
          <w:w w:val="100"/>
          <w:position w:val="0"/>
        </w:rPr>
        <w:t>，华东市场收入增长</w:t>
      </w:r>
      <w:r>
        <w:rPr>
          <w:rFonts w:ascii="Times New Roman" w:eastAsia="Times New Roman" w:hAnsi="Times New Roman" w:cs="Times New Roman"/>
          <w:color w:val="000000"/>
          <w:spacing w:val="0"/>
          <w:w w:val="100"/>
          <w:position w:val="0"/>
        </w:rPr>
        <w:t>11.90%</w:t>
      </w:r>
      <w:r>
        <w:rPr>
          <w:color w:val="000000"/>
          <w:spacing w:val="0"/>
          <w:w w:val="100"/>
          <w:position w:val="0"/>
        </w:rPr>
        <w:t>,进一步巩固了公司传统市场的强势地位。</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数量分散的订单情况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71,681,606.61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65,615,684.58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备件消耗及折旧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17,605,876.46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21,619,290.30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5,028,310.26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5,069,801.55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34,097,800.48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58,316,121.47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费用</w:t>
      </w:r>
    </w:p>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25,781,315.39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27,195,460.62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主要系本年度业务宣传类费用下降 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68,369,647.58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57,098,992.84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主要系本年度研发加大投入以及新 增股权激励成本费用摊销所致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-9,018,488.59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-8,731,968.69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主要系本年度新增股权激励投资款 的利息所致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12,485,947.92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9,018,580.88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主要系本年度利润总额增加所致</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研发投入</w:t>
      </w:r>
      <w:r>
        <w:br w:type="page"/>
      </w:r>
    </w:p>
    <w:tbl>
      <w:tblPr>
        <w:tblOverlap w:val="never"/>
        <w:jc w:val="center"/>
        <w:tblLayout w:type="fixed"/>
      </w:tblPr>
      <w:tblGrid>
        <w:gridCol w:w="528"/>
        <w:gridCol w:w="1622"/>
        <w:gridCol w:w="1416"/>
        <w:gridCol w:w="1843"/>
        <w:gridCol w:w="412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06" w:lineRule="exact"/>
              <w:ind w:left="0" w:right="0" w:firstLine="0"/>
              <w:jc w:val="center"/>
            </w:pPr>
            <w:r>
              <w:rPr>
                <w:color w:val="000000"/>
                <w:spacing w:val="0"/>
                <w:w w:val="100"/>
                <w:position w:val="0"/>
              </w:rPr>
              <w:t>序 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主承担企业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研究成果分配方案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报告期内达到的目标或状态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天玑工单管理系 统应用软件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本报告期内完成了软件的开发和测试，完成 了对故障单的流程操作，巡检单的自动设定 和任务分配，增加了设备配置管理模块，以 及手机版工单系统，最终成功上线，达到了 预期的目标。</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天玑“致简”数 据中心运维综合 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本报告期内完成了软件的开发测试，完成了 对主机性能配置的自动化监控采集，并组合 实际运维需求实现了部分运维工作自动化， 并在浙江移动、四川移动、云南移动上线， 达到了预期的目标。</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天玑玑云桌面虚 拟化管理软件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本报告期内完成了软件的开发和测试，借助 于虚拟化技术对云数据中心所管理的计算、 存储、网络、中间件、数据等基础设施资源 进行抽象并虚拟化成一个基础设施资源池， 并通过整合玑云虚拟化资源管理引擎与玑云 运营管理虚拟化服务形成一个完整的云计算 操作系统，已为私有云建设提供一套完整的、 一站式的私有云建设的桌面虚拟化应用场景 的解决方案，达到了预期的目标。</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 xml:space="preserve">天玑业务管理 </w:t>
            </w:r>
            <w:r>
              <w:rPr>
                <w:color w:val="000000"/>
                <w:spacing w:val="0"/>
                <w:w w:val="100"/>
                <w:position w:val="0"/>
                <w:sz w:val="20"/>
                <w:szCs w:val="20"/>
              </w:rPr>
              <w:t>CRM</w:t>
            </w:r>
            <w:r>
              <w:rPr>
                <w:color w:val="000000"/>
                <w:spacing w:val="0"/>
                <w:w w:val="100"/>
                <w:position w:val="0"/>
                <w:sz w:val="19"/>
                <w:szCs w:val="19"/>
              </w:rPr>
              <w:t>系统开发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本报告期内完成了软件的开发和测试，系统 中完成了销售流程（请购、报价、询价、比 价、采购）、报价管理（产品检查、报价、 定价）以及销售相关的项目申请流程，该部 分功能已上线运行，得到了用户的肯定，达 到了预期目标。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天玑数据库容灾 切换软件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本报告期内针对浙江移动的实际的容灾切换 环境，进行调研、分析、设计，并完成了软 件的开发和测试，完成了包括容灾切换管理、 监控管理、演练管理、公告管理、版本管理、 数据管理、系统管理几大模块，已经上线运 行，达到预期目标。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 xml:space="preserve">天玑业务管理 </w:t>
            </w:r>
            <w:r>
              <w:rPr>
                <w:color w:val="000000"/>
                <w:spacing w:val="0"/>
                <w:w w:val="100"/>
                <w:position w:val="0"/>
                <w:sz w:val="20"/>
                <w:szCs w:val="20"/>
              </w:rPr>
              <w:t>ITSM</w:t>
            </w:r>
            <w:r>
              <w:rPr>
                <w:color w:val="000000"/>
                <w:spacing w:val="0"/>
                <w:w w:val="100"/>
                <w:position w:val="0"/>
                <w:sz w:val="19"/>
                <w:szCs w:val="19"/>
              </w:rPr>
              <w:t>系统开发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本报告期内完成了软件的开发和测试，现在 正在试运行阶段。该项目利用</w:t>
            </w:r>
            <w:r>
              <w:rPr>
                <w:color w:val="000000"/>
                <w:spacing w:val="0"/>
                <w:w w:val="100"/>
                <w:position w:val="0"/>
                <w:sz w:val="20"/>
                <w:szCs w:val="20"/>
              </w:rPr>
              <w:t>ITIL</w:t>
            </w:r>
            <w:r>
              <w:rPr>
                <w:color w:val="000000"/>
                <w:spacing w:val="0"/>
                <w:w w:val="100"/>
                <w:position w:val="0"/>
                <w:sz w:val="19"/>
                <w:szCs w:val="19"/>
              </w:rPr>
              <w:t>管理体系 和流程规范，并结合天玑实际</w:t>
            </w:r>
            <w:r>
              <w:rPr>
                <w:color w:val="000000"/>
                <w:spacing w:val="0"/>
                <w:w w:val="100"/>
                <w:position w:val="0"/>
                <w:sz w:val="20"/>
                <w:szCs w:val="20"/>
              </w:rPr>
              <w:t>IT</w:t>
            </w:r>
            <w:r>
              <w:rPr>
                <w:color w:val="000000"/>
                <w:spacing w:val="0"/>
                <w:w w:val="100"/>
                <w:position w:val="0"/>
                <w:sz w:val="19"/>
                <w:szCs w:val="19"/>
              </w:rPr>
              <w:t>运维情况和 经验为用户建立了一个灵活量化的服务管理 平台，包括系统设置、配置中心、运营中心、 知识库管理四大功能</w:t>
            </w:r>
            <w:r>
              <w:rPr>
                <w:color w:val="000080"/>
                <w:spacing w:val="0"/>
                <w:w w:val="100"/>
                <w:position w:val="0"/>
                <w:sz w:val="20"/>
                <w:szCs w:val="20"/>
              </w:rPr>
              <w:t>，</w:t>
            </w:r>
            <w:r>
              <w:rPr>
                <w:color w:val="000000"/>
                <w:spacing w:val="0"/>
                <w:w w:val="100"/>
                <w:position w:val="0"/>
                <w:sz w:val="19"/>
                <w:szCs w:val="19"/>
              </w:rPr>
              <w:t>并继续按计划推进。</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天玑企业管理</w:t>
            </w:r>
          </w:p>
          <w:p>
            <w:pPr>
              <w:pStyle w:val="Style2"/>
              <w:keepNext w:val="0"/>
              <w:keepLines w:val="0"/>
              <w:widowControl w:val="0"/>
              <w:shd w:val="clear" w:color="auto" w:fill="auto"/>
              <w:bidi w:val="0"/>
              <w:spacing w:before="0" w:after="0" w:line="336" w:lineRule="exact"/>
              <w:ind w:left="0" w:right="0" w:firstLine="0"/>
              <w:jc w:val="left"/>
              <w:rPr>
                <w:sz w:val="19"/>
                <w:szCs w:val="19"/>
              </w:rPr>
            </w:pPr>
            <w:r>
              <w:rPr>
                <w:color w:val="000000"/>
                <w:spacing w:val="0"/>
                <w:w w:val="100"/>
                <w:position w:val="0"/>
                <w:sz w:val="20"/>
                <w:szCs w:val="20"/>
              </w:rPr>
              <w:t xml:space="preserve">ERP3. </w:t>
            </w:r>
            <w:r>
              <w:rPr>
                <w:color w:val="000000"/>
                <w:spacing w:val="0"/>
                <w:w w:val="100"/>
                <w:position w:val="0"/>
                <w:sz w:val="20"/>
                <w:szCs w:val="20"/>
              </w:rPr>
              <w:t>1</w:t>
            </w:r>
            <w:r>
              <w:rPr>
                <w:color w:val="000000"/>
                <w:spacing w:val="0"/>
                <w:w w:val="100"/>
                <w:position w:val="0"/>
                <w:sz w:val="19"/>
                <w:szCs w:val="19"/>
              </w:rPr>
              <w:t>系统软 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本报告期内主要改造了采购管理流程、定义 了生产的过程，明确了库房各种操作的规范 性。已完成了软件的开发，达到了当年的预</w:t>
            </w:r>
          </w:p>
        </w:tc>
      </w:tr>
    </w:tbl>
    <w:p>
      <w:pPr>
        <w:spacing w:lineRule="exact" w:line="1"/>
        <w:rPr>
          <w:sz w:val="2"/>
          <w:szCs w:val="2"/>
        </w:rPr>
      </w:pPr>
      <w:r>
        <w:br w:type="page"/>
      </w:r>
    </w:p>
    <w:tbl>
      <w:tblPr>
        <w:tblOverlap w:val="never"/>
        <w:jc w:val="center"/>
        <w:tblLayout w:type="fixed"/>
      </w:tblPr>
      <w:tblGrid>
        <w:gridCol w:w="528"/>
        <w:gridCol w:w="1622"/>
        <w:gridCol w:w="1416"/>
        <w:gridCol w:w="1843"/>
        <w:gridCol w:w="4123"/>
      </w:tblGrid>
      <w:tr>
        <w:trPr>
          <w:trHeight w:val="7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期目标，并继续按计划推进。</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天玑智能数据中 心运维管理服务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本报告期内完成本项目的调研、分析、设计， 已经完成了对系统平台的性能和事件的自动 化监控采集，并继续按计划推进。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9"/>
                <w:szCs w:val="19"/>
              </w:rPr>
            </w:pPr>
            <w:r>
              <w:rPr>
                <w:color w:val="000000"/>
                <w:spacing w:val="0"/>
                <w:w w:val="100"/>
                <w:position w:val="0"/>
                <w:sz w:val="20"/>
                <w:szCs w:val="20"/>
              </w:rPr>
              <w:t xml:space="preserve">Fairy Test </w:t>
            </w:r>
            <w:r>
              <w:rPr>
                <w:color w:val="000000"/>
                <w:spacing w:val="0"/>
                <w:w w:val="100"/>
                <w:position w:val="0"/>
                <w:sz w:val="19"/>
                <w:szCs w:val="19"/>
              </w:rPr>
              <w:t>大型 应用系统自动化 回归测试管理云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完成本项目的调研、分析、设计、专利申请 上报，界面原型经过内部评审并定稿，正在 进行编码开发，目前达到计划预期目标，并 继续按计划推进。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复深蓝内容管理</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软件</w:t>
            </w:r>
            <w:r>
              <w:rPr>
                <w:color w:val="000000"/>
                <w:spacing w:val="0"/>
                <w:w w:val="100"/>
                <w:position w:val="0"/>
                <w:sz w:val="20"/>
                <w:szCs w:val="2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完成了软件新版本的开发和测试，在配置灵 活性、性能、易用性、用户体验上都得到了 升级，成功应用于银行、保险、政府等客户， 达到产品成熟化目标。</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复深蓝大数据精 准营销软件</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完成了软件的开发和测试，并通过与知名保 险公司的合作，成功实现在保险行业的实施， 为保险行业的精准营销引入全新的思维和商 业模式，目前在世界知名保险公司进入试运 行阶段。</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19"/>
                <w:szCs w:val="19"/>
              </w:rPr>
              <w:t>复深蓝</w:t>
            </w:r>
            <w:r>
              <w:rPr>
                <w:color w:val="000000"/>
                <w:spacing w:val="0"/>
                <w:w w:val="100"/>
                <w:position w:val="0"/>
                <w:sz w:val="20"/>
                <w:szCs w:val="20"/>
              </w:rPr>
              <w:t>IT</w:t>
            </w:r>
            <w:r>
              <w:rPr>
                <w:color w:val="000000"/>
                <w:spacing w:val="0"/>
                <w:w w:val="100"/>
                <w:position w:val="0"/>
                <w:sz w:val="19"/>
                <w:szCs w:val="19"/>
              </w:rPr>
              <w:t>服务 管理软件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完成了软件的开发和测试，并在国内最大</w:t>
            </w:r>
            <w:r>
              <w:rPr>
                <w:color w:val="000000"/>
                <w:spacing w:val="0"/>
                <w:w w:val="100"/>
                <w:position w:val="0"/>
                <w:sz w:val="20"/>
                <w:szCs w:val="20"/>
              </w:rPr>
              <w:t xml:space="preserve">IT </w:t>
            </w:r>
            <w:r>
              <w:rPr>
                <w:color w:val="000000"/>
                <w:spacing w:val="0"/>
                <w:w w:val="100"/>
                <w:position w:val="0"/>
                <w:sz w:val="19"/>
                <w:szCs w:val="19"/>
              </w:rPr>
              <w:t>运维服务商得到使用，建立了基于</w:t>
            </w:r>
            <w:r>
              <w:rPr>
                <w:color w:val="000000"/>
                <w:spacing w:val="0"/>
                <w:w w:val="100"/>
                <w:position w:val="0"/>
                <w:sz w:val="20"/>
                <w:szCs w:val="20"/>
              </w:rPr>
              <w:t>ITIL</w:t>
            </w:r>
            <w:r>
              <w:rPr>
                <w:color w:val="000000"/>
                <w:spacing w:val="0"/>
                <w:w w:val="100"/>
                <w:position w:val="0"/>
                <w:sz w:val="19"/>
                <w:szCs w:val="19"/>
              </w:rPr>
              <w:t>的</w:t>
            </w:r>
            <w:r>
              <w:rPr>
                <w:color w:val="000000"/>
                <w:spacing w:val="0"/>
                <w:w w:val="100"/>
                <w:position w:val="0"/>
                <w:sz w:val="20"/>
                <w:szCs w:val="20"/>
              </w:rPr>
              <w:t xml:space="preserve">IT </w:t>
            </w:r>
            <w:r>
              <w:rPr>
                <w:color w:val="000000"/>
                <w:spacing w:val="0"/>
                <w:w w:val="100"/>
                <w:position w:val="0"/>
                <w:sz w:val="19"/>
                <w:szCs w:val="19"/>
              </w:rPr>
              <w:t>运维系统的基本框架，提升用户整个</w:t>
            </w:r>
            <w:r>
              <w:rPr>
                <w:color w:val="000000"/>
                <w:spacing w:val="0"/>
                <w:w w:val="100"/>
                <w:position w:val="0"/>
                <w:sz w:val="20"/>
                <w:szCs w:val="20"/>
              </w:rPr>
              <w:t>IT</w:t>
            </w:r>
            <w:r>
              <w:rPr>
                <w:color w:val="000000"/>
                <w:spacing w:val="0"/>
                <w:w w:val="100"/>
                <w:position w:val="0"/>
                <w:sz w:val="19"/>
                <w:szCs w:val="19"/>
              </w:rPr>
              <w:t>运维 服务的可用性；对客户方和用户各分公司中 心的</w:t>
            </w:r>
            <w:r>
              <w:rPr>
                <w:color w:val="000000"/>
                <w:spacing w:val="0"/>
                <w:w w:val="100"/>
                <w:position w:val="0"/>
                <w:sz w:val="20"/>
                <w:szCs w:val="20"/>
              </w:rPr>
              <w:t>IT</w:t>
            </w:r>
            <w:r>
              <w:rPr>
                <w:color w:val="000000"/>
                <w:spacing w:val="0"/>
                <w:w w:val="100"/>
                <w:position w:val="0"/>
                <w:sz w:val="19"/>
                <w:szCs w:val="19"/>
              </w:rPr>
              <w:t>运维管理进行规范化和统一化改进； 指导用户</w:t>
            </w:r>
            <w:r>
              <w:rPr>
                <w:color w:val="000000"/>
                <w:spacing w:val="0"/>
                <w:w w:val="100"/>
                <w:position w:val="0"/>
                <w:sz w:val="20"/>
                <w:szCs w:val="20"/>
              </w:rPr>
              <w:t>IT</w:t>
            </w:r>
            <w:r>
              <w:rPr>
                <w:color w:val="000000"/>
                <w:spacing w:val="0"/>
                <w:w w:val="100"/>
                <w:position w:val="0"/>
                <w:sz w:val="19"/>
                <w:szCs w:val="19"/>
              </w:rPr>
              <w:t>运维系统服务管理平台的持续提 升和发展，目前进入试运行阶段。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36" w:lineRule="exact"/>
              <w:ind w:left="0" w:right="0" w:firstLine="0"/>
              <w:jc w:val="both"/>
              <w:rPr>
                <w:sz w:val="19"/>
                <w:szCs w:val="19"/>
              </w:rPr>
            </w:pPr>
            <w:r>
              <w:rPr>
                <w:color w:val="000000"/>
                <w:spacing w:val="0"/>
                <w:w w:val="100"/>
                <w:position w:val="0"/>
                <w:sz w:val="19"/>
                <w:szCs w:val="19"/>
              </w:rPr>
              <w:t>复深蓝</w:t>
            </w:r>
            <w:r>
              <w:rPr>
                <w:color w:val="000000"/>
                <w:spacing w:val="0"/>
                <w:w w:val="100"/>
                <w:position w:val="0"/>
                <w:sz w:val="20"/>
                <w:szCs w:val="20"/>
              </w:rPr>
              <w:t>J2EE</w:t>
            </w:r>
            <w:r>
              <w:rPr>
                <w:color w:val="000000"/>
                <w:spacing w:val="0"/>
                <w:w w:val="100"/>
                <w:position w:val="0"/>
                <w:sz w:val="19"/>
                <w:szCs w:val="19"/>
              </w:rPr>
              <w:t>应 用开发平台软件</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9"/>
                <w:szCs w:val="19"/>
              </w:rPr>
            </w:pPr>
            <w:r>
              <w:rPr>
                <w:color w:val="000000"/>
                <w:spacing w:val="0"/>
                <w:w w:val="100"/>
                <w:position w:val="0"/>
                <w:sz w:val="19"/>
                <w:szCs w:val="19"/>
              </w:rPr>
              <w:t>完成了软件新版本的开发和测试，并已在多 个项目开发团队中得到应用，将</w:t>
            </w:r>
            <w:r>
              <w:rPr>
                <w:color w:val="000000"/>
                <w:spacing w:val="0"/>
                <w:w w:val="100"/>
                <w:position w:val="0"/>
                <w:sz w:val="20"/>
                <w:szCs w:val="20"/>
              </w:rPr>
              <w:t>J2EE</w:t>
            </w:r>
            <w:r>
              <w:rPr>
                <w:color w:val="000000"/>
                <w:spacing w:val="0"/>
                <w:w w:val="100"/>
                <w:position w:val="0"/>
                <w:sz w:val="19"/>
                <w:szCs w:val="19"/>
              </w:rPr>
              <w:t>领域更 多的新技术特性通过平台“固化”的方式提 供给开发团队，实现产品成熟化目标。</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复深蓝自动化测</w:t>
            </w:r>
          </w:p>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试工具软件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完成了软件的开发和测试并成功应用于实际 测试中，大幅提高了测试的质量和效率，并 能够与其它测试工具实现有效的整合。目前 广泛应用于金融、保险等大型客户的测试团 队。</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复深蓝工单管理 移动端软件</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复深蓝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完成了软件的开发和测试，实现了无纸化的 电子工单的流转，与统一的</w:t>
            </w:r>
            <w:r>
              <w:rPr>
                <w:color w:val="000000"/>
                <w:spacing w:val="0"/>
                <w:w w:val="100"/>
                <w:position w:val="0"/>
                <w:sz w:val="20"/>
                <w:szCs w:val="20"/>
              </w:rPr>
              <w:t>IT</w:t>
            </w:r>
            <w:r>
              <w:rPr>
                <w:color w:val="000000"/>
                <w:spacing w:val="0"/>
                <w:w w:val="100"/>
                <w:position w:val="0"/>
                <w:sz w:val="19"/>
                <w:szCs w:val="19"/>
              </w:rPr>
              <w:t>运维支撑管理 平台进行交互，集成</w:t>
            </w:r>
            <w:r>
              <w:rPr>
                <w:color w:val="000000"/>
                <w:spacing w:val="0"/>
                <w:w w:val="100"/>
                <w:position w:val="0"/>
                <w:sz w:val="20"/>
                <w:szCs w:val="20"/>
              </w:rPr>
              <w:t>IT</w:t>
            </w:r>
            <w:r>
              <w:rPr>
                <w:color w:val="000000"/>
                <w:spacing w:val="0"/>
                <w:w w:val="100"/>
                <w:position w:val="0"/>
                <w:sz w:val="19"/>
                <w:szCs w:val="19"/>
              </w:rPr>
              <w:t>系统的信息数据，实 现管理流程功能，同时充分发挥移动端应用 的优势，为运维管理人员进行系统监测和分 析提供更有效、便捷的工具和手段，达到预 期目标。</w:t>
            </w:r>
          </w:p>
        </w:tc>
      </w:tr>
    </w:tbl>
    <w:p>
      <w:pPr>
        <w:spacing w:lineRule="exact" w:line="1"/>
        <w:rPr>
          <w:sz w:val="2"/>
          <w:szCs w:val="2"/>
        </w:rPr>
      </w:pPr>
      <w:r>
        <w:br w:type="page"/>
      </w:r>
    </w:p>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29,867,868.11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16,461,673.23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8,786,074.92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341,017,113.43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340,196,227.78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296,329,830.95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287,535,933.09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44,687,282.48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52,660,294.69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91,743,923.31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18,195,909.16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98,266,818.26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79,659,704.78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-6,522,894.95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-61,463,795.62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26,599,300.00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13,199,300.00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51,317,215.86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-22,908,608.37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tabs>
          <w:tab w:pos="354" w:val="left"/>
        </w:tabs>
        <w:bidi w:val="0"/>
        <w:spacing w:before="0" w:after="200" w:line="240" w:lineRule="auto"/>
        <w:ind w:left="0" w:right="0" w:firstLine="0"/>
        <w:jc w:val="left"/>
      </w:pPr>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投资活动现金流入较上年增长</w:t>
      </w:r>
      <w:r>
        <w:rPr>
          <w:rFonts w:ascii="Times New Roman" w:eastAsia="Times New Roman" w:hAnsi="Times New Roman" w:cs="Times New Roman"/>
          <w:color w:val="000000"/>
          <w:spacing w:val="0"/>
          <w:w w:val="100"/>
          <w:position w:val="0"/>
        </w:rPr>
        <w:t>404.2%</w:t>
      </w:r>
      <w:r>
        <w:rPr>
          <w:color w:val="000000"/>
          <w:spacing w:val="0"/>
          <w:w w:val="100"/>
          <w:position w:val="0"/>
        </w:rPr>
        <w:t>,主要系报告期内购买过交易性金融资产所致；</w:t>
      </w:r>
    </w:p>
    <w:p>
      <w:pPr>
        <w:pStyle w:val="Style40"/>
        <w:keepNext w:val="0"/>
        <w:keepLines w:val="0"/>
        <w:widowControl w:val="0"/>
        <w:shd w:val="clear" w:color="auto" w:fill="auto"/>
        <w:tabs>
          <w:tab w:pos="373" w:val="left"/>
        </w:tabs>
        <w:bidi w:val="0"/>
        <w:spacing w:before="0" w:after="200" w:line="240" w:lineRule="auto"/>
        <w:ind w:left="0" w:right="0" w:firstLine="0"/>
        <w:jc w:val="left"/>
      </w:pPr>
      <w:bookmarkStart w:id="100" w:name="bookmark100"/>
      <w:r>
        <w:rPr>
          <w:rFonts w:ascii="Times New Roman" w:eastAsia="Times New Roman" w:hAnsi="Times New Roman" w:cs="Times New Roman"/>
          <w:color w:val="000000"/>
          <w:spacing w:val="0"/>
          <w:w w:val="100"/>
          <w:position w:val="0"/>
        </w:rPr>
        <w:t>2</w:t>
      </w:r>
      <w:bookmarkEnd w:id="100"/>
      <w:r>
        <w:rPr>
          <w:color w:val="000000"/>
          <w:spacing w:val="0"/>
          <w:w w:val="100"/>
          <w:position w:val="0"/>
        </w:rPr>
        <w:t>、</w:t>
        <w:tab/>
        <w:t>投资活动产生的现金流量净额较上年下降</w:t>
      </w:r>
      <w:r>
        <w:rPr>
          <w:rFonts w:ascii="Times New Roman" w:eastAsia="Times New Roman" w:hAnsi="Times New Roman" w:cs="Times New Roman"/>
          <w:color w:val="000000"/>
          <w:spacing w:val="0"/>
          <w:w w:val="100"/>
          <w:position w:val="0"/>
        </w:rPr>
        <w:t>89.39%</w:t>
      </w:r>
      <w:r>
        <w:rPr>
          <w:color w:val="000000"/>
          <w:spacing w:val="0"/>
          <w:w w:val="100"/>
          <w:position w:val="0"/>
        </w:rPr>
        <w:t>，主要系今年固定资产采购下降所致;</w:t>
      </w:r>
    </w:p>
    <w:p>
      <w:pPr>
        <w:pStyle w:val="Style40"/>
        <w:keepNext w:val="0"/>
        <w:keepLines w:val="0"/>
        <w:widowControl w:val="0"/>
        <w:shd w:val="clear" w:color="auto" w:fill="auto"/>
        <w:tabs>
          <w:tab w:pos="373" w:val="left"/>
        </w:tabs>
        <w:bidi w:val="0"/>
        <w:spacing w:before="0" w:after="200" w:line="240" w:lineRule="auto"/>
        <w:ind w:left="0" w:right="0" w:firstLine="0"/>
        <w:jc w:val="left"/>
      </w:pPr>
      <w:bookmarkStart w:id="101" w:name="bookmark101"/>
      <w:r>
        <w:rPr>
          <w:rFonts w:ascii="Times New Roman" w:eastAsia="Times New Roman" w:hAnsi="Times New Roman" w:cs="Times New Roman"/>
          <w:color w:val="000000"/>
          <w:spacing w:val="0"/>
          <w:w w:val="100"/>
          <w:position w:val="0"/>
        </w:rPr>
        <w:t>3</w:t>
      </w:r>
      <w:bookmarkEnd w:id="101"/>
      <w:r>
        <w:rPr>
          <w:color w:val="000000"/>
          <w:spacing w:val="0"/>
          <w:w w:val="100"/>
          <w:position w:val="0"/>
        </w:rPr>
        <w:t>、</w:t>
        <w:tab/>
        <w:t>筹资活动产生的现金流量净额增长</w:t>
      </w:r>
      <w:r>
        <w:rPr>
          <w:rFonts w:ascii="Times New Roman" w:eastAsia="Times New Roman" w:hAnsi="Times New Roman" w:cs="Times New Roman"/>
          <w:color w:val="000000"/>
          <w:spacing w:val="0"/>
          <w:w w:val="100"/>
          <w:position w:val="0"/>
        </w:rPr>
        <w:t>193.61%</w:t>
      </w:r>
      <w:r>
        <w:rPr>
          <w:color w:val="000000"/>
          <w:spacing w:val="0"/>
          <w:w w:val="100"/>
          <w:position w:val="0"/>
        </w:rPr>
        <w:t>,主要系今年实施股权激励所致；</w:t>
      </w:r>
    </w:p>
    <w:p>
      <w:pPr>
        <w:pStyle w:val="Style40"/>
        <w:keepNext w:val="0"/>
        <w:keepLines w:val="0"/>
        <w:widowControl w:val="0"/>
        <w:shd w:val="clear" w:color="auto" w:fill="auto"/>
        <w:tabs>
          <w:tab w:pos="373" w:val="left"/>
        </w:tabs>
        <w:bidi w:val="0"/>
        <w:spacing w:before="0" w:after="200" w:line="240" w:lineRule="auto"/>
        <w:ind w:left="0" w:right="0" w:firstLine="0"/>
        <w:jc w:val="left"/>
      </w:pPr>
      <w:bookmarkStart w:id="102" w:name="bookmark102"/>
      <w:r>
        <w:rPr>
          <w:rFonts w:ascii="Times New Roman" w:eastAsia="Times New Roman" w:hAnsi="Times New Roman" w:cs="Times New Roman"/>
          <w:color w:val="000000"/>
          <w:spacing w:val="0"/>
          <w:w w:val="100"/>
          <w:position w:val="0"/>
        </w:rPr>
        <w:t>4</w:t>
      </w:r>
      <w:bookmarkEnd w:id="102"/>
      <w:r>
        <w:rPr>
          <w:color w:val="000000"/>
          <w:spacing w:val="0"/>
          <w:w w:val="100"/>
          <w:position w:val="0"/>
        </w:rPr>
        <w:t>、</w:t>
        <w:tab/>
        <w:t>现金及现金等价物净增加额增长</w:t>
      </w:r>
      <w:r>
        <w:rPr>
          <w:rFonts w:ascii="Times New Roman" w:eastAsia="Times New Roman" w:hAnsi="Times New Roman" w:cs="Times New Roman"/>
          <w:color w:val="000000"/>
          <w:spacing w:val="0"/>
          <w:w w:val="100"/>
          <w:position w:val="0"/>
        </w:rPr>
        <w:t>324.01%</w:t>
      </w:r>
      <w:r>
        <w:rPr>
          <w:color w:val="000000"/>
          <w:spacing w:val="0"/>
          <w:w w:val="100"/>
          <w:position w:val="0"/>
        </w:rPr>
        <w:t>，主要系筹资、投资净额增加所致；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r>
        <w:br w:type="page"/>
      </w:r>
    </w:p>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92,782,799.31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22,927,263.67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首次公开发行招股说明书中披露的未来发展与规划在本报告期的实施情况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61" w:lineRule="exact"/>
        <w:ind w:left="0" w:right="0" w:firstLine="0"/>
        <w:jc w:val="left"/>
      </w:pPr>
      <w:r>
        <w:rPr>
          <w:color w:val="000000"/>
          <w:spacing w:val="0"/>
          <w:w w:val="100"/>
          <w:position w:val="0"/>
        </w:rPr>
        <w:t>前期披露的发展战略和经营计划在报告期内的进展情况</w:t>
      </w:r>
    </w:p>
    <w:p>
      <w:pPr>
        <w:pStyle w:val="Style40"/>
        <w:keepNext w:val="0"/>
        <w:keepLines w:val="0"/>
        <w:widowControl w:val="0"/>
        <w:shd w:val="clear" w:color="auto" w:fill="auto"/>
        <w:bidi w:val="0"/>
        <w:spacing w:before="0" w:after="200" w:line="461" w:lineRule="exact"/>
        <w:ind w:left="0" w:right="0" w:firstLine="0"/>
        <w:jc w:val="left"/>
      </w:pPr>
      <w:r>
        <w:rPr>
          <w:color w:val="000000"/>
          <w:spacing w:val="0"/>
          <w:w w:val="100"/>
          <w:position w:val="0"/>
        </w:rPr>
        <w:t>报告期内，在董事会及经营层的积极推进下，公司年度经营各项计划顺利实施，详见</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color w:val="000000"/>
          <w:spacing w:val="0"/>
          <w:w w:val="100"/>
          <w:position w:val="0"/>
        </w:rPr>
        <w:t xml:space="preserve">'' </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120" w:line="461" w:lineRule="exact"/>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03"/>
      <w:bookmarkEnd w:id="104"/>
      <w:bookmarkEnd w:id="106"/>
    </w:p>
    <w:p>
      <w:pPr>
        <w:pStyle w:val="Style29"/>
        <w:keepNext w:val="0"/>
        <w:keepLines w:val="0"/>
        <w:widowControl w:val="0"/>
        <w:shd w:val="clear" w:color="auto" w:fill="auto"/>
        <w:bidi w:val="0"/>
        <w:spacing w:before="0" w:line="46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98,824,858.19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47,751,043.49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106,447,277.82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37,147,418.14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28,752,048.60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13,008,142.69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25,259,874.45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13,497,286.07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85,656,019.09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44,766,720.44</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支持与维护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165,107,478.79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90,496,374.76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56,434,073.70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25,092,169.90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18,752,577.21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8,209,996.92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59,724,067.82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21,547,989.11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44,921,880.63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10,824,080.15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231,661,978.19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106,016,986.21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32,345,425.84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12,970,528.23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25,512,101.21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11,660,341.97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17,025,105.99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5,558,846.52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28,694,150.25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15,150,051.10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9,701,316.67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4,813,856.81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以上的产品、行业或地区情况</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98,824,858.19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51,073,814.70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106,447,277.82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69,299,859.68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85,656,019.09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40,889,298.65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支持与维护服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165,107,478.79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74,611,104.03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56,434,073.70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31,341,903.80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59,724,067.82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38,176,078.71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44,921,880.63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34,097,800.48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231,661,978.19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125,644,991.98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7"/>
      <w:bookmarkEnd w:id="108"/>
      <w:bookmarkEnd w:id="110"/>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38"/>
        <w:gridCol w:w="1186"/>
        <w:gridCol w:w="1176"/>
        <w:gridCol w:w="1186"/>
        <w:gridCol w:w="1176"/>
        <w:gridCol w:w="970"/>
        <w:gridCol w:w="348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货币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418,179,606.61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367,331,032.45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主要系货款回收及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年度实施股权激励 计划收取股本所致；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应收 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121,429,950.71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96,841,450.66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主要系销售规模增加，周转率下降所致；</w:t>
            </w:r>
          </w:p>
        </w:tc>
      </w:tr>
    </w:tbl>
    <w:p>
      <w:pPr>
        <w:spacing w:lineRule="exact" w:line="1"/>
        <w:rPr>
          <w:sz w:val="2"/>
          <w:szCs w:val="2"/>
        </w:rPr>
      </w:pPr>
      <w:r>
        <w:br w:type="page"/>
      </w:r>
    </w:p>
    <w:tbl>
      <w:tblPr>
        <w:tblOverlap w:val="never"/>
        <w:jc w:val="center"/>
        <w:tblLayout w:type="fixed"/>
      </w:tblPr>
      <w:tblGrid>
        <w:gridCol w:w="538"/>
        <w:gridCol w:w="1186"/>
        <w:gridCol w:w="1176"/>
        <w:gridCol w:w="1186"/>
        <w:gridCol w:w="1176"/>
        <w:gridCol w:w="970"/>
        <w:gridCol w:w="348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21,302,894.64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23,869,065.91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主要系存货合理控制所致；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97,256,153.35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72,977,857.79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主要系重庆和北京购入的募投房产交房使 用，预付房款转入固定资产所致；</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1,216,716.84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主要系北京购入的募投房产装修结束由在 建工程转入长期待摊费用所致；</w:t>
            </w:r>
          </w:p>
        </w:tc>
      </w:tr>
    </w:tbl>
    <w:p>
      <w:pPr>
        <w:pStyle w:val="Style36"/>
        <w:keepNext w:val="0"/>
        <w:keepLines w:val="0"/>
        <w:widowControl w:val="0"/>
        <w:shd w:val="clear" w:color="auto" w:fill="auto"/>
        <w:bidi w:val="0"/>
        <w:spacing w:before="0" w:after="0" w:line="240" w:lineRule="auto"/>
        <w:ind w:left="1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负债项目重大变动情况</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以公允价值计量的资产和负债</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181"/>
        <w:gridCol w:w="1181"/>
        <w:gridCol w:w="1181"/>
        <w:gridCol w:w="1176"/>
        <w:gridCol w:w="1181"/>
        <w:gridCol w:w="1181"/>
        <w:gridCol w:w="11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00" w:line="319" w:lineRule="exact"/>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11"/>
      <w:bookmarkEnd w:id="112"/>
      <w:bookmarkEnd w:id="114"/>
    </w:p>
    <w:p>
      <w:pPr>
        <w:pStyle w:val="Style40"/>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年度，公司形象、品牌知名度、内部管理水平、研发投入等都有了较大程度的提高，得益于公司 不断增强的核心竞争力。报告期内，公司竞争能力未发生重大变化。公司报告期内无形资产及其荣誉资质 等情况如下：</w:t>
      </w:r>
    </w:p>
    <w:p>
      <w:pPr>
        <w:pStyle w:val="Style33"/>
        <w:keepNext/>
        <w:keepLines/>
        <w:widowControl w:val="0"/>
        <w:shd w:val="clear" w:color="auto" w:fill="auto"/>
        <w:bidi w:val="0"/>
        <w:spacing w:before="0" w:after="0" w:line="319" w:lineRule="exact"/>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、土地使用权</w:t>
      </w:r>
      <w:bookmarkEnd w:id="115"/>
      <w:bookmarkEnd w:id="116"/>
      <w:bookmarkEnd w:id="118"/>
    </w:p>
    <w:p>
      <w:pPr>
        <w:pStyle w:val="Style40"/>
        <w:keepNext w:val="0"/>
        <w:keepLines w:val="0"/>
        <w:widowControl w:val="0"/>
        <w:shd w:val="clear" w:color="auto" w:fill="auto"/>
        <w:bidi w:val="0"/>
        <w:spacing w:before="0" w:after="0" w:line="240" w:lineRule="auto"/>
        <w:ind w:left="0" w:right="0" w:firstLine="440"/>
        <w:jc w:val="both"/>
      </w:pPr>
      <w:r>
        <w:rPr>
          <w:color w:val="000000"/>
          <w:spacing w:val="0"/>
          <w:w w:val="100"/>
          <w:position w:val="0"/>
        </w:rPr>
        <w:t>截至报告期末，公司拥有土地使用权一宗，具体情况如下:</w:t>
      </w:r>
    </w:p>
    <w:tbl>
      <w:tblPr>
        <w:tblOverlap w:val="never"/>
        <w:jc w:val="center"/>
        <w:tblLayout w:type="fixed"/>
      </w:tblPr>
      <w:tblGrid>
        <w:gridCol w:w="1858"/>
        <w:gridCol w:w="1133"/>
        <w:gridCol w:w="1138"/>
        <w:gridCol w:w="1555"/>
        <w:gridCol w:w="1560"/>
        <w:gridCol w:w="157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土地面积</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沪房地青字（</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007616</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国有建设用 地使用权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转让取得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青浦区青浦镇胜 利村</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10-8</w:t>
            </w:r>
            <w:r>
              <w:rPr>
                <w:color w:val="000000"/>
                <w:spacing w:val="0"/>
                <w:w w:val="100"/>
                <w:position w:val="0"/>
                <w:sz w:val="20"/>
                <w:szCs w:val="20"/>
              </w:rPr>
              <w:t>）</w:t>
            </w:r>
            <w:r>
              <w:rPr>
                <w:color w:val="000000"/>
                <w:spacing w:val="0"/>
                <w:w w:val="100"/>
                <w:position w:val="0"/>
                <w:sz w:val="20"/>
                <w:szCs w:val="20"/>
              </w:rPr>
              <w:t>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2052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平方米</w:t>
            </w:r>
          </w:p>
        </w:tc>
      </w:tr>
    </w:tbl>
    <w:p>
      <w:pPr>
        <w:pStyle w:val="Style40"/>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日公司第二届董事会第十三次临时会议审议通过《关于拟退回土地使用权的议案》，同 意公司退回原使用超募资金人民币</w:t>
      </w:r>
      <w:r>
        <w:rPr>
          <w:rFonts w:ascii="Times New Roman" w:eastAsia="Times New Roman" w:hAnsi="Times New Roman" w:cs="Times New Roman"/>
          <w:color w:val="000000"/>
          <w:spacing w:val="0"/>
          <w:w w:val="100"/>
          <w:position w:val="0"/>
        </w:rPr>
        <w:t>880</w:t>
      </w:r>
      <w:r>
        <w:rPr>
          <w:color w:val="000000"/>
          <w:spacing w:val="0"/>
          <w:w w:val="100"/>
          <w:position w:val="0"/>
        </w:rPr>
        <w:t>万元向上海市青浦区政府申请购买位于上海市青浦区工业园区的工 业用地的土地使用权。上海市青浦工业园区发展（集团）有限公司按公司原购买价格</w:t>
      </w:r>
      <w:r>
        <w:rPr>
          <w:rFonts w:ascii="Times New Roman" w:eastAsia="Times New Roman" w:hAnsi="Times New Roman" w:cs="Times New Roman"/>
          <w:color w:val="000000"/>
          <w:spacing w:val="0"/>
          <w:w w:val="100"/>
          <w:position w:val="0"/>
        </w:rPr>
        <w:t>880</w:t>
      </w:r>
      <w:r>
        <w:rPr>
          <w:color w:val="000000"/>
          <w:spacing w:val="0"/>
          <w:w w:val="100"/>
          <w:position w:val="0"/>
        </w:rPr>
        <w:t>万元回购，退回 后的款项将划拨至募集资金账户统一管理。</w:t>
      </w:r>
    </w:p>
    <w:p>
      <w:pPr>
        <w:pStyle w:val="Style33"/>
        <w:keepNext/>
        <w:keepLines/>
        <w:widowControl w:val="0"/>
        <w:shd w:val="clear" w:color="auto" w:fill="auto"/>
        <w:bidi w:val="0"/>
        <w:spacing w:before="0" w:after="0" w:line="317" w:lineRule="exact"/>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、专利</w:t>
      </w:r>
      <w:bookmarkEnd w:id="119"/>
      <w:bookmarkEnd w:id="120"/>
      <w:bookmarkEnd w:id="122"/>
    </w:p>
    <w:p>
      <w:pPr>
        <w:pStyle w:val="Style40"/>
        <w:keepNext w:val="0"/>
        <w:keepLines w:val="0"/>
        <w:widowControl w:val="0"/>
        <w:shd w:val="clear" w:color="auto" w:fill="auto"/>
        <w:bidi w:val="0"/>
        <w:spacing w:before="0" w:after="0" w:line="317" w:lineRule="exact"/>
        <w:ind w:left="0" w:right="0" w:firstLine="420"/>
        <w:jc w:val="both"/>
      </w:pPr>
      <w:bookmarkStart w:id="123" w:name="bookmark123"/>
      <w:r>
        <w:rPr>
          <w:color w:val="000000"/>
          <w:spacing w:val="0"/>
          <w:w w:val="100"/>
          <w:position w:val="0"/>
        </w:rPr>
        <w:t>报</w:t>
      </w:r>
      <w:bookmarkEnd w:id="123"/>
      <w:r>
        <w:rPr>
          <w:color w:val="000000"/>
          <w:spacing w:val="0"/>
          <w:w w:val="100"/>
          <w:position w:val="0"/>
        </w:rPr>
        <w:t>告期内，公司新增申请已受理发明专利</w:t>
      </w:r>
      <w:r>
        <w:rPr>
          <w:rFonts w:ascii="Times New Roman" w:eastAsia="Times New Roman" w:hAnsi="Times New Roman" w:cs="Times New Roman"/>
          <w:color w:val="000000"/>
          <w:spacing w:val="0"/>
          <w:w w:val="100"/>
          <w:position w:val="0"/>
        </w:rPr>
        <w:t>3</w:t>
      </w:r>
      <w:r>
        <w:rPr>
          <w:color w:val="000000"/>
          <w:spacing w:val="0"/>
          <w:w w:val="100"/>
          <w:position w:val="0"/>
        </w:rPr>
        <w:t>项。具体如下：</w:t>
      </w:r>
    </w:p>
    <w:tbl>
      <w:tblPr>
        <w:tblOverlap w:val="never"/>
        <w:jc w:val="center"/>
        <w:tblLayout w:type="fixed"/>
      </w:tblPr>
      <w:tblGrid>
        <w:gridCol w:w="864"/>
        <w:gridCol w:w="2693"/>
        <w:gridCol w:w="1555"/>
        <w:gridCol w:w="1138"/>
        <w:gridCol w:w="1699"/>
        <w:gridCol w:w="92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序号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专利名称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申请号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类型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申请日期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申请人</w:t>
            </w:r>
          </w:p>
        </w:tc>
      </w:tr>
    </w:tbl>
    <w:p>
      <w:pPr>
        <w:spacing w:lineRule="exact" w:line="1"/>
        <w:rPr>
          <w:sz w:val="2"/>
          <w:szCs w:val="2"/>
        </w:rPr>
      </w:pPr>
      <w:r>
        <w:br w:type="page"/>
      </w:r>
    </w:p>
    <w:tbl>
      <w:tblPr>
        <w:tblOverlap w:val="never"/>
        <w:jc w:val="center"/>
        <w:tblLayout w:type="fixed"/>
      </w:tblPr>
      <w:tblGrid>
        <w:gridCol w:w="864"/>
        <w:gridCol w:w="2693"/>
        <w:gridCol w:w="1555"/>
        <w:gridCol w:w="1138"/>
        <w:gridCol w:w="1699"/>
        <w:gridCol w:w="922"/>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一种基于图形数据库的图形 配置管理数据库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201210359786.7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发明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天玑科技</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一种有关基于图形配置数据 库业务网络拓扑的路由系统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201210359411.0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发明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天玑科技</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基于</w:t>
            </w:r>
            <w:r>
              <w:rPr>
                <w:rFonts w:ascii="Times New Roman" w:eastAsia="Times New Roman" w:hAnsi="Times New Roman" w:cs="Times New Roman"/>
                <w:color w:val="000000"/>
                <w:spacing w:val="0"/>
                <w:w w:val="100"/>
                <w:position w:val="0"/>
                <w:sz w:val="22"/>
                <w:szCs w:val="22"/>
              </w:rPr>
              <w:t>java</w:t>
            </w:r>
            <w:r>
              <w:rPr>
                <w:color w:val="000000"/>
                <w:spacing w:val="0"/>
                <w:w w:val="100"/>
                <w:position w:val="0"/>
                <w:sz w:val="22"/>
                <w:szCs w:val="22"/>
              </w:rPr>
              <w:t>字节码的大型应用 回归测试信息处理方法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201310380096.4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发明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复深蓝</w:t>
            </w:r>
          </w:p>
        </w:tc>
      </w:tr>
    </w:tbl>
    <w:p>
      <w:pPr>
        <w:widowControl w:val="0"/>
        <w:spacing w:after="259" w:line="1" w:lineRule="exact"/>
      </w:pPr>
    </w:p>
    <w:p>
      <w:pPr>
        <w:pStyle w:val="Style3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、著作权</w:t>
      </w:r>
    </w:p>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报告期内，公司及控股子公司新增软件著作权</w:t>
      </w:r>
      <w:r>
        <w:rPr>
          <w:rFonts w:ascii="Times New Roman" w:eastAsia="Times New Roman" w:hAnsi="Times New Roman" w:cs="Times New Roman"/>
          <w:color w:val="000000"/>
          <w:spacing w:val="0"/>
          <w:w w:val="100"/>
          <w:position w:val="0"/>
        </w:rPr>
        <w:t>10</w:t>
      </w:r>
      <w:r>
        <w:rPr>
          <w:color w:val="000000"/>
          <w:spacing w:val="0"/>
          <w:w w:val="100"/>
          <w:position w:val="0"/>
        </w:rPr>
        <w:t>项；截至报告期末，公司已获</w:t>
      </w:r>
      <w:r>
        <w:rPr>
          <w:rFonts w:ascii="Times New Roman" w:eastAsia="Times New Roman" w:hAnsi="Times New Roman" w:cs="Times New Roman"/>
          <w:color w:val="000000"/>
          <w:spacing w:val="0"/>
          <w:w w:val="100"/>
          <w:position w:val="0"/>
        </w:rPr>
        <w:t>43</w:t>
      </w:r>
      <w:r>
        <w:rPr>
          <w:color w:val="000000"/>
          <w:spacing w:val="0"/>
          <w:w w:val="100"/>
          <w:position w:val="0"/>
        </w:rPr>
        <w:t>项中华人民共和国国 家版权局颁发的《计算机软件著作权登记证书》，具体新增的软件著作权情况如下：</w:t>
      </w:r>
    </w:p>
    <w:tbl>
      <w:tblPr>
        <w:tblOverlap w:val="never"/>
        <w:jc w:val="center"/>
        <w:tblLayout w:type="fixed"/>
      </w:tblPr>
      <w:tblGrid>
        <w:gridCol w:w="648"/>
        <w:gridCol w:w="2928"/>
        <w:gridCol w:w="1550"/>
        <w:gridCol w:w="1200"/>
        <w:gridCol w:w="1426"/>
        <w:gridCol w:w="11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软件名称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发证日期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著作权人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天玑数据库容灾切换软件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2014SR025865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天玑科技</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天玑工单管理系统应用软件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2013SR142560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天玑科技</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天玑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致简</w:t>
            </w:r>
            <w:r>
              <w:rPr>
                <w:color w:val="000000"/>
                <w:spacing w:val="0"/>
                <w:w w:val="100"/>
                <w:position w:val="0"/>
                <w:sz w:val="20"/>
                <w:szCs w:val="20"/>
              </w:rPr>
              <w:t>''</w:t>
            </w:r>
            <w:r>
              <w:rPr>
                <w:color w:val="000000"/>
                <w:spacing w:val="0"/>
                <w:w w:val="100"/>
                <w:position w:val="0"/>
                <w:sz w:val="20"/>
                <w:szCs w:val="20"/>
              </w:rPr>
              <w:t>数据中心运维综合 管理软件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2013SR026254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2013.3.21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天玑科技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天玑玑云桌面虚拟化管理软件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2013SR018372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2013.2.28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天玑科技</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复深蓝工单管理系统移动端软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件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2013SR046185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自主开发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2013.5.17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复深蓝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复深蓝内容管理软件</w:t>
            </w:r>
            <w:r>
              <w:rPr>
                <w:rFonts w:ascii="Times New Roman" w:eastAsia="Times New Roman" w:hAnsi="Times New Roman" w:cs="Times New Roman"/>
                <w:color w:val="000000"/>
                <w:spacing w:val="0"/>
                <w:w w:val="100"/>
                <w:position w:val="0"/>
                <w:sz w:val="20"/>
                <w:szCs w:val="2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2013SR146677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自主开发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复深蓝</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复深蓝大数据精准营销软件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2013SR135970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自主开发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2013.11.29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复深蓝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复深蓝自动化测试工具软件</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2013SR125343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自主开发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复深蓝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复深蓝</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服务管理软件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2013SR126295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自主开发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复深蓝</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J2EE</w:t>
            </w:r>
            <w:r>
              <w:rPr>
                <w:color w:val="000000"/>
                <w:spacing w:val="0"/>
                <w:w w:val="100"/>
                <w:position w:val="0"/>
                <w:sz w:val="20"/>
                <w:szCs w:val="20"/>
              </w:rPr>
              <w:t>应用开发平台软件</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2013SR127091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自主开发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2013.11.15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复深蓝</w:t>
            </w:r>
          </w:p>
        </w:tc>
      </w:tr>
    </w:tbl>
    <w:p>
      <w:pPr>
        <w:widowControl w:val="0"/>
        <w:spacing w:after="339" w:line="1" w:lineRule="exact"/>
      </w:pPr>
    </w:p>
    <w:p>
      <w:pPr>
        <w:pStyle w:val="Style33"/>
        <w:keepNext/>
        <w:keepLines/>
        <w:widowControl w:val="0"/>
        <w:shd w:val="clear" w:color="auto" w:fill="auto"/>
        <w:bidi w:val="0"/>
        <w:spacing w:before="0" w:after="8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4</w:t>
      </w:r>
      <w:bookmarkEnd w:id="126"/>
      <w:r>
        <w:rPr>
          <w:color w:val="000000"/>
          <w:spacing w:val="0"/>
          <w:w w:val="100"/>
          <w:position w:val="0"/>
        </w:rPr>
        <w:t>、商标</w:t>
      </w:r>
      <w:bookmarkEnd w:id="124"/>
      <w:bookmarkEnd w:id="125"/>
      <w:bookmarkEnd w:id="127"/>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）截至报告期末，公司及子公司累计取得商标</w:t>
      </w:r>
      <w:r>
        <w:rPr>
          <w:rFonts w:ascii="Times New Roman" w:eastAsia="Times New Roman" w:hAnsi="Times New Roman" w:cs="Times New Roman"/>
          <w:color w:val="000000"/>
          <w:spacing w:val="0"/>
          <w:w w:val="100"/>
          <w:position w:val="0"/>
        </w:rPr>
        <w:t>29</w:t>
      </w:r>
      <w:r>
        <w:rPr>
          <w:color w:val="000000"/>
          <w:spacing w:val="0"/>
          <w:w w:val="100"/>
          <w:position w:val="0"/>
        </w:rPr>
        <w:t>项。报告期内，子公司新增</w:t>
      </w:r>
      <w:r>
        <w:rPr>
          <w:color w:val="000000"/>
          <w:spacing w:val="0"/>
          <w:w w:val="100"/>
          <w:position w:val="0"/>
        </w:rPr>
        <w:t>7</w:t>
      </w:r>
      <w:r>
        <w:rPr>
          <w:color w:val="000000"/>
          <w:spacing w:val="0"/>
          <w:w w:val="100"/>
          <w:position w:val="0"/>
        </w:rPr>
        <w:t>项商标。具体如下:</w:t>
      </w:r>
    </w:p>
    <w:tbl>
      <w:tblPr>
        <w:tblOverlap w:val="never"/>
        <w:jc w:val="center"/>
        <w:tblLayout w:type="fixed"/>
      </w:tblPr>
      <w:tblGrid>
        <w:gridCol w:w="1646"/>
        <w:gridCol w:w="965"/>
        <w:gridCol w:w="994"/>
        <w:gridCol w:w="1133"/>
        <w:gridCol w:w="994"/>
        <w:gridCol w:w="2126"/>
        <w:gridCol w:w="103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注册证号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权利人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有效期限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他项权利</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11069944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自行申请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2013/10/28-2023/10/27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11069945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41</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自行申请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2013/10/28-2023/10/27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11069946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自行申请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2013/10/28-2023/10/27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11069947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自行申请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2013/10/28-2023/10/27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11069948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自行申请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2013/10/28-2023/10/27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11069962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复深蓝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自行申请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2013/10/28-2023/10/27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color w:val="000000"/>
                <w:spacing w:val="0"/>
                <w:w w:val="100"/>
                <w:position w:val="0"/>
                <w:sz w:val="20"/>
                <w:szCs w:val="20"/>
              </w:rPr>
              <w:t>11069943</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复深蓝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自行申请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2013/10/28-2023/10/27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259" w:line="1" w:lineRule="exact"/>
      </w:pPr>
    </w:p>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）报告期内公司有</w:t>
      </w:r>
      <w:r>
        <w:rPr>
          <w:rFonts w:ascii="Times New Roman" w:eastAsia="Times New Roman" w:hAnsi="Times New Roman" w:cs="Times New Roman"/>
          <w:color w:val="000000"/>
          <w:spacing w:val="0"/>
          <w:w w:val="100"/>
          <w:position w:val="0"/>
        </w:rPr>
        <w:t>8</w:t>
      </w:r>
      <w:r>
        <w:rPr>
          <w:color w:val="000000"/>
          <w:spacing w:val="0"/>
          <w:w w:val="100"/>
          <w:position w:val="0"/>
        </w:rPr>
        <w:t>项商标已获得授权待发放商标证书；有</w:t>
      </w:r>
      <w:r>
        <w:rPr>
          <w:rFonts w:ascii="Times New Roman" w:eastAsia="Times New Roman" w:hAnsi="Times New Roman" w:cs="Times New Roman"/>
          <w:color w:val="000000"/>
          <w:spacing w:val="0"/>
          <w:w w:val="100"/>
          <w:position w:val="0"/>
        </w:rPr>
        <w:t>9</w:t>
      </w:r>
      <w:r>
        <w:rPr>
          <w:color w:val="000000"/>
          <w:spacing w:val="0"/>
          <w:w w:val="100"/>
          <w:position w:val="0"/>
        </w:rPr>
        <w:t>项商标已进入公告阶段；具体报告期 内已获得授权及进入公告阶段的商标情况如下：</w:t>
      </w:r>
    </w:p>
    <w:tbl>
      <w:tblPr>
        <w:tblOverlap w:val="never"/>
        <w:jc w:val="center"/>
        <w:tblLayout w:type="fixed"/>
      </w:tblPr>
      <w:tblGrid>
        <w:gridCol w:w="1142"/>
        <w:gridCol w:w="994"/>
        <w:gridCol w:w="850"/>
        <w:gridCol w:w="1133"/>
        <w:gridCol w:w="1138"/>
        <w:gridCol w:w="1699"/>
        <w:gridCol w:w="19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注册证号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权利人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申请日期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状态</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11436537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玑蓝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已授权待下发证书</w:t>
            </w:r>
          </w:p>
        </w:tc>
      </w:tr>
    </w:tbl>
    <w:p>
      <w:pPr>
        <w:spacing w:lineRule="exact" w:line="1"/>
        <w:rPr>
          <w:sz w:val="2"/>
          <w:szCs w:val="2"/>
        </w:rPr>
      </w:pPr>
      <w:r>
        <w:br w:type="page"/>
      </w:r>
    </w:p>
    <w:tbl>
      <w:tblPr>
        <w:tblOverlap w:val="never"/>
        <w:jc w:val="center"/>
        <w:tblLayout w:type="fixed"/>
      </w:tblPr>
      <w:tblGrid>
        <w:gridCol w:w="1142"/>
        <w:gridCol w:w="994"/>
        <w:gridCol w:w="850"/>
        <w:gridCol w:w="1133"/>
        <w:gridCol w:w="1138"/>
        <w:gridCol w:w="1699"/>
        <w:gridCol w:w="1934"/>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11436541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玑蓝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已授权待下发证书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11436540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玑蓝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已授权待下发证书</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11436539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玑蓝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41</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已授权待下发证书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11436538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玑蓝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已授权待下发证书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11436506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已授权待下发证书</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11436691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已授权待下发证书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11436506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已授权待下发证书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11436505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11595365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玑云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11595399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玑云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11595483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玑云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41</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11702555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11702556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11702557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11702558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41</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11702559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直接取得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w:t>
            </w:r>
          </w:p>
        </w:tc>
      </w:tr>
    </w:tbl>
    <w:p>
      <w:pPr>
        <w:widowControl w:val="0"/>
        <w:spacing w:after="259" w:line="1" w:lineRule="exact"/>
      </w:pPr>
    </w:p>
    <w:p>
      <w:pPr>
        <w:pStyle w:val="Style40"/>
        <w:keepNext w:val="0"/>
        <w:keepLines w:val="0"/>
        <w:widowControl w:val="0"/>
        <w:shd w:val="clear" w:color="auto" w:fill="auto"/>
        <w:tabs>
          <w:tab w:pos="3696" w:val="left"/>
        </w:tabs>
        <w:bidi w:val="0"/>
        <w:spacing w:before="0" w:after="4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，公司的商标“</w:t>
        <w:tab/>
      </w:r>
      <w:r>
        <w:rPr>
          <w:rFonts w:ascii="Times New Roman" w:eastAsia="Times New Roman" w:hAnsi="Times New Roman" w:cs="Times New Roman"/>
          <w:color w:val="000000"/>
          <w:spacing w:val="0"/>
          <w:w w:val="100"/>
          <w:position w:val="0"/>
        </w:rPr>
        <w:t>’’</w:t>
      </w:r>
      <w:r>
        <w:rPr>
          <w:color w:val="000000"/>
          <w:spacing w:val="0"/>
          <w:w w:val="100"/>
          <w:position w:val="0"/>
        </w:rPr>
        <w:t>(注册号：</w:t>
      </w:r>
      <w:r>
        <w:rPr>
          <w:rFonts w:ascii="Times New Roman" w:eastAsia="Times New Roman" w:hAnsi="Times New Roman" w:cs="Times New Roman"/>
          <w:color w:val="000000"/>
          <w:spacing w:val="0"/>
          <w:w w:val="100"/>
          <w:position w:val="0"/>
        </w:rPr>
        <w:t>7562618</w:t>
      </w:r>
      <w:r>
        <w:rPr>
          <w:color w:val="000000"/>
          <w:spacing w:val="0"/>
          <w:w w:val="100"/>
          <w:position w:val="0"/>
        </w:rPr>
        <w:t>注册类别：第</w:t>
      </w:r>
      <w:r>
        <w:rPr>
          <w:rFonts w:ascii="Times New Roman" w:eastAsia="Times New Roman" w:hAnsi="Times New Roman" w:cs="Times New Roman"/>
          <w:color w:val="000000"/>
          <w:spacing w:val="0"/>
          <w:w w:val="100"/>
          <w:position w:val="0"/>
        </w:rPr>
        <w:t>42</w:t>
      </w:r>
      <w:r>
        <w:rPr>
          <w:color w:val="000000"/>
          <w:spacing w:val="0"/>
          <w:w w:val="100"/>
          <w:position w:val="0"/>
        </w:rPr>
        <w:t>类；使用在计算机数据的</w:t>
      </w:r>
    </w:p>
    <w:p>
      <w:pPr>
        <w:pStyle w:val="Style4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复原；计算机软件维护；计算机程序和数据的数据转换服务上)被上海市工商行政管理局认定为</w:t>
      </w:r>
      <w:r>
        <w:rPr>
          <w:rFonts w:ascii="Times New Roman" w:eastAsia="Times New Roman" w:hAnsi="Times New Roman" w:cs="Times New Roman"/>
          <w:color w:val="000000"/>
          <w:spacing w:val="0"/>
          <w:w w:val="100"/>
          <w:position w:val="0"/>
        </w:rPr>
        <w:t>“</w:t>
      </w:r>
      <w:r>
        <w:rPr>
          <w:color w:val="000000"/>
          <w:spacing w:val="0"/>
          <w:w w:val="100"/>
          <w:position w:val="0"/>
        </w:rPr>
        <w:t>上海市 著名商标</w:t>
      </w:r>
    </w:p>
    <w:p>
      <w:pPr>
        <w:pStyle w:val="Style36"/>
        <w:keepNext w:val="0"/>
        <w:keepLines w:val="0"/>
        <w:widowControl w:val="0"/>
        <w:shd w:val="clear" w:color="auto" w:fill="auto"/>
        <w:bidi w:val="0"/>
        <w:spacing w:before="0" w:after="0" w:line="240" w:lineRule="auto"/>
        <w:ind w:left="96" w:right="0" w:firstLine="0"/>
        <w:jc w:val="left"/>
      </w:pPr>
      <w:r>
        <w:rPr>
          <w:color w:val="000000"/>
          <w:spacing w:val="0"/>
          <w:w w:val="100"/>
          <w:position w:val="0"/>
        </w:rPr>
        <w:t>(3</w:t>
      </w:r>
      <w:r>
        <w:rPr>
          <w:color w:val="000000"/>
          <w:spacing w:val="0"/>
          <w:w w:val="100"/>
          <w:position w:val="0"/>
        </w:rPr>
        <w:t>)截至报告期末，公司新申请并受理商标</w:t>
      </w:r>
      <w:r>
        <w:rPr>
          <w:color w:val="000000"/>
          <w:spacing w:val="0"/>
          <w:w w:val="100"/>
          <w:position w:val="0"/>
        </w:rPr>
        <w:t>11</w:t>
      </w:r>
      <w:r>
        <w:rPr>
          <w:color w:val="000000"/>
          <w:spacing w:val="0"/>
          <w:w w:val="100"/>
          <w:position w:val="0"/>
        </w:rPr>
        <w:t>项，具体情况如下:</w:t>
      </w:r>
    </w:p>
    <w:tbl>
      <w:tblPr>
        <w:tblOverlap w:val="never"/>
        <w:jc w:val="center"/>
        <w:tblLayout w:type="fixed"/>
      </w:tblPr>
      <w:tblGrid>
        <w:gridCol w:w="715"/>
        <w:gridCol w:w="1416"/>
        <w:gridCol w:w="1416"/>
        <w:gridCol w:w="2126"/>
        <w:gridCol w:w="1560"/>
        <w:gridCol w:w="1574"/>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申请号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核定服务项目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核定使 用商品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申请日期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状态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天玑科技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天玑服务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天玑服务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天玑服务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天玑服务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天玑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12281250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天玑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13776020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取得受理通知书</w:t>
            </w:r>
          </w:p>
        </w:tc>
      </w:tr>
    </w:tbl>
    <w:p>
      <w:pPr>
        <w:widowControl w:val="0"/>
        <w:spacing w:after="339" w:line="1" w:lineRule="exact"/>
      </w:pPr>
    </w:p>
    <w:p>
      <w:pPr>
        <w:pStyle w:val="Style40"/>
        <w:keepNext w:val="0"/>
        <w:keepLines w:val="0"/>
        <w:widowControl w:val="0"/>
        <w:shd w:val="clear" w:color="auto" w:fill="auto"/>
        <w:bidi w:val="0"/>
        <w:spacing w:before="0" w:after="180" w:line="240" w:lineRule="auto"/>
        <w:ind w:left="0" w:right="0" w:firstLine="0"/>
        <w:jc w:val="left"/>
      </w:pPr>
      <w:bookmarkStart w:id="128" w:name="bookmark128"/>
      <w:r>
        <w:rPr>
          <w:rFonts w:ascii="Times New Roman" w:eastAsia="Times New Roman" w:hAnsi="Times New Roman" w:cs="Times New Roman"/>
          <w:b/>
          <w:bCs/>
          <w:color w:val="000000"/>
          <w:spacing w:val="0"/>
          <w:w w:val="100"/>
          <w:position w:val="0"/>
        </w:rPr>
        <w:t>5</w:t>
      </w:r>
      <w:bookmarkEnd w:id="128"/>
      <w:r>
        <w:rPr>
          <w:b/>
          <w:bCs/>
          <w:color w:val="000000"/>
          <w:spacing w:val="0"/>
          <w:w w:val="100"/>
          <w:position w:val="0"/>
        </w:rPr>
        <w:t>、报告期内公司新增</w:t>
      </w:r>
      <w:r>
        <w:rPr>
          <w:rFonts w:ascii="Times New Roman" w:eastAsia="Times New Roman" w:hAnsi="Times New Roman" w:cs="Times New Roman"/>
          <w:b/>
          <w:bCs/>
          <w:color w:val="000000"/>
          <w:spacing w:val="0"/>
          <w:w w:val="100"/>
          <w:position w:val="0"/>
        </w:rPr>
        <w:t>3</w:t>
      </w:r>
      <w:r>
        <w:rPr>
          <w:b/>
          <w:bCs/>
          <w:color w:val="000000"/>
          <w:spacing w:val="0"/>
          <w:w w:val="100"/>
          <w:position w:val="0"/>
        </w:rPr>
        <w:t>项版权，具体如下:</w:t>
      </w:r>
      <w:r>
        <w:br w:type="page"/>
      </w:r>
    </w:p>
    <w:tbl>
      <w:tblPr>
        <w:tblOverlap w:val="never"/>
        <w:jc w:val="center"/>
        <w:tblLayout w:type="fixed"/>
      </w:tblPr>
      <w:tblGrid>
        <w:gridCol w:w="859"/>
        <w:gridCol w:w="2069"/>
        <w:gridCol w:w="1459"/>
        <w:gridCol w:w="2083"/>
        <w:gridCol w:w="120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版权图样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登记日期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登记号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有效期</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Hei" w:eastAsia="SimHei" w:hAnsi="SimHei" w:cs="SimHei"/>
                <w:b/>
                <w:bCs/>
                <w:color w:val="E7581A"/>
                <w:spacing w:val="0"/>
                <w:w w:val="100"/>
                <w:position w:val="0"/>
              </w:rPr>
              <w:t>服代伉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2013-1-22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Times New Roman" w:eastAsia="Times New Roman" w:hAnsi="Times New Roman" w:cs="Times New Roman"/>
                <w:color w:val="000000"/>
                <w:spacing w:val="0"/>
                <w:w w:val="100"/>
                <w:position w:val="0"/>
                <w:sz w:val="22"/>
                <w:szCs w:val="22"/>
              </w:rPr>
              <w:t>2013-F-00082450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年</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2013-1-22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Times New Roman" w:eastAsia="Times New Roman" w:hAnsi="Times New Roman" w:cs="Times New Roman"/>
                <w:color w:val="000000"/>
                <w:spacing w:val="0"/>
                <w:w w:val="100"/>
                <w:position w:val="0"/>
                <w:sz w:val="22"/>
                <w:szCs w:val="22"/>
              </w:rPr>
              <w:t>2013-F-00082449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年</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2013-6-24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Times New Roman" w:eastAsia="Times New Roman" w:hAnsi="Times New Roman" w:cs="Times New Roman"/>
                <w:color w:val="000000"/>
                <w:spacing w:val="0"/>
                <w:w w:val="100"/>
                <w:position w:val="0"/>
                <w:sz w:val="22"/>
                <w:szCs w:val="22"/>
              </w:rPr>
              <w:t>2013-F-00094719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年</w:t>
            </w:r>
          </w:p>
        </w:tc>
      </w:tr>
    </w:tbl>
    <w:p>
      <w:pPr>
        <w:widowControl w:val="0"/>
        <w:spacing w:after="339" w:line="1" w:lineRule="exact"/>
      </w:pPr>
    </w:p>
    <w:p>
      <w:pPr>
        <w:pStyle w:val="Style33"/>
        <w:keepNext/>
        <w:keepLines/>
        <w:widowControl w:val="0"/>
        <w:shd w:val="clear" w:color="auto" w:fill="auto"/>
        <w:bidi w:val="0"/>
        <w:spacing w:before="0" w:after="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6</w:t>
      </w:r>
      <w:bookmarkEnd w:id="131"/>
      <w:r>
        <w:rPr>
          <w:color w:val="000000"/>
          <w:spacing w:val="0"/>
          <w:w w:val="100"/>
          <w:position w:val="0"/>
        </w:rPr>
        <w:t>、取得的荣誉、资质情况</w:t>
      </w:r>
      <w:bookmarkEnd w:id="129"/>
      <w:bookmarkEnd w:id="130"/>
      <w:bookmarkEnd w:id="132"/>
    </w:p>
    <w:p>
      <w:pPr>
        <w:pStyle w:val="Style40"/>
        <w:keepNext w:val="0"/>
        <w:keepLines w:val="0"/>
        <w:widowControl w:val="0"/>
        <w:shd w:val="clear" w:color="auto" w:fill="auto"/>
        <w:bidi w:val="0"/>
        <w:spacing w:before="0" w:after="220" w:line="468" w:lineRule="exact"/>
        <w:ind w:left="0" w:right="0"/>
        <w:jc w:val="both"/>
      </w:pPr>
      <w:r>
        <w:rPr>
          <w:color w:val="000000"/>
          <w:spacing w:val="0"/>
          <w:w w:val="100"/>
          <w:position w:val="0"/>
        </w:rPr>
        <w:t>报告期内，公司获得了中国电子工业标准化技术协会颁发的</w:t>
      </w:r>
      <w:r>
        <w:rPr>
          <w:rFonts w:ascii="Times New Roman" w:eastAsia="Times New Roman" w:hAnsi="Times New Roman" w:cs="Times New Roman"/>
          <w:color w:val="000000"/>
          <w:spacing w:val="0"/>
          <w:w w:val="100"/>
          <w:position w:val="0"/>
        </w:rPr>
        <w:t>ITSS</w:t>
      </w:r>
      <w:r>
        <w:rPr>
          <w:color w:val="000000"/>
          <w:spacing w:val="0"/>
          <w:w w:val="100"/>
          <w:position w:val="0"/>
        </w:rPr>
        <w:t>符合性认证证书；被上海市工商局认 定为上海市名牌商标；获得了上海市质监局颁发的上海市名牌企业；获得了计世资讯颁发的客户满意度第 一的奖项；被评为</w:t>
      </w:r>
      <w:r>
        <w:rPr>
          <w:rFonts w:ascii="Times New Roman" w:eastAsia="Times New Roman" w:hAnsi="Times New Roman" w:cs="Times New Roman"/>
          <w:color w:val="000000"/>
          <w:spacing w:val="0"/>
          <w:w w:val="100"/>
          <w:position w:val="0"/>
        </w:rPr>
        <w:t>2013</w:t>
      </w:r>
      <w:r>
        <w:rPr>
          <w:color w:val="000000"/>
          <w:spacing w:val="0"/>
          <w:w w:val="100"/>
          <w:position w:val="0"/>
        </w:rPr>
        <w:t>年度通信网络综合维护先进单位。</w:t>
      </w:r>
    </w:p>
    <w:p>
      <w:pPr>
        <w:pStyle w:val="Style33"/>
        <w:keepNext/>
        <w:keepLines/>
        <w:widowControl w:val="0"/>
        <w:numPr>
          <w:ilvl w:val="0"/>
          <w:numId w:val="1"/>
        </w:numPr>
        <w:shd w:val="clear" w:color="auto" w:fill="auto"/>
        <w:bidi w:val="0"/>
        <w:spacing w:before="0" w:after="380" w:line="468" w:lineRule="exact"/>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投资状况分析</w:t>
      </w:r>
      <w:bookmarkEnd w:id="133"/>
      <w:bookmarkEnd w:id="134"/>
      <w:bookmarkEnd w:id="136"/>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募集资金总体使用情况</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1035</w:t>
            </w:r>
            <w:r>
              <w:rPr>
                <w:color w:val="000000"/>
                <w:spacing w:val="0"/>
                <w:w w:val="100"/>
                <w:position w:val="0"/>
              </w:rPr>
              <w:t>号《关于核准上海天玑科技股份有限公司首次公开发行股票并在创业 板上市的批复》核准，发行人民币普通股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元，募集资 金总额为人民币</w:t>
            </w:r>
            <w:r>
              <w:rPr>
                <w:rFonts w:ascii="Times New Roman" w:eastAsia="Times New Roman" w:hAnsi="Times New Roman" w:cs="Times New Roman"/>
                <w:color w:val="000000"/>
                <w:spacing w:val="0"/>
                <w:w w:val="100"/>
                <w:position w:val="0"/>
                <w:sz w:val="18"/>
                <w:szCs w:val="18"/>
              </w:rPr>
              <w:t>340,000,000.00</w:t>
            </w:r>
            <w:r>
              <w:rPr>
                <w:color w:val="000000"/>
                <w:spacing w:val="0"/>
                <w:w w:val="100"/>
                <w:position w:val="0"/>
              </w:rPr>
              <w:t>元。扣除发行费用合计人民币</w:t>
            </w:r>
            <w:r>
              <w:rPr>
                <w:rFonts w:ascii="Times New Roman" w:eastAsia="Times New Roman" w:hAnsi="Times New Roman" w:cs="Times New Roman"/>
                <w:color w:val="000000"/>
                <w:spacing w:val="0"/>
                <w:w w:val="100"/>
                <w:position w:val="0"/>
                <w:sz w:val="18"/>
                <w:szCs w:val="18"/>
              </w:rPr>
              <w:t>23,981,000.00</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 xml:space="preserve">316,019,000.00 </w:t>
            </w:r>
            <w:r>
              <w:rPr>
                <w:color w:val="000000"/>
                <w:spacing w:val="0"/>
                <w:w w:val="100"/>
                <w:position w:val="0"/>
              </w:rPr>
              <w:t>元。公司在报告期内共计投入募集资金</w:t>
            </w:r>
            <w:r>
              <w:rPr>
                <w:rFonts w:ascii="Times New Roman" w:eastAsia="Times New Roman" w:hAnsi="Times New Roman" w:cs="Times New Roman"/>
                <w:color w:val="000000"/>
                <w:spacing w:val="0"/>
                <w:w w:val="100"/>
                <w:position w:val="0"/>
                <w:sz w:val="18"/>
                <w:szCs w:val="18"/>
              </w:rPr>
              <w:t>4,144.11</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日，已累计使用募集资金</w:t>
            </w:r>
            <w:r>
              <w:rPr>
                <w:rFonts w:ascii="Times New Roman" w:eastAsia="Times New Roman" w:hAnsi="Times New Roman" w:cs="Times New Roman"/>
                <w:color w:val="000000"/>
                <w:spacing w:val="0"/>
                <w:w w:val="100"/>
                <w:position w:val="0"/>
                <w:sz w:val="18"/>
                <w:szCs w:val="18"/>
              </w:rPr>
              <w:t>11,567.32</w:t>
            </w:r>
            <w:r>
              <w:rPr>
                <w:color w:val="000000"/>
                <w:spacing w:val="0"/>
                <w:w w:val="100"/>
                <w:position w:val="0"/>
              </w:rPr>
              <w:t>万元用 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基础设施支持与维护服务区域扩展项目、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管理外包服务项目、天玑科技数据中心创新服务项目。</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募集资金承诺项目情况</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642"/>
        <w:gridCol w:w="725"/>
        <w:gridCol w:w="720"/>
        <w:gridCol w:w="720"/>
        <w:gridCol w:w="720"/>
        <w:gridCol w:w="869"/>
        <w:gridCol w:w="576"/>
        <w:gridCol w:w="720"/>
        <w:gridCol w:w="720"/>
        <w:gridCol w:w="725"/>
        <w:gridCol w:w="720"/>
        <w:gridCol w:w="734"/>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截至 期末 投资 进度</w:t>
            </w:r>
          </w:p>
          <w:p>
            <w:pPr>
              <w:pStyle w:val="Style2"/>
              <w:keepNext w:val="0"/>
              <w:keepLines w:val="0"/>
              <w:widowControl w:val="0"/>
              <w:shd w:val="clear" w:color="auto" w:fill="auto"/>
              <w:bidi w:val="0"/>
              <w:spacing w:before="0" w:after="3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2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bl>
    <w:p>
      <w:pPr>
        <w:spacing w:lineRule="exact" w:line="1"/>
        <w:rPr>
          <w:sz w:val="2"/>
          <w:szCs w:val="2"/>
        </w:rPr>
      </w:pPr>
      <w:r>
        <w:br w:type="page"/>
      </w:r>
    </w:p>
    <w:tbl>
      <w:tblPr>
        <w:tblOverlap w:val="never"/>
        <w:jc w:val="center"/>
        <w:tblLayout w:type="fixed"/>
      </w:tblPr>
      <w:tblGrid>
        <w:gridCol w:w="1642"/>
        <w:gridCol w:w="725"/>
        <w:gridCol w:w="720"/>
        <w:gridCol w:w="720"/>
        <w:gridCol w:w="720"/>
        <w:gridCol w:w="869"/>
        <w:gridCol w:w="576"/>
        <w:gridCol w:w="720"/>
        <w:gridCol w:w="720"/>
        <w:gridCol w:w="725"/>
        <w:gridCol w:w="720"/>
        <w:gridCol w:w="73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基础设施支持与 维护服务区域扩展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管理外包服务项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天玑科技数据中心 创新服务项目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购买青浦土地使用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收购复深蓝子公司</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天玑科技青浦综合 业务大楼建设使用 部分超募资金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未确认使用投向的 超募资金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658.95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11,567.32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658.95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9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基础设施支持与维护区域扩展项目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目前已在重庆、北京购置备件中心，其中北京的备件中心 已开始使用，重庆地区将于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日交房，因受房地产市场价格因素影响且随着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服务市 场快速发展以及行业客户的不断增加，公司所处的市场环境、运营环境发生变化，目前广州、武汉地 区尚未购置房产建设备件中心。为保证项目质量、避免盲目推进投资进度，确保项目经济效益最大化， 公司管理层结合目前实际情况，拟将该项目延期至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日。此议案已经第二届董事会第 十次会议审议通过。</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天玑科技数据中心创新服务项目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因公司购置青浦土地用于建设天玑科 技青浦综合业务大楼，故募投项目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数据中心创新服务项目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建设中关于办公 场地投入的实施方式从购置办公楼并装修变更为竞拍国有土地使用权并自主建设，因此导致推迟募投 项目建设周期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日预计可达到使用状态。上述事宜已经第二届董事会第六次会 议及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年度股东大会审议通过《关于变更部分募投项目实施方式并使用部分超募资金的议案》。</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、超募资金投向的“天玑科技青浦综合业务大楼建设”项目及购买青浦土地使用权未达到预期效益 的主要情况为：公司第二届董事会第十三次临时会议审议通过《终止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天玑科技青浦综合业务大楼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w:t>
            </w:r>
          </w:p>
        </w:tc>
      </w:tr>
    </w:tbl>
    <w:p>
      <w:pPr>
        <w:spacing w:lineRule="exact" w:line="1"/>
        <w:rPr>
          <w:sz w:val="2"/>
          <w:szCs w:val="2"/>
        </w:rPr>
      </w:pPr>
      <w:r>
        <w:br w:type="page"/>
      </w:r>
    </w:p>
    <w:tbl>
      <w:tblPr>
        <w:tblOverlap w:val="never"/>
        <w:jc w:val="center"/>
        <w:tblLayout w:type="fixed"/>
      </w:tblPr>
      <w:tblGrid>
        <w:gridCol w:w="1642"/>
        <w:gridCol w:w="7949"/>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设项目并使用自有资金置换已投入超募资金的议案》及审议通过《关于退回土地使用权的议案》。同 意终止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天玑科技青浦综合业务大楼，该项目终止是由于青浦综合业务大楼建设项目所在地位置偏远， 市政轨道交通</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号线推迟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年预计至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年通车且相关配套设施无法满足公司要求等原因，公司为 了确保推动主营业务持续健康发展，确保公司整体战略目标的实现，切实保障股东利益，故公司决定 终止青浦综合业务大楼建设项目。并因公司决定终止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天玑科技青浦综合业务大楼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建设项目，故经 与上海市青浦区政府及上海市青浦工业园区发展（集团）有限公司沟通协商，同意公司退回该土地使 用权。回购由具备工业用地前期开发资质的园区公司具体实施即由上海市青浦工业园区发展（集团） 有限公司负责操作土地使用权的回购。上海市青浦工业园区发展（集团）有限公司按公司原购买价格 </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万元回购，退回后的款项将划拨至募集资金账户统一管理。其中《终止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天玑科技青浦综合业务大 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建设项目并使用自有资金置换已投入超募资金的议案》尚需经公司股东大会审议通过。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0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公司实际超募资金为人民币</w:t>
            </w:r>
            <w:r>
              <w:rPr>
                <w:rFonts w:ascii="Times New Roman" w:eastAsia="Times New Roman" w:hAnsi="Times New Roman" w:cs="Times New Roman"/>
                <w:color w:val="000000"/>
                <w:spacing w:val="0"/>
                <w:w w:val="100"/>
                <w:position w:val="0"/>
                <w:sz w:val="18"/>
                <w:szCs w:val="18"/>
              </w:rPr>
              <w:t>130,019,000.00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日第一届董事会第二十二次会议审议 通过了《关于使用部分超募资金购买土地使用权》，同意使用超募资金</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万元购买土地使用权；另 审议通过了《关于使用部分超募资金收购上海复深蓝信息技术有限公司部分股权并增资的议案》，同 意使用超募资金</w:t>
            </w:r>
            <w:r>
              <w:rPr>
                <w:rFonts w:ascii="Times New Roman" w:eastAsia="Times New Roman" w:hAnsi="Times New Roman" w:cs="Times New Roman"/>
                <w:color w:val="000000"/>
                <w:spacing w:val="0"/>
                <w:w w:val="100"/>
                <w:position w:val="0"/>
                <w:sz w:val="18"/>
                <w:szCs w:val="18"/>
              </w:rPr>
              <w:t>3,640</w:t>
            </w:r>
            <w:r>
              <w:rPr>
                <w:color w:val="000000"/>
                <w:spacing w:val="0"/>
                <w:w w:val="100"/>
                <w:position w:val="0"/>
              </w:rPr>
              <w:t>万元收购上海复深蓝信息技术有限公司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日第二届董事 会第五次会议审议通过《关于使用部分超募资金永久补充流动资金的议案》，同意公司使用部分超募 资金人民币</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万元永久补充流动资金。该议案已经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 通过。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日第二届董事会第六次会议审议通过《关于变更部分募投项目实施方式并使用 部分超募资金的议案》将募投项目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数据中心创新服务项目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建设中关于办公 场地投入的实施方式从购置办公楼并装修变更为竞拍国有土地使用权并自主建设，并使用部分超募资 金。预计使用超募资金</w:t>
            </w:r>
            <w:r>
              <w:rPr>
                <w:rFonts w:ascii="Times New Roman" w:eastAsia="Times New Roman" w:hAnsi="Times New Roman" w:cs="Times New Roman"/>
                <w:color w:val="000000"/>
                <w:spacing w:val="0"/>
                <w:w w:val="100"/>
                <w:position w:val="0"/>
                <w:sz w:val="18"/>
                <w:szCs w:val="18"/>
              </w:rPr>
              <w:t>2,087.1</w:t>
            </w:r>
            <w:r>
              <w:rPr>
                <w:color w:val="000000"/>
                <w:spacing w:val="0"/>
                <w:w w:val="100"/>
                <w:position w:val="0"/>
              </w:rPr>
              <w:t>万元；该议案经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日第一届董事会第二十五次会议审议通过了《关于变更</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基础设施支持与维护服务 区域扩展项目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部分募投实施地点的议案》同意将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基础设施支持与维护区域扩展项目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在成都的实 施地点变更为重庆。</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日第二届董事会第六次会议审议通过《关于变更部分募投项目实施方式并使用部分超 募资金的议案》将募投项目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管理外包服务项目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数据中心创新服务项目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建设中关于办公场地投 入的实施方式从购置办公楼并装修变更为竞拍国有土地使用权并自主建设，并使用部分超募资金。预 计使用超募资金</w:t>
            </w:r>
            <w:r>
              <w:rPr>
                <w:rFonts w:ascii="Times New Roman" w:eastAsia="Times New Roman" w:hAnsi="Times New Roman" w:cs="Times New Roman"/>
                <w:color w:val="000000"/>
                <w:spacing w:val="0"/>
                <w:w w:val="100"/>
                <w:position w:val="0"/>
                <w:sz w:val="18"/>
                <w:szCs w:val="18"/>
              </w:rPr>
              <w:t>2,087.1</w:t>
            </w:r>
            <w:r>
              <w:rPr>
                <w:color w:val="000000"/>
                <w:spacing w:val="0"/>
                <w:w w:val="100"/>
                <w:position w:val="0"/>
              </w:rPr>
              <w:t>万元；该议案经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642"/>
        <w:gridCol w:w="794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公司尚未使用的募集资金，以活期和定期存款形式存放募集专用专户中。</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公司已披露的相关信息不存在未及时、真实、准确、完整披露的情况。</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37"/>
      <w:bookmarkEnd w:id="138"/>
      <w:bookmarkEnd w:id="140"/>
    </w:p>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主要子公司、参股公司情况</w:t>
      </w:r>
    </w:p>
    <w:tbl>
      <w:tblPr>
        <w:tblOverlap w:val="never"/>
        <w:jc w:val="center"/>
        <w:tblLayout w:type="fixed"/>
      </w:tblPr>
      <w:tblGrid>
        <w:gridCol w:w="715"/>
        <w:gridCol w:w="710"/>
        <w:gridCol w:w="850"/>
        <w:gridCol w:w="566"/>
        <w:gridCol w:w="1277"/>
        <w:gridCol w:w="1133"/>
        <w:gridCol w:w="1138"/>
        <w:gridCol w:w="1133"/>
        <w:gridCol w:w="994"/>
        <w:gridCol w:w="106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主要 产品 或服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总资产（元）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营业利润</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上海天 玑信息 技术服 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维 护服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275,520.84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-325,303.08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-367,259.17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上海力 克数码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硬 件服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28,547,837.63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16,165,108.78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39,554,741.12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371,183.25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176,100.49</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上海领 卓企业 管理咨 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咨 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4,930,544.94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6,345,142.56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-447,351.29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-460,727.75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极品数 据系统 有限公 司（美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硬 件服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极品数 据系统</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咨 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2,219,189.08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352,849.91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352,849.91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43,542,791.22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31,915,710.45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62,251,775.77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6,164,723.6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5,673,393.81</w:t>
            </w:r>
          </w:p>
        </w:tc>
      </w:tr>
    </w:tbl>
    <w:tbl>
      <w:tblPr>
        <w:tblOverlap w:val="never"/>
        <w:jc w:val="center"/>
        <w:tblLayout w:type="fixed"/>
      </w:tblPr>
      <w:tblGrid>
        <w:gridCol w:w="715"/>
        <w:gridCol w:w="710"/>
        <w:gridCol w:w="850"/>
        <w:gridCol w:w="566"/>
        <w:gridCol w:w="1277"/>
        <w:gridCol w:w="1133"/>
        <w:gridCol w:w="1138"/>
        <w:gridCol w:w="1133"/>
        <w:gridCol w:w="994"/>
        <w:gridCol w:w="1066"/>
      </w:tblGrid>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深蓝信 息技术 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询服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主要子公司、参股公司情况说明</w:t>
      </w:r>
    </w:p>
    <w:p>
      <w:pPr>
        <w:pStyle w:val="Style33"/>
        <w:keepNext/>
        <w:keepLines/>
        <w:widowControl w:val="0"/>
        <w:shd w:val="clear" w:color="auto" w:fill="auto"/>
        <w:tabs>
          <w:tab w:pos="368" w:val="left"/>
        </w:tabs>
        <w:bidi w:val="0"/>
        <w:spacing w:before="0" w:after="0" w:line="334" w:lineRule="exact"/>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1</w:t>
      </w:r>
      <w:bookmarkEnd w:id="143"/>
      <w:r>
        <w:rPr>
          <w:color w:val="000000"/>
          <w:spacing w:val="0"/>
          <w:w w:val="100"/>
          <w:position w:val="0"/>
        </w:rPr>
        <w:t>、</w:t>
        <w:tab/>
        <w:t>上海天巩信息技术服务有限公司</w:t>
      </w:r>
      <w:bookmarkEnd w:id="141"/>
      <w:bookmarkEnd w:id="142"/>
      <w:bookmarkEnd w:id="144"/>
    </w:p>
    <w:p>
      <w:pPr>
        <w:pStyle w:val="Style66"/>
        <w:keepNext w:val="0"/>
        <w:keepLines w:val="0"/>
        <w:widowControl w:val="0"/>
        <w:shd w:val="clear" w:color="auto" w:fill="auto"/>
        <w:bidi w:val="0"/>
        <w:spacing w:before="0" w:after="0" w:line="334" w:lineRule="exact"/>
        <w:ind w:left="0" w:right="0" w:firstLine="420"/>
        <w:jc w:val="both"/>
      </w:pPr>
      <w:r>
        <w:rPr>
          <w:rFonts w:ascii="SimSun" w:eastAsia="SimSun" w:hAnsi="SimSun" w:cs="SimSun"/>
          <w:color w:val="000000"/>
          <w:spacing w:val="0"/>
          <w:w w:val="100"/>
          <w:position w:val="0"/>
        </w:rPr>
        <w:t>成立时间：</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0</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法定代表人：姜蓓蓓</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注册地址：上海市松江区新桥镇莘砖公路</w:t>
      </w:r>
      <w:r>
        <w:rPr>
          <w:rFonts w:ascii="Times New Roman" w:eastAsia="Times New Roman" w:hAnsi="Times New Roman" w:cs="Times New Roman"/>
          <w:color w:val="000000"/>
          <w:spacing w:val="0"/>
          <w:w w:val="100"/>
          <w:position w:val="0"/>
        </w:rPr>
        <w:t>518</w:t>
      </w:r>
      <w:r>
        <w:rPr>
          <w:color w:val="000000"/>
          <w:spacing w:val="0"/>
          <w:w w:val="100"/>
          <w:position w:val="0"/>
        </w:rPr>
        <w:t>号</w:t>
      </w:r>
      <w:r>
        <w:rPr>
          <w:rFonts w:ascii="Times New Roman" w:eastAsia="Times New Roman" w:hAnsi="Times New Roman" w:cs="Times New Roman"/>
          <w:color w:val="000000"/>
          <w:spacing w:val="0"/>
          <w:w w:val="100"/>
          <w:position w:val="0"/>
        </w:rPr>
        <w:t>28</w:t>
      </w:r>
      <w:r>
        <w:rPr>
          <w:color w:val="000000"/>
          <w:spacing w:val="0"/>
          <w:w w:val="100"/>
          <w:position w:val="0"/>
        </w:rPr>
        <w:t>幢</w:t>
      </w:r>
      <w:r>
        <w:rPr>
          <w:rFonts w:ascii="Times New Roman" w:eastAsia="Times New Roman" w:hAnsi="Times New Roman" w:cs="Times New Roman"/>
          <w:color w:val="000000"/>
          <w:spacing w:val="0"/>
          <w:w w:val="100"/>
          <w:position w:val="0"/>
        </w:rPr>
        <w:t>201</w:t>
      </w:r>
      <w:r>
        <w:rPr>
          <w:color w:val="000000"/>
          <w:spacing w:val="0"/>
          <w:w w:val="100"/>
          <w:position w:val="0"/>
        </w:rPr>
        <w:t>室</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主要生产基地：上海市桂平路</w:t>
      </w:r>
      <w:r>
        <w:rPr>
          <w:rFonts w:ascii="Times New Roman" w:eastAsia="Times New Roman" w:hAnsi="Times New Roman" w:cs="Times New Roman"/>
          <w:color w:val="000000"/>
          <w:spacing w:val="0"/>
          <w:w w:val="100"/>
          <w:position w:val="0"/>
        </w:rPr>
        <w:t>481</w:t>
      </w:r>
      <w:r>
        <w:rPr>
          <w:color w:val="000000"/>
          <w:spacing w:val="0"/>
          <w:w w:val="100"/>
          <w:position w:val="0"/>
        </w:rPr>
        <w:t>号</w:t>
      </w:r>
      <w:r>
        <w:rPr>
          <w:rFonts w:ascii="Times New Roman" w:eastAsia="Times New Roman" w:hAnsi="Times New Roman" w:cs="Times New Roman"/>
          <w:color w:val="000000"/>
          <w:spacing w:val="0"/>
          <w:w w:val="100"/>
          <w:position w:val="0"/>
        </w:rPr>
        <w:t>18</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40"/>
        <w:keepNext w:val="0"/>
        <w:keepLines w:val="0"/>
        <w:widowControl w:val="0"/>
        <w:shd w:val="clear" w:color="auto" w:fill="auto"/>
        <w:bidi w:val="0"/>
        <w:spacing w:before="0" w:after="0" w:line="312" w:lineRule="exact"/>
        <w:ind w:left="420" w:right="0" w:firstLine="20"/>
        <w:jc w:val="both"/>
      </w:pPr>
      <w:r>
        <w:rPr>
          <w:color w:val="000000"/>
          <w:spacing w:val="0"/>
          <w:w w:val="100"/>
          <w:position w:val="0"/>
        </w:rPr>
        <w:t>公司经营范围：计算机专业技术领域内的技术研究，计算机网络工程（除专项审批），计算机软硬件 开发，系统集成，商务信息咨询，计算机及通信设备的安装、调试及维修及租赁，销售计算机软硬件 电子产品、通信设备、五金交电、机电设备。（涉及行政许可的，凭许可证经营）</w:t>
      </w:r>
    </w:p>
    <w:p>
      <w:pPr>
        <w:pStyle w:val="Style40"/>
        <w:keepNext w:val="0"/>
        <w:keepLines w:val="0"/>
        <w:widowControl w:val="0"/>
        <w:shd w:val="clear" w:color="auto" w:fill="auto"/>
        <w:bidi w:val="0"/>
        <w:spacing w:before="0" w:after="360" w:line="334" w:lineRule="exact"/>
        <w:ind w:left="0" w:right="0" w:firstLine="420"/>
        <w:jc w:val="both"/>
      </w:pPr>
      <w:r>
        <w:rPr>
          <w:color w:val="000000"/>
          <w:spacing w:val="0"/>
          <w:w w:val="100"/>
          <w:position w:val="0"/>
        </w:rPr>
        <w:t>经营情况：截止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上海天玑总资产</w:t>
      </w:r>
      <w:r>
        <w:rPr>
          <w:rFonts w:ascii="Times New Roman" w:eastAsia="Times New Roman" w:hAnsi="Times New Roman" w:cs="Times New Roman"/>
          <w:color w:val="000000"/>
          <w:spacing w:val="0"/>
          <w:w w:val="100"/>
          <w:position w:val="0"/>
        </w:rPr>
        <w:t>0.00</w:t>
      </w:r>
      <w:r>
        <w:rPr>
          <w:color w:val="000000"/>
          <w:spacing w:val="0"/>
          <w:w w:val="100"/>
          <w:position w:val="0"/>
        </w:rPr>
        <w:t>元，净资产</w:t>
      </w:r>
      <w:r>
        <w:rPr>
          <w:rFonts w:ascii="Times New Roman" w:eastAsia="Times New Roman" w:hAnsi="Times New Roman" w:cs="Times New Roman"/>
          <w:color w:val="000000"/>
          <w:spacing w:val="0"/>
          <w:w w:val="100"/>
          <w:position w:val="0"/>
        </w:rPr>
        <w:t>0.00</w:t>
      </w:r>
      <w:r>
        <w:rPr>
          <w:color w:val="000000"/>
          <w:spacing w:val="0"/>
          <w:w w:val="100"/>
          <w:position w:val="0"/>
        </w:rPr>
        <w:t>元</w:t>
      </w:r>
      <w:r>
        <w:rPr>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-367,259.17</w:t>
      </w:r>
      <w:r>
        <w:rPr>
          <w:color w:val="000000"/>
          <w:spacing w:val="0"/>
          <w:w w:val="100"/>
          <w:position w:val="0"/>
        </w:rPr>
        <w:t>元</w:t>
      </w:r>
    </w:p>
    <w:p>
      <w:pPr>
        <w:pStyle w:val="Style33"/>
        <w:keepNext/>
        <w:keepLines/>
        <w:widowControl w:val="0"/>
        <w:shd w:val="clear" w:color="auto" w:fill="auto"/>
        <w:tabs>
          <w:tab w:pos="378" w:val="left"/>
        </w:tabs>
        <w:bidi w:val="0"/>
        <w:spacing w:before="0" w:after="0" w:line="350" w:lineRule="exact"/>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2</w:t>
      </w:r>
      <w:bookmarkEnd w:id="147"/>
      <w:r>
        <w:rPr>
          <w:color w:val="000000"/>
          <w:spacing w:val="0"/>
          <w:w w:val="100"/>
          <w:position w:val="0"/>
        </w:rPr>
        <w:t>、</w:t>
        <w:tab/>
        <w:t>上海力克数码科技有限公司</w:t>
      </w:r>
      <w:bookmarkEnd w:id="145"/>
      <w:bookmarkEnd w:id="146"/>
      <w:bookmarkEnd w:id="148"/>
    </w:p>
    <w:p>
      <w:pPr>
        <w:pStyle w:val="Style40"/>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40"/>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1,500</w:t>
      </w:r>
      <w:r>
        <w:rPr>
          <w:color w:val="000000"/>
          <w:spacing w:val="0"/>
          <w:w w:val="100"/>
          <w:position w:val="0"/>
        </w:rPr>
        <w:t>万元</w:t>
      </w:r>
    </w:p>
    <w:p>
      <w:pPr>
        <w:pStyle w:val="Style40"/>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法定代表人：赵永齐</w:t>
      </w:r>
    </w:p>
    <w:p>
      <w:pPr>
        <w:pStyle w:val="Style40"/>
        <w:keepNext w:val="0"/>
        <w:keepLines w:val="0"/>
        <w:widowControl w:val="0"/>
        <w:shd w:val="clear" w:color="auto" w:fill="auto"/>
        <w:bidi w:val="0"/>
        <w:spacing w:before="0" w:after="0" w:line="350" w:lineRule="exact"/>
        <w:ind w:left="420" w:right="0" w:firstLine="20"/>
        <w:jc w:val="both"/>
      </w:pPr>
      <w:r>
        <w:rPr>
          <w:color w:val="000000"/>
          <w:spacing w:val="0"/>
          <w:w w:val="100"/>
          <w:position w:val="0"/>
        </w:rPr>
        <w:t>注册地址：上海市松江区新桥镇莘砖公路</w:t>
      </w:r>
      <w:r>
        <w:rPr>
          <w:rFonts w:ascii="Times New Roman" w:eastAsia="Times New Roman" w:hAnsi="Times New Roman" w:cs="Times New Roman"/>
          <w:color w:val="000000"/>
          <w:spacing w:val="0"/>
          <w:w w:val="100"/>
          <w:position w:val="0"/>
        </w:rPr>
        <w:t>518</w:t>
      </w:r>
      <w:r>
        <w:rPr>
          <w:color w:val="000000"/>
          <w:spacing w:val="0"/>
          <w:w w:val="100"/>
          <w:position w:val="0"/>
        </w:rPr>
        <w:t>号</w:t>
      </w:r>
      <w:r>
        <w:rPr>
          <w:rFonts w:ascii="Times New Roman" w:eastAsia="Times New Roman" w:hAnsi="Times New Roman" w:cs="Times New Roman"/>
          <w:color w:val="000000"/>
          <w:spacing w:val="0"/>
          <w:w w:val="100"/>
          <w:position w:val="0"/>
        </w:rPr>
        <w:t>28</w:t>
      </w:r>
      <w:r>
        <w:rPr>
          <w:color w:val="000000"/>
          <w:spacing w:val="0"/>
          <w:w w:val="100"/>
          <w:position w:val="0"/>
        </w:rPr>
        <w:t>幢</w:t>
      </w:r>
      <w:r>
        <w:rPr>
          <w:rFonts w:ascii="Times New Roman" w:eastAsia="Times New Roman" w:hAnsi="Times New Roman" w:cs="Times New Roman"/>
          <w:color w:val="000000"/>
          <w:spacing w:val="0"/>
          <w:w w:val="100"/>
          <w:position w:val="0"/>
        </w:rPr>
        <w:t>101</w:t>
      </w:r>
      <w:r>
        <w:rPr>
          <w:color w:val="000000"/>
          <w:spacing w:val="0"/>
          <w:w w:val="100"/>
          <w:position w:val="0"/>
        </w:rPr>
        <w:t>室 主要生产基地：上海市松江区新桥镇莘砖公路</w:t>
      </w:r>
      <w:r>
        <w:rPr>
          <w:rFonts w:ascii="Times New Roman" w:eastAsia="Times New Roman" w:hAnsi="Times New Roman" w:cs="Times New Roman"/>
          <w:color w:val="000000"/>
          <w:spacing w:val="0"/>
          <w:w w:val="100"/>
          <w:position w:val="0"/>
        </w:rPr>
        <w:t>518</w:t>
      </w:r>
      <w:r>
        <w:rPr>
          <w:color w:val="000000"/>
          <w:spacing w:val="0"/>
          <w:w w:val="100"/>
          <w:position w:val="0"/>
        </w:rPr>
        <w:t>号</w:t>
      </w:r>
      <w:r>
        <w:rPr>
          <w:rFonts w:ascii="Times New Roman" w:eastAsia="Times New Roman" w:hAnsi="Times New Roman" w:cs="Times New Roman"/>
          <w:color w:val="000000"/>
          <w:spacing w:val="0"/>
          <w:w w:val="100"/>
          <w:position w:val="0"/>
        </w:rPr>
        <w:t>28</w:t>
      </w:r>
      <w:r>
        <w:rPr>
          <w:color w:val="000000"/>
          <w:spacing w:val="0"/>
          <w:w w:val="100"/>
          <w:position w:val="0"/>
        </w:rPr>
        <w:t>幢</w:t>
      </w:r>
    </w:p>
    <w:p>
      <w:pPr>
        <w:pStyle w:val="Style40"/>
        <w:keepNext w:val="0"/>
        <w:keepLines w:val="0"/>
        <w:widowControl w:val="0"/>
        <w:shd w:val="clear" w:color="auto" w:fill="auto"/>
        <w:bidi w:val="0"/>
        <w:spacing w:before="0" w:after="0" w:line="350" w:lineRule="exact"/>
        <w:ind w:left="0" w:right="0" w:firstLine="42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40"/>
        <w:keepNext w:val="0"/>
        <w:keepLines w:val="0"/>
        <w:widowControl w:val="0"/>
        <w:shd w:val="clear" w:color="auto" w:fill="auto"/>
        <w:bidi w:val="0"/>
        <w:spacing w:before="0" w:after="0" w:line="312" w:lineRule="exact"/>
        <w:ind w:left="420" w:right="0" w:firstLine="20"/>
        <w:jc w:val="both"/>
      </w:pPr>
      <w:r>
        <w:rPr>
          <w:color w:val="000000"/>
          <w:spacing w:val="0"/>
          <w:w w:val="100"/>
          <w:position w:val="0"/>
        </w:rPr>
        <w:t>公司经营范围：计算机软硬件开发、维护、计算机信息系统集成，计算机软硬件（除计算机信息系统 安全专业产品）批发、零售，通讯设备（不含卫星广播电视地面接收设施）批发、零售、维修及相关 的技术咨询、技术服务，从事货物及技术的进出口业务、自有设备租赁。</w:t>
      </w:r>
    </w:p>
    <w:p>
      <w:pPr>
        <w:pStyle w:val="Style66"/>
        <w:keepNext w:val="0"/>
        <w:keepLines w:val="0"/>
        <w:widowControl w:val="0"/>
        <w:shd w:val="clear" w:color="auto" w:fill="auto"/>
        <w:bidi w:val="0"/>
        <w:spacing w:before="0" w:line="312" w:lineRule="exact"/>
        <w:ind w:left="420" w:right="0"/>
        <w:jc w:val="both"/>
      </w:pPr>
      <w:r>
        <w:rPr>
          <w:rFonts w:ascii="SimSun" w:eastAsia="SimSun" w:hAnsi="SimSun" w:cs="SimSun"/>
          <w:color w:val="000000"/>
          <w:spacing w:val="0"/>
          <w:w w:val="100"/>
          <w:position w:val="0"/>
        </w:rPr>
        <w:t>经营情况：截止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日，力克数码总资产</w:t>
      </w:r>
      <w:r>
        <w:rPr>
          <w:color w:val="000000"/>
          <w:spacing w:val="0"/>
          <w:w w:val="100"/>
          <w:position w:val="0"/>
        </w:rPr>
        <w:t>28,547,837.63</w:t>
      </w:r>
      <w:r>
        <w:rPr>
          <w:rFonts w:ascii="SimSun" w:eastAsia="SimSun" w:hAnsi="SimSun" w:cs="SimSun"/>
          <w:color w:val="000000"/>
          <w:spacing w:val="0"/>
          <w:w w:val="100"/>
          <w:position w:val="0"/>
        </w:rPr>
        <w:t>元，净资产</w:t>
      </w:r>
      <w:r>
        <w:rPr>
          <w:color w:val="000000"/>
          <w:spacing w:val="0"/>
          <w:w w:val="100"/>
          <w:position w:val="0"/>
        </w:rPr>
        <w:t>16,165,108.78</w:t>
      </w:r>
      <w:r>
        <w:rPr>
          <w:rFonts w:ascii="SimSun" w:eastAsia="SimSun" w:hAnsi="SimSun" w:cs="SimSun"/>
          <w:color w:val="000000"/>
          <w:spacing w:val="0"/>
          <w:w w:val="100"/>
          <w:position w:val="0"/>
        </w:rPr>
        <w:t xml:space="preserve">元，净利润 </w:t>
      </w:r>
      <w:r>
        <w:rPr>
          <w:color w:val="000000"/>
          <w:spacing w:val="0"/>
          <w:w w:val="100"/>
          <w:position w:val="0"/>
        </w:rPr>
        <w:t>176,100.49</w:t>
      </w:r>
      <w:r>
        <w:rPr>
          <w:rFonts w:ascii="SimSun" w:eastAsia="SimSun" w:hAnsi="SimSun" w:cs="SimSun"/>
          <w:color w:val="000000"/>
          <w:spacing w:val="0"/>
          <w:w w:val="100"/>
          <w:position w:val="0"/>
        </w:rPr>
        <w:t>元</w:t>
      </w:r>
    </w:p>
    <w:p>
      <w:pPr>
        <w:pStyle w:val="Style33"/>
        <w:keepNext/>
        <w:keepLines/>
        <w:widowControl w:val="0"/>
        <w:shd w:val="clear" w:color="auto" w:fill="auto"/>
        <w:tabs>
          <w:tab w:pos="378" w:val="left"/>
        </w:tabs>
        <w:bidi w:val="0"/>
        <w:spacing w:before="0" w:after="0" w:line="334" w:lineRule="exact"/>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w:t>
        <w:tab/>
        <w:t>上海领卓企业管理咨询有限公司</w:t>
      </w:r>
      <w:bookmarkEnd w:id="149"/>
      <w:bookmarkEnd w:id="150"/>
      <w:bookmarkEnd w:id="152"/>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法定代表人：梁晟</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注册地址：上海市青浦区西虹街</w:t>
      </w:r>
      <w:r>
        <w:rPr>
          <w:rFonts w:ascii="Times New Roman" w:eastAsia="Times New Roman" w:hAnsi="Times New Roman" w:cs="Times New Roman"/>
          <w:color w:val="000000"/>
          <w:spacing w:val="0"/>
          <w:w w:val="100"/>
          <w:position w:val="0"/>
        </w:rPr>
        <w:t>349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层</w:t>
      </w:r>
      <w:r>
        <w:rPr>
          <w:rFonts w:ascii="Times New Roman" w:eastAsia="Times New Roman" w:hAnsi="Times New Roman" w:cs="Times New Roman"/>
          <w:color w:val="000000"/>
          <w:spacing w:val="0"/>
          <w:w w:val="100"/>
          <w:position w:val="0"/>
        </w:rPr>
        <w:t>C</w:t>
      </w:r>
      <w:r>
        <w:rPr>
          <w:color w:val="000000"/>
          <w:spacing w:val="0"/>
          <w:w w:val="100"/>
          <w:position w:val="0"/>
        </w:rPr>
        <w:t>区</w:t>
      </w:r>
      <w:r>
        <w:rPr>
          <w:rFonts w:ascii="Times New Roman" w:eastAsia="Times New Roman" w:hAnsi="Times New Roman" w:cs="Times New Roman"/>
          <w:color w:val="000000"/>
          <w:spacing w:val="0"/>
          <w:w w:val="100"/>
          <w:position w:val="0"/>
        </w:rPr>
        <w:t>205</w:t>
      </w:r>
      <w:r>
        <w:rPr>
          <w:color w:val="000000"/>
          <w:spacing w:val="0"/>
          <w:w w:val="100"/>
          <w:position w:val="0"/>
        </w:rPr>
        <w:t>室</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主要生产基地：上海市普陀区常德路</w:t>
      </w:r>
      <w:r>
        <w:rPr>
          <w:rFonts w:ascii="Times New Roman" w:eastAsia="Times New Roman" w:hAnsi="Times New Roman" w:cs="Times New Roman"/>
          <w:color w:val="000000"/>
          <w:spacing w:val="0"/>
          <w:w w:val="100"/>
          <w:position w:val="0"/>
        </w:rPr>
        <w:t>1211</w:t>
      </w:r>
      <w:r>
        <w:rPr>
          <w:color w:val="000000"/>
          <w:spacing w:val="0"/>
          <w:w w:val="100"/>
          <w:position w:val="0"/>
        </w:rPr>
        <w:t>号宝华大厦</w:t>
      </w:r>
      <w:r>
        <w:rPr>
          <w:rFonts w:ascii="Times New Roman" w:eastAsia="Times New Roman" w:hAnsi="Times New Roman" w:cs="Times New Roman"/>
          <w:color w:val="000000"/>
          <w:spacing w:val="0"/>
          <w:w w:val="100"/>
          <w:position w:val="0"/>
        </w:rPr>
        <w:t>510</w:t>
      </w:r>
      <w:r>
        <w:rPr>
          <w:color w:val="000000"/>
          <w:spacing w:val="0"/>
          <w:w w:val="100"/>
          <w:position w:val="0"/>
        </w:rPr>
        <w:t>室</w:t>
      </w:r>
    </w:p>
    <w:p>
      <w:pPr>
        <w:pStyle w:val="Style40"/>
        <w:keepNext w:val="0"/>
        <w:keepLines w:val="0"/>
        <w:widowControl w:val="0"/>
        <w:shd w:val="clear" w:color="auto" w:fill="auto"/>
        <w:bidi w:val="0"/>
        <w:spacing w:before="0" w:after="0" w:line="334" w:lineRule="exact"/>
        <w:ind w:left="0" w:right="0" w:firstLine="42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40"/>
        <w:keepNext w:val="0"/>
        <w:keepLines w:val="0"/>
        <w:widowControl w:val="0"/>
        <w:shd w:val="clear" w:color="auto" w:fill="auto"/>
        <w:bidi w:val="0"/>
        <w:spacing w:before="0" w:after="0" w:line="317" w:lineRule="exact"/>
        <w:ind w:left="420" w:right="0" w:firstLine="20"/>
        <w:jc w:val="left"/>
      </w:pPr>
      <w:r>
        <w:rPr>
          <w:color w:val="000000"/>
          <w:spacing w:val="0"/>
          <w:w w:val="100"/>
          <w:position w:val="0"/>
        </w:rPr>
        <w:t>公司经营范围：企业管理咨询、科学技术咨询（不得从事经纪），计算机专业技术领域内的技术研究, 计算机软硬件开发，系统集成，计算机及通信设备的安装、调试及维修，销售计算机软硬件。</w:t>
      </w:r>
    </w:p>
    <w:p>
      <w:pPr>
        <w:pStyle w:val="Style66"/>
        <w:keepNext w:val="0"/>
        <w:keepLines w:val="0"/>
        <w:widowControl w:val="0"/>
        <w:shd w:val="clear" w:color="auto" w:fill="auto"/>
        <w:bidi w:val="0"/>
        <w:spacing w:before="0" w:after="0" w:line="317" w:lineRule="exact"/>
        <w:ind w:left="0" w:right="0" w:firstLine="420"/>
        <w:jc w:val="both"/>
      </w:pPr>
      <w:r>
        <w:rPr>
          <w:rFonts w:ascii="SimSun" w:eastAsia="SimSun" w:hAnsi="SimSun" w:cs="SimSun"/>
          <w:color w:val="000000"/>
          <w:spacing w:val="0"/>
          <w:w w:val="100"/>
          <w:position w:val="0"/>
        </w:rPr>
        <w:t>经营情况：截止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日，领卓咨询总资产</w:t>
      </w:r>
      <w:r>
        <w:rPr>
          <w:color w:val="000000"/>
          <w:spacing w:val="0"/>
          <w:w w:val="100"/>
          <w:position w:val="0"/>
        </w:rPr>
        <w:t>4,930,544.94</w:t>
      </w:r>
      <w:r>
        <w:rPr>
          <w:rFonts w:ascii="SimSun" w:eastAsia="SimSun" w:hAnsi="SimSun" w:cs="SimSun"/>
          <w:color w:val="000000"/>
          <w:spacing w:val="0"/>
          <w:w w:val="100"/>
          <w:position w:val="0"/>
        </w:rPr>
        <w:t>元，净资产</w:t>
      </w:r>
      <w:r>
        <w:rPr>
          <w:color w:val="000000"/>
          <w:spacing w:val="0"/>
          <w:w w:val="100"/>
          <w:position w:val="0"/>
        </w:rPr>
        <w:t>1</w:t>
      </w:r>
      <w:r>
        <w:rPr>
          <w:color w:val="000000"/>
          <w:spacing w:val="0"/>
          <w:w w:val="100"/>
          <w:position w:val="0"/>
        </w:rPr>
        <w:t>,573,226.71</w:t>
      </w:r>
      <w:r>
        <w:rPr>
          <w:rFonts w:ascii="SimSun" w:eastAsia="SimSun" w:hAnsi="SimSun" w:cs="SimSun"/>
          <w:color w:val="000000"/>
          <w:spacing w:val="0"/>
          <w:w w:val="100"/>
          <w:position w:val="0"/>
        </w:rPr>
        <w:t>元，净利润</w:t>
      </w:r>
    </w:p>
    <w:p>
      <w:pPr>
        <w:pStyle w:val="Style66"/>
        <w:keepNext w:val="0"/>
        <w:keepLines w:val="0"/>
        <w:widowControl w:val="0"/>
        <w:shd w:val="clear" w:color="auto" w:fill="auto"/>
        <w:bidi w:val="0"/>
        <w:spacing w:before="0" w:line="335" w:lineRule="exact"/>
        <w:ind w:left="0" w:right="0" w:firstLine="440"/>
        <w:jc w:val="both"/>
      </w:pPr>
      <w:r>
        <w:rPr>
          <w:color w:val="000000"/>
          <w:spacing w:val="0"/>
          <w:w w:val="100"/>
          <w:position w:val="0"/>
        </w:rPr>
        <w:t>-460,727.75</w:t>
      </w:r>
      <w:r>
        <w:rPr>
          <w:rFonts w:ascii="SimSun" w:eastAsia="SimSun" w:hAnsi="SimSun" w:cs="SimSun"/>
          <w:color w:val="000000"/>
          <w:spacing w:val="0"/>
          <w:w w:val="100"/>
          <w:position w:val="0"/>
        </w:rPr>
        <w:t>元</w:t>
      </w:r>
    </w:p>
    <w:p>
      <w:pPr>
        <w:pStyle w:val="Style33"/>
        <w:keepNext/>
        <w:keepLines/>
        <w:widowControl w:val="0"/>
        <w:shd w:val="clear" w:color="auto" w:fill="auto"/>
        <w:tabs>
          <w:tab w:pos="378" w:val="left"/>
        </w:tabs>
        <w:bidi w:val="0"/>
        <w:spacing w:before="0" w:after="0" w:line="355" w:lineRule="exact"/>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w:t>
        <w:tab/>
        <w:t>极品数据系统有限公司（美国）</w:t>
      </w:r>
      <w:bookmarkEnd w:id="153"/>
      <w:bookmarkEnd w:id="154"/>
      <w:bookmarkEnd w:id="156"/>
    </w:p>
    <w:p>
      <w:pPr>
        <w:pStyle w:val="Style40"/>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p>
      <w:pPr>
        <w:pStyle w:val="Style40"/>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50.00</w:t>
      </w:r>
      <w:r>
        <w:rPr>
          <w:color w:val="000000"/>
          <w:spacing w:val="0"/>
          <w:w w:val="100"/>
          <w:position w:val="0"/>
        </w:rPr>
        <w:t>万美元</w:t>
      </w:r>
    </w:p>
    <w:p>
      <w:pPr>
        <w:pStyle w:val="Style66"/>
        <w:keepNext w:val="0"/>
        <w:keepLines w:val="0"/>
        <w:widowControl w:val="0"/>
        <w:shd w:val="clear" w:color="auto" w:fill="auto"/>
        <w:bidi w:val="0"/>
        <w:spacing w:before="0" w:after="0" w:line="355" w:lineRule="exact"/>
        <w:ind w:left="0" w:right="0" w:firstLine="440"/>
        <w:jc w:val="left"/>
      </w:pPr>
      <w:r>
        <w:rPr>
          <w:rFonts w:ascii="SimSun" w:eastAsia="SimSun" w:hAnsi="SimSun" w:cs="SimSun"/>
          <w:color w:val="000000"/>
          <w:spacing w:val="0"/>
          <w:w w:val="100"/>
          <w:position w:val="0"/>
        </w:rPr>
        <w:t>注册地址：</w:t>
      </w:r>
      <w:r>
        <w:rPr>
          <w:color w:val="000000"/>
          <w:spacing w:val="0"/>
          <w:w w:val="100"/>
          <w:position w:val="0"/>
        </w:rPr>
        <w:t xml:space="preserve">6644 </w:t>
      </w:r>
      <w:r>
        <w:rPr>
          <w:color w:val="000000"/>
          <w:spacing w:val="0"/>
          <w:w w:val="100"/>
          <w:position w:val="0"/>
        </w:rPr>
        <w:t>S 196TH ST Suite T103, Kent, WA 98032, USA</w:t>
      </w:r>
    </w:p>
    <w:p>
      <w:pPr>
        <w:pStyle w:val="Style66"/>
        <w:keepNext w:val="0"/>
        <w:keepLines w:val="0"/>
        <w:widowControl w:val="0"/>
        <w:shd w:val="clear" w:color="auto" w:fill="auto"/>
        <w:bidi w:val="0"/>
        <w:spacing w:before="0" w:after="0" w:line="355" w:lineRule="exact"/>
        <w:ind w:right="0"/>
        <w:jc w:val="left"/>
      </w:pPr>
      <w:r>
        <w:rPr>
          <w:rFonts w:ascii="SimSun" w:eastAsia="SimSun" w:hAnsi="SimSun" w:cs="SimSun"/>
          <w:color w:val="000000"/>
          <w:spacing w:val="0"/>
          <w:w w:val="100"/>
          <w:position w:val="0"/>
        </w:rPr>
        <w:t>主要生产基地：</w:t>
      </w:r>
      <w:r>
        <w:rPr>
          <w:color w:val="000000"/>
          <w:spacing w:val="0"/>
          <w:w w:val="100"/>
          <w:position w:val="0"/>
        </w:rPr>
        <w:t xml:space="preserve">6644 </w:t>
      </w:r>
      <w:r>
        <w:rPr>
          <w:color w:val="000000"/>
          <w:spacing w:val="0"/>
          <w:w w:val="100"/>
          <w:position w:val="0"/>
        </w:rPr>
        <w:t xml:space="preserve">S 196TH ST Suite T103, Kent, WA 98032, USA </w:t>
      </w:r>
      <w:r>
        <w:rPr>
          <w:rFonts w:ascii="SimSun" w:eastAsia="SimSun" w:hAnsi="SimSun" w:cs="SimSun"/>
          <w:color w:val="000000"/>
          <w:spacing w:val="0"/>
          <w:w w:val="100"/>
          <w:position w:val="0"/>
        </w:rPr>
        <w:t>股东构成及控制情况：公司持有其</w:t>
      </w:r>
      <w:r>
        <w:rPr>
          <w:color w:val="000000"/>
          <w:spacing w:val="0"/>
          <w:w w:val="100"/>
          <w:position w:val="0"/>
        </w:rPr>
        <w:t>100%</w:t>
      </w:r>
      <w:r>
        <w:rPr>
          <w:rFonts w:ascii="SimSun" w:eastAsia="SimSun" w:hAnsi="SimSun" w:cs="SimSun"/>
          <w:color w:val="000000"/>
          <w:spacing w:val="0"/>
          <w:w w:val="100"/>
          <w:position w:val="0"/>
        </w:rPr>
        <w:t>的股权</w:t>
      </w:r>
    </w:p>
    <w:p>
      <w:pPr>
        <w:pStyle w:val="Style40"/>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公司经营范围：备品、备件的采购和销售。</w:t>
      </w:r>
    </w:p>
    <w:p>
      <w:pPr>
        <w:pStyle w:val="Style66"/>
        <w:keepNext w:val="0"/>
        <w:keepLines w:val="0"/>
        <w:widowControl w:val="0"/>
        <w:shd w:val="clear" w:color="auto" w:fill="auto"/>
        <w:bidi w:val="0"/>
        <w:spacing w:before="0" w:line="312" w:lineRule="exact"/>
        <w:ind w:right="0"/>
        <w:jc w:val="left"/>
      </w:pPr>
      <w:r>
        <w:rPr>
          <w:rFonts w:ascii="SimSun" w:eastAsia="SimSun" w:hAnsi="SimSun" w:cs="SimSun"/>
          <w:color w:val="000000"/>
          <w:spacing w:val="0"/>
          <w:w w:val="100"/>
          <w:position w:val="0"/>
        </w:rPr>
        <w:t>经营情况：截止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日，极品数据总资产</w:t>
      </w:r>
      <w:r>
        <w:rPr>
          <w:color w:val="000000"/>
          <w:spacing w:val="0"/>
          <w:w w:val="100"/>
          <w:position w:val="0"/>
        </w:rPr>
        <w:t>689,067.86</w:t>
      </w:r>
      <w:r>
        <w:rPr>
          <w:rFonts w:ascii="SimSun" w:eastAsia="SimSun" w:hAnsi="SimSun" w:cs="SimSun"/>
          <w:color w:val="000000"/>
          <w:spacing w:val="0"/>
          <w:w w:val="100"/>
          <w:position w:val="0"/>
        </w:rPr>
        <w:t>元，净资产</w:t>
      </w:r>
      <w:r>
        <w:rPr>
          <w:color w:val="000000"/>
          <w:spacing w:val="0"/>
          <w:w w:val="100"/>
          <w:position w:val="0"/>
        </w:rPr>
        <w:t>567,129.86</w:t>
      </w:r>
      <w:r>
        <w:rPr>
          <w:rFonts w:ascii="SimSun" w:eastAsia="SimSun" w:hAnsi="SimSun" w:cs="SimSun"/>
          <w:color w:val="000000"/>
          <w:spacing w:val="0"/>
          <w:w w:val="100"/>
          <w:position w:val="0"/>
        </w:rPr>
        <w:t>元，净利润</w:t>
      </w:r>
      <w:r>
        <w:rPr>
          <w:color w:val="000000"/>
          <w:spacing w:val="0"/>
          <w:w w:val="100"/>
          <w:position w:val="0"/>
        </w:rPr>
        <w:t xml:space="preserve">-100.03 </w:t>
      </w:r>
      <w:r>
        <w:rPr>
          <w:rFonts w:ascii="SimSun" w:eastAsia="SimSun" w:hAnsi="SimSun" w:cs="SimSun"/>
          <w:color w:val="000000"/>
          <w:spacing w:val="0"/>
          <w:w w:val="100"/>
          <w:position w:val="0"/>
        </w:rPr>
        <w:t>元</w:t>
      </w:r>
    </w:p>
    <w:p>
      <w:pPr>
        <w:pStyle w:val="Style33"/>
        <w:keepNext/>
        <w:keepLines/>
        <w:widowControl w:val="0"/>
        <w:shd w:val="clear" w:color="auto" w:fill="auto"/>
        <w:tabs>
          <w:tab w:pos="378" w:val="left"/>
        </w:tabs>
        <w:bidi w:val="0"/>
        <w:spacing w:before="0" w:after="0" w:line="355" w:lineRule="exact"/>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w:t>
        <w:tab/>
        <w:t>极品数据系统（香港）有限公司</w:t>
      </w:r>
      <w:bookmarkEnd w:id="157"/>
      <w:bookmarkEnd w:id="158"/>
      <w:bookmarkEnd w:id="160"/>
    </w:p>
    <w:p>
      <w:pPr>
        <w:pStyle w:val="Style40"/>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40"/>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20.00</w:t>
      </w:r>
      <w:r>
        <w:rPr>
          <w:color w:val="000000"/>
          <w:spacing w:val="0"/>
          <w:w w:val="100"/>
          <w:position w:val="0"/>
        </w:rPr>
        <w:t>万美元</w:t>
      </w:r>
    </w:p>
    <w:p>
      <w:pPr>
        <w:pStyle w:val="Style66"/>
        <w:keepNext w:val="0"/>
        <w:keepLines w:val="0"/>
        <w:widowControl w:val="0"/>
        <w:shd w:val="clear" w:color="auto" w:fill="auto"/>
        <w:bidi w:val="0"/>
        <w:spacing w:before="0" w:after="0" w:line="355" w:lineRule="exact"/>
        <w:ind w:left="0" w:right="0" w:firstLine="440"/>
        <w:jc w:val="left"/>
      </w:pPr>
      <w:r>
        <w:rPr>
          <w:rFonts w:ascii="SimSun" w:eastAsia="SimSun" w:hAnsi="SimSun" w:cs="SimSun"/>
          <w:color w:val="000000"/>
          <w:spacing w:val="0"/>
          <w:w w:val="100"/>
          <w:position w:val="0"/>
        </w:rPr>
        <w:t>注册地址：</w:t>
      </w:r>
      <w:r>
        <w:rPr>
          <w:color w:val="000000"/>
          <w:spacing w:val="0"/>
          <w:w w:val="100"/>
          <w:position w:val="0"/>
        </w:rPr>
        <w:t xml:space="preserve">GREENWICH CENTRE </w:t>
      </w:r>
      <w:r>
        <w:rPr>
          <w:color w:val="000000"/>
          <w:spacing w:val="0"/>
          <w:w w:val="100"/>
          <w:position w:val="0"/>
        </w:rPr>
        <w:t xml:space="preserve">260 </w:t>
      </w:r>
      <w:r>
        <w:rPr>
          <w:color w:val="000000"/>
          <w:spacing w:val="0"/>
          <w:w w:val="100"/>
          <w:position w:val="0"/>
        </w:rPr>
        <w:t>KING,S RD NORTH POINT,HK</w:t>
      </w:r>
    </w:p>
    <w:p>
      <w:pPr>
        <w:pStyle w:val="Style66"/>
        <w:keepNext w:val="0"/>
        <w:keepLines w:val="0"/>
        <w:widowControl w:val="0"/>
        <w:shd w:val="clear" w:color="auto" w:fill="auto"/>
        <w:bidi w:val="0"/>
        <w:spacing w:before="0" w:after="0" w:line="355" w:lineRule="exact"/>
        <w:ind w:right="0"/>
        <w:jc w:val="left"/>
      </w:pPr>
      <w:r>
        <w:rPr>
          <w:rFonts w:ascii="SimSun" w:eastAsia="SimSun" w:hAnsi="SimSun" w:cs="SimSun"/>
          <w:color w:val="000000"/>
          <w:spacing w:val="0"/>
          <w:w w:val="100"/>
          <w:position w:val="0"/>
        </w:rPr>
        <w:t>主要生产基地：</w:t>
      </w:r>
      <w:r>
        <w:rPr>
          <w:color w:val="000000"/>
          <w:spacing w:val="0"/>
          <w:w w:val="100"/>
          <w:position w:val="0"/>
        </w:rPr>
        <w:t xml:space="preserve">GREENWICH CENTRE 260 KING,S RD NORTH POINT,HK </w:t>
      </w:r>
      <w:r>
        <w:rPr>
          <w:rFonts w:ascii="SimSun" w:eastAsia="SimSun" w:hAnsi="SimSun" w:cs="SimSun"/>
          <w:color w:val="000000"/>
          <w:spacing w:val="0"/>
          <w:w w:val="100"/>
          <w:position w:val="0"/>
        </w:rPr>
        <w:t>股东构成及控制情况：公司持有其</w:t>
      </w:r>
      <w:r>
        <w:rPr>
          <w:color w:val="000000"/>
          <w:spacing w:val="0"/>
          <w:w w:val="100"/>
          <w:position w:val="0"/>
        </w:rPr>
        <w:t>100%</w:t>
      </w:r>
      <w:r>
        <w:rPr>
          <w:rFonts w:ascii="SimSun" w:eastAsia="SimSun" w:hAnsi="SimSun" w:cs="SimSun"/>
          <w:color w:val="000000"/>
          <w:spacing w:val="0"/>
          <w:w w:val="100"/>
          <w:position w:val="0"/>
        </w:rPr>
        <w:t>的股权</w:t>
      </w:r>
    </w:p>
    <w:p>
      <w:pPr>
        <w:pStyle w:val="Style40"/>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公司经营范围：计算机备件采购，销售，维修，技术咨询，服务外包及进出口业务。</w:t>
      </w:r>
    </w:p>
    <w:p>
      <w:pPr>
        <w:pStyle w:val="Style66"/>
        <w:keepNext w:val="0"/>
        <w:keepLines w:val="0"/>
        <w:widowControl w:val="0"/>
        <w:shd w:val="clear" w:color="auto" w:fill="auto"/>
        <w:bidi w:val="0"/>
        <w:spacing w:before="0" w:line="312" w:lineRule="exact"/>
        <w:ind w:right="0"/>
        <w:jc w:val="left"/>
      </w:pPr>
      <w:r>
        <w:rPr>
          <w:rFonts w:ascii="SimSun" w:eastAsia="SimSun" w:hAnsi="SimSun" w:cs="SimSun"/>
          <w:color w:val="000000"/>
          <w:spacing w:val="0"/>
          <w:w w:val="100"/>
          <w:position w:val="0"/>
        </w:rPr>
        <w:t>经营情况：截止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，极品数据（香港）总资产</w:t>
      </w:r>
      <w:r>
        <w:rPr>
          <w:color w:val="000000"/>
          <w:spacing w:val="0"/>
          <w:w w:val="100"/>
          <w:position w:val="0"/>
        </w:rPr>
        <w:t>1</w:t>
      </w:r>
      <w:r>
        <w:rPr>
          <w:color w:val="000000"/>
          <w:spacing w:val="0"/>
          <w:w w:val="100"/>
          <w:position w:val="0"/>
        </w:rPr>
        <w:t>,574,240.62</w:t>
      </w:r>
      <w:r>
        <w:rPr>
          <w:rFonts w:ascii="SimSun" w:eastAsia="SimSun" w:hAnsi="SimSun" w:cs="SimSun"/>
          <w:color w:val="000000"/>
          <w:spacing w:val="0"/>
          <w:w w:val="100"/>
          <w:position w:val="0"/>
        </w:rPr>
        <w:t>元，净资产</w:t>
      </w:r>
      <w:r>
        <w:rPr>
          <w:color w:val="000000"/>
          <w:spacing w:val="0"/>
          <w:w w:val="100"/>
          <w:position w:val="0"/>
        </w:rPr>
        <w:t>1</w:t>
      </w:r>
      <w:r>
        <w:rPr>
          <w:color w:val="000000"/>
          <w:spacing w:val="0"/>
          <w:w w:val="100"/>
          <w:position w:val="0"/>
        </w:rPr>
        <w:t>,564,022.22</w:t>
      </w:r>
      <w:r>
        <w:rPr>
          <w:rFonts w:ascii="SimSun" w:eastAsia="SimSun" w:hAnsi="SimSun" w:cs="SimSun"/>
          <w:color w:val="000000"/>
          <w:spacing w:val="0"/>
          <w:w w:val="100"/>
          <w:position w:val="0"/>
        </w:rPr>
        <w:t>元， 净利润</w:t>
      </w:r>
      <w:r>
        <w:rPr>
          <w:color w:val="000000"/>
          <w:spacing w:val="0"/>
          <w:w w:val="100"/>
          <w:position w:val="0"/>
        </w:rPr>
        <w:t>352,849.91</w:t>
      </w:r>
      <w:r>
        <w:rPr>
          <w:rFonts w:ascii="SimSun" w:eastAsia="SimSun" w:hAnsi="SimSun" w:cs="SimSun"/>
          <w:color w:val="000000"/>
          <w:spacing w:val="0"/>
          <w:w w:val="100"/>
          <w:position w:val="0"/>
        </w:rPr>
        <w:t>元</w:t>
      </w:r>
    </w:p>
    <w:p>
      <w:pPr>
        <w:pStyle w:val="Style33"/>
        <w:keepNext/>
        <w:keepLines/>
        <w:widowControl w:val="0"/>
        <w:shd w:val="clear" w:color="auto" w:fill="auto"/>
        <w:tabs>
          <w:tab w:pos="378" w:val="left"/>
        </w:tabs>
        <w:bidi w:val="0"/>
        <w:spacing w:before="0" w:after="0" w:line="350" w:lineRule="exact"/>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6</w:t>
      </w:r>
      <w:bookmarkEnd w:id="163"/>
      <w:r>
        <w:rPr>
          <w:color w:val="000000"/>
          <w:spacing w:val="0"/>
          <w:w w:val="100"/>
          <w:position w:val="0"/>
        </w:rPr>
        <w:t>、</w:t>
        <w:tab/>
        <w:t>上海复深蓝信息技术有限公司</w:t>
      </w:r>
      <w:bookmarkEnd w:id="161"/>
      <w:bookmarkEnd w:id="162"/>
      <w:bookmarkEnd w:id="164"/>
    </w:p>
    <w:p>
      <w:pPr>
        <w:pStyle w:val="Style40"/>
        <w:keepNext w:val="0"/>
        <w:keepLines w:val="0"/>
        <w:widowControl w:val="0"/>
        <w:shd w:val="clear" w:color="auto" w:fill="auto"/>
        <w:bidi w:val="0"/>
        <w:spacing w:before="0" w:after="0" w:line="350" w:lineRule="exact"/>
        <w:ind w:left="0" w:right="0" w:firstLine="4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40"/>
        <w:keepNext w:val="0"/>
        <w:keepLines w:val="0"/>
        <w:widowControl w:val="0"/>
        <w:shd w:val="clear" w:color="auto" w:fill="auto"/>
        <w:tabs>
          <w:tab w:pos="1534" w:val="left"/>
        </w:tabs>
        <w:bidi w:val="0"/>
        <w:spacing w:before="0" w:after="0" w:line="350" w:lineRule="exact"/>
        <w:ind w:left="0" w:right="0" w:firstLine="440"/>
        <w:jc w:val="left"/>
      </w:pPr>
      <w:r>
        <w:rPr>
          <w:color w:val="000000"/>
          <w:spacing w:val="0"/>
          <w:w w:val="100"/>
          <w:position w:val="0"/>
        </w:rPr>
        <w:t>注册资本：</w:t>
        <w:tab/>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40"/>
        <w:keepNext w:val="0"/>
        <w:keepLines w:val="0"/>
        <w:widowControl w:val="0"/>
        <w:shd w:val="clear" w:color="auto" w:fill="auto"/>
        <w:bidi w:val="0"/>
        <w:spacing w:before="0" w:after="0" w:line="350" w:lineRule="exact"/>
        <w:ind w:left="0" w:right="0" w:firstLine="440"/>
        <w:jc w:val="left"/>
      </w:pPr>
      <w:r>
        <w:rPr>
          <w:color w:val="000000"/>
          <w:spacing w:val="0"/>
          <w:w w:val="100"/>
          <w:position w:val="0"/>
        </w:rPr>
        <w:t>法定代表人：杨万强</w:t>
      </w:r>
    </w:p>
    <w:p>
      <w:pPr>
        <w:pStyle w:val="Style40"/>
        <w:keepNext w:val="0"/>
        <w:keepLines w:val="0"/>
        <w:widowControl w:val="0"/>
        <w:shd w:val="clear" w:color="auto" w:fill="auto"/>
        <w:bidi w:val="0"/>
        <w:spacing w:before="0" w:after="0" w:line="350" w:lineRule="exact"/>
        <w:ind w:left="0" w:right="0" w:firstLine="440"/>
        <w:jc w:val="left"/>
      </w:pPr>
      <w:r>
        <w:rPr>
          <w:color w:val="000000"/>
          <w:spacing w:val="0"/>
          <w:w w:val="100"/>
          <w:position w:val="0"/>
        </w:rPr>
        <w:t>注册地址：上海市徐汇区虹梅路</w:t>
      </w:r>
      <w:r>
        <w:rPr>
          <w:rFonts w:ascii="Times New Roman" w:eastAsia="Times New Roman" w:hAnsi="Times New Roman" w:cs="Times New Roman"/>
          <w:color w:val="000000"/>
          <w:spacing w:val="0"/>
          <w:w w:val="100"/>
          <w:position w:val="0"/>
        </w:rPr>
        <w:t>2007</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6</w:t>
      </w:r>
      <w:r>
        <w:rPr>
          <w:color w:val="000000"/>
          <w:spacing w:val="0"/>
          <w:w w:val="100"/>
          <w:position w:val="0"/>
        </w:rPr>
        <w:t>楼</w:t>
      </w:r>
    </w:p>
    <w:p>
      <w:pPr>
        <w:pStyle w:val="Style40"/>
        <w:keepNext w:val="0"/>
        <w:keepLines w:val="0"/>
        <w:widowControl w:val="0"/>
        <w:shd w:val="clear" w:color="auto" w:fill="auto"/>
        <w:bidi w:val="0"/>
        <w:spacing w:before="0" w:after="0" w:line="350" w:lineRule="exact"/>
        <w:ind w:left="440" w:right="0" w:firstLine="20"/>
        <w:jc w:val="left"/>
      </w:pPr>
      <w:r>
        <w:rPr>
          <w:color w:val="000000"/>
          <w:spacing w:val="0"/>
          <w:w w:val="100"/>
          <w:position w:val="0"/>
        </w:rPr>
        <w:t>主要生产基地：上海市徐汇区虹梅路</w:t>
      </w:r>
      <w:r>
        <w:rPr>
          <w:rFonts w:ascii="Times New Roman" w:eastAsia="Times New Roman" w:hAnsi="Times New Roman" w:cs="Times New Roman"/>
          <w:color w:val="000000"/>
          <w:spacing w:val="0"/>
          <w:w w:val="100"/>
          <w:position w:val="0"/>
        </w:rPr>
        <w:t>2007</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6</w:t>
      </w:r>
      <w:r>
        <w:rPr>
          <w:color w:val="000000"/>
          <w:spacing w:val="0"/>
          <w:w w:val="100"/>
          <w:position w:val="0"/>
        </w:rPr>
        <w:t>楼 股东构成及控制情况：公司持有其</w:t>
      </w:r>
      <w:r>
        <w:rPr>
          <w:rFonts w:ascii="Times New Roman" w:eastAsia="Times New Roman" w:hAnsi="Times New Roman" w:cs="Times New Roman"/>
          <w:color w:val="000000"/>
          <w:spacing w:val="0"/>
          <w:w w:val="100"/>
          <w:position w:val="0"/>
        </w:rPr>
        <w:t>60%</w:t>
      </w:r>
      <w:r>
        <w:rPr>
          <w:color w:val="000000"/>
          <w:spacing w:val="0"/>
          <w:w w:val="100"/>
          <w:position w:val="0"/>
        </w:rPr>
        <w:t>的股权</w:t>
      </w:r>
    </w:p>
    <w:p>
      <w:pPr>
        <w:pStyle w:val="Style40"/>
        <w:keepNext w:val="0"/>
        <w:keepLines w:val="0"/>
        <w:widowControl w:val="0"/>
        <w:shd w:val="clear" w:color="auto" w:fill="auto"/>
        <w:bidi w:val="0"/>
        <w:spacing w:before="0" w:after="0" w:line="314" w:lineRule="exact"/>
        <w:ind w:left="440" w:right="0" w:firstLine="20"/>
        <w:jc w:val="left"/>
      </w:pPr>
      <w:r>
        <w:rPr>
          <w:color w:val="000000"/>
          <w:spacing w:val="0"/>
          <w:w w:val="100"/>
          <w:position w:val="0"/>
        </w:rPr>
        <w:t>公司经营范围：计算机软硬件、网络、电信专业领域内的八技服务，商务信息咨询，计算机软硬 件销售。</w:t>
      </w:r>
    </w:p>
    <w:p>
      <w:pPr>
        <w:pStyle w:val="Style66"/>
        <w:keepNext w:val="0"/>
        <w:keepLines w:val="0"/>
        <w:widowControl w:val="0"/>
        <w:shd w:val="clear" w:color="auto" w:fill="auto"/>
        <w:bidi w:val="0"/>
        <w:spacing w:before="0" w:after="480" w:line="314" w:lineRule="exact"/>
        <w:ind w:right="0"/>
        <w:jc w:val="left"/>
      </w:pPr>
      <w:r>
        <w:rPr>
          <w:rFonts w:ascii="SimSun" w:eastAsia="SimSun" w:hAnsi="SimSun" w:cs="SimSun"/>
          <w:color w:val="000000"/>
          <w:spacing w:val="0"/>
          <w:w w:val="100"/>
          <w:position w:val="0"/>
        </w:rPr>
        <w:t>经营情况：截止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日，上海复深蓝总资产</w:t>
      </w:r>
      <w:r>
        <w:rPr>
          <w:color w:val="000000"/>
          <w:spacing w:val="0"/>
          <w:w w:val="100"/>
          <w:position w:val="0"/>
        </w:rPr>
        <w:t>43,542,791.22</w:t>
      </w:r>
      <w:r>
        <w:rPr>
          <w:rFonts w:ascii="SimSun" w:eastAsia="SimSun" w:hAnsi="SimSun" w:cs="SimSun"/>
          <w:color w:val="000000"/>
          <w:spacing w:val="0"/>
          <w:w w:val="100"/>
          <w:position w:val="0"/>
        </w:rPr>
        <w:t>元，净资产</w:t>
      </w:r>
      <w:r>
        <w:rPr>
          <w:color w:val="000000"/>
          <w:spacing w:val="0"/>
          <w:w w:val="100"/>
          <w:position w:val="0"/>
        </w:rPr>
        <w:t>31,915,710.45</w:t>
      </w:r>
      <w:r>
        <w:rPr>
          <w:rFonts w:ascii="SimSun" w:eastAsia="SimSun" w:hAnsi="SimSun" w:cs="SimSun"/>
          <w:color w:val="000000"/>
          <w:spacing w:val="0"/>
          <w:w w:val="100"/>
          <w:position w:val="0"/>
        </w:rPr>
        <w:t>元，净利 润</w:t>
      </w:r>
      <w:r>
        <w:rPr>
          <w:color w:val="000000"/>
          <w:spacing w:val="0"/>
          <w:w w:val="100"/>
          <w:position w:val="0"/>
        </w:rPr>
        <w:t xml:space="preserve">5,673,393.81 </w:t>
      </w:r>
      <w:r>
        <w:rPr>
          <w:rFonts w:ascii="SimSun" w:eastAsia="SimSun" w:hAnsi="SimSun" w:cs="SimSun"/>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65"/>
      <w:bookmarkEnd w:id="166"/>
      <w:bookmarkEnd w:id="16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20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二</w:t>
      </w:r>
      <w:bookmarkEnd w:id="171"/>
      <w:r>
        <w:rPr>
          <w:color w:val="000000"/>
          <w:spacing w:val="0"/>
          <w:w w:val="100"/>
          <w:position w:val="0"/>
        </w:rPr>
        <w:t>、公司未来发展的展望</w:t>
      </w:r>
      <w:bookmarkEnd w:id="169"/>
      <w:bookmarkEnd w:id="170"/>
      <w:bookmarkEnd w:id="172"/>
    </w:p>
    <w:p>
      <w:pPr>
        <w:pStyle w:val="Style33"/>
        <w:keepNext/>
        <w:keepLines/>
        <w:widowControl w:val="0"/>
        <w:shd w:val="clear" w:color="auto" w:fill="auto"/>
        <w:tabs>
          <w:tab w:pos="698" w:val="left"/>
        </w:tabs>
        <w:bidi w:val="0"/>
        <w:spacing w:before="0" w:after="0" w:line="469" w:lineRule="exact"/>
        <w:ind w:left="0" w:right="0" w:firstLine="16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一）</w:t>
        <w:tab/>
        <w:t>行业所处的发展前景</w:t>
      </w:r>
      <w:bookmarkEnd w:id="173"/>
      <w:bookmarkEnd w:id="174"/>
      <w:bookmarkEnd w:id="176"/>
    </w:p>
    <w:p>
      <w:pPr>
        <w:pStyle w:val="Style40"/>
        <w:keepNext w:val="0"/>
        <w:keepLines w:val="0"/>
        <w:widowControl w:val="0"/>
        <w:shd w:val="clear" w:color="auto" w:fill="auto"/>
        <w:bidi w:val="0"/>
        <w:spacing w:before="0" w:after="0" w:line="469" w:lineRule="exact"/>
        <w:ind w:left="0" w:right="0" w:firstLine="340"/>
        <w:jc w:val="both"/>
      </w:pPr>
      <w:r>
        <w:rPr>
          <w:color w:val="000000"/>
          <w:spacing w:val="0"/>
          <w:w w:val="100"/>
          <w:position w:val="0"/>
        </w:rPr>
        <w:t>近年来，</w:t>
      </w:r>
      <w:r>
        <w:rPr>
          <w:color w:val="000000"/>
          <w:spacing w:val="0"/>
          <w:w w:val="100"/>
          <w:position w:val="0"/>
        </w:rPr>
        <w:t>IT</w:t>
      </w:r>
      <w:r>
        <w:rPr>
          <w:color w:val="000000"/>
          <w:spacing w:val="0"/>
          <w:w w:val="100"/>
          <w:position w:val="0"/>
        </w:rPr>
        <w:t>行业热点不断，互联网、云计算、大数据、</w:t>
      </w:r>
      <w:r>
        <w:rPr>
          <w:color w:val="000000"/>
          <w:spacing w:val="0"/>
          <w:w w:val="100"/>
          <w:position w:val="0"/>
        </w:rPr>
        <w:t>4G</w:t>
      </w:r>
      <w:r>
        <w:rPr>
          <w:color w:val="000000"/>
          <w:spacing w:val="0"/>
          <w:w w:val="100"/>
          <w:position w:val="0"/>
        </w:rPr>
        <w:t>等都不断为市场注入新的活力。以互联网公 司为先锋，云计算、大数据等技术快速成熟推广，由概念进而转化为实际的生产力落入各行各业，为用户 带来极大的价值。云计算技术在大幅提升了用户基础架构的利用率的同时，提供了灵活高效的资源配置管 理模式，通过</w:t>
      </w:r>
      <w:r>
        <w:rPr>
          <w:color w:val="000000"/>
          <w:spacing w:val="0"/>
          <w:w w:val="100"/>
          <w:position w:val="0"/>
        </w:rPr>
        <w:t>IAAS</w:t>
      </w:r>
      <w:r>
        <w:rPr>
          <w:color w:val="000000"/>
          <w:spacing w:val="0"/>
          <w:w w:val="100"/>
          <w:position w:val="0"/>
        </w:rPr>
        <w:t>、</w:t>
      </w:r>
      <w:r>
        <w:rPr>
          <w:color w:val="000000"/>
          <w:spacing w:val="0"/>
          <w:w w:val="100"/>
          <w:position w:val="0"/>
        </w:rPr>
        <w:t>PAAS</w:t>
      </w:r>
      <w:r>
        <w:rPr>
          <w:color w:val="000000"/>
          <w:spacing w:val="0"/>
          <w:w w:val="100"/>
          <w:position w:val="0"/>
        </w:rPr>
        <w:t>、</w:t>
      </w:r>
      <w:r>
        <w:rPr>
          <w:color w:val="000000"/>
          <w:spacing w:val="0"/>
          <w:w w:val="100"/>
          <w:position w:val="0"/>
        </w:rPr>
        <w:t>SAAS</w:t>
      </w:r>
      <w:r>
        <w:rPr>
          <w:color w:val="000000"/>
          <w:spacing w:val="0"/>
          <w:w w:val="100"/>
          <w:position w:val="0"/>
        </w:rPr>
        <w:t>等模式向用户交付</w:t>
      </w:r>
      <w:r>
        <w:rPr>
          <w:color w:val="000000"/>
          <w:spacing w:val="0"/>
          <w:w w:val="100"/>
          <w:position w:val="0"/>
        </w:rPr>
        <w:t>IDC</w:t>
      </w:r>
      <w:r>
        <w:rPr>
          <w:color w:val="000000"/>
          <w:spacing w:val="0"/>
          <w:w w:val="100"/>
          <w:position w:val="0"/>
        </w:rPr>
        <w:t>的计算资源。大数据技术则为我们提供了创新的技 术手段，高性价比的存储和分析海量、多类型的数据，让我们发现各种事物间的关系和可能性，预测发现 新的市场机遇，真正创造业务的价值。随着</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4G</w:t>
      </w:r>
      <w:r>
        <w:rPr>
          <w:color w:val="000000"/>
          <w:spacing w:val="0"/>
          <w:w w:val="100"/>
          <w:position w:val="0"/>
        </w:rPr>
        <w:t xml:space="preserve">牌照的正式发放，标志着我国通讯行业正式进入 </w:t>
      </w:r>
      <w:r>
        <w:rPr>
          <w:color w:val="000000"/>
          <w:spacing w:val="0"/>
          <w:w w:val="100"/>
          <w:position w:val="0"/>
        </w:rPr>
        <w:t>4G，</w:t>
      </w:r>
      <w:r>
        <w:rPr>
          <w:color w:val="000000"/>
          <w:spacing w:val="0"/>
          <w:w w:val="100"/>
          <w:position w:val="0"/>
        </w:rPr>
        <w:t>高速的互联将进一步的促进云计算的发展，其产生的海量数据将同时成为大数据发展的燃料。对于众 多行业而言，如果要使用上述新技术带来的价值，就必须寻求到一批具备专业技术力量的公司，帮助企业 完成企业的基础架构由传统模式转变为云计算的架构，同样需要一批专业的公司，为用户提供大数据的思 维、技术以及相关产品。而作为根植于</w:t>
      </w:r>
      <w:r>
        <w:rPr>
          <w:color w:val="000000"/>
          <w:spacing w:val="0"/>
          <w:w w:val="100"/>
          <w:position w:val="0"/>
        </w:rPr>
        <w:t>IT</w:t>
      </w:r>
      <w:r>
        <w:rPr>
          <w:color w:val="000000"/>
          <w:spacing w:val="0"/>
          <w:w w:val="100"/>
          <w:position w:val="0"/>
        </w:rPr>
        <w:t>服务的天玑科技同时具备着云计算大数据等相关技术优势和服务 优势，将面临广阔的发展前景。</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此外，伴随着国际信息安全形势的日益严峻，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月，中央网络安全和信息化领导小组宣告成立， 中共中央总书记、国家主席、中央军委主席、中央网络安全和信息化领导小组组长习近平主持召开中央网 络安全和信息化领导小组第一次会议并发表重要讲话。其中提出</w:t>
      </w:r>
      <w:r>
        <w:rPr>
          <w:rFonts w:ascii="Times New Roman" w:eastAsia="Times New Roman" w:hAnsi="Times New Roman" w:cs="Times New Roman"/>
          <w:color w:val="000000"/>
          <w:spacing w:val="0"/>
          <w:w w:val="100"/>
          <w:position w:val="0"/>
        </w:rPr>
        <w:t>“</w:t>
      </w:r>
      <w:r>
        <w:rPr>
          <w:color w:val="000000"/>
          <w:spacing w:val="0"/>
          <w:w w:val="100"/>
          <w:position w:val="0"/>
        </w:rPr>
        <w:t>制定实施国家网络安全和信息化发展战 略、宏观规划和重大政策，不断增强安全保障能力。</w:t>
      </w:r>
      <w:r>
        <w:rPr>
          <w:color w:val="000000"/>
          <w:spacing w:val="0"/>
          <w:w w:val="100"/>
          <w:position w:val="0"/>
        </w:rPr>
        <w:t>’’</w:t>
      </w:r>
      <w:r>
        <w:rPr>
          <w:color w:val="000000"/>
          <w:spacing w:val="0"/>
          <w:w w:val="100"/>
          <w:position w:val="0"/>
        </w:rPr>
        <w:t>加之近年来国家大力鼓励自主技术的发展，这也同 样为天玑科技的发展提供重要的契机。凭借对于</w:t>
      </w:r>
      <w:r>
        <w:rPr>
          <w:rFonts w:ascii="Times New Roman" w:eastAsia="Times New Roman" w:hAnsi="Times New Roman" w:cs="Times New Roman"/>
          <w:color w:val="000000"/>
          <w:spacing w:val="0"/>
          <w:w w:val="100"/>
          <w:position w:val="0"/>
        </w:rPr>
        <w:t>IT</w:t>
      </w:r>
      <w:r>
        <w:rPr>
          <w:color w:val="000000"/>
          <w:spacing w:val="0"/>
          <w:w w:val="100"/>
          <w:position w:val="0"/>
        </w:rPr>
        <w:t>技术以及服务多年的积累，天玑科技完全具备能力通 过基于自主技术的软硬件技术方案，来满足企业信息化建设的要求，响应国家的号召。</w:t>
      </w:r>
    </w:p>
    <w:p>
      <w:pPr>
        <w:pStyle w:val="Style33"/>
        <w:keepNext/>
        <w:keepLines/>
        <w:widowControl w:val="0"/>
        <w:shd w:val="clear" w:color="auto" w:fill="auto"/>
        <w:tabs>
          <w:tab w:pos="698" w:val="left"/>
        </w:tabs>
        <w:bidi w:val="0"/>
        <w:spacing w:before="0" w:after="0" w:line="469" w:lineRule="exact"/>
        <w:ind w:left="0" w:right="0" w:firstLine="16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二）</w:t>
        <w:tab/>
        <w:t>公司发展战略</w:t>
      </w:r>
      <w:bookmarkEnd w:id="177"/>
      <w:bookmarkEnd w:id="178"/>
      <w:bookmarkEnd w:id="180"/>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在过去的几年内，</w:t>
      </w:r>
      <w:r>
        <w:rPr>
          <w:rFonts w:ascii="Times New Roman" w:eastAsia="Times New Roman" w:hAnsi="Times New Roman" w:cs="Times New Roman"/>
          <w:color w:val="000000"/>
          <w:spacing w:val="0"/>
          <w:w w:val="100"/>
          <w:position w:val="0"/>
        </w:rPr>
        <w:t>IT</w:t>
      </w:r>
      <w:r>
        <w:rPr>
          <w:color w:val="000000"/>
          <w:spacing w:val="0"/>
          <w:w w:val="100"/>
          <w:position w:val="0"/>
        </w:rPr>
        <w:t>产业见证了信息技术云化、数据资产化、业务互联网化这三大趋势，发端于青萍 之末，燃烧成燎原之火。和我们的客户一起，天玑科技面临着意义深远的转型。同样在这几年内，天玑科 技通过控股复深蓝，踏入软件开发测试领域，又通过自主研发，打造出数据库云平台等产品；天玑科技传 统的</w:t>
      </w:r>
      <w:r>
        <w:rPr>
          <w:rFonts w:ascii="Times New Roman" w:eastAsia="Times New Roman" w:hAnsi="Times New Roman" w:cs="Times New Roman"/>
          <w:color w:val="000000"/>
          <w:spacing w:val="0"/>
          <w:w w:val="100"/>
          <w:position w:val="0"/>
        </w:rPr>
        <w:t>“</w:t>
      </w:r>
      <w:r>
        <w:rPr>
          <w:color w:val="000000"/>
          <w:spacing w:val="0"/>
          <w:w w:val="100"/>
          <w:position w:val="0"/>
        </w:rPr>
        <w:t>整体运维专家</w:t>
      </w:r>
      <w:r>
        <w:rPr>
          <w:rFonts w:ascii="Times New Roman" w:eastAsia="Times New Roman" w:hAnsi="Times New Roman" w:cs="Times New Roman"/>
          <w:color w:val="000000"/>
          <w:spacing w:val="0"/>
          <w:w w:val="100"/>
          <w:position w:val="0"/>
        </w:rPr>
        <w:t>''</w:t>
      </w:r>
      <w:r>
        <w:rPr>
          <w:color w:val="000000"/>
          <w:spacing w:val="0"/>
          <w:w w:val="100"/>
          <w:position w:val="0"/>
        </w:rPr>
        <w:t>定位，已经不能完全满足客户和市场的需求，也不能反映我们的整体实力。</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天玑科技在今后五年的战略定位将是：</w:t>
      </w:r>
      <w:r>
        <w:rPr>
          <w:rFonts w:ascii="Times New Roman" w:eastAsia="Times New Roman" w:hAnsi="Times New Roman" w:cs="Times New Roman"/>
          <w:color w:val="000000"/>
          <w:spacing w:val="0"/>
          <w:w w:val="100"/>
          <w:position w:val="0"/>
        </w:rPr>
        <w:t>“IT</w:t>
      </w:r>
      <w:r>
        <w:rPr>
          <w:color w:val="000000"/>
          <w:spacing w:val="0"/>
          <w:w w:val="100"/>
          <w:position w:val="0"/>
        </w:rPr>
        <w:t>架构国产化的开路先锋</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国内大型企业的数据中心，正处于从国外厂商主导的传统架构向互联网架构的转型进程中。</w:t>
      </w: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 xml:space="preserve">'' </w:t>
      </w:r>
      <w:r>
        <w:rPr>
          <w:color w:val="000000"/>
          <w:spacing w:val="0"/>
          <w:w w:val="100"/>
          <w:position w:val="0"/>
        </w:rPr>
        <w:t>事件后，信息安全上升到国家战略高度，</w:t>
      </w:r>
      <w:r>
        <w:rPr>
          <w:rFonts w:ascii="Times New Roman" w:eastAsia="Times New Roman" w:hAnsi="Times New Roman" w:cs="Times New Roman"/>
          <w:color w:val="000000"/>
          <w:spacing w:val="0"/>
          <w:w w:val="100"/>
          <w:position w:val="0"/>
        </w:rPr>
        <w:t>IT</w:t>
      </w:r>
      <w:r>
        <w:rPr>
          <w:color w:val="000000"/>
          <w:spacing w:val="0"/>
          <w:w w:val="100"/>
          <w:position w:val="0"/>
        </w:rPr>
        <w:t>基础架构国产化明显加速。天玑科技以第三方服务起家，没有 羁绊与包袱，使得我们可以放手一搏，利用云计算、大数据等源于互联网的先进技术，推出创新的产品和 服务，为我们的企业客户及时升级和加固其</w:t>
      </w:r>
      <w:r>
        <w:rPr>
          <w:rFonts w:ascii="Times New Roman" w:eastAsia="Times New Roman" w:hAnsi="Times New Roman" w:cs="Times New Roman"/>
          <w:color w:val="000000"/>
          <w:spacing w:val="0"/>
          <w:w w:val="100"/>
          <w:position w:val="0"/>
        </w:rPr>
        <w:t>IT</w:t>
      </w:r>
      <w:r>
        <w:rPr>
          <w:color w:val="000000"/>
          <w:spacing w:val="0"/>
          <w:w w:val="100"/>
          <w:position w:val="0"/>
        </w:rPr>
        <w:t>架构。</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shd w:val="clear" w:color="auto" w:fill="FFFFFF"/>
        </w:rPr>
        <w:t>这意味着，天玑科技将完成三方面的转型：一、从传统</w:t>
      </w:r>
      <w:r>
        <w:rPr>
          <w:rFonts w:ascii="Times New Roman" w:eastAsia="Times New Roman" w:hAnsi="Times New Roman" w:cs="Times New Roman"/>
          <w:color w:val="000000"/>
          <w:spacing w:val="0"/>
          <w:w w:val="100"/>
          <w:position w:val="0"/>
          <w:shd w:val="clear" w:color="auto" w:fill="FFFFFF"/>
        </w:rPr>
        <w:t>IT</w:t>
      </w:r>
      <w:r>
        <w:rPr>
          <w:color w:val="000000"/>
          <w:spacing w:val="0"/>
          <w:w w:val="100"/>
          <w:position w:val="0"/>
          <w:shd w:val="clear" w:color="auto" w:fill="FFFFFF"/>
        </w:rPr>
        <w:t>架构的专家，演进成为互联网架构的专家；</w:t>
      </w:r>
    </w:p>
    <w:p>
      <w:pPr>
        <w:pStyle w:val="Style40"/>
        <w:keepNext w:val="0"/>
        <w:keepLines w:val="0"/>
        <w:widowControl w:val="0"/>
        <w:shd w:val="clear" w:color="auto" w:fill="auto"/>
        <w:bidi w:val="0"/>
        <w:spacing w:before="0" w:after="0" w:line="469" w:lineRule="exact"/>
        <w:ind w:left="0" w:right="0" w:firstLine="0"/>
        <w:jc w:val="both"/>
      </w:pPr>
      <w:bookmarkStart w:id="181" w:name="bookmark181"/>
      <w:r>
        <w:rPr>
          <w:color w:val="000000"/>
          <w:spacing w:val="0"/>
          <w:w w:val="100"/>
          <w:position w:val="0"/>
        </w:rPr>
        <w:t>二</w:t>
      </w:r>
      <w:bookmarkEnd w:id="181"/>
      <w:r>
        <w:rPr>
          <w:color w:val="000000"/>
          <w:spacing w:val="0"/>
          <w:w w:val="100"/>
          <w:position w:val="0"/>
        </w:rPr>
        <w:t>、从纯粹的服务供应商，演进成为产品和服务的提供商；三、从</w:t>
      </w:r>
      <w:r>
        <w:rPr>
          <w:rFonts w:ascii="Times New Roman" w:eastAsia="Times New Roman" w:hAnsi="Times New Roman" w:cs="Times New Roman"/>
          <w:color w:val="000000"/>
          <w:spacing w:val="0"/>
          <w:w w:val="100"/>
          <w:position w:val="0"/>
        </w:rPr>
        <w:t>“</w:t>
      </w:r>
      <w:r>
        <w:rPr>
          <w:color w:val="000000"/>
          <w:spacing w:val="0"/>
          <w:w w:val="100"/>
          <w:position w:val="0"/>
        </w:rPr>
        <w:t>海外制造</w:t>
      </w:r>
      <w:r>
        <w:rPr>
          <w:rFonts w:ascii="Times New Roman" w:eastAsia="Times New Roman" w:hAnsi="Times New Roman" w:cs="Times New Roman"/>
          <w:color w:val="000000"/>
          <w:spacing w:val="0"/>
          <w:w w:val="100"/>
          <w:position w:val="0"/>
        </w:rPr>
        <w:t>''</w:t>
      </w:r>
      <w:r>
        <w:rPr>
          <w:color w:val="000000"/>
          <w:spacing w:val="0"/>
          <w:w w:val="100"/>
          <w:position w:val="0"/>
        </w:rPr>
        <w:t>的参与者，演进成为</w:t>
      </w:r>
      <w:r>
        <w:rPr>
          <w:rFonts w:ascii="Times New Roman" w:eastAsia="Times New Roman" w:hAnsi="Times New Roman" w:cs="Times New Roman"/>
          <w:color w:val="000000"/>
          <w:spacing w:val="0"/>
          <w:w w:val="100"/>
          <w:position w:val="0"/>
        </w:rPr>
        <w:t>“</w:t>
      </w:r>
      <w:r>
        <w:rPr>
          <w:color w:val="000000"/>
          <w:spacing w:val="0"/>
          <w:w w:val="100"/>
          <w:position w:val="0"/>
        </w:rPr>
        <w:t>中国智 造''的实践者，基于自主知识产权为客户提供产品与解决方案。</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转型是巨大的挑战，但我们有信心。我们的信心源自行业大势与自身优势。</w:t>
      </w:r>
      <w:r>
        <w:rPr>
          <w:rFonts w:ascii="Times New Roman" w:eastAsia="Times New Roman" w:hAnsi="Times New Roman" w:cs="Times New Roman"/>
          <w:color w:val="000000"/>
          <w:spacing w:val="0"/>
          <w:w w:val="100"/>
          <w:position w:val="0"/>
        </w:rPr>
        <w:t>IT</w:t>
      </w:r>
      <w:r>
        <w:rPr>
          <w:color w:val="000000"/>
          <w:spacing w:val="0"/>
          <w:w w:val="100"/>
          <w:position w:val="0"/>
        </w:rPr>
        <w:t>架构转型是世界范围内 不可逆转的趋势，而</w:t>
      </w:r>
      <w:r>
        <w:rPr>
          <w:rFonts w:ascii="Times New Roman" w:eastAsia="Times New Roman" w:hAnsi="Times New Roman" w:cs="Times New Roman"/>
          <w:color w:val="000000"/>
          <w:spacing w:val="0"/>
          <w:w w:val="100"/>
          <w:position w:val="0"/>
        </w:rPr>
        <w:t>IT</w:t>
      </w:r>
      <w:r>
        <w:rPr>
          <w:color w:val="000000"/>
          <w:spacing w:val="0"/>
          <w:w w:val="100"/>
          <w:position w:val="0"/>
        </w:rPr>
        <w:t>国产化进程为国内企业提供了不可多得的良机。天玑科技作为第三方服务商，历来 贴近客户，了解市场需求，熟悉基础架构的技术发展。在今后几年内，我们将加大研发投入，激活内部创 业机制，同时加强与客户的全面合作，以开放、进取、务实的态度完成战略落地。</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数据库云平台是天玑科技新战略的一个起点。数据库要求高性能、高可靠性，往往会成为数据中心的 性能瓶颈，也是虚拟化、云化的难点所在。我们针对数据库应用场景，使用分布式技术，将标准化的</w:t>
      </w:r>
      <w:r>
        <w:rPr>
          <w:rFonts w:ascii="Times New Roman" w:eastAsia="Times New Roman" w:hAnsi="Times New Roman" w:cs="Times New Roman"/>
          <w:color w:val="000000"/>
          <w:spacing w:val="0"/>
          <w:w w:val="100"/>
          <w:position w:val="0"/>
        </w:rPr>
        <w:t xml:space="preserve">X86 </w:t>
      </w:r>
      <w:r>
        <w:rPr>
          <w:color w:val="000000"/>
          <w:spacing w:val="0"/>
          <w:w w:val="100"/>
          <w:position w:val="0"/>
        </w:rPr>
        <w:t>计算和存储部件，融合成可动态扩展的高性能资源池，对下整合、优化硬件资源，解决性能问题；对上开 放、高效地支撑各种数据库软件，解决部署灵活性问题。这是天玑科技多年服务经验和技术探索厚积薄发 的产物。以此为基点，我们将陆续推出更多的基础架构产品。</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天玑科技的抱负不限于基础架构。我们看到，</w:t>
      </w:r>
      <w:r>
        <w:rPr>
          <w:rFonts w:ascii="Times New Roman" w:eastAsia="Times New Roman" w:hAnsi="Times New Roman" w:cs="Times New Roman"/>
          <w:color w:val="000000"/>
          <w:spacing w:val="0"/>
          <w:w w:val="100"/>
          <w:position w:val="0"/>
        </w:rPr>
        <w:t>MySQL</w:t>
      </w:r>
      <w:r>
        <w:rPr>
          <w:color w:val="000000"/>
          <w:spacing w:val="0"/>
          <w:w w:val="100"/>
          <w:position w:val="0"/>
        </w:rPr>
        <w:t>和</w:t>
      </w:r>
      <w:r>
        <w:rPr>
          <w:rFonts w:ascii="Times New Roman" w:eastAsia="Times New Roman" w:hAnsi="Times New Roman" w:cs="Times New Roman"/>
          <w:color w:val="000000"/>
          <w:spacing w:val="0"/>
          <w:w w:val="100"/>
          <w:position w:val="0"/>
        </w:rPr>
        <w:t>Hadoop</w:t>
      </w:r>
      <w:r>
        <w:rPr>
          <w:color w:val="000000"/>
          <w:spacing w:val="0"/>
          <w:w w:val="100"/>
          <w:position w:val="0"/>
        </w:rPr>
        <w:t>等开源数据处理技术正在全球各地发 展壮大，并逐步蚕食传统商业数据库的市场份额。通过向互联网行业引入技术和人才，我们有可能为国内 企业客户提供完整的新一代数据架构，高效低成本地涵盖海量交易处理、大数据分析乃至实时数据处理等 场景，以支撑企业的业务发展与数据运营。</w:t>
      </w:r>
      <w:r>
        <w:rPr>
          <w:color w:val="000000"/>
          <w:spacing w:val="0"/>
          <w:w w:val="100"/>
          <w:position w:val="0"/>
        </w:rPr>
        <w:t>2014</w:t>
      </w:r>
      <w:r>
        <w:rPr>
          <w:color w:val="000000"/>
          <w:spacing w:val="0"/>
          <w:w w:val="100"/>
          <w:position w:val="0"/>
        </w:rPr>
        <w:t>年开始，我们将加紧这方面的提前布局。</w:t>
      </w:r>
    </w:p>
    <w:p>
      <w:pPr>
        <w:pStyle w:val="Style33"/>
        <w:keepNext/>
        <w:keepLines/>
        <w:widowControl w:val="0"/>
        <w:shd w:val="clear" w:color="auto" w:fill="auto"/>
        <w:bidi w:val="0"/>
        <w:spacing w:before="0" w:after="0" w:line="469" w:lineRule="exact"/>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三）经营计划</w:t>
      </w:r>
      <w:bookmarkEnd w:id="182"/>
      <w:bookmarkEnd w:id="183"/>
      <w:bookmarkEnd w:id="185"/>
    </w:p>
    <w:p>
      <w:pPr>
        <w:pStyle w:val="Style40"/>
        <w:keepNext w:val="0"/>
        <w:keepLines w:val="0"/>
        <w:widowControl w:val="0"/>
        <w:shd w:val="clear" w:color="auto" w:fill="auto"/>
        <w:tabs>
          <w:tab w:pos="314" w:val="left"/>
        </w:tabs>
        <w:bidi w:val="0"/>
        <w:spacing w:before="0" w:after="0" w:line="469" w:lineRule="exact"/>
        <w:ind w:left="0" w:right="0" w:firstLine="0"/>
        <w:jc w:val="left"/>
      </w:pPr>
      <w:bookmarkStart w:id="186" w:name="bookmark186"/>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战略转型。天玑科技在今后五年的战略定位为：“亶架构国产化的开路先锋”。公司将完成三方面的 转型：一、从传统</w:t>
      </w:r>
      <w:r>
        <w:rPr>
          <w:color w:val="000000"/>
          <w:spacing w:val="0"/>
          <w:w w:val="100"/>
          <w:position w:val="0"/>
        </w:rPr>
        <w:t>IT</w:t>
      </w:r>
      <w:r>
        <w:rPr>
          <w:color w:val="000000"/>
          <w:spacing w:val="0"/>
          <w:w w:val="100"/>
          <w:position w:val="0"/>
        </w:rPr>
        <w:t>架构的专家，演进成为互联网架构的专家；二、从纯粹的服务供应商，演进成为产品 和服务的提供商；三、从“海外制造”的参与者，演进成为“中国智造”的实践者，基于自主知识产权为 客户提供解决方案。</w:t>
      </w:r>
    </w:p>
    <w:p>
      <w:pPr>
        <w:pStyle w:val="Style40"/>
        <w:keepNext w:val="0"/>
        <w:keepLines w:val="0"/>
        <w:widowControl w:val="0"/>
        <w:shd w:val="clear" w:color="auto" w:fill="auto"/>
        <w:tabs>
          <w:tab w:pos="314" w:val="left"/>
        </w:tabs>
        <w:bidi w:val="0"/>
        <w:spacing w:before="0" w:after="0" w:line="469" w:lineRule="exact"/>
        <w:ind w:left="0" w:right="0" w:firstLine="0"/>
        <w:jc w:val="left"/>
      </w:pPr>
      <w:bookmarkStart w:id="187" w:name="bookmark187"/>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产品研发。公司将继续加大研发投入，创新研发管理体系和奖励体系，建立研发人员培养的长效机制, 不断加强技术创新，完善公司产品结构和产品布局。</w:t>
      </w:r>
      <w:r>
        <w:rPr>
          <w:rFonts w:ascii="Times New Roman" w:eastAsia="Times New Roman" w:hAnsi="Times New Roman" w:cs="Times New Roman"/>
          <w:color w:val="000000"/>
          <w:spacing w:val="0"/>
          <w:w w:val="100"/>
          <w:position w:val="0"/>
        </w:rPr>
        <w:t>2014</w:t>
      </w:r>
      <w:r>
        <w:rPr>
          <w:color w:val="000000"/>
          <w:spacing w:val="0"/>
          <w:w w:val="100"/>
          <w:position w:val="0"/>
        </w:rPr>
        <w:t>年将着重推出数据库云平台系列产品，另将对公 司内部各项业务支撑系统的性能予以提升，包含</w:t>
      </w:r>
      <w:r>
        <w:rPr>
          <w:rFonts w:ascii="Times New Roman" w:eastAsia="Times New Roman" w:hAnsi="Times New Roman" w:cs="Times New Roman"/>
          <w:color w:val="000000"/>
          <w:spacing w:val="0"/>
          <w:w w:val="100"/>
          <w:position w:val="0"/>
        </w:rPr>
        <w:t>ERP</w:t>
      </w:r>
      <w:r>
        <w:rPr>
          <w:color w:val="000000"/>
          <w:spacing w:val="0"/>
          <w:w w:val="100"/>
          <w:position w:val="0"/>
        </w:rPr>
        <w:t>工单、报表工具落地；财务及人事相关</w:t>
      </w:r>
      <w:r>
        <w:rPr>
          <w:rFonts w:ascii="Times New Roman" w:eastAsia="Times New Roman" w:hAnsi="Times New Roman" w:cs="Times New Roman"/>
          <w:color w:val="000000"/>
          <w:spacing w:val="0"/>
          <w:w w:val="100"/>
          <w:position w:val="0"/>
        </w:rPr>
        <w:t>ERP</w:t>
      </w:r>
      <w:r>
        <w:rPr>
          <w:color w:val="000000"/>
          <w:spacing w:val="0"/>
          <w:w w:val="100"/>
          <w:position w:val="0"/>
        </w:rPr>
        <w:t>管理模块 功能实现等。同时积极整合与复深蓝的协同效应，有效发挥复深蓝的软件研发能力，不断将研发项目产品 化，以进一步提高公司核心竞争力。</w:t>
      </w:r>
    </w:p>
    <w:p>
      <w:pPr>
        <w:pStyle w:val="Style40"/>
        <w:keepNext w:val="0"/>
        <w:keepLines w:val="0"/>
        <w:widowControl w:val="0"/>
        <w:shd w:val="clear" w:color="auto" w:fill="auto"/>
        <w:tabs>
          <w:tab w:pos="314" w:val="left"/>
        </w:tabs>
        <w:bidi w:val="0"/>
        <w:spacing w:before="0" w:after="0" w:line="469" w:lineRule="exact"/>
        <w:ind w:left="0" w:right="0" w:firstLine="0"/>
        <w:jc w:val="left"/>
      </w:pPr>
      <w:bookmarkStart w:id="188" w:name="bookmark188"/>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市场拓展。</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年将继续加强销售团队及营销网络的建设，抓住技术产品国产化，以及云计算、大数 据的广泛应用等方面的机遇，推动公司销售业绩的进一步提升；加大对各细分下游行业的研究，充分挖掘 公司具有竞争优势的细分市场，形成在细分市场领域的强大竞争优势，使公司有核心竞争力的产品在细分 市场领域占据绝对的市场地位；加速全国销售区域的扩展，根据公司业务发展需要，积极开拓新的市场。 </w:t>
      </w:r>
      <w:r>
        <w:rPr>
          <w:color w:val="000000"/>
          <w:spacing w:val="0"/>
          <w:w w:val="100"/>
          <w:position w:val="0"/>
        </w:rPr>
        <w:t>提升现有客户（尤其是</w:t>
      </w:r>
      <w:r>
        <w:rPr>
          <w:color w:val="000000"/>
          <w:spacing w:val="0"/>
          <w:w w:val="100"/>
          <w:position w:val="0"/>
        </w:rPr>
        <w:t>VIP</w:t>
      </w:r>
      <w:r>
        <w:rPr>
          <w:color w:val="000000"/>
          <w:spacing w:val="0"/>
          <w:w w:val="100"/>
          <w:position w:val="0"/>
        </w:rPr>
        <w:t>客户）的满意度，并结合公司的创新型业务，挖掘新的大客户，并为之持续创 造更多价值。</w:t>
      </w:r>
    </w:p>
    <w:p>
      <w:pPr>
        <w:pStyle w:val="Style40"/>
        <w:keepNext w:val="0"/>
        <w:keepLines w:val="0"/>
        <w:widowControl w:val="0"/>
        <w:shd w:val="clear" w:color="auto" w:fill="auto"/>
        <w:tabs>
          <w:tab w:pos="387" w:val="left"/>
        </w:tabs>
        <w:bidi w:val="0"/>
        <w:spacing w:before="0" w:after="0" w:line="474" w:lineRule="exact"/>
        <w:ind w:left="0" w:right="0" w:firstLine="0"/>
        <w:jc w:val="both"/>
      </w:pPr>
      <w:bookmarkStart w:id="189" w:name="bookmark189"/>
      <w:r>
        <w:rPr>
          <w:rFonts w:ascii="Times New Roman" w:eastAsia="Times New Roman" w:hAnsi="Times New Roman" w:cs="Times New Roman"/>
          <w:color w:val="000000"/>
          <w:spacing w:val="0"/>
          <w:w w:val="100"/>
          <w:position w:val="0"/>
        </w:rPr>
        <w:t>4</w:t>
      </w:r>
      <w:bookmarkEnd w:id="189"/>
      <w:r>
        <w:rPr>
          <w:color w:val="000000"/>
          <w:spacing w:val="0"/>
          <w:w w:val="100"/>
          <w:position w:val="0"/>
        </w:rPr>
        <w:t>、</w:t>
        <w:tab/>
        <w:t>成本控制。</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年公司将继续加强成本预算管理，最大限度的降低成本并提高效率。通过编制预算、 培训、宣传，强化全体员工节约意识，加强对管理费用和销售费用的控制，严格控制成本。</w:t>
      </w:r>
    </w:p>
    <w:p>
      <w:pPr>
        <w:pStyle w:val="Style40"/>
        <w:keepNext w:val="0"/>
        <w:keepLines w:val="0"/>
        <w:widowControl w:val="0"/>
        <w:shd w:val="clear" w:color="auto" w:fill="auto"/>
        <w:tabs>
          <w:tab w:pos="387" w:val="left"/>
        </w:tabs>
        <w:bidi w:val="0"/>
        <w:spacing w:before="0" w:after="0" w:line="474" w:lineRule="exact"/>
        <w:ind w:left="0" w:right="0" w:firstLine="0"/>
        <w:jc w:val="both"/>
      </w:pPr>
      <w:bookmarkStart w:id="190" w:name="bookmark190"/>
      <w:r>
        <w:rPr>
          <w:rFonts w:ascii="Times New Roman" w:eastAsia="Times New Roman" w:hAnsi="Times New Roman" w:cs="Times New Roman"/>
          <w:color w:val="000000"/>
          <w:spacing w:val="0"/>
          <w:w w:val="100"/>
          <w:position w:val="0"/>
        </w:rPr>
        <w:t>5</w:t>
      </w:r>
      <w:bookmarkEnd w:id="190"/>
      <w:r>
        <w:rPr>
          <w:color w:val="000000"/>
          <w:spacing w:val="0"/>
          <w:w w:val="100"/>
          <w:position w:val="0"/>
        </w:rPr>
        <w:t>、</w:t>
        <w:tab/>
        <w:t>现金流管理。公司将继续严格现金流的预算工作，加强对应收账款的管理，严格控制应收账款的额度 和账龄，对应收账款的质量和回收情况进行有效监控，进一步保障应收账款的可回收性，有效地进行资金 的平衡、调度，保持良好的偿债能力与尽可能提高盈利能力的协调、统一，确保公司现金流的稳健，防范 现金流风险。</w:t>
      </w:r>
    </w:p>
    <w:p>
      <w:pPr>
        <w:pStyle w:val="Style40"/>
        <w:keepNext w:val="0"/>
        <w:keepLines w:val="0"/>
        <w:widowControl w:val="0"/>
        <w:shd w:val="clear" w:color="auto" w:fill="auto"/>
        <w:tabs>
          <w:tab w:pos="387" w:val="left"/>
        </w:tabs>
        <w:bidi w:val="0"/>
        <w:spacing w:before="0" w:after="0" w:line="474" w:lineRule="exact"/>
        <w:ind w:left="0" w:right="0" w:firstLine="0"/>
        <w:jc w:val="both"/>
      </w:pPr>
      <w:bookmarkStart w:id="191" w:name="bookmark191"/>
      <w:r>
        <w:rPr>
          <w:rFonts w:ascii="Times New Roman" w:eastAsia="Times New Roman" w:hAnsi="Times New Roman" w:cs="Times New Roman"/>
          <w:color w:val="000000"/>
          <w:spacing w:val="0"/>
          <w:w w:val="100"/>
          <w:position w:val="0"/>
        </w:rPr>
        <w:t>6</w:t>
      </w:r>
      <w:bookmarkEnd w:id="191"/>
      <w:r>
        <w:rPr>
          <w:color w:val="000000"/>
          <w:spacing w:val="0"/>
          <w:w w:val="100"/>
          <w:position w:val="0"/>
        </w:rPr>
        <w:t>、</w:t>
        <w:tab/>
        <w:t>绩效考核。公司将推行全员半年度、年度绩效考核制度，不断完善公司考核体系，落实考核责任，促 进员工工作绩效和公司整体管理绩效的提高。</w:t>
      </w:r>
    </w:p>
    <w:p>
      <w:pPr>
        <w:pStyle w:val="Style40"/>
        <w:keepNext w:val="0"/>
        <w:keepLines w:val="0"/>
        <w:widowControl w:val="0"/>
        <w:shd w:val="clear" w:color="auto" w:fill="auto"/>
        <w:bidi w:val="0"/>
        <w:spacing w:before="0" w:after="0" w:line="477" w:lineRule="exact"/>
        <w:ind w:left="0" w:right="0" w:firstLine="0"/>
        <w:jc w:val="both"/>
      </w:pPr>
      <w:bookmarkStart w:id="192" w:name="bookmark192"/>
      <w:r>
        <w:rPr>
          <w:rFonts w:ascii="Times New Roman" w:eastAsia="Times New Roman" w:hAnsi="Times New Roman" w:cs="Times New Roman"/>
          <w:color w:val="000000"/>
          <w:spacing w:val="0"/>
          <w:w w:val="100"/>
          <w:position w:val="0"/>
        </w:rPr>
        <w:t>7</w:t>
      </w:r>
      <w:bookmarkEnd w:id="192"/>
      <w:r>
        <w:rPr>
          <w:color w:val="000000"/>
          <w:spacing w:val="0"/>
          <w:w w:val="100"/>
          <w:position w:val="0"/>
        </w:rPr>
        <w:t>、 内控建设。公司将继续推进</w:t>
      </w:r>
      <w:r>
        <w:rPr>
          <w:rFonts w:ascii="Times New Roman" w:eastAsia="Times New Roman" w:hAnsi="Times New Roman" w:cs="Times New Roman"/>
          <w:color w:val="000000"/>
          <w:spacing w:val="0"/>
          <w:w w:val="100"/>
          <w:position w:val="0"/>
        </w:rPr>
        <w:t>ERP</w:t>
      </w:r>
      <w:r>
        <w:rPr>
          <w:color w:val="000000"/>
          <w:spacing w:val="0"/>
          <w:w w:val="100"/>
          <w:position w:val="0"/>
        </w:rPr>
        <w:t>系统建设，加大内部审计力度，加强内部控制教育和培训，深入提高员 工对风险控制的意识；定期进行内部控制的自查和审计检查，改进和完善内控执行中的问题，严格公司自 身的内控评价体系实施，增强公司抗风险管理能力。</w:t>
      </w:r>
    </w:p>
    <w:p>
      <w:pPr>
        <w:pStyle w:val="Style40"/>
        <w:keepNext w:val="0"/>
        <w:keepLines w:val="0"/>
        <w:widowControl w:val="0"/>
        <w:shd w:val="clear" w:color="auto" w:fill="auto"/>
        <w:tabs>
          <w:tab w:pos="387" w:val="left"/>
        </w:tabs>
        <w:bidi w:val="0"/>
        <w:spacing w:before="0" w:after="440" w:line="477" w:lineRule="exact"/>
        <w:ind w:left="0" w:right="0" w:firstLine="0"/>
        <w:jc w:val="both"/>
      </w:pPr>
      <w:bookmarkStart w:id="193" w:name="bookmark193"/>
      <w:r>
        <w:rPr>
          <w:rFonts w:ascii="Times New Roman" w:eastAsia="Times New Roman" w:hAnsi="Times New Roman" w:cs="Times New Roman"/>
          <w:color w:val="000000"/>
          <w:spacing w:val="0"/>
          <w:w w:val="100"/>
          <w:position w:val="0"/>
        </w:rPr>
        <w:t>8</w:t>
      </w:r>
      <w:bookmarkEnd w:id="193"/>
      <w:r>
        <w:rPr>
          <w:color w:val="000000"/>
          <w:spacing w:val="0"/>
          <w:w w:val="100"/>
          <w:position w:val="0"/>
        </w:rPr>
        <w:t>、</w:t>
        <w:tab/>
        <w:t>资源整合。公司将利用上市公司平台进行资源挖掘、整合，充分整合优势资源，完善产业布局，提高 公司效益，实现企业快速发展。</w:t>
      </w:r>
    </w:p>
    <w:p>
      <w:pPr>
        <w:pStyle w:val="Style27"/>
        <w:keepNext/>
        <w:keepLines/>
        <w:widowControl w:val="0"/>
        <w:shd w:val="clear" w:color="auto" w:fill="auto"/>
        <w:tabs>
          <w:tab w:pos="522" w:val="left"/>
        </w:tabs>
        <w:bidi w:val="0"/>
        <w:spacing w:before="0" w:after="12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三</w:t>
      </w:r>
      <w:bookmarkEnd w:id="196"/>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94"/>
      <w:bookmarkEnd w:id="195"/>
      <w:bookmarkEnd w:id="197"/>
    </w:p>
    <w:p>
      <w:pPr>
        <w:pStyle w:val="Style29"/>
        <w:keepNext w:val="0"/>
        <w:keepLines w:val="0"/>
        <w:widowControl w:val="0"/>
        <w:shd w:val="clear" w:color="auto" w:fill="auto"/>
        <w:bidi w:val="0"/>
        <w:spacing w:before="0" w:after="380" w:line="467" w:lineRule="exact"/>
        <w:ind w:left="0" w:right="0" w:firstLine="0"/>
        <w:jc w:val="both"/>
      </w:pPr>
      <w:r>
        <w:rPr>
          <w:color w:val="000000"/>
          <w:spacing w:val="0"/>
          <w:w w:val="100"/>
          <w:position w:val="0"/>
        </w:rPr>
        <w:t>不适用</w:t>
      </w:r>
    </w:p>
    <w:p>
      <w:pPr>
        <w:pStyle w:val="Style27"/>
        <w:keepNext/>
        <w:keepLines/>
        <w:widowControl w:val="0"/>
        <w:shd w:val="clear" w:color="auto" w:fill="auto"/>
        <w:tabs>
          <w:tab w:pos="522" w:val="left"/>
        </w:tabs>
        <w:bidi w:val="0"/>
        <w:spacing w:before="0" w:after="120" w:line="240" w:lineRule="auto"/>
        <w:ind w:left="0" w:right="0" w:firstLine="0"/>
        <w:jc w:val="both"/>
      </w:pPr>
      <w:bookmarkStart w:id="198" w:name="bookmark198"/>
      <w:bookmarkStart w:id="199" w:name="bookmark199"/>
      <w:bookmarkStart w:id="200" w:name="bookmark200"/>
      <w:bookmarkStart w:id="201" w:name="bookmark201"/>
      <w:r>
        <w:rPr>
          <w:color w:val="000000"/>
          <w:spacing w:val="0"/>
          <w:w w:val="100"/>
          <w:position w:val="0"/>
        </w:rPr>
        <w:t>四</w:t>
      </w:r>
      <w:bookmarkEnd w:id="200"/>
      <w:r>
        <w:rPr>
          <w:color w:val="000000"/>
          <w:spacing w:val="0"/>
          <w:w w:val="100"/>
          <w:position w:val="0"/>
        </w:rPr>
        <w:t>、</w:t>
        <w:tab/>
        <w:t>董事会关于报告期会计政策、会计估计变更或重要前期差错更正的说明</w:t>
      </w:r>
      <w:bookmarkEnd w:id="198"/>
      <w:bookmarkEnd w:id="199"/>
      <w:bookmarkEnd w:id="201"/>
    </w:p>
    <w:p>
      <w:pPr>
        <w:pStyle w:val="Style29"/>
        <w:keepNext w:val="0"/>
        <w:keepLines w:val="0"/>
        <w:widowControl w:val="0"/>
        <w:shd w:val="clear" w:color="auto" w:fill="auto"/>
        <w:bidi w:val="0"/>
        <w:spacing w:before="0" w:after="380" w:line="467" w:lineRule="exact"/>
        <w:ind w:left="0" w:right="0" w:firstLine="0"/>
        <w:jc w:val="both"/>
      </w:pP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五</w:t>
      </w:r>
      <w:bookmarkEnd w:id="204"/>
      <w:r>
        <w:rPr>
          <w:color w:val="000000"/>
          <w:spacing w:val="0"/>
          <w:w w:val="100"/>
          <w:position w:val="0"/>
        </w:rPr>
        <w:t>、</w:t>
        <w:tab/>
        <w:t>公司利润分配及分红派息情况</w:t>
      </w:r>
      <w:bookmarkEnd w:id="202"/>
      <w:bookmarkEnd w:id="203"/>
      <w:bookmarkEnd w:id="205"/>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467" w:lineRule="exact"/>
        <w:ind w:left="0" w:right="0" w:firstLine="0"/>
        <w:jc w:val="both"/>
      </w:pPr>
      <w:r>
        <w:rPr>
          <w:color w:val="000000"/>
          <w:spacing w:val="0"/>
          <w:w w:val="100"/>
          <w:position w:val="0"/>
        </w:rPr>
        <w:t>根据公司章程的规定，公司采取现金、股票或者现金股票相结合的方式分配股利。如无重大投资计划或重 大现金支出发生，公司每年以现金方式分配的利润应不低于当年实现的可分配利润的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 度利润分配方案的执行情况如下：经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召开的公司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年度利润分配的预案》，以公司</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13,400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color w:val="000000"/>
          <w:spacing w:val="0"/>
          <w:w w:val="100"/>
          <w:position w:val="0"/>
        </w:rPr>
        <w:t>元 现金（含税），合计派发现金红利人民币</w:t>
      </w:r>
      <w:r>
        <w:rPr>
          <w:rFonts w:ascii="Times New Roman" w:eastAsia="Times New Roman" w:hAnsi="Times New Roman" w:cs="Times New Roman"/>
          <w:color w:val="000000"/>
          <w:spacing w:val="0"/>
          <w:w w:val="100"/>
          <w:position w:val="0"/>
        </w:rPr>
        <w:t>1,340</w:t>
      </w:r>
      <w:r>
        <w:rPr>
          <w:color w:val="000000"/>
          <w:spacing w:val="0"/>
          <w:w w:val="100"/>
          <w:position w:val="0"/>
        </w:rPr>
        <w:t>万元。该利润分配方案于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日执行完毕。</w:t>
      </w:r>
    </w:p>
    <w:p>
      <w:pPr>
        <w:pStyle w:val="Style29"/>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38" w:line="467" w:lineRule="exact"/>
        <w:ind w:left="0" w:right="0" w:firstLine="0"/>
        <w:jc w:val="center"/>
      </w:pPr>
      <w:r>
        <w:rPr>
          <w:color w:val="000000"/>
          <w:spacing w:val="0"/>
          <w:w w:val="100"/>
          <w:position w:val="0"/>
        </w:rPr>
        <w:t>现金分红政策的专项说明</w:t>
      </w:r>
      <w:r>
        <w:br w:type="page"/>
      </w:r>
    </w:p>
    <w:tbl>
      <w:tblPr>
        <w:tblOverlap w:val="never"/>
        <w:jc w:val="center"/>
        <w:tblLayout w:type="fixed"/>
      </w:tblPr>
      <w:tblGrid>
        <w:gridCol w:w="4234"/>
        <w:gridCol w:w="535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139,395,000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13,939,500.00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173,479,139.04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如无重大投资计划或重大现金支出发生，公司每年以现金方式分配的利润应不低于当年实现的可分配利润的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4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年度合并归属于母公司的净利润为人民币</w:t>
            </w:r>
            <w:r>
              <w:rPr>
                <w:rFonts w:ascii="Times New Roman" w:eastAsia="Times New Roman" w:hAnsi="Times New Roman" w:cs="Times New Roman"/>
                <w:color w:val="000000"/>
                <w:spacing w:val="0"/>
                <w:w w:val="100"/>
                <w:position w:val="0"/>
                <w:sz w:val="18"/>
                <w:szCs w:val="18"/>
              </w:rPr>
              <w:t>60,842,729.05</w:t>
            </w:r>
            <w:r>
              <w:rPr>
                <w:color w:val="000000"/>
                <w:spacing w:val="0"/>
                <w:w w:val="100"/>
                <w:position w:val="0"/>
              </w:rPr>
              <w:t>元，其中母公司的净利润为人民币</w:t>
            </w:r>
            <w:r>
              <w:rPr>
                <w:rFonts w:ascii="Times New Roman" w:eastAsia="Times New Roman" w:hAnsi="Times New Roman" w:cs="Times New Roman"/>
                <w:color w:val="000000"/>
                <w:spacing w:val="0"/>
                <w:w w:val="100"/>
                <w:position w:val="0"/>
                <w:sz w:val="18"/>
                <w:szCs w:val="18"/>
              </w:rPr>
              <w:t xml:space="preserve">60,705,317.79 </w:t>
            </w:r>
            <w:r>
              <w:rPr>
                <w:color w:val="000000"/>
                <w:spacing w:val="0"/>
                <w:w w:val="100"/>
                <w:position w:val="0"/>
              </w:rPr>
              <w:t>元，根据《公司法》及《公司章程》的相关规定，按母公司净利润的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提取法定盈余公积金人民币</w:t>
            </w:r>
            <w:r>
              <w:rPr>
                <w:rFonts w:ascii="Times New Roman" w:eastAsia="Times New Roman" w:hAnsi="Times New Roman" w:cs="Times New Roman"/>
                <w:color w:val="000000"/>
                <w:spacing w:val="0"/>
                <w:w w:val="100"/>
                <w:position w:val="0"/>
                <w:sz w:val="18"/>
                <w:szCs w:val="18"/>
              </w:rPr>
              <w:t>6,070,531.78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年度，母公司本期可供分配利润为人民币</w:t>
            </w:r>
            <w:r>
              <w:rPr>
                <w:rFonts w:ascii="Times New Roman" w:eastAsia="Times New Roman" w:hAnsi="Times New Roman" w:cs="Times New Roman"/>
                <w:color w:val="000000"/>
                <w:spacing w:val="0"/>
                <w:w w:val="100"/>
                <w:position w:val="0"/>
                <w:sz w:val="18"/>
                <w:szCs w:val="18"/>
              </w:rPr>
              <w:t>54,634,786.01</w:t>
            </w:r>
            <w:r>
              <w:rPr>
                <w:color w:val="000000"/>
                <w:spacing w:val="0"/>
                <w:w w:val="100"/>
                <w:position w:val="0"/>
              </w:rPr>
              <w:t>元，加年初未分配利润人民币</w:t>
            </w:r>
            <w:r>
              <w:rPr>
                <w:rFonts w:ascii="Times New Roman" w:eastAsia="Times New Roman" w:hAnsi="Times New Roman" w:cs="Times New Roman"/>
                <w:color w:val="000000"/>
                <w:spacing w:val="0"/>
                <w:w w:val="100"/>
                <w:position w:val="0"/>
                <w:sz w:val="18"/>
                <w:szCs w:val="18"/>
              </w:rPr>
              <w:t>132,244,353.03</w:t>
            </w:r>
            <w:r>
              <w:rPr>
                <w:color w:val="000000"/>
                <w:spacing w:val="0"/>
                <w:w w:val="100"/>
                <w:position w:val="0"/>
              </w:rPr>
              <w:t>元，减本年度分配 利润人民币</w:t>
            </w:r>
            <w:r>
              <w:rPr>
                <w:rFonts w:ascii="Times New Roman" w:eastAsia="Times New Roman" w:hAnsi="Times New Roman" w:cs="Times New Roman"/>
                <w:color w:val="000000"/>
                <w:spacing w:val="0"/>
                <w:w w:val="100"/>
                <w:position w:val="0"/>
                <w:sz w:val="18"/>
                <w:szCs w:val="18"/>
              </w:rPr>
              <w:t>13,400,000.00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日，可供股东分配的利润为人民币</w:t>
            </w:r>
            <w:r>
              <w:rPr>
                <w:rFonts w:ascii="Times New Roman" w:eastAsia="Times New Roman" w:hAnsi="Times New Roman" w:cs="Times New Roman"/>
                <w:color w:val="000000"/>
                <w:spacing w:val="0"/>
                <w:w w:val="100"/>
                <w:position w:val="0"/>
                <w:sz w:val="18"/>
                <w:szCs w:val="18"/>
              </w:rPr>
              <w:t>173,479,139.04</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139,530,000</w:t>
            </w:r>
            <w:r>
              <w:rPr>
                <w:color w:val="000000"/>
                <w:spacing w:val="0"/>
                <w:w w:val="100"/>
                <w:position w:val="0"/>
              </w:rPr>
              <w:t>股扣除经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日召开的第二届董事会第十三次临时董事会 审议通过的拟回购注销的限制性股票</w:t>
            </w:r>
            <w:r>
              <w:rPr>
                <w:rFonts w:ascii="Times New Roman" w:eastAsia="Times New Roman" w:hAnsi="Times New Roman" w:cs="Times New Roman"/>
                <w:color w:val="000000"/>
                <w:spacing w:val="0"/>
                <w:w w:val="100"/>
                <w:position w:val="0"/>
                <w:sz w:val="18"/>
                <w:szCs w:val="18"/>
              </w:rPr>
              <w:t>135,000</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139,395,000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股派发现金股利人民币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13,939,500.00</w:t>
            </w:r>
            <w:r>
              <w:rPr>
                <w:color w:val="000000"/>
                <w:spacing w:val="0"/>
                <w:w w:val="100"/>
                <w:position w:val="0"/>
              </w:rPr>
              <w:t>元；同时进行资本公积金转增股本，以</w:t>
            </w:r>
            <w:r>
              <w:rPr>
                <w:rFonts w:ascii="Times New Roman" w:eastAsia="Times New Roman" w:hAnsi="Times New Roman" w:cs="Times New Roman"/>
                <w:color w:val="000000"/>
                <w:spacing w:val="0"/>
                <w:w w:val="100"/>
                <w:position w:val="0"/>
                <w:sz w:val="18"/>
                <w:szCs w:val="18"/>
              </w:rPr>
              <w:t>139,395,000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41,818,500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181,213,500</w:t>
            </w:r>
            <w:r>
              <w:rPr>
                <w:color w:val="000000"/>
                <w:spacing w:val="0"/>
                <w:w w:val="100"/>
                <w:position w:val="0"/>
              </w:rPr>
              <w:t>股。</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40"/>
        <w:keepNext w:val="0"/>
        <w:keepLines w:val="0"/>
        <w:widowControl w:val="0"/>
        <w:shd w:val="clear" w:color="auto" w:fill="auto"/>
        <w:bidi w:val="0"/>
        <w:spacing w:before="0" w:after="0" w:line="466" w:lineRule="exact"/>
        <w:ind w:left="0" w:right="0" w:firstLine="0"/>
        <w:jc w:val="both"/>
      </w:pPr>
      <w:bookmarkStart w:id="206" w:name="bookmark206"/>
      <w:r>
        <w:rPr>
          <w:color w:val="000000"/>
          <w:spacing w:val="0"/>
          <w:w w:val="100"/>
          <w:position w:val="0"/>
        </w:rPr>
        <w:t>1</w:t>
      </w:r>
      <w:bookmarkEnd w:id="206"/>
      <w:r>
        <w:rPr>
          <w:color w:val="000000"/>
          <w:spacing w:val="0"/>
          <w:w w:val="100"/>
          <w:position w:val="0"/>
        </w:rPr>
        <w:t>、</w:t>
      </w:r>
      <w:r>
        <w:rPr>
          <w:color w:val="000000"/>
          <w:spacing w:val="0"/>
          <w:w w:val="100"/>
          <w:position w:val="0"/>
        </w:rPr>
        <w:t>2011</w:t>
      </w:r>
      <w:r>
        <w:rPr>
          <w:color w:val="000000"/>
          <w:spacing w:val="0"/>
          <w:w w:val="100"/>
          <w:position w:val="0"/>
        </w:rPr>
        <w:t>年度的利润分配情况</w:t>
      </w:r>
    </w:p>
    <w:p>
      <w:pPr>
        <w:pStyle w:val="Style40"/>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日公司</w:t>
      </w:r>
      <w:r>
        <w:rPr>
          <w:color w:val="000000"/>
          <w:spacing w:val="0"/>
          <w:w w:val="100"/>
          <w:position w:val="0"/>
        </w:rPr>
        <w:t>2011</w:t>
      </w:r>
      <w:r>
        <w:rPr>
          <w:color w:val="000000"/>
          <w:spacing w:val="0"/>
          <w:w w:val="100"/>
          <w:position w:val="0"/>
        </w:rPr>
        <w:t>年度股东大会审议并通过了《公司</w:t>
      </w:r>
      <w:r>
        <w:rPr>
          <w:color w:val="000000"/>
          <w:spacing w:val="0"/>
          <w:w w:val="100"/>
          <w:position w:val="0"/>
        </w:rPr>
        <w:t>2011</w:t>
      </w:r>
      <w:r>
        <w:rPr>
          <w:color w:val="000000"/>
          <w:spacing w:val="0"/>
          <w:w w:val="100"/>
          <w:position w:val="0"/>
        </w:rPr>
        <w:t>年度利润分配及公积金转增股本的预 案》，以公司总股本</w:t>
      </w:r>
      <w:r>
        <w:rPr>
          <w:color w:val="000000"/>
          <w:spacing w:val="0"/>
          <w:w w:val="100"/>
          <w:position w:val="0"/>
        </w:rPr>
        <w:t>67,000,000</w:t>
      </w:r>
      <w:r>
        <w:rPr>
          <w:color w:val="000000"/>
          <w:spacing w:val="0"/>
          <w:w w:val="100"/>
          <w:position w:val="0"/>
        </w:rPr>
        <w:t>股为基数，向全体股东以每</w:t>
      </w:r>
      <w:r>
        <w:rPr>
          <w:color w:val="000000"/>
          <w:spacing w:val="0"/>
          <w:w w:val="100"/>
          <w:position w:val="0"/>
        </w:rPr>
        <w:t>10</w:t>
      </w:r>
      <w:r>
        <w:rPr>
          <w:color w:val="000000"/>
          <w:spacing w:val="0"/>
          <w:w w:val="100"/>
          <w:position w:val="0"/>
        </w:rPr>
        <w:t>股派人民币现金</w:t>
      </w:r>
      <w:r>
        <w:rPr>
          <w:color w:val="000000"/>
          <w:spacing w:val="0"/>
          <w:w w:val="100"/>
          <w:position w:val="0"/>
        </w:rPr>
        <w:t>2</w:t>
      </w:r>
      <w:r>
        <w:rPr>
          <w:color w:val="000000"/>
          <w:spacing w:val="0"/>
          <w:w w:val="100"/>
          <w:position w:val="0"/>
        </w:rPr>
        <w:t>元（含税），共分配现金 股利</w:t>
      </w:r>
      <w:r>
        <w:rPr>
          <w:color w:val="000000"/>
          <w:spacing w:val="0"/>
          <w:w w:val="100"/>
          <w:position w:val="0"/>
        </w:rPr>
        <w:t>1,340</w:t>
      </w:r>
      <w:r>
        <w:rPr>
          <w:color w:val="000000"/>
          <w:spacing w:val="0"/>
          <w:w w:val="100"/>
          <w:position w:val="0"/>
        </w:rPr>
        <w:t>万元，剩余未分配利润结转以后年度；同时，以资本公积金向全体股东每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 增</w:t>
      </w:r>
      <w:r>
        <w:rPr>
          <w:color w:val="000000"/>
          <w:spacing w:val="0"/>
          <w:w w:val="100"/>
          <w:position w:val="0"/>
        </w:rPr>
        <w:t>6,700</w:t>
      </w:r>
      <w:r>
        <w:rPr>
          <w:color w:val="000000"/>
          <w:spacing w:val="0"/>
          <w:w w:val="100"/>
          <w:position w:val="0"/>
        </w:rPr>
        <w:t>万股，转增后公司总股本将增加至</w:t>
      </w:r>
      <w:r>
        <w:rPr>
          <w:color w:val="000000"/>
          <w:spacing w:val="0"/>
          <w:w w:val="100"/>
          <w:position w:val="0"/>
        </w:rPr>
        <w:t>13,400</w:t>
      </w:r>
      <w:r>
        <w:rPr>
          <w:color w:val="000000"/>
          <w:spacing w:val="0"/>
          <w:w w:val="100"/>
          <w:position w:val="0"/>
        </w:rPr>
        <w:t>万股。</w:t>
      </w:r>
    </w:p>
    <w:p>
      <w:pPr>
        <w:pStyle w:val="Style40"/>
        <w:keepNext w:val="0"/>
        <w:keepLines w:val="0"/>
        <w:widowControl w:val="0"/>
        <w:shd w:val="clear" w:color="auto" w:fill="auto"/>
        <w:bidi w:val="0"/>
        <w:spacing w:before="0" w:after="0" w:line="473" w:lineRule="exact"/>
        <w:ind w:left="0" w:right="0" w:firstLine="0"/>
        <w:jc w:val="left"/>
      </w:pPr>
      <w:bookmarkStart w:id="207" w:name="bookmark207"/>
      <w:r>
        <w:rPr>
          <w:color w:val="000000"/>
          <w:spacing w:val="0"/>
          <w:w w:val="100"/>
          <w:position w:val="0"/>
        </w:rPr>
        <w:t>2</w:t>
      </w:r>
      <w:bookmarkEnd w:id="207"/>
      <w:r>
        <w:rPr>
          <w:color w:val="000000"/>
          <w:spacing w:val="0"/>
          <w:w w:val="100"/>
          <w:position w:val="0"/>
        </w:rPr>
        <w:t>、</w:t>
      </w:r>
      <w:r>
        <w:rPr>
          <w:color w:val="000000"/>
          <w:spacing w:val="0"/>
          <w:w w:val="100"/>
          <w:position w:val="0"/>
        </w:rPr>
        <w:t>2012</w:t>
      </w:r>
      <w:r>
        <w:rPr>
          <w:color w:val="000000"/>
          <w:spacing w:val="0"/>
          <w:w w:val="100"/>
          <w:position w:val="0"/>
        </w:rPr>
        <w:t>年度的利润分配情况</w:t>
      </w:r>
    </w:p>
    <w:p>
      <w:pPr>
        <w:pStyle w:val="Style4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2012</w:t>
      </w:r>
      <w:r>
        <w:rPr>
          <w:color w:val="000000"/>
          <w:spacing w:val="0"/>
          <w:w w:val="100"/>
          <w:position w:val="0"/>
        </w:rPr>
        <w:t>年度股东大会审议并通过了《公司</w:t>
      </w:r>
      <w:r>
        <w:rPr>
          <w:color w:val="000000"/>
          <w:spacing w:val="0"/>
          <w:w w:val="100"/>
          <w:position w:val="0"/>
        </w:rPr>
        <w:t>2012</w:t>
      </w:r>
      <w:r>
        <w:rPr>
          <w:color w:val="000000"/>
          <w:spacing w:val="0"/>
          <w:w w:val="100"/>
          <w:position w:val="0"/>
        </w:rPr>
        <w:t>年度利润分配的预案》，以公司</w:t>
      </w:r>
      <w:r>
        <w:rPr>
          <w:color w:val="000000"/>
          <w:spacing w:val="0"/>
          <w:w w:val="100"/>
          <w:position w:val="0"/>
        </w:rPr>
        <w:t>2012</w:t>
      </w:r>
      <w:r>
        <w:rPr>
          <w:color w:val="000000"/>
          <w:spacing w:val="0"/>
          <w:w w:val="100"/>
          <w:position w:val="0"/>
        </w:rPr>
        <w:t>年末 总股本</w:t>
      </w:r>
      <w:r>
        <w:rPr>
          <w:color w:val="000000"/>
          <w:spacing w:val="0"/>
          <w:w w:val="100"/>
          <w:position w:val="0"/>
        </w:rPr>
        <w:t>13,400</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股派发人民币</w:t>
      </w:r>
      <w:r>
        <w:rPr>
          <w:color w:val="000000"/>
          <w:spacing w:val="0"/>
          <w:w w:val="100"/>
          <w:position w:val="0"/>
        </w:rPr>
        <w:t>1</w:t>
      </w:r>
      <w:r>
        <w:rPr>
          <w:color w:val="000000"/>
          <w:spacing w:val="0"/>
          <w:w w:val="100"/>
          <w:position w:val="0"/>
        </w:rPr>
        <w:t>元现金（含税）</w:t>
      </w:r>
      <w:r>
        <w:rPr>
          <w:color w:val="000000"/>
          <w:spacing w:val="0"/>
          <w:w w:val="100"/>
          <w:position w:val="0"/>
        </w:rPr>
        <w:t>，</w:t>
      </w:r>
      <w:r>
        <w:rPr>
          <w:color w:val="000000"/>
          <w:spacing w:val="0"/>
          <w:w w:val="100"/>
          <w:position w:val="0"/>
        </w:rPr>
        <w:t>合计派发现金红利人民币</w:t>
      </w:r>
      <w:r>
        <w:rPr>
          <w:color w:val="000000"/>
          <w:spacing w:val="0"/>
          <w:w w:val="100"/>
          <w:position w:val="0"/>
        </w:rPr>
        <w:t xml:space="preserve">1, 340 </w:t>
      </w:r>
      <w:r>
        <w:rPr>
          <w:color w:val="000000"/>
          <w:spacing w:val="0"/>
          <w:w w:val="100"/>
          <w:position w:val="0"/>
        </w:rPr>
        <w:t>万^元。</w:t>
      </w:r>
    </w:p>
    <w:p>
      <w:pPr>
        <w:pStyle w:val="Style40"/>
        <w:keepNext w:val="0"/>
        <w:keepLines w:val="0"/>
        <w:widowControl w:val="0"/>
        <w:shd w:val="clear" w:color="auto" w:fill="auto"/>
        <w:bidi w:val="0"/>
        <w:spacing w:before="0" w:after="0" w:line="473" w:lineRule="exact"/>
        <w:ind w:left="0" w:right="0" w:firstLine="0"/>
        <w:jc w:val="left"/>
      </w:pPr>
      <w:bookmarkStart w:id="208" w:name="bookmark208"/>
      <w:r>
        <w:rPr>
          <w:color w:val="000000"/>
          <w:spacing w:val="0"/>
          <w:w w:val="100"/>
          <w:position w:val="0"/>
        </w:rPr>
        <w:t>3</w:t>
      </w:r>
      <w:bookmarkEnd w:id="208"/>
      <w:r>
        <w:rPr>
          <w:color w:val="000000"/>
          <w:spacing w:val="0"/>
          <w:w w:val="100"/>
          <w:position w:val="0"/>
        </w:rPr>
        <w:t>、</w:t>
      </w:r>
      <w:r>
        <w:rPr>
          <w:color w:val="000000"/>
          <w:spacing w:val="0"/>
          <w:w w:val="100"/>
          <w:position w:val="0"/>
        </w:rPr>
        <w:t>2013</w:t>
      </w:r>
      <w:r>
        <w:rPr>
          <w:color w:val="000000"/>
          <w:spacing w:val="0"/>
          <w:w w:val="100"/>
          <w:position w:val="0"/>
        </w:rPr>
        <w:t>年度的利润分配情况</w:t>
      </w:r>
    </w:p>
    <w:p>
      <w:pPr>
        <w:pStyle w:val="Style40"/>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2013</w:t>
      </w:r>
      <w:r>
        <w:rPr>
          <w:color w:val="000000"/>
          <w:spacing w:val="0"/>
          <w:w w:val="100"/>
          <w:position w:val="0"/>
        </w:rPr>
        <w:t>年度公司利润分配预案为：拟以公司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139,530,000</w:t>
      </w:r>
      <w:r>
        <w:rPr>
          <w:color w:val="000000"/>
          <w:spacing w:val="0"/>
          <w:w w:val="100"/>
          <w:position w:val="0"/>
        </w:rPr>
        <w:t>股扣除经</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 召开的第二届董事会第十三次临时董事会审议通过的拟回购注销的限制性股票</w:t>
      </w:r>
      <w:r>
        <w:rPr>
          <w:color w:val="000000"/>
          <w:spacing w:val="0"/>
          <w:w w:val="100"/>
          <w:position w:val="0"/>
        </w:rPr>
        <w:t>135, 000</w:t>
      </w:r>
      <w:r>
        <w:rPr>
          <w:color w:val="000000"/>
          <w:spacing w:val="0"/>
          <w:w w:val="100"/>
          <w:position w:val="0"/>
        </w:rPr>
        <w:t xml:space="preserve">股后的现有股本 </w:t>
      </w:r>
      <w:r>
        <w:rPr>
          <w:color w:val="000000"/>
          <w:spacing w:val="0"/>
          <w:w w:val="100"/>
          <w:position w:val="0"/>
        </w:rPr>
        <w:t>139,395,000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1</w:t>
      </w:r>
      <w:r>
        <w:rPr>
          <w:color w:val="000000"/>
          <w:spacing w:val="0"/>
          <w:w w:val="100"/>
          <w:position w:val="0"/>
        </w:rPr>
        <w:t>元（含税）</w:t>
      </w:r>
      <w:r>
        <w:rPr>
          <w:color w:val="000000"/>
          <w:spacing w:val="0"/>
          <w:w w:val="100"/>
          <w:position w:val="0"/>
        </w:rPr>
        <w:t>，</w:t>
      </w:r>
      <w:r>
        <w:rPr>
          <w:color w:val="000000"/>
          <w:spacing w:val="0"/>
          <w:w w:val="100"/>
          <w:position w:val="0"/>
        </w:rPr>
        <w:t>合计派发现金</w:t>
      </w:r>
      <w:r>
        <w:rPr>
          <w:color w:val="000000"/>
          <w:spacing w:val="0"/>
          <w:w w:val="100"/>
          <w:position w:val="0"/>
        </w:rPr>
        <w:t xml:space="preserve">13,939,500.00 </w:t>
      </w:r>
      <w:r>
        <w:rPr>
          <w:color w:val="000000"/>
          <w:spacing w:val="0"/>
          <w:w w:val="100"/>
          <w:position w:val="0"/>
        </w:rPr>
        <w:t>元；同时进行资本公积金转增股本，以</w:t>
      </w:r>
      <w:r>
        <w:rPr>
          <w:color w:val="000000"/>
          <w:spacing w:val="0"/>
          <w:w w:val="100"/>
          <w:position w:val="0"/>
        </w:rPr>
        <w:t>139,395,000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 xml:space="preserve">股，共计转增 </w:t>
      </w:r>
      <w:r>
        <w:rPr>
          <w:color w:val="000000"/>
          <w:spacing w:val="0"/>
          <w:w w:val="100"/>
          <w:position w:val="0"/>
        </w:rPr>
        <w:t>41,818, 500</w:t>
      </w:r>
      <w:r>
        <w:rPr>
          <w:color w:val="000000"/>
          <w:spacing w:val="0"/>
          <w:w w:val="100"/>
          <w:position w:val="0"/>
        </w:rPr>
        <w:t>股，转增后公司总股本将增加至</w:t>
      </w:r>
      <w:r>
        <w:rPr>
          <w:color w:val="000000"/>
          <w:spacing w:val="0"/>
          <w:w w:val="100"/>
          <w:position w:val="0"/>
        </w:rPr>
        <w:t>181,213,500</w:t>
      </w:r>
      <w:r>
        <w:rPr>
          <w:color w:val="000000"/>
          <w:spacing w:val="0"/>
          <w:w w:val="100"/>
          <w:position w:val="0"/>
        </w:rPr>
        <w:t>股。该议案尚需提交股东大会审议。</w:t>
      </w:r>
    </w:p>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公司近三年现金分红情况表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13,939,500.00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60,842,729.05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48,207,495.51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53,464,777.82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w:t>
            </w:r>
          </w:p>
        </w:tc>
      </w:tr>
    </w:tbl>
    <w:p>
      <w:pPr>
        <w:pStyle w:val="Style36"/>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widowControl w:val="0"/>
        <w:spacing w:after="299" w:line="1" w:lineRule="exact"/>
      </w:pPr>
    </w:p>
    <w:p>
      <w:pPr>
        <w:pStyle w:val="Style27"/>
        <w:keepNext/>
        <w:keepLines/>
        <w:widowControl w:val="0"/>
        <w:shd w:val="clear" w:color="auto" w:fill="auto"/>
        <w:bidi w:val="0"/>
        <w:spacing w:before="0" w:after="22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六</w:t>
      </w:r>
      <w:bookmarkEnd w:id="211"/>
      <w:r>
        <w:rPr>
          <w:color w:val="000000"/>
          <w:spacing w:val="0"/>
          <w:w w:val="100"/>
          <w:position w:val="0"/>
        </w:rPr>
        <w:t>、内幕信息知情人管理制度的建立和执行情况</w:t>
      </w:r>
      <w:bookmarkEnd w:id="209"/>
      <w:bookmarkEnd w:id="210"/>
      <w:bookmarkEnd w:id="212"/>
    </w:p>
    <w:p>
      <w:pPr>
        <w:pStyle w:val="Style40"/>
        <w:keepNext w:val="0"/>
        <w:keepLines w:val="0"/>
        <w:widowControl w:val="0"/>
        <w:shd w:val="clear" w:color="auto" w:fill="auto"/>
        <w:tabs>
          <w:tab w:pos="594" w:val="left"/>
        </w:tabs>
        <w:bidi w:val="0"/>
        <w:spacing w:before="0" w:after="0" w:line="469" w:lineRule="exact"/>
        <w:ind w:left="0" w:right="0" w:firstLine="0"/>
        <w:jc w:val="left"/>
      </w:pPr>
      <w:bookmarkStart w:id="213" w:name="bookmark213"/>
      <w:r>
        <w:rPr>
          <w:color w:val="000000"/>
          <w:spacing w:val="0"/>
          <w:w w:val="100"/>
          <w:position w:val="0"/>
        </w:rPr>
        <w:t>（</w:t>
      </w:r>
      <w:bookmarkEnd w:id="213"/>
      <w:r>
        <w:rPr>
          <w:color w:val="000000"/>
          <w:spacing w:val="0"/>
          <w:w w:val="100"/>
          <w:position w:val="0"/>
        </w:rPr>
        <w:t>一）</w:t>
        <w:tab/>
        <w:t>内幕信息知情人管理制度的制定</w:t>
      </w:r>
    </w:p>
    <w:p>
      <w:pPr>
        <w:pStyle w:val="Style40"/>
        <w:keepNext w:val="0"/>
        <w:keepLines w:val="0"/>
        <w:widowControl w:val="0"/>
        <w:shd w:val="clear" w:color="auto" w:fill="auto"/>
        <w:bidi w:val="0"/>
        <w:spacing w:before="0" w:after="0" w:line="469" w:lineRule="exact"/>
        <w:ind w:left="0" w:right="0" w:firstLine="680"/>
        <w:jc w:val="left"/>
      </w:pPr>
      <w:r>
        <w:rPr>
          <w:color w:val="000000"/>
          <w:spacing w:val="0"/>
          <w:w w:val="100"/>
          <w:position w:val="0"/>
        </w:rPr>
        <w:t>为了规范公司的内幕信息管理，加强内幕信息保密工作，维护信息披露公平原则，根据《公司法》、</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《证券法》、《上市公司信息披露管理办法》、《深圳证券交易所创业板股票上市规则》等有关法律、法 规、规范性文件及《上市公司建立内幕信息知情人登记管理制度的规定》、《公司章程》等有关规定，公 司制定了《董事、监事和高级管理人员所持公司股份及其变动管理制度》、《内幕信息知情人管理制度》、</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《信息披露及投资者关系管理制度》。</w:t>
      </w:r>
    </w:p>
    <w:p>
      <w:pPr>
        <w:pStyle w:val="Style40"/>
        <w:keepNext w:val="0"/>
        <w:keepLines w:val="0"/>
        <w:widowControl w:val="0"/>
        <w:shd w:val="clear" w:color="auto" w:fill="auto"/>
        <w:tabs>
          <w:tab w:pos="594" w:val="left"/>
        </w:tabs>
        <w:bidi w:val="0"/>
        <w:spacing w:before="0" w:after="0" w:line="469" w:lineRule="exact"/>
        <w:ind w:left="0" w:right="0" w:firstLine="0"/>
        <w:jc w:val="left"/>
      </w:pPr>
      <w:bookmarkStart w:id="214" w:name="bookmark214"/>
      <w:r>
        <w:rPr>
          <w:color w:val="000000"/>
          <w:spacing w:val="0"/>
          <w:w w:val="100"/>
          <w:position w:val="0"/>
        </w:rPr>
        <w:t>（</w:t>
      </w:r>
      <w:bookmarkEnd w:id="214"/>
      <w:r>
        <w:rPr>
          <w:color w:val="000000"/>
          <w:spacing w:val="0"/>
          <w:w w:val="100"/>
          <w:position w:val="0"/>
        </w:rPr>
        <w:t>二）</w:t>
        <w:tab/>
        <w:t>内幕信息知情人管理制度的执行情况</w:t>
      </w:r>
    </w:p>
    <w:p>
      <w:pPr>
        <w:pStyle w:val="Style40"/>
        <w:keepNext w:val="0"/>
        <w:keepLines w:val="0"/>
        <w:widowControl w:val="0"/>
        <w:shd w:val="clear" w:color="auto" w:fill="auto"/>
        <w:bidi w:val="0"/>
        <w:spacing w:before="0" w:after="0" w:line="469" w:lineRule="exact"/>
        <w:ind w:left="0" w:right="0" w:firstLine="0"/>
        <w:jc w:val="left"/>
      </w:pPr>
      <w:bookmarkStart w:id="215" w:name="bookmark215"/>
      <w:r>
        <w:rPr>
          <w:rFonts w:ascii="Times New Roman" w:eastAsia="Times New Roman" w:hAnsi="Times New Roman" w:cs="Times New Roman"/>
          <w:color w:val="000000"/>
          <w:spacing w:val="0"/>
          <w:w w:val="100"/>
          <w:position w:val="0"/>
        </w:rPr>
        <w:t>1</w:t>
      </w:r>
      <w:bookmarkEnd w:id="215"/>
      <w:r>
        <w:rPr>
          <w:color w:val="000000"/>
          <w:spacing w:val="0"/>
          <w:w w:val="100"/>
          <w:position w:val="0"/>
        </w:rPr>
        <w:t xml:space="preserve">、定期报告披露期间的信息保密工作报告期内，公司严格执行内幕信息保密制度，严格规范信息传递流 程，在定期报告披露期间，对于未公开信息，公司证券部都会严格控制知情人范围并组织相关内幕信息知 情人填写《内幕信息知情人登记表》，如实、完整记录上述信息在公开前的所有内幕信息知情人名单，以 </w:t>
      </w:r>
      <w:r>
        <w:rPr>
          <w:color w:val="000000"/>
          <w:spacing w:val="0"/>
          <w:w w:val="100"/>
          <w:position w:val="0"/>
        </w:rPr>
        <w:t>及知情人知悉内幕信息的时间。经公司证券部核实无误后，按照相关法规规定在向深交所和证监局报送定 期报告相关资料的同时报备内幕信息知情人登记情况。</w:t>
      </w:r>
    </w:p>
    <w:p>
      <w:pPr>
        <w:pStyle w:val="Style40"/>
        <w:keepNext w:val="0"/>
        <w:keepLines w:val="0"/>
        <w:widowControl w:val="0"/>
        <w:shd w:val="clear" w:color="auto" w:fill="auto"/>
        <w:tabs>
          <w:tab w:pos="322" w:val="left"/>
        </w:tabs>
        <w:bidi w:val="0"/>
        <w:spacing w:before="0" w:after="0" w:line="470" w:lineRule="exact"/>
        <w:ind w:left="0" w:right="0" w:firstLine="0"/>
        <w:jc w:val="both"/>
      </w:pPr>
      <w:bookmarkStart w:id="216" w:name="bookmark216"/>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投资者调研期间的信息保密工作在定期报告及重大事项披露期间，公司尽量避免接待投资者的调研， 努力做好定期报告及重大事项披露期间的信息保密工作。在日常接待投资者调研时，公司证券部负责履行 相关的信息保密工作程序。在进行调研前，先对调研人员的个人信息进行备案，同时要求签署投资者（机 构）承诺书，并承诺在对外出具报告前需经上市公司证券部认可。在调研过程中，证券部人员认真做好相 关会议记录，按照相关规定填制投资者关系活动记录表，并将投资者关系活动记录表在深交所指定的网站 披露。</w:t>
      </w:r>
    </w:p>
    <w:p>
      <w:pPr>
        <w:pStyle w:val="Style40"/>
        <w:keepNext w:val="0"/>
        <w:keepLines w:val="0"/>
        <w:widowControl w:val="0"/>
        <w:shd w:val="clear" w:color="auto" w:fill="auto"/>
        <w:tabs>
          <w:tab w:pos="322" w:val="left"/>
        </w:tabs>
        <w:bidi w:val="0"/>
        <w:spacing w:before="0" w:after="0" w:line="470" w:lineRule="exact"/>
        <w:ind w:left="0" w:right="0" w:firstLine="0"/>
        <w:jc w:val="both"/>
      </w:pPr>
      <w:bookmarkStart w:id="217" w:name="bookmark217"/>
      <w:r>
        <w:rPr>
          <w:rFonts w:ascii="Times New Roman" w:eastAsia="Times New Roman" w:hAnsi="Times New Roman" w:cs="Times New Roman"/>
          <w:color w:val="000000"/>
          <w:spacing w:val="0"/>
          <w:w w:val="100"/>
          <w:position w:val="0"/>
        </w:rPr>
        <w:t>3</w:t>
      </w:r>
      <w:bookmarkEnd w:id="217"/>
      <w:r>
        <w:rPr>
          <w:color w:val="000000"/>
          <w:spacing w:val="0"/>
          <w:w w:val="100"/>
          <w:position w:val="0"/>
        </w:rPr>
        <w:t>、</w:t>
        <w:tab/>
        <w:t>其他重大事件的信息保密工作在其他重大事项未披露前，对公司及相关信息披露义务人采取保密措施, 签订相关保密协议，以保证信息处于可控范围。</w:t>
      </w:r>
    </w:p>
    <w:p>
      <w:pPr>
        <w:pStyle w:val="Style40"/>
        <w:keepNext w:val="0"/>
        <w:keepLines w:val="0"/>
        <w:widowControl w:val="0"/>
        <w:shd w:val="clear" w:color="auto" w:fill="auto"/>
        <w:bidi w:val="0"/>
        <w:spacing w:before="0" w:after="0" w:line="470" w:lineRule="exact"/>
        <w:ind w:left="0" w:right="0" w:firstLine="0"/>
        <w:jc w:val="both"/>
      </w:pPr>
      <w:bookmarkStart w:id="218" w:name="bookmark218"/>
      <w:r>
        <w:rPr>
          <w:color w:val="000000"/>
          <w:spacing w:val="0"/>
          <w:w w:val="100"/>
          <w:position w:val="0"/>
        </w:rPr>
        <w:t>（</w:t>
      </w:r>
      <w:bookmarkEnd w:id="218"/>
      <w:r>
        <w:rPr>
          <w:color w:val="000000"/>
          <w:spacing w:val="0"/>
          <w:w w:val="100"/>
          <w:position w:val="0"/>
        </w:rPr>
        <w:t>三）报告期内自查内幕信息知情人涉嫌内幕交易以及监管部门的查处和整改情况报告期内，公司董事、 监事及高级管理人员和其他相关知情人严格遵守了内幕信息知情人管理制度，未发现有内幕信息知情人利 用内幕信息买卖本公司股份的情况。</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报告期内公司也未发生受到监管部门查处和整改的情形。报告期内，公司董事会组织相关人员就《内 幕信息及知情人管理制度》、《信息披露及投资者关系管理制度》等规定展开专项学习和讨论，以确保真 实、准确、完整、及时、公平的披露所有对本公司股票及其衍生品种交易价格可能产生较大影响的信息。</w:t>
      </w:r>
    </w:p>
    <w:p>
      <w:pPr>
        <w:pStyle w:val="Style4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公司将继续遵守有关信息披露的法律规定并严格执行本公司信息披露事务管理制度，组织有关信息披 露规定的专题培训和深化学习，不断提高公司信息披露的质量和水平。</w:t>
      </w:r>
    </w:p>
    <w:p>
      <w:pPr>
        <w:pStyle w:val="Style27"/>
        <w:keepNext/>
        <w:keepLines/>
        <w:widowControl w:val="0"/>
        <w:shd w:val="clear" w:color="auto" w:fill="auto"/>
        <w:bidi w:val="0"/>
        <w:spacing w:before="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rPr>
        <w:t>七</w:t>
      </w:r>
      <w:bookmarkEnd w:id="221"/>
      <w:r>
        <w:rPr>
          <w:color w:val="000000"/>
          <w:spacing w:val="0"/>
          <w:w w:val="100"/>
          <w:position w:val="0"/>
        </w:rPr>
        <w:t>、报告期内接待调研、沟通、采访等活动登记表</w:t>
      </w:r>
      <w:bookmarkEnd w:id="219"/>
      <w:bookmarkEnd w:id="220"/>
      <w:bookmarkEnd w:id="222"/>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华夏证券、国泰君 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业务发展、市场竞争、人 员、市场开拓等情况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国金证券、广发证 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毛利率、人员、股权激励、 复深蓝等情况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公司玑云产品情况、复深 蓝业务发展情况等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公司业务类型、复深蓝的 人员、客户情况、公司备 件、毛利率等情况</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国泰君安研究院、 天风证券、国信证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大数据发展、玑云产品情 况、人员增长情况等</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498"/>
        <w:gridCol w:w="209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券、汇添富、华安 基金、银沙投资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兴业证券、国泰君 安、上海明河投资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电信、金融业务发展、人 力成本、竞争等情况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湘财证券、国联安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基金、宏源证券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去</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w:t>
            </w:r>
            <w:r>
              <w:rPr>
                <w:color w:val="000000"/>
                <w:spacing w:val="0"/>
                <w:w w:val="100"/>
                <w:position w:val="0"/>
              </w:rPr>
              <w:t>客户拓展、业务 发展等情况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诺安基金管理有限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公司业绩情况、竞争厂商 的转型对公司的影响、跨 区域的拓展情况。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上海泽熙投资管理 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外包业务情况、持续成长 性、电信业务发展、一体 机、公司研发等情况</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中国中投证券、西 部证券股份有限公 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公司一体机、与阿里巴巴 的业务合作、对于日益激 烈的竞争采取的相关措施 等情况</w:t>
            </w:r>
          </w:p>
        </w:tc>
      </w:tr>
    </w:tbl>
    <w:p>
      <w:pPr>
        <w:sectPr>
          <w:footnotePr>
            <w:pos w:val="pageBottom"/>
            <w:numFmt w:val="decimal"/>
            <w:numRestart w:val="continuous"/>
          </w:footnotePr>
          <w:pgSz w:w="11900" w:h="16840"/>
          <w:pgMar w:top="1306" w:right="1043" w:bottom="1450" w:left="1060" w:header="0" w:footer="3" w:gutter="0"/>
          <w:cols w:space="720"/>
          <w:noEndnote/>
          <w:rtlGutter w:val="0"/>
          <w:docGrid w:linePitch="360"/>
        </w:sectPr>
      </w:pPr>
    </w:p>
    <w:p>
      <w:pPr>
        <w:pStyle w:val="Style14"/>
        <w:keepNext/>
        <w:keepLines/>
        <w:widowControl w:val="0"/>
        <w:shd w:val="clear" w:color="auto" w:fill="auto"/>
        <w:bidi w:val="0"/>
        <w:spacing w:before="600" w:after="560" w:line="240" w:lineRule="auto"/>
        <w:ind w:left="0" w:right="0" w:firstLine="0"/>
        <w:jc w:val="center"/>
      </w:pPr>
      <w:bookmarkStart w:id="223" w:name="bookmark223"/>
      <w:bookmarkStart w:id="224" w:name="bookmark224"/>
      <w:bookmarkStart w:id="225" w:name="bookmark225"/>
      <w:r>
        <w:rPr>
          <w:color w:val="000000"/>
          <w:spacing w:val="0"/>
          <w:w w:val="100"/>
          <w:position w:val="0"/>
        </w:rPr>
        <w:t>第五节重要事项</w:t>
      </w:r>
      <w:bookmarkEnd w:id="223"/>
      <w:bookmarkEnd w:id="224"/>
      <w:bookmarkEnd w:id="225"/>
    </w:p>
    <w:p>
      <w:pPr>
        <w:pStyle w:val="Style27"/>
        <w:keepNext/>
        <w:keepLines/>
        <w:widowControl w:val="0"/>
        <w:shd w:val="clear" w:color="auto" w:fill="auto"/>
        <w:tabs>
          <w:tab w:pos="522" w:val="left"/>
        </w:tabs>
        <w:bidi w:val="0"/>
        <w:spacing w:before="0" w:after="360" w:line="240" w:lineRule="auto"/>
        <w:ind w:left="0" w:right="0" w:firstLine="0"/>
        <w:jc w:val="left"/>
      </w:pPr>
      <w:bookmarkStart w:id="226" w:name="bookmark226"/>
      <w:bookmarkStart w:id="227" w:name="bookmark227"/>
      <w:bookmarkStart w:id="228" w:name="bookmark228"/>
      <w:bookmarkStart w:id="229" w:name="bookmark229"/>
      <w:bookmarkStart w:id="230" w:name="bookmark230"/>
      <w:r>
        <w:rPr>
          <w:color w:val="000000"/>
          <w:spacing w:val="0"/>
          <w:w w:val="100"/>
          <w:position w:val="0"/>
        </w:rPr>
        <w:t>一</w:t>
      </w:r>
      <w:bookmarkEnd w:id="229"/>
      <w:r>
        <w:rPr>
          <w:color w:val="000000"/>
          <w:spacing w:val="0"/>
          <w:w w:val="100"/>
          <w:position w:val="0"/>
        </w:rPr>
        <w:t>、</w:t>
        <w:tab/>
        <w:t>重大诉讼仲裁事项</w:t>
      </w:r>
      <w:bookmarkEnd w:id="227"/>
      <w:bookmarkEnd w:id="228"/>
      <w:bookmarkEnd w:id="230"/>
      <w:bookmarkEnd w:id="22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二</w:t>
      </w:r>
      <w:bookmarkEnd w:id="233"/>
      <w:r>
        <w:rPr>
          <w:color w:val="000000"/>
          <w:spacing w:val="0"/>
          <w:w w:val="100"/>
          <w:position w:val="0"/>
        </w:rPr>
        <w:t>、</w:t>
        <w:tab/>
        <w:t>资产交易事项</w:t>
      </w:r>
      <w:bookmarkEnd w:id="231"/>
      <w:bookmarkEnd w:id="232"/>
      <w:bookmarkEnd w:id="234"/>
    </w:p>
    <w:p>
      <w:pPr>
        <w:pStyle w:val="Style33"/>
        <w:keepNext/>
        <w:keepLines/>
        <w:widowControl w:val="0"/>
        <w:shd w:val="clear" w:color="auto" w:fill="auto"/>
        <w:bidi w:val="0"/>
        <w:spacing w:before="0" w:after="30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、收购资产情况</w:t>
      </w:r>
      <w:bookmarkEnd w:id="235"/>
      <w:bookmarkEnd w:id="236"/>
      <w:bookmarkEnd w:id="238"/>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杨万强、 杨文芳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上海复深 蓝信息技 术服务有 限公司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已收购并 完成工商 变更登记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本次收购 完成后有 利于弥补 及提升公 司软件产 品开发方 面的竞争 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自购买日 起至报告 期末为上 市公司贡 献的净利 润为</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巨潮资讯 网</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《关于收 购上海复 深蓝信息 技术服务 有限公司 部分股权 的可行性 研究报告》</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收购资产情况说明</w:t>
      </w:r>
    </w:p>
    <w:p>
      <w:pPr>
        <w:widowControl w:val="0"/>
        <w:spacing w:after="299" w:line="1" w:lineRule="exact"/>
      </w:pPr>
    </w:p>
    <w:p>
      <w:pPr>
        <w:pStyle w:val="Style33"/>
        <w:keepNext/>
        <w:keepLines/>
        <w:widowControl w:val="0"/>
        <w:shd w:val="clear" w:color="auto" w:fill="auto"/>
        <w:tabs>
          <w:tab w:pos="410" w:val="left"/>
        </w:tabs>
        <w:bidi w:val="0"/>
        <w:spacing w:before="0" w:after="360"/>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企业合并情况</w:t>
      </w:r>
      <w:bookmarkEnd w:id="239"/>
      <w:bookmarkEnd w:id="240"/>
      <w:bookmarkEnd w:id="242"/>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10" w:val="left"/>
        </w:tabs>
        <w:bidi w:val="0"/>
        <w:spacing w:before="0" w:after="360"/>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3</w:t>
      </w:r>
      <w:bookmarkEnd w:id="245"/>
      <w:r>
        <w:rPr>
          <w:color w:val="000000"/>
          <w:spacing w:val="0"/>
          <w:w w:val="100"/>
          <w:position w:val="0"/>
        </w:rPr>
        <w:t>、</w:t>
        <w:tab/>
        <w:t>自资产重组报告书或收购出售资产公告刊登后，该事项的进展情况及对报告期经营成果与财务状况的 影响</w:t>
      </w:r>
      <w:bookmarkEnd w:id="243"/>
      <w:bookmarkEnd w:id="244"/>
      <w:bookmarkEnd w:id="24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44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三</w:t>
      </w:r>
      <w:bookmarkEnd w:id="249"/>
      <w:r>
        <w:rPr>
          <w:color w:val="000000"/>
          <w:spacing w:val="0"/>
          <w:w w:val="100"/>
          <w:position w:val="0"/>
        </w:rPr>
        <w:t>、公司股权激励的实施情况及其影响</w:t>
      </w:r>
      <w:bookmarkEnd w:id="247"/>
      <w:bookmarkEnd w:id="248"/>
      <w:bookmarkEnd w:id="250"/>
    </w:p>
    <w:p>
      <w:pPr>
        <w:pStyle w:val="Style40"/>
        <w:keepNext w:val="0"/>
        <w:keepLines w:val="0"/>
        <w:widowControl w:val="0"/>
        <w:shd w:val="clear" w:color="auto" w:fill="auto"/>
        <w:bidi w:val="0"/>
        <w:spacing w:before="0" w:after="0" w:line="492" w:lineRule="auto"/>
        <w:ind w:left="0" w:right="0" w:firstLine="0"/>
        <w:jc w:val="left"/>
      </w:pPr>
      <w:bookmarkStart w:id="251" w:name="bookmark251"/>
      <w:r>
        <w:rPr>
          <w:rFonts w:ascii="Times New Roman" w:eastAsia="Times New Roman" w:hAnsi="Times New Roman" w:cs="Times New Roman"/>
          <w:color w:val="000000"/>
          <w:spacing w:val="0"/>
          <w:w w:val="100"/>
          <w:position w:val="0"/>
        </w:rPr>
        <w:t>1</w:t>
      </w:r>
      <w:bookmarkEnd w:id="251"/>
      <w:r>
        <w:rPr>
          <w:color w:val="000000"/>
          <w:spacing w:val="0"/>
          <w:w w:val="100"/>
          <w:position w:val="0"/>
        </w:rPr>
        <w:t>、股权激励的实施情况：</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为进一步完善公司治理结构，形成良好、均衡的价值分配体系，建立股东与中、高级管理人员和核心 技术（业务）人员及业务骨干团队之间的利益共享与约束机制；同时，实现对中、高级管理人员及核心技 术（业务）人员的长期激励与约束，充分调动其积极性和创造性，使其利益与公司长远发展更紧密地结合, 防止人才流失，实现企业可持续发展。</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color w:val="000000"/>
          <w:spacing w:val="0"/>
          <w:w w:val="100"/>
          <w:position w:val="0"/>
        </w:rPr>
        <w:t>，</w:t>
      </w:r>
      <w:r>
        <w:rPr>
          <w:color w:val="000000"/>
          <w:spacing w:val="0"/>
          <w:w w:val="100"/>
          <w:position w:val="0"/>
        </w:rPr>
        <w:t>公司第二届董事会第六次会议及第二届监事会第五 次审议并通过了《上海天玑科技股份有限公司限制性股票激励计划（草案）》及摘要》及其摘要、《上海 天玑科技股份有限公司限制性股票激励计划考核管理办法》、《关于提请股东大会授权董事会办理限制性 股票激励计划相关事宜的议案》，公司独立董事、财务顾问均发表了专业意见。</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公司限制性股票激励计划于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月取得中国证监会备案无异议的函，公司于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 二届董事会第七次临时会议及第二届监事会六次临时会议分别审议通过了《上海天玑科技股份有限公司限 制性股票激励计划（草案修订稿）》及摘要、《上海天玑科技股份有限公司限制性股票激励计划考核管理 办法（修订稿）》。</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本次股权激励经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年第一次临时股东大会审议，获得通过并授权董事会办理与 本次限制性股票激励计划相关的事宜。</w:t>
      </w:r>
    </w:p>
    <w:p>
      <w:pPr>
        <w:pStyle w:val="Style40"/>
        <w:keepNext w:val="0"/>
        <w:keepLines w:val="0"/>
        <w:widowControl w:val="0"/>
        <w:shd w:val="clear" w:color="auto" w:fill="auto"/>
        <w:bidi w:val="0"/>
        <w:spacing w:before="0" w:after="0" w:line="471"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日，公司第二届董事会第九次临时会议审议通过《关于对公司限制性股票激励计划进行 调整的议案》及《关于向激励对象授予限制性股票的议案》。确定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日为首期</w:t>
      </w:r>
      <w:r>
        <w:rPr>
          <w:rFonts w:ascii="Times New Roman" w:eastAsia="Times New Roman" w:hAnsi="Times New Roman" w:cs="Times New Roman"/>
          <w:color w:val="000000"/>
          <w:spacing w:val="0"/>
          <w:w w:val="100"/>
          <w:position w:val="0"/>
        </w:rPr>
        <w:t>533</w:t>
      </w:r>
      <w:r>
        <w:rPr>
          <w:color w:val="000000"/>
          <w:spacing w:val="0"/>
          <w:w w:val="100"/>
          <w:position w:val="0"/>
        </w:rPr>
        <w:t>万限制性股票 的授予日。公司于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日披露了《限制性股票授予完成的公告》。相关事项具体详见中国证监会 指定的创业板信息披露网站巨潮资讯网（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）上的公告。</w:t>
      </w:r>
    </w:p>
    <w:p>
      <w:pPr>
        <w:pStyle w:val="Style40"/>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日第二届董事会第十二次临时会议审议通过《关于向激励对象授予限制性股票的议案》， 确定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日为陆廷洁女士</w:t>
      </w:r>
      <w:r>
        <w:rPr>
          <w:rFonts w:ascii="Times New Roman" w:eastAsia="Times New Roman" w:hAnsi="Times New Roman" w:cs="Times New Roman"/>
          <w:color w:val="000000"/>
          <w:spacing w:val="0"/>
          <w:w w:val="100"/>
          <w:position w:val="0"/>
        </w:rPr>
        <w:t>20</w:t>
      </w:r>
      <w:r>
        <w:rPr>
          <w:color w:val="000000"/>
          <w:spacing w:val="0"/>
          <w:w w:val="100"/>
          <w:position w:val="0"/>
        </w:rPr>
        <w:t>万限制性股票的授予日。公司于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日披露了《限制性股票 授予完成的公告》。相关事项具体详见中国证监会指定的创业板信息披露网站巨潮资讯网</w:t>
      </w:r>
    </w:p>
    <w:p>
      <w:pPr>
        <w:pStyle w:val="Style66"/>
        <w:keepNext w:val="0"/>
        <w:keepLines w:val="0"/>
        <w:widowControl w:val="0"/>
        <w:shd w:val="clear" w:color="auto" w:fill="auto"/>
        <w:bidi w:val="0"/>
        <w:spacing w:before="0" w:after="220" w:line="47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）上的公告。</w:t>
      </w:r>
    </w:p>
    <w:p>
      <w:pPr>
        <w:pStyle w:val="Style40"/>
        <w:keepNext w:val="0"/>
        <w:keepLines w:val="0"/>
        <w:widowControl w:val="0"/>
        <w:shd w:val="clear" w:color="auto" w:fill="auto"/>
        <w:bidi w:val="0"/>
        <w:spacing w:before="0" w:after="0" w:line="492" w:lineRule="auto"/>
        <w:ind w:left="0" w:right="0" w:firstLine="0"/>
        <w:jc w:val="left"/>
      </w:pPr>
      <w:bookmarkStart w:id="252" w:name="bookmark252"/>
      <w:r>
        <w:rPr>
          <w:rFonts w:ascii="Times New Roman" w:eastAsia="Times New Roman" w:hAnsi="Times New Roman" w:cs="Times New Roman"/>
          <w:color w:val="000000"/>
          <w:spacing w:val="0"/>
          <w:w w:val="100"/>
          <w:position w:val="0"/>
        </w:rPr>
        <w:t>2</w:t>
      </w:r>
      <w:bookmarkEnd w:id="252"/>
      <w:r>
        <w:rPr>
          <w:color w:val="000000"/>
          <w:spacing w:val="0"/>
          <w:w w:val="100"/>
          <w:position w:val="0"/>
        </w:rPr>
        <w:t>、股权激励的影响：</w:t>
      </w:r>
    </w:p>
    <w:p>
      <w:pPr>
        <w:pStyle w:val="Style40"/>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公司本次股权激励的激励对象为公司中、高级管理人员和核心技术（业务）人员及业务骨干，本次股 权激励有利于激发公司核心人员的热情及积极性，为公司创造更多价值。</w:t>
      </w:r>
    </w:p>
    <w:p>
      <w:pPr>
        <w:pStyle w:val="Style27"/>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四</w:t>
      </w:r>
      <w:bookmarkEnd w:id="255"/>
      <w:r>
        <w:rPr>
          <w:color w:val="000000"/>
          <w:spacing w:val="0"/>
          <w:w w:val="100"/>
          <w:position w:val="0"/>
        </w:rPr>
        <w:t>、重大合同及其履行情况</w:t>
      </w:r>
      <w:bookmarkEnd w:id="253"/>
      <w:bookmarkEnd w:id="254"/>
      <w:bookmarkEnd w:id="256"/>
    </w:p>
    <w:p>
      <w:pPr>
        <w:pStyle w:val="Style33"/>
        <w:keepNext/>
        <w:keepLines/>
        <w:widowControl w:val="0"/>
        <w:shd w:val="clear" w:color="auto" w:fill="auto"/>
        <w:tabs>
          <w:tab w:pos="369" w:val="left"/>
        </w:tabs>
        <w:bidi w:val="0"/>
        <w:spacing w:before="0" w:after="36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w:t>
        <w:tab/>
        <w:t>托管、承包、租赁事项情况</w:t>
      </w:r>
      <w:bookmarkEnd w:id="257"/>
      <w:bookmarkEnd w:id="258"/>
      <w:bookmarkEnd w:id="260"/>
    </w:p>
    <w:p>
      <w:pPr>
        <w:pStyle w:val="Style33"/>
        <w:keepNext/>
        <w:keepLines/>
        <w:widowControl w:val="0"/>
        <w:shd w:val="clear" w:color="auto" w:fill="auto"/>
        <w:tabs>
          <w:tab w:pos="493" w:val="left"/>
        </w:tabs>
        <w:bidi w:val="0"/>
        <w:spacing w:before="0" w:after="240" w:line="240" w:lineRule="auto"/>
        <w:ind w:left="0" w:right="0" w:firstLine="0"/>
        <w:jc w:val="left"/>
      </w:pPr>
      <w:bookmarkStart w:id="257" w:name="bookmark257"/>
      <w:bookmarkStart w:id="258" w:name="bookmark258"/>
      <w:bookmarkStart w:id="261" w:name="bookmark261"/>
      <w:bookmarkStart w:id="262" w:name="bookmark262"/>
      <w:r>
        <w:rPr>
          <w:color w:val="000000"/>
          <w:spacing w:val="0"/>
          <w:w w:val="100"/>
          <w:position w:val="0"/>
        </w:rPr>
        <w:t>（</w:t>
      </w:r>
      <w:bookmarkEnd w:id="26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57"/>
      <w:bookmarkEnd w:id="258"/>
      <w:bookmarkEnd w:id="262"/>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托管情况说明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4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w:t>
      </w:r>
      <w:bookmarkEnd w:id="26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63"/>
      <w:bookmarkEnd w:id="264"/>
      <w:bookmarkEnd w:id="266"/>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4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67"/>
      <w:bookmarkEnd w:id="268"/>
      <w:bookmarkEnd w:id="270"/>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w:t>
        <w:tab/>
        <w:t>担保情况</w:t>
      </w:r>
      <w:bookmarkEnd w:id="271"/>
      <w:bookmarkEnd w:id="272"/>
      <w:bookmarkEnd w:id="27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613"/>
        <w:gridCol w:w="941"/>
        <w:gridCol w:w="936"/>
        <w:gridCol w:w="1210"/>
        <w:gridCol w:w="1181"/>
        <w:gridCol w:w="1094"/>
        <w:gridCol w:w="1018"/>
        <w:gridCol w:w="802"/>
        <w:gridCol w:w="79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bl>
    <w:p>
      <w:pPr>
        <w:spacing w:lineRule="exact" w:line="1"/>
        <w:rPr>
          <w:sz w:val="2"/>
          <w:szCs w:val="2"/>
        </w:rPr>
      </w:pPr>
      <w:r>
        <w:br w:type="page"/>
      </w:r>
    </w:p>
    <w:tbl>
      <w:tblPr>
        <w:tblOverlap w:val="never"/>
        <w:jc w:val="center"/>
        <w:tblLayout w:type="fixed"/>
      </w:tblPr>
      <w:tblGrid>
        <w:gridCol w:w="2549"/>
        <w:gridCol w:w="2150"/>
        <w:gridCol w:w="2275"/>
        <w:gridCol w:w="261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3</w:t>
      </w:r>
      <w:bookmarkEnd w:id="277"/>
      <w:r>
        <w:rPr>
          <w:color w:val="000000"/>
          <w:spacing w:val="0"/>
          <w:w w:val="100"/>
          <w:position w:val="0"/>
        </w:rPr>
        <w:t>、委托理财、衍生品投资和委托贷款情况</w:t>
      </w:r>
      <w:bookmarkEnd w:id="275"/>
      <w:bookmarkEnd w:id="276"/>
      <w:bookmarkEnd w:id="278"/>
    </w:p>
    <w:p>
      <w:pPr>
        <w:pStyle w:val="Style33"/>
        <w:keepNext/>
        <w:keepLines/>
        <w:widowControl w:val="0"/>
        <w:shd w:val="clear" w:color="auto" w:fill="auto"/>
        <w:bidi w:val="0"/>
        <w:spacing w:before="0" w:after="380" w:line="240" w:lineRule="auto"/>
        <w:ind w:left="0" w:right="0" w:firstLine="0"/>
        <w:jc w:val="left"/>
      </w:pPr>
      <w:bookmarkStart w:id="275" w:name="bookmark275"/>
      <w:bookmarkStart w:id="276" w:name="bookmark276"/>
      <w:bookmarkStart w:id="279" w:name="bookmark279"/>
      <w:bookmarkStart w:id="280" w:name="bookmark280"/>
      <w:r>
        <w:rPr>
          <w:color w:val="000000"/>
          <w:spacing w:val="0"/>
          <w:w w:val="100"/>
          <w:position w:val="0"/>
        </w:rPr>
        <w:t>（</w:t>
      </w:r>
      <w:bookmarkEnd w:id="27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275"/>
      <w:bookmarkEnd w:id="276"/>
      <w:bookmarkEnd w:id="28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744"/>
        <w:gridCol w:w="734"/>
        <w:gridCol w:w="739"/>
        <w:gridCol w:w="768"/>
        <w:gridCol w:w="739"/>
        <w:gridCol w:w="734"/>
        <w:gridCol w:w="734"/>
        <w:gridCol w:w="739"/>
        <w:gridCol w:w="730"/>
        <w:gridCol w:w="739"/>
        <w:gridCol w:w="734"/>
        <w:gridCol w:w="734"/>
        <w:gridCol w:w="71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终止日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是否经 过规定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计提减 值准备 金额（如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审议委托理财的董事会决议披露日期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审议委托理财的股东大会决议披露日 期（如有</w:t>
            </w:r>
            <w:r>
              <w:rPr>
                <w:color w:val="000000"/>
                <w:spacing w:val="0"/>
                <w:w w:val="100"/>
                <w:position w:val="0"/>
                <w:sz w:val="18"/>
                <w:szCs w:val="18"/>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4</w:t>
      </w:r>
      <w:bookmarkEnd w:id="283"/>
      <w:r>
        <w:rPr>
          <w:color w:val="000000"/>
          <w:spacing w:val="0"/>
          <w:w w:val="100"/>
          <w:position w:val="0"/>
        </w:rPr>
        <w:t>、其他重大合同</w:t>
      </w:r>
      <w:bookmarkEnd w:id="281"/>
      <w:bookmarkEnd w:id="282"/>
      <w:bookmarkEnd w:id="28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r>
        <w:br w:type="page"/>
      </w:r>
    </w:p>
    <w:p>
      <w:pPr>
        <w:pStyle w:val="Style27"/>
        <w:keepNext/>
        <w:keepLines/>
        <w:widowControl w:val="0"/>
        <w:shd w:val="clear" w:color="auto" w:fill="auto"/>
        <w:bidi w:val="0"/>
        <w:spacing w:before="0" w:after="34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五</w:t>
      </w:r>
      <w:bookmarkEnd w:id="287"/>
      <w:r>
        <w:rPr>
          <w:color w:val="000000"/>
          <w:spacing w:val="0"/>
          <w:w w:val="100"/>
          <w:position w:val="0"/>
        </w:rPr>
        <w:t>、承诺事项履行情况</w:t>
      </w:r>
      <w:bookmarkEnd w:id="285"/>
      <w:bookmarkEnd w:id="286"/>
      <w:bookmarkEnd w:id="288"/>
    </w:p>
    <w:p>
      <w:pPr>
        <w:pStyle w:val="Style33"/>
        <w:keepNext/>
        <w:keepLines/>
        <w:widowControl w:val="0"/>
        <w:shd w:val="clear" w:color="auto" w:fill="auto"/>
        <w:bidi w:val="0"/>
        <w:spacing w:before="0" w:after="34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89"/>
      <w:bookmarkEnd w:id="290"/>
      <w:bookmarkEnd w:id="292"/>
    </w:p>
    <w:tbl>
      <w:tblPr>
        <w:tblOverlap w:val="never"/>
        <w:jc w:val="center"/>
        <w:tblLayout w:type="fixed"/>
      </w:tblPr>
      <w:tblGrid>
        <w:gridCol w:w="2136"/>
        <w:gridCol w:w="1699"/>
        <w:gridCol w:w="1920"/>
        <w:gridCol w:w="1277"/>
        <w:gridCol w:w="1277"/>
        <w:gridCol w:w="12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以上的主要股 东或实际控制人及其配 偶、直系近亲属未参与 本激励计划。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日至本次股权 激励计划终止 或有效期结束。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截止到报告期 末，完全履行上 述承诺。</w:t>
            </w:r>
          </w:p>
        </w:tc>
      </w:tr>
      <w:tr>
        <w:trPr>
          <w:trHeight w:val="16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不为激励对象依本激励 计划获取有关限制性股 票提供贷款以及其他任 何形式的财务资助，包 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日至本次股权 激励计划终止 或有效期结束。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截止到报告期 末，完全履行上 述承诺。</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 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发行时所作承诺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公司控股股东陆文雄 及其他董事、监事、 高级管理人员及其全 体股东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首次公开发行股票前股 东股份锁定的承诺</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、公司控股股东陆文 雄承诺：自公司股票上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转让或者委托他人管理 其现持有的公司股份， 也不由公司回购该部分 股份。报告期内未发生 违约现象。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、公司股 东陈宏科、杜力耘承诺： 自公司股票上市之日起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个月内，不转让或者 委托他人管理其现持有 的公司股份，也不由公 司回购该部分股份。报 告期内未发生违约现 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、作为公司董事、 监事或高级管理人员的 陆文雄、陈宏科、杜力 耘、楼晔、姜蓓蓓、丁 毅、周全、陆廷洁还承 诺：在前述承诺期限届 满后的任职期内每年转 让的公司股份不超过各 自能够转让部分的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作出承诺时至 承诺履行完毕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截止到报告期 末，上述承诺人 严格信守承诺， 未出现违反承 诺的情况发生。</w:t>
            </w:r>
          </w:p>
        </w:tc>
      </w:tr>
    </w:tbl>
    <w:p>
      <w:pPr>
        <w:spacing w:lineRule="exact" w:line="1"/>
        <w:rPr>
          <w:sz w:val="2"/>
          <w:szCs w:val="2"/>
        </w:rPr>
      </w:pPr>
      <w:r>
        <w:br w:type="page"/>
      </w:r>
    </w:p>
    <w:tbl>
      <w:tblPr>
        <w:tblOverlap w:val="never"/>
        <w:jc w:val="center"/>
        <w:tblLayout w:type="fixed"/>
      </w:tblPr>
      <w:tblGrid>
        <w:gridCol w:w="2136"/>
        <w:gridCol w:w="1699"/>
        <w:gridCol w:w="1920"/>
        <w:gridCol w:w="1277"/>
        <w:gridCol w:w="1277"/>
        <w:gridCol w:w="1277"/>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，且在离职后的半年 内不转让各自所持的公 司股份。在首次公开发 行股票上市之日起六个 月内申报离职的，自申 报离职之日起十八个月 内不得转让其直接持有 的本公司股份；在首次 公开发行股票上市之日 起第七个月至第十二个 月之间申报离职的，自 申报离职之日起十二个 月内不得转让其直接持 有的本公司股份。报告 期内未发生违约现象。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发行时所作承诺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公司实际控制人、控 股股东陆文雄、持有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 陈宏科、杜力耘、楼 晔、姜蓓蓓以及全体 董事、监事、高级管 理人员、核心人员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关于避免同业竞争的承 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为避免同业竞争损害公 司及其他股东的利益， 公司实际控制人、控股 股东陆文雄、持有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上股份的股东陈宏科、 杜力耘、楼晔、姜蓓蓓 以及全体董事、监事、 高级管理人员、核心人 员均于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月出具 了《避免同业竞争承诺 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本人和本 人的近亲属目前没有、 并且今后也不会在与天 玑科技及其控股子公司 从事相同或相近似业务 的企业、单位进行投资 或任职；本人和本人的 近亲属目前没有、并且 今后也不会直接或通过 其他任何方式间接从事 与天玑科技及其控股子 公司业务相同或相近似 的经营活动。若违背上 述承诺，本人愿承担相 应的法律责任。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截止到报告期 末，上述承诺人 严格信守承诺， 未出现违反承 诺的情况发生。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公司实际控制人、控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关于关联交易问题的承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作出承诺时至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截止到报告期</w:t>
            </w:r>
          </w:p>
        </w:tc>
      </w:tr>
    </w:tbl>
    <w:p>
      <w:pPr>
        <w:spacing w:lineRule="exact" w:line="1"/>
        <w:rPr>
          <w:sz w:val="2"/>
          <w:szCs w:val="2"/>
        </w:rPr>
      </w:pPr>
      <w:r>
        <w:br w:type="page"/>
      </w:r>
    </w:p>
    <w:tbl>
      <w:tblPr>
        <w:tblOverlap w:val="never"/>
        <w:jc w:val="center"/>
        <w:tblLayout w:type="fixed"/>
      </w:tblPr>
      <w:tblGrid>
        <w:gridCol w:w="2136"/>
        <w:gridCol w:w="1699"/>
        <w:gridCol w:w="1920"/>
        <w:gridCol w:w="1277"/>
        <w:gridCol w:w="1277"/>
        <w:gridCol w:w="1277"/>
      </w:tblGrid>
      <w:tr>
        <w:trPr>
          <w:trHeight w:val="137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股股东陆文雄、持有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 以及全体董事、监事、 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诺函</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公司实际控制人、控股 股东陆文雄、持有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上股份的股东以及全体 董事、监事、高级管理 人员于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月签署 了关于关联交易问题的 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人及本人近亲属将尽量 避免和减少与天玑科技 之间的关联交易，对于 天玑科技能够通过市场 与独立第三方之间发生 的交易，将由天玑科技 与独立第三方进行。本 人及本人近亲属将严格 避免向天玑科技拆借、 占用天玑科技资金或采 取由天玑科技代垫款、 代偿债务等方式侵占天 玑科技资金。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 本人及本人近亲属与天 玑科技及其子公司之间 必需的一切交易行为， 均将严格遵守市场原 则，本着平等互利、等 价有偿的一般原则，公 平合理地进行。交易定 价有政府定价的，执行 政府定价；没有政府定 价的，执行市场公允价 格；没有政府定价且无 可参考市场价格的，按 照成本加可比较的合理 利润水平确定成本价执 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、与天玑科技及 其子公司之间的关联交 易均以签订书面合同或 协议形式明确规定，并 将严格遵守天玑科技公 司章程、关联交易管理 制度等规定履行必要的 法定程序，在公司权力 机构审议有关关联交易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末，上述承诺人 严格信守承诺， 未出现违反承 诺的情况发生。</w:t>
            </w:r>
          </w:p>
        </w:tc>
      </w:tr>
    </w:tbl>
    <w:p>
      <w:pPr>
        <w:spacing w:lineRule="exact" w:line="1"/>
        <w:rPr>
          <w:sz w:val="2"/>
          <w:szCs w:val="2"/>
        </w:rPr>
      </w:pPr>
      <w:r>
        <w:br w:type="page"/>
      </w:r>
    </w:p>
    <w:tbl>
      <w:tblPr>
        <w:tblOverlap w:val="never"/>
        <w:jc w:val="center"/>
        <w:tblLayout w:type="fixed"/>
      </w:tblPr>
      <w:tblGrid>
        <w:gridCol w:w="2136"/>
        <w:gridCol w:w="1699"/>
        <w:gridCol w:w="1920"/>
        <w:gridCol w:w="1277"/>
        <w:gridCol w:w="1277"/>
        <w:gridCol w:w="1277"/>
      </w:tblGrid>
      <w:tr>
        <w:trPr>
          <w:trHeight w:val="44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事项时主动依法履行回 避义务；对须报经有权 机构审议的关联交易事 项，在有权机构审议通 过后方可执行。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 证不通过关联交易取得 任何不正当的利益或使 天玑科技及其子公司承 担任何不正当的义务。</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如果因违反上述承诺导 致天玑科技损失或利用 关联交易侵占天玑科技 利益的，天玑科技 的损失由本人承担。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发行时所作承诺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实际控制人、控股股 东陆文雄以及陈宏 科、杜力耘、滕长春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资金占用情况的说明及 承诺</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月，实际控制 人、控股股东陆文雄以 及陈宏科、杜力耘、滕 长春等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人分别签署了</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《关于资金占用情况的 说明及承诺》，承诺：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自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月起，本人已 不存在以借款、代偿债 务、代垫款项或者其他 方式违规占用天玑科 技、天玑有限资金的情 形。并且，本人承诺将 加强相关法律法规学 习，未来不再发生类似 违规资金占用行为，若 违背承诺，本人将承担 由此导致的一切法律后 果及相应责任。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截止到报告期 末，上述承诺人 严格信守承诺， 未出现违反承 诺的情况发生。</w:t>
            </w:r>
          </w:p>
        </w:tc>
      </w:tr>
      <w:tr>
        <w:trPr>
          <w:trHeight w:val="28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发行时所作承诺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实际控制人、控股股 东陆文雄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首次公开发行股票前， 控股股东就上市前已注 销的控股子公司若发生 税收补缴作出的承诺 控股股东陆文雄先生出 具承诺函，承诺一旦发 行人因上市前已注销控 股子公司存在税收被追 缴的风险，而需由发行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作出承诺时至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截止到报告期 末，上述承诺人 严格信守承诺， 未出现违反承 诺的情况发生。</w:t>
            </w:r>
          </w:p>
        </w:tc>
      </w:tr>
    </w:tbl>
    <w:p>
      <w:pPr>
        <w:spacing w:lineRule="exact" w:line="1"/>
        <w:rPr>
          <w:sz w:val="2"/>
          <w:szCs w:val="2"/>
        </w:rPr>
      </w:pPr>
      <w:r>
        <w:br w:type="page"/>
      </w:r>
    </w:p>
    <w:tbl>
      <w:tblPr>
        <w:tblOverlap w:val="never"/>
        <w:jc w:val="center"/>
        <w:tblLayout w:type="fixed"/>
      </w:tblPr>
      <w:tblGrid>
        <w:gridCol w:w="2136"/>
        <w:gridCol w:w="1699"/>
        <w:gridCol w:w="1920"/>
        <w:gridCol w:w="1277"/>
        <w:gridCol w:w="1277"/>
        <w:gridCol w:w="1277"/>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人承担相应法律责任， 且导致发行人遭受经济 损失及其他重大风险 的，则发行人控股股东 陆文雄先生将予以全额 承担，并根据发行人的 要求，对发行人由此遭 受的直接和间接损失无 条件给予足额现金补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发行时所作承诺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实际控制人、控股股 东陆文雄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首次公开发行股票前， 补缴社会保险或住房公 积金的承诺控股股东陆 文雄出具书面承诺函， 承诺在任何期间，若由 于发行人及其控股子公 司、分公司的各项社会 保险和住房公积金缴纳 事宜存在或可能存在的 瑕疵问题，而给发行人 及其控股子公司、分公 司造成直接和间接损失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或因此产生相关费用 （包括但不限于被有权 部门要求补缴、被处罚） 的，陆文雄本人将无条 件地予以全额承担和补 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作出承诺时至 承诺履行完毕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截止到报告期 末，上述承诺人 严格信守承诺， 未出现违反承 诺的情况发生。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其他对公司中小股东所作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下一步计划（如有）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3"/>
        <w:keepNext/>
        <w:keepLines/>
        <w:widowControl w:val="0"/>
        <w:shd w:val="clear" w:color="auto" w:fill="auto"/>
        <w:bidi w:val="0"/>
        <w:spacing w:before="0" w:after="320" w:line="322" w:lineRule="exact"/>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、公司资产或项目存在盈利预测，且报告期仍处在盈利预测期间，公司就资产或项目达到原盈利预测及 其原因做出说明</w:t>
      </w:r>
      <w:bookmarkEnd w:id="293"/>
      <w:bookmarkEnd w:id="294"/>
      <w:bookmarkEnd w:id="296"/>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上海复深蓝信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息技术服务有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560-700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p>
        </w:tc>
      </w:tr>
    </w:tbl>
    <w:tbl>
      <w:tblPr>
        <w:tblOverlap w:val="never"/>
        <w:jc w:val="center"/>
        <w:tblLayout w:type="fixed"/>
      </w:tblPr>
      <w:tblGrid>
        <w:gridCol w:w="1205"/>
        <w:gridCol w:w="1195"/>
        <w:gridCol w:w="1195"/>
        <w:gridCol w:w="1195"/>
        <w:gridCol w:w="1195"/>
        <w:gridCol w:w="1195"/>
        <w:gridCol w:w="1200"/>
        <w:gridCol w:w="1205"/>
      </w:tblGrid>
      <w:tr>
        <w:trPr>
          <w:trHeight w:val="22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ninfo.com.cn/</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《关于收购上 海复深蓝信息 技术服务有限 公司部分股权 的可行性研究 报告》</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六</w:t>
      </w:r>
      <w:bookmarkEnd w:id="299"/>
      <w:r>
        <w:rPr>
          <w:color w:val="000000"/>
          <w:spacing w:val="0"/>
          <w:w w:val="100"/>
          <w:position w:val="0"/>
        </w:rPr>
        <w:t>、聘任、解聘会计师事务所情况</w:t>
      </w:r>
      <w:bookmarkEnd w:id="297"/>
      <w:bookmarkEnd w:id="298"/>
      <w:bookmarkEnd w:id="300"/>
    </w:p>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张洪、朱育勤</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331"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七</w:t>
      </w:r>
      <w:bookmarkEnd w:id="303"/>
      <w:r>
        <w:rPr>
          <w:color w:val="000000"/>
          <w:spacing w:val="0"/>
          <w:w w:val="100"/>
          <w:position w:val="0"/>
        </w:rPr>
        <w:t>、上市公司及其董事、监事、高级管理人员、公司股东、实际控制人和收购人处罚及整改 情况</w:t>
      </w:r>
      <w:bookmarkEnd w:id="301"/>
      <w:bookmarkEnd w:id="302"/>
      <w:bookmarkEnd w:id="30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上市公司及其子公司是否被列入环保部门公布的污染严重企业名单</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305" w:name="bookmark305"/>
      <w:bookmarkStart w:id="306" w:name="bookmark306"/>
      <w:bookmarkStart w:id="307" w:name="bookmark307"/>
      <w:r>
        <w:rPr>
          <w:color w:val="000000"/>
          <w:spacing w:val="0"/>
          <w:w w:val="100"/>
          <w:position w:val="0"/>
        </w:rPr>
        <w:t>第六节股份变动及股东情况</w:t>
      </w:r>
      <w:bookmarkEnd w:id="305"/>
      <w:bookmarkEnd w:id="306"/>
      <w:bookmarkEnd w:id="307"/>
    </w:p>
    <w:p>
      <w:pPr>
        <w:pStyle w:val="Style27"/>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bookmarkStart w:id="312" w:name="bookmark312"/>
      <w:r>
        <w:rPr>
          <w:color w:val="000000"/>
          <w:spacing w:val="0"/>
          <w:w w:val="100"/>
          <w:position w:val="0"/>
        </w:rPr>
        <w:t>一</w:t>
      </w:r>
      <w:bookmarkEnd w:id="311"/>
      <w:r>
        <w:rPr>
          <w:color w:val="000000"/>
          <w:spacing w:val="0"/>
          <w:w w:val="100"/>
          <w:position w:val="0"/>
        </w:rPr>
        <w:t>、股份变动情况</w:t>
      </w:r>
      <w:bookmarkEnd w:id="309"/>
      <w:bookmarkEnd w:id="310"/>
      <w:bookmarkEnd w:id="312"/>
      <w:bookmarkEnd w:id="308"/>
    </w:p>
    <w:p>
      <w:pPr>
        <w:pStyle w:val="Style33"/>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、股份变动情况</w:t>
      </w:r>
      <w:bookmarkEnd w:id="313"/>
      <w:bookmarkEnd w:id="314"/>
      <w:bookmarkEnd w:id="3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90"/>
        <w:gridCol w:w="600"/>
        <w:gridCol w:w="845"/>
        <w:gridCol w:w="840"/>
        <w:gridCol w:w="845"/>
        <w:gridCol w:w="840"/>
        <w:gridCol w:w="845"/>
        <w:gridCol w:w="994"/>
        <w:gridCol w:w="64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82,039,948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61.22</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78,133,870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82,039,948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61.22</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78,133,870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82,039,948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61.22</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78,133,870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51,960,052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38.78</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61,396,130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51,960,052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38.78</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61,396,130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tabs>
          <w:tab w:pos="354" w:val="left"/>
        </w:tabs>
        <w:bidi w:val="0"/>
        <w:spacing w:before="0" w:after="220" w:line="240" w:lineRule="auto"/>
        <w:ind w:left="0" w:right="0" w:firstLine="0"/>
        <w:jc w:val="both"/>
      </w:pPr>
      <w:bookmarkStart w:id="317" w:name="bookmark317"/>
      <w:r>
        <w:rPr>
          <w:rFonts w:ascii="Times New Roman" w:eastAsia="Times New Roman" w:hAnsi="Times New Roman" w:cs="Times New Roman"/>
          <w:color w:val="000000"/>
          <w:spacing w:val="0"/>
          <w:w w:val="100"/>
          <w:position w:val="0"/>
        </w:rPr>
        <w:t>1</w:t>
      </w:r>
      <w:bookmarkEnd w:id="31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日，中国证券登记结算有限公司深圳分公司根据公司董事、监事和高级管理人员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40"/>
        <w:keepNext w:val="0"/>
        <w:keepLines w:val="0"/>
        <w:widowControl w:val="0"/>
        <w:shd w:val="clear" w:color="auto" w:fill="auto"/>
        <w:bidi w:val="0"/>
        <w:spacing w:before="0" w:after="2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所持公司股份重新计算本年度可转让股份法定额度，其余部分作为高管锁定股份继续锁定；</w:t>
      </w:r>
    </w:p>
    <w:p>
      <w:pPr>
        <w:pStyle w:val="Style40"/>
        <w:keepNext w:val="0"/>
        <w:keepLines w:val="0"/>
        <w:widowControl w:val="0"/>
        <w:shd w:val="clear" w:color="auto" w:fill="auto"/>
        <w:tabs>
          <w:tab w:pos="373" w:val="left"/>
        </w:tabs>
        <w:bidi w:val="0"/>
        <w:spacing w:before="0" w:after="220" w:line="240" w:lineRule="auto"/>
        <w:ind w:left="0" w:right="0" w:firstLine="0"/>
        <w:jc w:val="both"/>
      </w:pPr>
      <w:bookmarkStart w:id="318" w:name="bookmark318"/>
      <w:r>
        <w:rPr>
          <w:rFonts w:ascii="Times New Roman" w:eastAsia="Times New Roman" w:hAnsi="Times New Roman" w:cs="Times New Roman"/>
          <w:color w:val="000000"/>
          <w:spacing w:val="0"/>
          <w:w w:val="100"/>
          <w:position w:val="0"/>
        </w:rPr>
        <w:t>2</w:t>
      </w:r>
      <w:bookmarkEnd w:id="318"/>
      <w:r>
        <w:rPr>
          <w:color w:val="000000"/>
          <w:spacing w:val="0"/>
          <w:w w:val="100"/>
          <w:position w:val="0"/>
        </w:rPr>
        <w:t>、</w:t>
        <w:tab/>
        <w:t>公司董事杜力耘先生、陈宏科先生持有的首次公开发行前已发行股份于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月解除限售，解除限售 </w:t>
      </w:r>
      <w:r>
        <w:rPr>
          <w:color w:val="000000"/>
          <w:spacing w:val="0"/>
          <w:w w:val="100"/>
          <w:position w:val="0"/>
        </w:rPr>
        <w:t>的股份数量为</w:t>
      </w:r>
      <w:r>
        <w:rPr>
          <w:rFonts w:ascii="Times New Roman" w:eastAsia="Times New Roman" w:hAnsi="Times New Roman" w:cs="Times New Roman"/>
          <w:color w:val="000000"/>
          <w:spacing w:val="0"/>
          <w:w w:val="100"/>
          <w:position w:val="0"/>
        </w:rPr>
        <w:t>32,191,500</w:t>
      </w:r>
      <w:r>
        <w:rPr>
          <w:color w:val="000000"/>
          <w:spacing w:val="0"/>
          <w:w w:val="100"/>
          <w:position w:val="0"/>
        </w:rPr>
        <w:t>股。上述股份实际可上市流通的数量为</w:t>
      </w:r>
      <w:r>
        <w:rPr>
          <w:rFonts w:ascii="Times New Roman" w:eastAsia="Times New Roman" w:hAnsi="Times New Roman" w:cs="Times New Roman"/>
          <w:color w:val="000000"/>
          <w:spacing w:val="0"/>
          <w:w w:val="100"/>
          <w:position w:val="0"/>
        </w:rPr>
        <w:t>8,047,875</w:t>
      </w:r>
      <w:r>
        <w:rPr>
          <w:color w:val="000000"/>
          <w:spacing w:val="0"/>
          <w:w w:val="100"/>
          <w:position w:val="0"/>
        </w:rPr>
        <w:t>股，可上市流通日为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日；</w:t>
      </w:r>
    </w:p>
    <w:p>
      <w:pPr>
        <w:pStyle w:val="Style40"/>
        <w:keepNext w:val="0"/>
        <w:keepLines w:val="0"/>
        <w:widowControl w:val="0"/>
        <w:shd w:val="clear" w:color="auto" w:fill="auto"/>
        <w:bidi w:val="0"/>
        <w:spacing w:before="0" w:after="0" w:line="470" w:lineRule="exact"/>
        <w:ind w:left="0" w:right="0" w:firstLine="0"/>
        <w:jc w:val="left"/>
      </w:pPr>
      <w:bookmarkStart w:id="319" w:name="bookmark319"/>
      <w:r>
        <w:rPr>
          <w:rFonts w:ascii="Times New Roman" w:eastAsia="Times New Roman" w:hAnsi="Times New Roman" w:cs="Times New Roman"/>
          <w:color w:val="000000"/>
          <w:spacing w:val="0"/>
          <w:w w:val="100"/>
          <w:position w:val="0"/>
        </w:rPr>
        <w:t>3</w:t>
      </w:r>
      <w:bookmarkEnd w:id="319"/>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color w:val="000000"/>
          <w:spacing w:val="0"/>
          <w:w w:val="100"/>
          <w:position w:val="0"/>
        </w:rPr>
        <w:t>，</w:t>
      </w:r>
      <w:r>
        <w:rPr>
          <w:color w:val="000000"/>
          <w:spacing w:val="0"/>
          <w:w w:val="100"/>
          <w:position w:val="0"/>
        </w:rPr>
        <w:t>公司第二届董事会第六次会议及第二届监事会第五次审议并通过了《上海天玑科技股 份有限公司限制性股票激励计划（草案）》及摘要》、《上海天玑科技股份有限公司限制性股票激励计划 考核管理办法》。</w:t>
      </w:r>
    </w:p>
    <w:p>
      <w:pPr>
        <w:pStyle w:val="Style40"/>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日召开第二届董事会第七次临时会议及第二届监事会六次临时会议分别审议通过了《上海天 玑科技股份有限公司限制性股票激励计划（草案修订稿）》及摘要、《上海天玑科技股份有限公司限制性 股票激励计划考核管理办法（修订稿）》。</w:t>
      </w:r>
    </w:p>
    <w:p>
      <w:pPr>
        <w:pStyle w:val="Style40"/>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日，公司第二届董事会第九次临时会议审议通过《关于对公司限制性股票激励计划进行调整 的议案》及《关于向激励对象授予限制性股票的议案》。调整后首次授予激励对象由</w:t>
      </w:r>
      <w:r>
        <w:rPr>
          <w:rFonts w:ascii="Times New Roman" w:eastAsia="Times New Roman" w:hAnsi="Times New Roman" w:cs="Times New Roman"/>
          <w:color w:val="000000"/>
          <w:spacing w:val="0"/>
          <w:w w:val="100"/>
          <w:position w:val="0"/>
        </w:rPr>
        <w:t>90</w:t>
      </w:r>
      <w:r>
        <w:rPr>
          <w:color w:val="000000"/>
          <w:spacing w:val="0"/>
          <w:w w:val="100"/>
          <w:position w:val="0"/>
        </w:rPr>
        <w:t>人变更为</w:t>
      </w:r>
      <w:r>
        <w:rPr>
          <w:rFonts w:ascii="Times New Roman" w:eastAsia="Times New Roman" w:hAnsi="Times New Roman" w:cs="Times New Roman"/>
          <w:color w:val="000000"/>
          <w:spacing w:val="0"/>
          <w:w w:val="100"/>
          <w:position w:val="0"/>
        </w:rPr>
        <w:t>78</w:t>
      </w:r>
      <w:r>
        <w:rPr>
          <w:color w:val="000000"/>
          <w:spacing w:val="0"/>
          <w:w w:val="100"/>
          <w:position w:val="0"/>
        </w:rPr>
        <w:t>人，授 予的限制性股票数量由</w:t>
      </w:r>
      <w:r>
        <w:rPr>
          <w:rFonts w:ascii="Times New Roman" w:eastAsia="Times New Roman" w:hAnsi="Times New Roman" w:cs="Times New Roman"/>
          <w:color w:val="000000"/>
          <w:spacing w:val="0"/>
          <w:w w:val="100"/>
          <w:position w:val="0"/>
        </w:rPr>
        <w:t>595</w:t>
      </w:r>
      <w:r>
        <w:rPr>
          <w:color w:val="000000"/>
          <w:spacing w:val="0"/>
          <w:w w:val="100"/>
          <w:position w:val="0"/>
        </w:rPr>
        <w:t>万股变更为</w:t>
      </w:r>
      <w:r>
        <w:rPr>
          <w:rFonts w:ascii="Times New Roman" w:eastAsia="Times New Roman" w:hAnsi="Times New Roman" w:cs="Times New Roman"/>
          <w:color w:val="000000"/>
          <w:spacing w:val="0"/>
          <w:w w:val="100"/>
          <w:position w:val="0"/>
        </w:rPr>
        <w:t>553</w:t>
      </w:r>
      <w:r>
        <w:rPr>
          <w:color w:val="000000"/>
          <w:spacing w:val="0"/>
          <w:w w:val="100"/>
          <w:position w:val="0"/>
        </w:rPr>
        <w:t>万股；同时因陆廷洁女士在授予前</w:t>
      </w:r>
      <w:r>
        <w:rPr>
          <w:rFonts w:ascii="Times New Roman" w:eastAsia="Times New Roman" w:hAnsi="Times New Roman" w:cs="Times New Roman"/>
          <w:color w:val="000000"/>
          <w:spacing w:val="0"/>
          <w:w w:val="100"/>
          <w:position w:val="0"/>
        </w:rPr>
        <w:t>6</w:t>
      </w:r>
      <w:r>
        <w:rPr>
          <w:color w:val="000000"/>
          <w:spacing w:val="0"/>
          <w:w w:val="100"/>
          <w:position w:val="0"/>
        </w:rPr>
        <w:t>个月存在买卖股票的情况， 故对其</w:t>
      </w:r>
      <w:r>
        <w:rPr>
          <w:rFonts w:ascii="Times New Roman" w:eastAsia="Times New Roman" w:hAnsi="Times New Roman" w:cs="Times New Roman"/>
          <w:color w:val="000000"/>
          <w:spacing w:val="0"/>
          <w:w w:val="100"/>
          <w:position w:val="0"/>
        </w:rPr>
        <w:t>20</w:t>
      </w:r>
      <w:r>
        <w:rPr>
          <w:color w:val="000000"/>
          <w:spacing w:val="0"/>
          <w:w w:val="100"/>
          <w:position w:val="0"/>
        </w:rPr>
        <w:t>万股限制性股票暂缓授予，故首次实际授予的人数为</w:t>
      </w:r>
      <w:r>
        <w:rPr>
          <w:rFonts w:ascii="Times New Roman" w:eastAsia="Times New Roman" w:hAnsi="Times New Roman" w:cs="Times New Roman"/>
          <w:color w:val="000000"/>
          <w:spacing w:val="0"/>
          <w:w w:val="100"/>
          <w:position w:val="0"/>
        </w:rPr>
        <w:t>77</w:t>
      </w:r>
      <w:r>
        <w:rPr>
          <w:color w:val="000000"/>
          <w:spacing w:val="0"/>
          <w:w w:val="100"/>
          <w:position w:val="0"/>
        </w:rPr>
        <w:t>人，授予股份为</w:t>
      </w:r>
      <w:r>
        <w:rPr>
          <w:rFonts w:ascii="Times New Roman" w:eastAsia="Times New Roman" w:hAnsi="Times New Roman" w:cs="Times New Roman"/>
          <w:color w:val="000000"/>
          <w:spacing w:val="0"/>
          <w:w w:val="100"/>
          <w:position w:val="0"/>
        </w:rPr>
        <w:t>533</w:t>
      </w:r>
      <w:r>
        <w:rPr>
          <w:color w:val="000000"/>
          <w:spacing w:val="0"/>
          <w:w w:val="100"/>
          <w:position w:val="0"/>
        </w:rPr>
        <w:t>万股。确定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日为首期</w:t>
      </w:r>
      <w:r>
        <w:rPr>
          <w:rFonts w:ascii="Times New Roman" w:eastAsia="Times New Roman" w:hAnsi="Times New Roman" w:cs="Times New Roman"/>
          <w:color w:val="000000"/>
          <w:spacing w:val="0"/>
          <w:w w:val="100"/>
          <w:position w:val="0"/>
        </w:rPr>
        <w:t>533</w:t>
      </w:r>
      <w:r>
        <w:rPr>
          <w:color w:val="000000"/>
          <w:spacing w:val="0"/>
          <w:w w:val="100"/>
          <w:position w:val="0"/>
        </w:rPr>
        <w:t>万限制性股票的授予日。</w:t>
      </w:r>
    </w:p>
    <w:p>
      <w:pPr>
        <w:pStyle w:val="Style40"/>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日第二届董事会第十二次临时会议审议通过《关于向激励对象授予限制性股票的议案》，确 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日为陆廷洁女士</w:t>
      </w:r>
      <w:r>
        <w:rPr>
          <w:rFonts w:ascii="Times New Roman" w:eastAsia="Times New Roman" w:hAnsi="Times New Roman" w:cs="Times New Roman"/>
          <w:color w:val="000000"/>
          <w:spacing w:val="0"/>
          <w:w w:val="100"/>
          <w:position w:val="0"/>
        </w:rPr>
        <w:t>20</w:t>
      </w:r>
      <w:r>
        <w:rPr>
          <w:color w:val="000000"/>
          <w:spacing w:val="0"/>
          <w:w w:val="100"/>
          <w:position w:val="0"/>
        </w:rPr>
        <w:t>万限制性股票的授予日。</w:t>
      </w:r>
    </w:p>
    <w:p>
      <w:pPr>
        <w:pStyle w:val="Style40"/>
        <w:keepNext w:val="0"/>
        <w:keepLines w:val="0"/>
        <w:widowControl w:val="0"/>
        <w:shd w:val="clear" w:color="auto" w:fill="auto"/>
        <w:bidi w:val="0"/>
        <w:spacing w:before="0" w:after="220" w:line="470" w:lineRule="exact"/>
        <w:ind w:left="0" w:right="0" w:firstLine="0"/>
        <w:jc w:val="left"/>
      </w:pPr>
      <w:r>
        <w:rPr>
          <w:color w:val="000000"/>
          <w:spacing w:val="0"/>
          <w:w w:val="100"/>
          <w:position w:val="0"/>
        </w:rPr>
        <w:t>目前工商变更已办理完毕，公司总股本从</w:t>
      </w:r>
      <w:r>
        <w:rPr>
          <w:rFonts w:ascii="Times New Roman" w:eastAsia="Times New Roman" w:hAnsi="Times New Roman" w:cs="Times New Roman"/>
          <w:color w:val="000000"/>
          <w:spacing w:val="0"/>
          <w:w w:val="100"/>
          <w:position w:val="0"/>
        </w:rPr>
        <w:t>134,000,000</w:t>
      </w:r>
      <w:r>
        <w:rPr>
          <w:color w:val="000000"/>
          <w:spacing w:val="0"/>
          <w:w w:val="100"/>
          <w:position w:val="0"/>
        </w:rPr>
        <w:t>股变更为</w:t>
      </w:r>
      <w:r>
        <w:rPr>
          <w:rFonts w:ascii="Times New Roman" w:eastAsia="Times New Roman" w:hAnsi="Times New Roman" w:cs="Times New Roman"/>
          <w:color w:val="000000"/>
          <w:spacing w:val="0"/>
          <w:w w:val="100"/>
          <w:position w:val="0"/>
        </w:rPr>
        <w:t>139,530,000</w:t>
      </w:r>
      <w:r>
        <w:rPr>
          <w:color w:val="000000"/>
          <w:spacing w:val="0"/>
          <w:w w:val="100"/>
          <w:position w:val="0"/>
        </w:rPr>
        <w:t>股。</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473" w:lineRule="exact"/>
        <w:ind w:left="0" w:right="0" w:firstLine="0"/>
        <w:jc w:val="left"/>
      </w:pPr>
      <w:bookmarkStart w:id="320" w:name="bookmark320"/>
      <w:r>
        <w:rPr>
          <w:rFonts w:ascii="Times New Roman" w:eastAsia="Times New Roman" w:hAnsi="Times New Roman" w:cs="Times New Roman"/>
          <w:color w:val="000000"/>
          <w:spacing w:val="0"/>
          <w:w w:val="100"/>
          <w:position w:val="0"/>
        </w:rPr>
        <w:t>1</w:t>
      </w:r>
      <w:bookmarkEnd w:id="320"/>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color w:val="000000"/>
          <w:spacing w:val="0"/>
          <w:w w:val="100"/>
          <w:position w:val="0"/>
        </w:rPr>
        <w:t>，</w:t>
      </w:r>
      <w:r>
        <w:rPr>
          <w:color w:val="000000"/>
          <w:spacing w:val="0"/>
          <w:w w:val="100"/>
          <w:position w:val="0"/>
        </w:rPr>
        <w:t>公司第二届董事会第六次会议及第二届监事会第五次审议并通过了《上海天玑科技股 份有限公司限制性股票激励计划（草案）》及摘要》。公司独立董事对此发表了独立意见。其后公司向中 国证监会上报了申请备案材料。</w:t>
      </w:r>
    </w:p>
    <w:p>
      <w:pPr>
        <w:pStyle w:val="Style40"/>
        <w:keepNext w:val="0"/>
        <w:keepLines w:val="0"/>
        <w:widowControl w:val="0"/>
        <w:shd w:val="clear" w:color="auto" w:fill="auto"/>
        <w:bidi w:val="0"/>
        <w:spacing w:before="0" w:after="0" w:line="473" w:lineRule="exact"/>
        <w:ind w:left="0" w:right="0" w:firstLine="0"/>
        <w:jc w:val="left"/>
      </w:pPr>
      <w:bookmarkStart w:id="321" w:name="bookmark321"/>
      <w:r>
        <w:rPr>
          <w:rFonts w:ascii="Times New Roman" w:eastAsia="Times New Roman" w:hAnsi="Times New Roman" w:cs="Times New Roman"/>
          <w:color w:val="000000"/>
          <w:spacing w:val="0"/>
          <w:w w:val="100"/>
          <w:position w:val="0"/>
        </w:rPr>
        <w:t>2</w:t>
      </w:r>
      <w:bookmarkEnd w:id="321"/>
      <w:r>
        <w:rPr>
          <w:color w:val="000000"/>
          <w:spacing w:val="0"/>
          <w:w w:val="100"/>
          <w:position w:val="0"/>
        </w:rPr>
        <w:t>、 根据中国证监会的反馈意见，公司对《上海天玑科技股份有限公司限制性股票激励计划（草案）》、 《上海天玑科技股份有限公司限制性股票激励计划考核管理办法（草案）》进行了修订，并于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40"/>
        <w:keepNext w:val="0"/>
        <w:keepLines w:val="0"/>
        <w:widowControl w:val="0"/>
        <w:shd w:val="clear" w:color="auto" w:fill="auto"/>
        <w:bidi w:val="0"/>
        <w:spacing w:before="0" w:after="0" w:line="473"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0</w:t>
      </w:r>
      <w:r>
        <w:rPr>
          <w:color w:val="000000"/>
          <w:spacing w:val="0"/>
          <w:w w:val="100"/>
          <w:position w:val="0"/>
        </w:rPr>
        <w:t>召开第二届董事会第七次临时会议及第二届监事会六次临时会议分别审议通过了《上海天玑科技股份 有限公司限制性股票激励计划（草案修订稿）》及摘要、《上海天玑科技股份有限公司限制性股票激励计 划考核管理办法（修订稿）》，公司独立董事对此发表了独立意见。</w:t>
      </w:r>
    </w:p>
    <w:p>
      <w:pPr>
        <w:pStyle w:val="Style40"/>
        <w:keepNext w:val="0"/>
        <w:keepLines w:val="0"/>
        <w:widowControl w:val="0"/>
        <w:shd w:val="clear" w:color="auto" w:fill="auto"/>
        <w:tabs>
          <w:tab w:pos="418" w:val="left"/>
        </w:tabs>
        <w:bidi w:val="0"/>
        <w:spacing w:before="0" w:after="180" w:line="473" w:lineRule="exact"/>
        <w:ind w:left="0" w:right="0" w:firstLine="0"/>
        <w:jc w:val="left"/>
      </w:pPr>
      <w:bookmarkStart w:id="322" w:name="bookmark322"/>
      <w:r>
        <w:rPr>
          <w:rFonts w:ascii="Times New Roman" w:eastAsia="Times New Roman" w:hAnsi="Times New Roman" w:cs="Times New Roman"/>
          <w:color w:val="000000"/>
          <w:spacing w:val="0"/>
          <w:w w:val="100"/>
          <w:position w:val="0"/>
        </w:rPr>
        <w:t>3</w:t>
      </w:r>
      <w:bookmarkEnd w:id="322"/>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日，以现场投票、网络投票和委托独立董事征集投票相结合的方式召开了</w:t>
      </w:r>
      <w:r>
        <w:rPr>
          <w:rFonts w:ascii="Times New Roman" w:eastAsia="Times New Roman" w:hAnsi="Times New Roman" w:cs="Times New Roman"/>
          <w:color w:val="000000"/>
          <w:spacing w:val="0"/>
          <w:w w:val="100"/>
          <w:position w:val="0"/>
        </w:rPr>
        <w:t>2013</w:t>
      </w:r>
      <w:r>
        <w:rPr>
          <w:color w:val="000000"/>
          <w:spacing w:val="0"/>
          <w:w w:val="100"/>
          <w:position w:val="0"/>
        </w:rPr>
        <w:t>年 第一次临时股东大会，会议审议通过了《</w:t>
      </w:r>
      <w:r>
        <w:rPr>
          <w:color w:val="000000"/>
          <w:spacing w:val="0"/>
          <w:w w:val="100"/>
          <w:position w:val="0"/>
        </w:rPr>
        <w:t>〈</w:t>
      </w:r>
      <w:r>
        <w:rPr>
          <w:color w:val="000000"/>
          <w:spacing w:val="0"/>
          <w:w w:val="100"/>
          <w:position w:val="0"/>
        </w:rPr>
        <w:t>上海天玑科技股份有限公司限制性股票激励计划（草案修订稿）</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及其摘要》、《关于上海天玑科技股份有限公司股权激励计划实施考核管理办法（修订稿）的议案》、《关 于提请股东大会授权董事会办理限制性股票激励计划相关事宜的议案》。</w:t>
      </w:r>
    </w:p>
    <w:p>
      <w:pPr>
        <w:pStyle w:val="Style40"/>
        <w:keepNext w:val="0"/>
        <w:keepLines w:val="0"/>
        <w:widowControl w:val="0"/>
        <w:shd w:val="clear" w:color="auto" w:fill="auto"/>
        <w:tabs>
          <w:tab w:pos="373" w:val="left"/>
        </w:tabs>
        <w:bidi w:val="0"/>
        <w:spacing w:before="0" w:after="0" w:line="464" w:lineRule="exact"/>
        <w:ind w:left="0" w:right="0" w:firstLine="0"/>
        <w:jc w:val="both"/>
      </w:pPr>
      <w:bookmarkStart w:id="323" w:name="bookmark323"/>
      <w:r>
        <w:rPr>
          <w:rFonts w:ascii="Times New Roman" w:eastAsia="Times New Roman" w:hAnsi="Times New Roman" w:cs="Times New Roman"/>
          <w:color w:val="000000"/>
          <w:spacing w:val="0"/>
          <w:w w:val="100"/>
          <w:position w:val="0"/>
        </w:rPr>
        <w:t>4</w:t>
      </w:r>
      <w:bookmarkEnd w:id="323"/>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日，公司第二届董事会第九次临时会议审议通过《关于对公司限制性股票激励计划进行调 整的议案》及《关于向激励对象授予限制性股票的议案》。确定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日为首期</w:t>
      </w:r>
      <w:r>
        <w:rPr>
          <w:rFonts w:ascii="Times New Roman" w:eastAsia="Times New Roman" w:hAnsi="Times New Roman" w:cs="Times New Roman"/>
          <w:color w:val="000000"/>
          <w:spacing w:val="0"/>
          <w:w w:val="100"/>
          <w:position w:val="0"/>
        </w:rPr>
        <w:t>533</w:t>
      </w:r>
      <w:r>
        <w:rPr>
          <w:color w:val="000000"/>
          <w:spacing w:val="0"/>
          <w:w w:val="100"/>
          <w:position w:val="0"/>
        </w:rPr>
        <w:t>万限制性股票的 授予日。公司独立董事对此发表了独立意见。公司于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披露了《关于完成工商变更登记的公 告》。公司总股本从</w:t>
      </w:r>
      <w:r>
        <w:rPr>
          <w:rFonts w:ascii="Times New Roman" w:eastAsia="Times New Roman" w:hAnsi="Times New Roman" w:cs="Times New Roman"/>
          <w:color w:val="000000"/>
          <w:spacing w:val="0"/>
          <w:w w:val="100"/>
          <w:position w:val="0"/>
        </w:rPr>
        <w:t>134,000,000</w:t>
      </w:r>
      <w:r>
        <w:rPr>
          <w:color w:val="000000"/>
          <w:spacing w:val="0"/>
          <w:w w:val="100"/>
          <w:position w:val="0"/>
        </w:rPr>
        <w:t>股变更为</w:t>
      </w:r>
      <w:r>
        <w:rPr>
          <w:rFonts w:ascii="Times New Roman" w:eastAsia="Times New Roman" w:hAnsi="Times New Roman" w:cs="Times New Roman"/>
          <w:color w:val="000000"/>
          <w:spacing w:val="0"/>
          <w:w w:val="100"/>
          <w:position w:val="0"/>
        </w:rPr>
        <w:t>139,330,000</w:t>
      </w:r>
      <w:r>
        <w:rPr>
          <w:color w:val="000000"/>
          <w:spacing w:val="0"/>
          <w:w w:val="100"/>
          <w:position w:val="0"/>
        </w:rPr>
        <w:t>股。</w:t>
      </w:r>
    </w:p>
    <w:p>
      <w:pPr>
        <w:pStyle w:val="Style40"/>
        <w:keepNext w:val="0"/>
        <w:keepLines w:val="0"/>
        <w:widowControl w:val="0"/>
        <w:shd w:val="clear" w:color="auto" w:fill="auto"/>
        <w:bidi w:val="0"/>
        <w:spacing w:before="0" w:after="0" w:line="464" w:lineRule="exact"/>
        <w:ind w:left="0" w:right="0" w:firstLine="0"/>
        <w:jc w:val="both"/>
      </w:pPr>
      <w:bookmarkStart w:id="324" w:name="bookmark324"/>
      <w:r>
        <w:rPr>
          <w:rFonts w:ascii="Times New Roman" w:eastAsia="Times New Roman" w:hAnsi="Times New Roman" w:cs="Times New Roman"/>
          <w:color w:val="000000"/>
          <w:spacing w:val="0"/>
          <w:w w:val="100"/>
          <w:position w:val="0"/>
        </w:rPr>
        <w:t>5</w:t>
      </w:r>
      <w:bookmarkEnd w:id="324"/>
      <w:r>
        <w:rPr>
          <w:color w:val="000000"/>
          <w:spacing w:val="0"/>
          <w:w w:val="100"/>
          <w:position w:val="0"/>
        </w:rPr>
        <w:t>、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日第二届董事会第十二次临时会议审议通过《关于向激励对象授予限制性股票的 议案》，确定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日为陆廷洁女士 </w:t>
      </w:r>
      <w:r>
        <w:rPr>
          <w:rFonts w:ascii="Times New Roman" w:eastAsia="Times New Roman" w:hAnsi="Times New Roman" w:cs="Times New Roman"/>
          <w:color w:val="000000"/>
          <w:spacing w:val="0"/>
          <w:w w:val="100"/>
          <w:position w:val="0"/>
        </w:rPr>
        <w:t>20</w:t>
      </w:r>
      <w:r>
        <w:rPr>
          <w:color w:val="000000"/>
          <w:spacing w:val="0"/>
          <w:w w:val="100"/>
          <w:position w:val="0"/>
        </w:rPr>
        <w:t>万限制性股票的授予日。</w:t>
      </w:r>
    </w:p>
    <w:p>
      <w:pPr>
        <w:pStyle w:val="Style40"/>
        <w:keepNext w:val="0"/>
        <w:keepLines w:val="0"/>
        <w:widowControl w:val="0"/>
        <w:shd w:val="clear" w:color="auto" w:fill="auto"/>
        <w:bidi w:val="0"/>
        <w:spacing w:before="0" w:after="220" w:line="46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日披露了《关于完成工商变更登记的公告》。公司总股本从</w:t>
      </w:r>
      <w:r>
        <w:rPr>
          <w:rFonts w:ascii="Times New Roman" w:eastAsia="Times New Roman" w:hAnsi="Times New Roman" w:cs="Times New Roman"/>
          <w:color w:val="000000"/>
          <w:spacing w:val="0"/>
          <w:w w:val="100"/>
          <w:position w:val="0"/>
        </w:rPr>
        <w:t>139,330,000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139,530,000</w:t>
      </w:r>
      <w:r>
        <w:rPr>
          <w:color w:val="000000"/>
          <w:spacing w:val="0"/>
          <w:w w:val="100"/>
          <w:position w:val="0"/>
        </w:rPr>
        <w:t>股。</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220" w:line="480"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年向限制性股票激励对象定向发行了人民币普通股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553</w:t>
      </w:r>
      <w:r>
        <w:rPr>
          <w:color w:val="000000"/>
          <w:spacing w:val="0"/>
          <w:w w:val="100"/>
          <w:position w:val="0"/>
        </w:rPr>
        <w:t>万股，持有人新增股份已全部在中 国证券登记结算有限公司深圳分公司办理了股份登记手续。</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464" w:lineRule="exact"/>
        <w:ind w:left="0" w:right="0" w:firstLine="0"/>
        <w:jc w:val="both"/>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、限售股份变动情况</w:t>
      </w:r>
      <w:bookmarkEnd w:id="325"/>
      <w:bookmarkEnd w:id="326"/>
      <w:bookmarkEnd w:id="32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378"/>
        <w:gridCol w:w="1368"/>
        <w:gridCol w:w="1368"/>
        <w:gridCol w:w="1565"/>
        <w:gridCol w:w="1166"/>
        <w:gridCol w:w="1104"/>
        <w:gridCol w:w="164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31,004,400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首发前个人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15,480,800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4,606,714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高管锁定股、 股权激励限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激励限售股部分根 据股权激励计划约 定解锁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名股权激励对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根据股权激励计划</w:t>
            </w:r>
          </w:p>
        </w:tc>
      </w:tr>
    </w:tbl>
    <w:tbl>
      <w:tblPr>
        <w:tblOverlap w:val="never"/>
        <w:jc w:val="center"/>
        <w:tblLayout w:type="fixed"/>
      </w:tblPr>
      <w:tblGrid>
        <w:gridCol w:w="1378"/>
        <w:gridCol w:w="1368"/>
        <w:gridCol w:w="1368"/>
        <w:gridCol w:w="1565"/>
        <w:gridCol w:w="1166"/>
        <w:gridCol w:w="1104"/>
        <w:gridCol w:w="164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约定解锁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80,651,745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78,133,870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rPr>
        <w:t>二</w:t>
      </w:r>
      <w:bookmarkEnd w:id="331"/>
      <w:r>
        <w:rPr>
          <w:color w:val="000000"/>
          <w:spacing w:val="0"/>
          <w:w w:val="100"/>
          <w:position w:val="0"/>
        </w:rPr>
        <w:t>、证券发行与上市情况</w:t>
      </w:r>
      <w:bookmarkEnd w:id="329"/>
      <w:bookmarkEnd w:id="330"/>
      <w:bookmarkEnd w:id="332"/>
    </w:p>
    <w:p>
      <w:pPr>
        <w:pStyle w:val="Style33"/>
        <w:keepNext/>
        <w:keepLines/>
        <w:widowControl w:val="0"/>
        <w:shd w:val="clear" w:color="auto" w:fill="auto"/>
        <w:bidi w:val="0"/>
        <w:spacing w:before="0" w:after="32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、报告期内证券发行情况</w:t>
      </w:r>
      <w:bookmarkEnd w:id="333"/>
      <w:bookmarkEnd w:id="334"/>
      <w:bookmarkEnd w:id="336"/>
    </w:p>
    <w:tbl>
      <w:tblPr>
        <w:tblOverlap w:val="never"/>
        <w:jc w:val="center"/>
        <w:tblLayout w:type="fixed"/>
      </w:tblPr>
      <w:tblGrid>
        <w:gridCol w:w="1378"/>
        <w:gridCol w:w="1608"/>
        <w:gridCol w:w="112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证券发行情况的说明</w:t>
      </w:r>
    </w:p>
    <w:p>
      <w:pPr>
        <w:pStyle w:val="Style4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报告期内，公司实施第一期股权激励计划，首期授予激励对象</w:t>
      </w:r>
      <w:r>
        <w:rPr>
          <w:rFonts w:ascii="Times New Roman" w:eastAsia="Times New Roman" w:hAnsi="Times New Roman" w:cs="Times New Roman"/>
          <w:color w:val="000000"/>
          <w:spacing w:val="0"/>
          <w:w w:val="100"/>
          <w:position w:val="0"/>
        </w:rPr>
        <w:t>553</w:t>
      </w:r>
      <w:r>
        <w:rPr>
          <w:color w:val="000000"/>
          <w:spacing w:val="0"/>
          <w:w w:val="100"/>
          <w:position w:val="0"/>
        </w:rPr>
        <w:t>万股限制性股票。</w:t>
      </w:r>
    </w:p>
    <w:p>
      <w:pPr>
        <w:pStyle w:val="Style33"/>
        <w:keepNext/>
        <w:keepLines/>
        <w:widowControl w:val="0"/>
        <w:shd w:val="clear" w:color="auto" w:fill="auto"/>
        <w:bidi w:val="0"/>
        <w:spacing w:before="0" w:after="20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、公司股份总数及股东结构的变动、公司资产和负债结构的变动情况说明</w:t>
      </w:r>
      <w:bookmarkEnd w:id="337"/>
      <w:bookmarkEnd w:id="338"/>
      <w:bookmarkEnd w:id="340"/>
    </w:p>
    <w:p>
      <w:pPr>
        <w:pStyle w:val="Style40"/>
        <w:keepNext w:val="0"/>
        <w:keepLines w:val="0"/>
        <w:widowControl w:val="0"/>
        <w:shd w:val="clear" w:color="auto" w:fill="auto"/>
        <w:bidi w:val="0"/>
        <w:spacing w:before="0" w:after="0" w:line="474" w:lineRule="exact"/>
        <w:ind w:left="0" w:right="0" w:firstLine="0"/>
        <w:jc w:val="both"/>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年年度股东大会审议并通过了《公司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年度利润分配预案的议案》，公 司</w:t>
      </w:r>
      <w:r>
        <w:rPr>
          <w:rFonts w:ascii="Times New Roman" w:eastAsia="Times New Roman" w:hAnsi="Times New Roman" w:cs="Times New Roman"/>
          <w:color w:val="000000"/>
          <w:spacing w:val="0"/>
          <w:w w:val="100"/>
          <w:position w:val="0"/>
        </w:rPr>
        <w:t>2012</w:t>
      </w:r>
      <w:r>
        <w:rPr>
          <w:color w:val="000000"/>
          <w:spacing w:val="0"/>
          <w:w w:val="100"/>
          <w:position w:val="0"/>
        </w:rPr>
        <w:t>年年度的利润分配预案为：以公司</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13,400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股派发人 民币</w:t>
      </w:r>
      <w:r>
        <w:rPr>
          <w:rFonts w:ascii="Times New Roman" w:eastAsia="Times New Roman" w:hAnsi="Times New Roman" w:cs="Times New Roman"/>
          <w:color w:val="000000"/>
          <w:spacing w:val="0"/>
          <w:w w:val="100"/>
          <w:position w:val="0"/>
        </w:rPr>
        <w:t>1</w:t>
      </w:r>
      <w:r>
        <w:rPr>
          <w:color w:val="000000"/>
          <w:spacing w:val="0"/>
          <w:w w:val="100"/>
          <w:position w:val="0"/>
        </w:rPr>
        <w:t>元现金（含税），合计派发现金红利人民币</w:t>
      </w:r>
      <w:r>
        <w:rPr>
          <w:rFonts w:ascii="Times New Roman" w:eastAsia="Times New Roman" w:hAnsi="Times New Roman" w:cs="Times New Roman"/>
          <w:color w:val="000000"/>
          <w:spacing w:val="0"/>
          <w:w w:val="100"/>
          <w:position w:val="0"/>
        </w:rPr>
        <w:t>1,340</w:t>
      </w:r>
      <w:r>
        <w:rPr>
          <w:color w:val="000000"/>
          <w:spacing w:val="0"/>
          <w:w w:val="100"/>
          <w:position w:val="0"/>
        </w:rPr>
        <w:t>万元。</w:t>
      </w:r>
    </w:p>
    <w:p>
      <w:pPr>
        <w:pStyle w:val="Style40"/>
        <w:keepNext w:val="0"/>
        <w:keepLines w:val="0"/>
        <w:widowControl w:val="0"/>
        <w:shd w:val="clear" w:color="auto" w:fill="auto"/>
        <w:bidi w:val="0"/>
        <w:spacing w:before="0" w:after="0" w:line="474" w:lineRule="exact"/>
        <w:ind w:left="0" w:right="0" w:firstLine="0"/>
        <w:jc w:val="both"/>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rPr>
        <w:t>2</w:t>
      </w:r>
      <w:r>
        <w:rPr>
          <w:color w:val="000000"/>
          <w:spacing w:val="0"/>
          <w:w w:val="100"/>
          <w:position w:val="0"/>
        </w:rPr>
        <w:t>）报告期内，公司实施股权激励，总计向公司中、高级管理人员和核心技术（业务）人员及业务骨干 人员发行</w:t>
      </w:r>
      <w:r>
        <w:rPr>
          <w:rFonts w:ascii="Times New Roman" w:eastAsia="Times New Roman" w:hAnsi="Times New Roman" w:cs="Times New Roman"/>
          <w:color w:val="000000"/>
          <w:spacing w:val="0"/>
          <w:w w:val="100"/>
          <w:position w:val="0"/>
        </w:rPr>
        <w:t>553</w:t>
      </w:r>
      <w:r>
        <w:rPr>
          <w:color w:val="000000"/>
          <w:spacing w:val="0"/>
          <w:w w:val="100"/>
          <w:position w:val="0"/>
        </w:rPr>
        <w:t>万股限制性股票，公司股份总数期初为</w:t>
      </w:r>
      <w:r>
        <w:rPr>
          <w:rFonts w:ascii="Times New Roman" w:eastAsia="Times New Roman" w:hAnsi="Times New Roman" w:cs="Times New Roman"/>
          <w:color w:val="000000"/>
          <w:spacing w:val="0"/>
          <w:w w:val="100"/>
          <w:position w:val="0"/>
        </w:rPr>
        <w:t>134,000,000</w:t>
      </w:r>
      <w:r>
        <w:rPr>
          <w:color w:val="000000"/>
          <w:spacing w:val="0"/>
          <w:w w:val="100"/>
          <w:position w:val="0"/>
        </w:rPr>
        <w:t>股，期末为</w:t>
      </w:r>
      <w:r>
        <w:rPr>
          <w:rFonts w:ascii="Times New Roman" w:eastAsia="Times New Roman" w:hAnsi="Times New Roman" w:cs="Times New Roman"/>
          <w:color w:val="000000"/>
          <w:spacing w:val="0"/>
          <w:w w:val="100"/>
          <w:position w:val="0"/>
        </w:rPr>
        <w:t>139,530,000</w:t>
      </w:r>
      <w:r>
        <w:rPr>
          <w:color w:val="000000"/>
          <w:spacing w:val="0"/>
          <w:w w:val="100"/>
          <w:position w:val="0"/>
        </w:rPr>
        <w:t>股，增加</w:t>
      </w:r>
      <w:r>
        <w:rPr>
          <w:rFonts w:ascii="Times New Roman" w:eastAsia="Times New Roman" w:hAnsi="Times New Roman" w:cs="Times New Roman"/>
          <w:color w:val="000000"/>
          <w:spacing w:val="0"/>
          <w:w w:val="100"/>
          <w:position w:val="0"/>
        </w:rPr>
        <w:t>553</w:t>
      </w:r>
      <w:r>
        <w:rPr>
          <w:color w:val="000000"/>
          <w:spacing w:val="0"/>
          <w:w w:val="100"/>
          <w:position w:val="0"/>
        </w:rPr>
        <w:t>万股。</w:t>
      </w:r>
    </w:p>
    <w:p>
      <w:pPr>
        <w:pStyle w:val="Style40"/>
        <w:keepNext w:val="0"/>
        <w:keepLines w:val="0"/>
        <w:widowControl w:val="0"/>
        <w:shd w:val="clear" w:color="auto" w:fill="auto"/>
        <w:tabs>
          <w:tab w:pos="598" w:val="left"/>
        </w:tabs>
        <w:bidi w:val="0"/>
        <w:spacing w:before="0" w:after="0" w:line="474" w:lineRule="exact"/>
        <w:ind w:left="0" w:right="0" w:firstLine="0"/>
        <w:jc w:val="left"/>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rPr>
        <w:t>3</w:t>
      </w:r>
      <w:r>
        <w:rPr>
          <w:color w:val="000000"/>
          <w:spacing w:val="0"/>
          <w:w w:val="100"/>
          <w:position w:val="0"/>
        </w:rPr>
        <w:t>）</w:t>
        <w:tab/>
        <w:t>公司董事、监事或高级管理人员的任职期间，每年转让的股份按照其持股总数的</w:t>
      </w:r>
      <w:r>
        <w:rPr>
          <w:rFonts w:ascii="Times New Roman" w:eastAsia="Times New Roman" w:hAnsi="Times New Roman" w:cs="Times New Roman"/>
          <w:color w:val="000000"/>
          <w:spacing w:val="0"/>
          <w:w w:val="100"/>
          <w:position w:val="0"/>
        </w:rPr>
        <w:t>75%</w:t>
      </w:r>
      <w:r>
        <w:rPr>
          <w:color w:val="000000"/>
          <w:spacing w:val="0"/>
          <w:w w:val="100"/>
          <w:position w:val="0"/>
        </w:rPr>
        <w:t>予以锁定，离任 后半年内对其持有的全部股份予以锁定。</w:t>
      </w:r>
    </w:p>
    <w:p>
      <w:pPr>
        <w:pStyle w:val="Style40"/>
        <w:keepNext w:val="0"/>
        <w:keepLines w:val="0"/>
        <w:widowControl w:val="0"/>
        <w:shd w:val="clear" w:color="auto" w:fill="auto"/>
        <w:bidi w:val="0"/>
        <w:spacing w:before="0" w:after="440" w:line="468" w:lineRule="exact"/>
        <w:ind w:left="0" w:right="0" w:firstLine="0"/>
        <w:jc w:val="left"/>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color w:val="000000"/>
          <w:spacing w:val="0"/>
          <w:w w:val="100"/>
          <w:position w:val="0"/>
        </w:rPr>
        <w:t>公司期初的资产总额为</w:t>
      </w:r>
      <w:r>
        <w:rPr>
          <w:rFonts w:ascii="Times New Roman" w:eastAsia="Times New Roman" w:hAnsi="Times New Roman" w:cs="Times New Roman"/>
          <w:color w:val="000000"/>
          <w:spacing w:val="0"/>
          <w:w w:val="100"/>
          <w:position w:val="0"/>
        </w:rPr>
        <w:t>64,194</w:t>
      </w:r>
      <w:r>
        <w:rPr>
          <w:color w:val="000000"/>
          <w:spacing w:val="0"/>
          <w:w w:val="100"/>
          <w:position w:val="0"/>
        </w:rPr>
        <w:t>万元，期末为</w:t>
      </w:r>
      <w:r>
        <w:rPr>
          <w:color w:val="000000"/>
          <w:spacing w:val="0"/>
          <w:w w:val="100"/>
          <w:position w:val="0"/>
        </w:rPr>
        <w:t>70,324</w:t>
      </w:r>
      <w:r>
        <w:rPr>
          <w:color w:val="000000"/>
          <w:spacing w:val="0"/>
          <w:w w:val="100"/>
          <w:position w:val="0"/>
        </w:rPr>
        <w:t>万元，增加</w:t>
      </w:r>
      <w:r>
        <w:rPr>
          <w:color w:val="000000"/>
          <w:spacing w:val="0"/>
          <w:w w:val="100"/>
          <w:position w:val="0"/>
        </w:rPr>
        <w:t>6, 130</w:t>
      </w:r>
      <w:r>
        <w:rPr>
          <w:color w:val="000000"/>
          <w:spacing w:val="0"/>
          <w:w w:val="100"/>
          <w:position w:val="0"/>
        </w:rPr>
        <w:t>万元；期初的负债总额为</w:t>
      </w:r>
      <w:r>
        <w:rPr>
          <w:rFonts w:ascii="Times New Roman" w:eastAsia="Times New Roman" w:hAnsi="Times New Roman" w:cs="Times New Roman"/>
          <w:color w:val="000000"/>
          <w:spacing w:val="0"/>
          <w:w w:val="100"/>
          <w:position w:val="0"/>
        </w:rPr>
        <w:t xml:space="preserve">11,202 </w:t>
      </w:r>
      <w:r>
        <w:rPr>
          <w:color w:val="000000"/>
          <w:spacing w:val="0"/>
          <w:w w:val="100"/>
          <w:position w:val="0"/>
        </w:rPr>
        <w:t>万元，期末为</w:t>
      </w:r>
      <w:r>
        <w:rPr>
          <w:color w:val="000000"/>
          <w:spacing w:val="0"/>
          <w:w w:val="100"/>
          <w:position w:val="0"/>
        </w:rPr>
        <w:t>9,407</w:t>
      </w:r>
      <w:r>
        <w:rPr>
          <w:color w:val="000000"/>
          <w:spacing w:val="0"/>
          <w:w w:val="100"/>
          <w:position w:val="0"/>
        </w:rPr>
        <w:t>万元，负债总额降低</w:t>
      </w:r>
      <w:r>
        <w:rPr>
          <w:color w:val="000000"/>
          <w:spacing w:val="0"/>
          <w:w w:val="100"/>
          <w:position w:val="0"/>
        </w:rPr>
        <w:t>1,795</w:t>
      </w:r>
      <w:r>
        <w:rPr>
          <w:color w:val="000000"/>
          <w:spacing w:val="0"/>
          <w:w w:val="100"/>
          <w:position w:val="0"/>
        </w:rPr>
        <w:t>万元。公司资产负债率由</w:t>
      </w:r>
      <w:r>
        <w:rPr>
          <w:rFonts w:ascii="Times New Roman" w:eastAsia="Times New Roman" w:hAnsi="Times New Roman" w:cs="Times New Roman"/>
          <w:color w:val="000000"/>
          <w:spacing w:val="0"/>
          <w:w w:val="100"/>
          <w:position w:val="0"/>
        </w:rPr>
        <w:t>2012</w:t>
      </w:r>
      <w:r>
        <w:rPr>
          <w:color w:val="000000"/>
          <w:spacing w:val="0"/>
          <w:w w:val="100"/>
          <w:position w:val="0"/>
        </w:rPr>
        <w:t>年年底的</w:t>
      </w:r>
      <w:r>
        <w:rPr>
          <w:color w:val="000000"/>
          <w:spacing w:val="0"/>
          <w:w w:val="100"/>
          <w:position w:val="0"/>
        </w:rPr>
        <w:t xml:space="preserve">17.45 </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年年底的</w:t>
      </w:r>
      <w:r>
        <w:rPr>
          <w:color w:val="000000"/>
          <w:spacing w:val="0"/>
          <w:w w:val="100"/>
          <w:position w:val="0"/>
        </w:rPr>
        <w:t xml:space="preserve">13.38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after="10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三</w:t>
      </w:r>
      <w:bookmarkEnd w:id="347"/>
      <w:r>
        <w:rPr>
          <w:color w:val="000000"/>
          <w:spacing w:val="0"/>
          <w:w w:val="100"/>
          <w:position w:val="0"/>
        </w:rPr>
        <w:t>、股东和实际控制人情况</w:t>
      </w:r>
      <w:bookmarkEnd w:id="345"/>
      <w:bookmarkEnd w:id="346"/>
      <w:bookmarkEnd w:id="348"/>
    </w:p>
    <w:p>
      <w:pPr>
        <w:pStyle w:val="Style33"/>
        <w:keepNext/>
        <w:keepLines/>
        <w:widowControl w:val="0"/>
        <w:shd w:val="clear" w:color="auto" w:fill="auto"/>
        <w:bidi w:val="0"/>
        <w:spacing w:before="0" w:after="380" w:line="474" w:lineRule="exact"/>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、公司股东数量及持股情况</w:t>
      </w:r>
      <w:bookmarkEnd w:id="349"/>
      <w:bookmarkEnd w:id="350"/>
      <w:bookmarkEnd w:id="35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736"/>
        <w:gridCol w:w="1661"/>
        <w:gridCol w:w="3590"/>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w:t>
            </w:r>
          </w:p>
        </w:tc>
      </w:tr>
    </w:tbl>
    <w:p>
      <w:pPr>
        <w:spacing w:lineRule="exact" w:line="1"/>
        <w:rPr>
          <w:sz w:val="2"/>
          <w:szCs w:val="2"/>
        </w:rPr>
      </w:pPr>
      <w:r>
        <w:br w:type="page"/>
      </w:r>
    </w:p>
    <w:tbl>
      <w:tblPr>
        <w:tblOverlap w:val="never"/>
        <w:jc w:val="center"/>
        <w:tblLayout w:type="fixed"/>
      </w:tblPr>
      <w:tblGrid>
        <w:gridCol w:w="1368"/>
        <w:gridCol w:w="1368"/>
        <w:gridCol w:w="864"/>
        <w:gridCol w:w="946"/>
        <w:gridCol w:w="850"/>
        <w:gridCol w:w="994"/>
        <w:gridCol w:w="456"/>
        <w:gridCol w:w="533"/>
        <w:gridCol w:w="835"/>
        <w:gridCol w:w="1378"/>
      </w:tblGrid>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 条件的股份 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31,004,400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12,533,025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11,610,600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4,606,714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3,137,115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3,137,115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1,565,044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1,096,087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张锋</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3,137,115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3,137,115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李晋</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滕长春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姜蓓蓓</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796,391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796,391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程硕</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刘春合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445,794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蒋国平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沈阳双鼎制药有限公司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陈燕</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293,370</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公司与上述无限售流通股股东间不存在关联关系，本公司未知前十名无限售条件股东之 间是否存在关联关系，也未知是否属于一致行动人。</w:t>
            </w:r>
          </w:p>
        </w:tc>
      </w:tr>
    </w:tbl>
    <w:p>
      <w:pPr>
        <w:spacing w:lineRule="exact" w:line="1"/>
        <w:rPr>
          <w:sz w:val="2"/>
          <w:szCs w:val="2"/>
        </w:rPr>
      </w:pPr>
      <w:r>
        <w:br w:type="page"/>
      </w:r>
    </w:p>
    <w:tbl>
      <w:tblPr>
        <w:tblOverlap w:val="never"/>
        <w:jc w:val="center"/>
        <w:tblLayout w:type="fixed"/>
      </w:tblPr>
      <w:tblGrid>
        <w:gridCol w:w="2736"/>
        <w:gridCol w:w="6854"/>
      </w:tblGrid>
      <w:tr>
        <w:trPr>
          <w:trHeight w:val="13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公司股东张锋除通过普通证券账户持股有</w:t>
            </w:r>
            <w:r>
              <w:rPr>
                <w:rFonts w:ascii="Times New Roman" w:eastAsia="Times New Roman" w:hAnsi="Times New Roman" w:cs="Times New Roman"/>
                <w:color w:val="000000"/>
                <w:spacing w:val="0"/>
                <w:w w:val="100"/>
                <w:position w:val="0"/>
                <w:sz w:val="18"/>
                <w:szCs w:val="18"/>
              </w:rPr>
              <w:t>745,875</w:t>
            </w:r>
            <w:r>
              <w:rPr>
                <w:color w:val="000000"/>
                <w:spacing w:val="0"/>
                <w:w w:val="100"/>
                <w:position w:val="0"/>
              </w:rPr>
              <w:t>股外，还通过华泰证券股份有限 公司客户信用交易担保证券账户持有</w:t>
            </w:r>
            <w:r>
              <w:rPr>
                <w:rFonts w:ascii="Times New Roman" w:eastAsia="Times New Roman" w:hAnsi="Times New Roman" w:cs="Times New Roman"/>
                <w:color w:val="000000"/>
                <w:spacing w:val="0"/>
                <w:w w:val="100"/>
                <w:position w:val="0"/>
                <w:sz w:val="18"/>
                <w:szCs w:val="18"/>
              </w:rPr>
              <w:t>2,391,240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3,137,115</w:t>
            </w:r>
            <w:r>
              <w:rPr>
                <w:color w:val="000000"/>
                <w:spacing w:val="0"/>
                <w:w w:val="100"/>
                <w:position w:val="0"/>
              </w:rPr>
              <w:t>股。</w:t>
            </w:r>
          </w:p>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公司股东李晋除通过普通证券账户持股数量为</w:t>
            </w:r>
            <w:r>
              <w:rPr>
                <w:rFonts w:ascii="Times New Roman" w:eastAsia="Times New Roman" w:hAnsi="Times New Roman" w:cs="Times New Roman"/>
                <w:color w:val="000000"/>
                <w:spacing w:val="0"/>
                <w:w w:val="100"/>
                <w:position w:val="0"/>
                <w:sz w:val="18"/>
                <w:szCs w:val="18"/>
              </w:rPr>
              <w:t>1,808,000</w:t>
            </w:r>
            <w:r>
              <w:rPr>
                <w:color w:val="000000"/>
                <w:spacing w:val="0"/>
                <w:w w:val="100"/>
                <w:position w:val="0"/>
              </w:rPr>
              <w:t>股外，还通过西南证券股份 有限公司客户信用交易担保证券账户持有</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2,508,000</w:t>
            </w:r>
            <w:r>
              <w:rPr>
                <w:color w:val="000000"/>
                <w:spacing w:val="0"/>
                <w:w w:val="100"/>
                <w:position w:val="0"/>
              </w:rPr>
              <w:t>股。</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、公司控股股东情况</w:t>
      </w:r>
      <w:bookmarkEnd w:id="353"/>
      <w:bookmarkEnd w:id="354"/>
      <w:bookmarkEnd w:id="35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年，陆文雄先生为天玑科技设立时的创始人之一，</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年至今为天玑科技 控股股东、实际控制人，并担任法定代表人。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除本公司外，陆文雄先生未控股其他境内外上市公司。</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、公司实际控制人情况</w:t>
      </w:r>
      <w:bookmarkEnd w:id="357"/>
      <w:bookmarkEnd w:id="358"/>
      <w:bookmarkEnd w:id="360"/>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年，陆文雄先生为天玑科技设立时的创始人之一，</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年至今为天玑科技 控股股东、实际控制人，并担任法定代表人。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除本公司外，陆文雄先生未控股其他境内外上市公司。</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370705" cy="231648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370705" cy="2316480"/>
                    </a:xfrm>
                    <a:prstGeom prst="rect"/>
                  </pic:spPr>
                </pic:pic>
              </a:graphicData>
            </a:graphic>
          </wp:inline>
        </w:drawing>
      </w:r>
    </w:p>
    <w:p>
      <w:pPr>
        <w:widowControl w:val="0"/>
        <w:spacing w:after="2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4</w:t>
      </w:r>
      <w:bookmarkEnd w:id="363"/>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61"/>
      <w:bookmarkEnd w:id="362"/>
      <w:bookmarkEnd w:id="364"/>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新增可上市交易股份数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31,004,400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首发前个人限售股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12,533,025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11,610,600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高管锁定股及股权激励 限售股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武雪松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365" w:name="bookmark365"/>
      <w:bookmarkStart w:id="366" w:name="bookmark366"/>
      <w:bookmarkStart w:id="367" w:name="bookmark367"/>
      <w:r>
        <w:rPr>
          <w:color w:val="000000"/>
          <w:spacing w:val="0"/>
          <w:w w:val="100"/>
          <w:position w:val="0"/>
        </w:rPr>
        <w:t>第七节 董事、监事、高级管理人员和员工情况</w:t>
      </w:r>
      <w:bookmarkEnd w:id="365"/>
      <w:bookmarkEnd w:id="366"/>
      <w:bookmarkEnd w:id="367"/>
    </w:p>
    <w:p>
      <w:pPr>
        <w:pStyle w:val="Style27"/>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bookmarkStart w:id="371" w:name="bookmark371"/>
      <w:bookmarkStart w:id="372" w:name="bookmark372"/>
      <w:r>
        <w:rPr>
          <w:color w:val="000000"/>
          <w:spacing w:val="0"/>
          <w:w w:val="100"/>
          <w:position w:val="0"/>
        </w:rPr>
        <w:t>一</w:t>
      </w:r>
      <w:bookmarkEnd w:id="371"/>
      <w:r>
        <w:rPr>
          <w:color w:val="000000"/>
          <w:spacing w:val="0"/>
          <w:w w:val="100"/>
          <w:position w:val="0"/>
        </w:rPr>
        <w:t>、董事、监事和高级管理人员持股变动</w:t>
      </w:r>
      <w:bookmarkEnd w:id="369"/>
      <w:bookmarkEnd w:id="370"/>
      <w:bookmarkEnd w:id="372"/>
      <w:bookmarkEnd w:id="368"/>
    </w:p>
    <w:p>
      <w:pPr>
        <w:pStyle w:val="Style33"/>
        <w:keepNext/>
        <w:keepLines/>
        <w:widowControl w:val="0"/>
        <w:shd w:val="clear" w:color="auto" w:fill="auto"/>
        <w:bidi w:val="0"/>
        <w:spacing w:before="0" w:after="30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、持股情况</w:t>
      </w:r>
      <w:bookmarkEnd w:id="373"/>
      <w:bookmarkEnd w:id="374"/>
      <w:bookmarkEnd w:id="376"/>
    </w:p>
    <w:tbl>
      <w:tblPr>
        <w:tblOverlap w:val="never"/>
        <w:jc w:val="center"/>
        <w:tblLayout w:type="fixed"/>
      </w:tblPr>
      <w:tblGrid>
        <w:gridCol w:w="691"/>
        <w:gridCol w:w="677"/>
        <w:gridCol w:w="485"/>
        <w:gridCol w:w="566"/>
        <w:gridCol w:w="566"/>
        <w:gridCol w:w="994"/>
        <w:gridCol w:w="706"/>
        <w:gridCol w:w="994"/>
        <w:gridCol w:w="994"/>
        <w:gridCol w:w="422"/>
        <w:gridCol w:w="710"/>
        <w:gridCol w:w="427"/>
        <w:gridCol w:w="706"/>
        <w:gridCol w:w="643"/>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 持有 的股 权激 励获 授予 限制 性股 票数 量 （股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被注 销的 股权 激励 限制 性股 票数 量</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有的股 权激励 获授予 限制性 股票数 量（股）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增减变 动原因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长、法 定代表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31,004,400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16,710,700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4,026,607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自身资 金需求</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15,480,800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3,720,200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自身资 金需求</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自身资 金需求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6,142,286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自身资 金需求</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武雪松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 励限售 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严义埙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朱范予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91"/>
        <w:gridCol w:w="677"/>
        <w:gridCol w:w="485"/>
        <w:gridCol w:w="566"/>
        <w:gridCol w:w="566"/>
        <w:gridCol w:w="994"/>
        <w:gridCol w:w="706"/>
        <w:gridCol w:w="994"/>
        <w:gridCol w:w="994"/>
        <w:gridCol w:w="422"/>
        <w:gridCol w:w="710"/>
        <w:gridCol w:w="427"/>
        <w:gridCol w:w="706"/>
        <w:gridCol w:w="64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杨万强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自身资 金需求</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刘洁琼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2,086,726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自身资 金需求</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董事会 秘书、 财务总 监、副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自身资 金需 求、股 权激励 限售股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86,470,362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74,267,692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200" w:line="240" w:lineRule="auto"/>
        <w:ind w:left="0" w:right="0" w:firstLine="260"/>
        <w:jc w:val="both"/>
      </w:pPr>
      <w:bookmarkStart w:id="377" w:name="bookmark377"/>
      <w:bookmarkStart w:id="378" w:name="bookmark378"/>
      <w:bookmarkStart w:id="379" w:name="bookmark379"/>
      <w:r>
        <w:rPr>
          <w:color w:val="000000"/>
          <w:spacing w:val="0"/>
          <w:w w:val="100"/>
          <w:position w:val="0"/>
        </w:rPr>
        <w:t>、任职情况</w:t>
      </w:r>
      <w:bookmarkEnd w:id="377"/>
      <w:bookmarkEnd w:id="378"/>
      <w:bookmarkEnd w:id="379"/>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40"/>
        <w:keepNext w:val="0"/>
        <w:keepLines w:val="0"/>
        <w:widowControl w:val="0"/>
        <w:shd w:val="clear" w:color="auto" w:fill="auto"/>
        <w:bidi w:val="0"/>
        <w:spacing w:before="0" w:after="0" w:line="470" w:lineRule="exact"/>
        <w:ind w:left="0" w:right="0" w:firstLine="0"/>
        <w:jc w:val="left"/>
      </w:pPr>
      <w:bookmarkStart w:id="380" w:name="bookmark380"/>
      <w:r>
        <w:rPr>
          <w:rFonts w:ascii="Times New Roman" w:eastAsia="Times New Roman" w:hAnsi="Times New Roman" w:cs="Times New Roman"/>
          <w:color w:val="000000"/>
          <w:spacing w:val="0"/>
          <w:w w:val="100"/>
          <w:position w:val="0"/>
        </w:rPr>
        <w:t>1</w:t>
      </w:r>
      <w:bookmarkEnd w:id="380"/>
      <w:r>
        <w:rPr>
          <w:color w:val="000000"/>
          <w:spacing w:val="0"/>
          <w:w w:val="100"/>
          <w:position w:val="0"/>
        </w:rPr>
        <w:t>、董事会成员公司第二届董事会由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名。各董事由公司董事会提名，经公司 </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年第一次临时股东大会选举产生，本届董事会任期自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0"/>
        <w:keepNext w:val="0"/>
        <w:keepLines w:val="0"/>
        <w:widowControl w:val="0"/>
        <w:numPr>
          <w:ilvl w:val="0"/>
          <w:numId w:val="3"/>
        </w:numPr>
        <w:shd w:val="clear" w:color="auto" w:fill="auto"/>
        <w:tabs>
          <w:tab w:pos="380" w:val="left"/>
        </w:tabs>
        <w:bidi w:val="0"/>
        <w:spacing w:before="0" w:after="0" w:line="470" w:lineRule="exact"/>
        <w:ind w:left="0" w:right="0" w:firstLine="0"/>
        <w:jc w:val="left"/>
      </w:pPr>
      <w:bookmarkStart w:id="381" w:name="bookmark381"/>
      <w:bookmarkEnd w:id="381"/>
      <w:r>
        <w:rPr>
          <w:color w:val="000000"/>
          <w:spacing w:val="0"/>
          <w:w w:val="100"/>
          <w:position w:val="0"/>
        </w:rPr>
        <w:t>陆文雄先生，男，中国国籍，拥有新西兰无限期永久居民签证，</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月出生，大学本科学历。现任 公司董事长。</w:t>
      </w:r>
      <w:r>
        <w:rPr>
          <w:rFonts w:ascii="Times New Roman" w:eastAsia="Times New Roman" w:hAnsi="Times New Roman" w:cs="Times New Roman"/>
          <w:color w:val="000000"/>
          <w:spacing w:val="0"/>
          <w:w w:val="100"/>
          <w:position w:val="0"/>
        </w:rPr>
        <w:t>1989</w:t>
      </w:r>
      <w:r>
        <w:rPr>
          <w:color w:val="000000"/>
          <w:spacing w:val="0"/>
          <w:w w:val="100"/>
          <w:position w:val="0"/>
        </w:rPr>
        <w:t>年上海交通大学无线电技术专业毕业；</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年，在上海贝尔电话设备制造有限 公司移动部担任全国营销总监；</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年，在中国惠普有限公司担任电信行业销售副总经理；</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年，天玑科技设立时为其创始人之一，</w:t>
      </w:r>
      <w:r>
        <w:rPr>
          <w:rFonts w:ascii="Times New Roman" w:eastAsia="Times New Roman" w:hAnsi="Times New Roman" w:cs="Times New Roman"/>
          <w:color w:val="000000"/>
          <w:spacing w:val="0"/>
          <w:w w:val="100"/>
          <w:position w:val="0"/>
        </w:rPr>
        <w:t>2003</w:t>
      </w:r>
      <w:r>
        <w:rPr>
          <w:color w:val="000000"/>
          <w:spacing w:val="0"/>
          <w:w w:val="100"/>
          <w:position w:val="0"/>
        </w:rPr>
        <w:t>年至今为天玑科技控股股东、实际控制人，并担任法定代表人。</w:t>
      </w:r>
    </w:p>
    <w:p>
      <w:pPr>
        <w:pStyle w:val="Style40"/>
        <w:keepNext w:val="0"/>
        <w:keepLines w:val="0"/>
        <w:widowControl w:val="0"/>
        <w:numPr>
          <w:ilvl w:val="0"/>
          <w:numId w:val="3"/>
        </w:numPr>
        <w:shd w:val="clear" w:color="auto" w:fill="auto"/>
        <w:tabs>
          <w:tab w:pos="380" w:val="left"/>
        </w:tabs>
        <w:bidi w:val="0"/>
        <w:spacing w:before="0" w:after="0" w:line="470" w:lineRule="exact"/>
        <w:ind w:left="0" w:right="0" w:firstLine="0"/>
        <w:jc w:val="left"/>
      </w:pPr>
      <w:bookmarkStart w:id="382" w:name="bookmark382"/>
      <w:bookmarkEnd w:id="382"/>
      <w:r>
        <w:rPr>
          <w:color w:val="000000"/>
          <w:spacing w:val="0"/>
          <w:w w:val="100"/>
          <w:position w:val="0"/>
        </w:rPr>
        <w:t>陈宏科先生，中国国籍，无境外永久居留权，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月出生，大学本科学历。现任公司董事、副总经 理。</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年在上海宝钢软件有限公司担任技术主管；</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年，在中国惠普有限公司上海 分公司担任顾问经理；</w:t>
      </w:r>
      <w:r>
        <w:rPr>
          <w:rFonts w:ascii="Times New Roman" w:eastAsia="Times New Roman" w:hAnsi="Times New Roman" w:cs="Times New Roman"/>
          <w:color w:val="000000"/>
          <w:spacing w:val="0"/>
          <w:w w:val="100"/>
          <w:position w:val="0"/>
        </w:rPr>
        <w:t>2001</w:t>
      </w:r>
      <w:r>
        <w:rPr>
          <w:color w:val="000000"/>
          <w:spacing w:val="0"/>
          <w:w w:val="100"/>
          <w:position w:val="0"/>
        </w:rPr>
        <w:t>年，天玑科技设立时为其创始人之一。曾获得</w:t>
      </w:r>
      <w:r>
        <w:rPr>
          <w:rFonts w:ascii="Times New Roman" w:eastAsia="Times New Roman" w:hAnsi="Times New Roman" w:cs="Times New Roman"/>
          <w:color w:val="000000"/>
          <w:spacing w:val="0"/>
          <w:w w:val="100"/>
          <w:position w:val="0"/>
        </w:rPr>
        <w:t>“</w:t>
      </w:r>
      <w:r>
        <w:rPr>
          <w:color w:val="000000"/>
          <w:spacing w:val="0"/>
          <w:w w:val="100"/>
          <w:position w:val="0"/>
        </w:rPr>
        <w:t>宝钢总厂操作能手</w:t>
      </w:r>
      <w:r>
        <w:rPr>
          <w:rFonts w:ascii="Times New Roman" w:eastAsia="Times New Roman" w:hAnsi="Times New Roman" w:cs="Times New Roman"/>
          <w:color w:val="000000"/>
          <w:spacing w:val="0"/>
          <w:w w:val="100"/>
          <w:position w:val="0"/>
        </w:rPr>
        <w:t>''</w:t>
      </w:r>
      <w:r>
        <w:rPr>
          <w:color w:val="000000"/>
          <w:spacing w:val="0"/>
          <w:w w:val="100"/>
          <w:position w:val="0"/>
        </w:rPr>
        <w:t>称号，主要 参与的《高炉“三电</w:t>
      </w:r>
      <w:r>
        <w:rPr>
          <w:color w:val="000000"/>
          <w:spacing w:val="0"/>
          <w:w w:val="100"/>
          <w:position w:val="0"/>
        </w:rPr>
        <w:t>''</w:t>
      </w:r>
      <w:r>
        <w:rPr>
          <w:color w:val="000000"/>
          <w:spacing w:val="0"/>
          <w:w w:val="100"/>
          <w:position w:val="0"/>
        </w:rPr>
        <w:t>控制设备研制系统软件开发》项目荣获国家科技进步三等奖、《宝钢三号高炉计算机 应用软件系统的移植与创新》荣获宝钢重大科技进步成果一等奖。</w:t>
      </w:r>
    </w:p>
    <w:p>
      <w:pPr>
        <w:pStyle w:val="Style40"/>
        <w:keepNext w:val="0"/>
        <w:keepLines w:val="0"/>
        <w:widowControl w:val="0"/>
        <w:numPr>
          <w:ilvl w:val="0"/>
          <w:numId w:val="3"/>
        </w:numPr>
        <w:shd w:val="clear" w:color="auto" w:fill="auto"/>
        <w:tabs>
          <w:tab w:pos="380" w:val="left"/>
        </w:tabs>
        <w:bidi w:val="0"/>
        <w:spacing w:before="0" w:after="0" w:line="470" w:lineRule="exact"/>
        <w:ind w:left="0" w:right="0" w:firstLine="0"/>
        <w:jc w:val="left"/>
      </w:pPr>
      <w:bookmarkStart w:id="383" w:name="bookmark383"/>
      <w:bookmarkEnd w:id="383"/>
      <w:r>
        <w:rPr>
          <w:color w:val="000000"/>
          <w:spacing w:val="0"/>
          <w:w w:val="100"/>
          <w:position w:val="0"/>
        </w:rPr>
        <w:t>杜力耘先生，男，中国国籍，无境外永久居留权，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月出生，研究生学历。现任公司董事、总经 理。</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年，在中国惠普有限公司先后担任工程师、主管、咨询顾问经理等职务；</w:t>
      </w:r>
      <w:r>
        <w:rPr>
          <w:rFonts w:ascii="Times New Roman" w:eastAsia="Times New Roman" w:hAnsi="Times New Roman" w:cs="Times New Roman"/>
          <w:color w:val="000000"/>
          <w:spacing w:val="0"/>
          <w:w w:val="100"/>
          <w:position w:val="0"/>
        </w:rPr>
        <w:t>2001</w:t>
      </w:r>
      <w:r>
        <w:rPr>
          <w:color w:val="000000"/>
          <w:spacing w:val="0"/>
          <w:w w:val="100"/>
          <w:position w:val="0"/>
        </w:rPr>
        <w:t>年，天玑 科技设立时为其创始人之一。</w:t>
      </w:r>
      <w:r>
        <w:rPr>
          <w:rFonts w:ascii="Times New Roman" w:eastAsia="Times New Roman" w:hAnsi="Times New Roman" w:cs="Times New Roman"/>
          <w:color w:val="000000"/>
          <w:spacing w:val="0"/>
          <w:w w:val="100"/>
          <w:position w:val="0"/>
        </w:rPr>
        <w:t>2003</w:t>
      </w:r>
      <w:r>
        <w:rPr>
          <w:color w:val="000000"/>
          <w:spacing w:val="0"/>
          <w:w w:val="100"/>
          <w:position w:val="0"/>
        </w:rPr>
        <w:t>年起历任天玑科技首席运营官、副总经理兼财务总监。</w:t>
      </w:r>
    </w:p>
    <w:p>
      <w:pPr>
        <w:pStyle w:val="Style40"/>
        <w:keepNext w:val="0"/>
        <w:keepLines w:val="0"/>
        <w:widowControl w:val="0"/>
        <w:numPr>
          <w:ilvl w:val="0"/>
          <w:numId w:val="3"/>
        </w:numPr>
        <w:shd w:val="clear" w:color="auto" w:fill="auto"/>
        <w:tabs>
          <w:tab w:pos="380" w:val="left"/>
        </w:tabs>
        <w:bidi w:val="0"/>
        <w:spacing w:before="0" w:after="0" w:line="470" w:lineRule="exact"/>
        <w:ind w:left="0" w:right="0" w:firstLine="0"/>
        <w:jc w:val="left"/>
      </w:pPr>
      <w:bookmarkStart w:id="384" w:name="bookmark384"/>
      <w:bookmarkEnd w:id="384"/>
      <w:r>
        <w:rPr>
          <w:color w:val="000000"/>
          <w:spacing w:val="0"/>
          <w:w w:val="100"/>
          <w:position w:val="0"/>
        </w:rPr>
        <w:t>楼晔先生，男，中国国籍，无境外永久居留权，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月出生，大学本科学历。现任公司董事、上海 天玑科技股份有限公司杭州分公司总经理。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年，在国际商业机器有限公司</w:t>
      </w:r>
      <w:r>
        <w:rPr>
          <w:color w:val="000000"/>
          <w:spacing w:val="0"/>
          <w:w w:val="100"/>
          <w:position w:val="0"/>
        </w:rPr>
        <w:t>(</w:t>
      </w:r>
      <w:r>
        <w:rPr>
          <w:rFonts w:ascii="Times New Roman" w:eastAsia="Times New Roman" w:hAnsi="Times New Roman" w:cs="Times New Roman"/>
          <w:color w:val="000000"/>
          <w:spacing w:val="0"/>
          <w:w w:val="100"/>
          <w:position w:val="0"/>
        </w:rPr>
        <w:t>IBM</w:t>
      </w:r>
      <w:r>
        <w:rPr>
          <w:color w:val="000000"/>
          <w:spacing w:val="0"/>
          <w:w w:val="100"/>
          <w:position w:val="0"/>
        </w:rPr>
        <w:t>)</w:t>
      </w:r>
      <w:r>
        <w:rPr>
          <w:color w:val="000000"/>
          <w:spacing w:val="0"/>
          <w:w w:val="100"/>
          <w:position w:val="0"/>
        </w:rPr>
        <w:t xml:space="preserve">中国上海 </w:t>
      </w:r>
      <w:r>
        <w:rPr>
          <w:color w:val="000000"/>
          <w:spacing w:val="0"/>
          <w:w w:val="100"/>
          <w:position w:val="0"/>
        </w:rPr>
        <w:t>分公司担任客户服务主管；</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年任杭州天玑信息技术有限公司总经理。</w:t>
      </w:r>
    </w:p>
    <w:p>
      <w:pPr>
        <w:pStyle w:val="Style40"/>
        <w:keepNext w:val="0"/>
        <w:keepLines w:val="0"/>
        <w:widowControl w:val="0"/>
        <w:shd w:val="clear" w:color="auto" w:fill="auto"/>
        <w:tabs>
          <w:tab w:pos="370" w:val="left"/>
        </w:tabs>
        <w:bidi w:val="0"/>
        <w:spacing w:before="0" w:after="0" w:line="468" w:lineRule="exact"/>
        <w:ind w:left="0" w:right="0" w:firstLine="0"/>
        <w:jc w:val="left"/>
      </w:pPr>
      <w:bookmarkStart w:id="385" w:name="bookmark385"/>
      <w:r>
        <w:rPr>
          <w:rFonts w:ascii="Times New Roman" w:eastAsia="Times New Roman" w:hAnsi="Times New Roman" w:cs="Times New Roman"/>
          <w:color w:val="000000"/>
          <w:spacing w:val="0"/>
          <w:w w:val="100"/>
          <w:position w:val="0"/>
        </w:rPr>
        <w:t>（</w:t>
      </w:r>
      <w:bookmarkEnd w:id="385"/>
      <w:r>
        <w:rPr>
          <w:rFonts w:ascii="Times New Roman" w:eastAsia="Times New Roman" w:hAnsi="Times New Roman" w:cs="Times New Roman"/>
          <w:color w:val="000000"/>
          <w:spacing w:val="0"/>
          <w:w w:val="100"/>
          <w:position w:val="0"/>
        </w:rPr>
        <w:t>5）</w:t>
        <w:tab/>
      </w:r>
      <w:r>
        <w:rPr>
          <w:color w:val="000000"/>
          <w:spacing w:val="0"/>
          <w:w w:val="100"/>
          <w:position w:val="0"/>
        </w:rPr>
        <w:t>姜蓓蓓女士，女，中国国籍，无境外永久居留权，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月出生，大学本科学历。现任公司董事、副 总经理、销售事业部总经理。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年，在中国惠普有限公司区域业务部担任华东地区销售部总经 理；</w:t>
      </w:r>
      <w:r>
        <w:rPr>
          <w:rFonts w:ascii="Times New Roman" w:eastAsia="Times New Roman" w:hAnsi="Times New Roman" w:cs="Times New Roman"/>
          <w:color w:val="000000"/>
          <w:spacing w:val="0"/>
          <w:w w:val="100"/>
          <w:position w:val="0"/>
        </w:rPr>
        <w:t>2007</w:t>
      </w:r>
      <w:r>
        <w:rPr>
          <w:color w:val="000000"/>
          <w:spacing w:val="0"/>
          <w:w w:val="100"/>
          <w:position w:val="0"/>
        </w:rPr>
        <w:t>年加入天玑科技任上海天玑信息技术服务有限公司总经理。</w:t>
      </w:r>
    </w:p>
    <w:p>
      <w:pPr>
        <w:pStyle w:val="Style40"/>
        <w:keepNext w:val="0"/>
        <w:keepLines w:val="0"/>
        <w:widowControl w:val="0"/>
        <w:shd w:val="clear" w:color="auto" w:fill="auto"/>
        <w:tabs>
          <w:tab w:pos="375" w:val="left"/>
        </w:tabs>
        <w:bidi w:val="0"/>
        <w:spacing w:before="0" w:after="0" w:line="468" w:lineRule="exact"/>
        <w:ind w:left="0" w:right="0" w:firstLine="0"/>
        <w:jc w:val="left"/>
      </w:pPr>
      <w:bookmarkStart w:id="386" w:name="bookmark386"/>
      <w:r>
        <w:rPr>
          <w:rFonts w:ascii="Times New Roman" w:eastAsia="Times New Roman" w:hAnsi="Times New Roman" w:cs="Times New Roman"/>
          <w:color w:val="000000"/>
          <w:spacing w:val="0"/>
          <w:w w:val="100"/>
          <w:position w:val="0"/>
        </w:rPr>
        <w:t>（</w:t>
      </w:r>
      <w:bookmarkEnd w:id="386"/>
      <w:r>
        <w:rPr>
          <w:rFonts w:ascii="Times New Roman" w:eastAsia="Times New Roman" w:hAnsi="Times New Roman" w:cs="Times New Roman"/>
          <w:color w:val="000000"/>
          <w:spacing w:val="0"/>
          <w:w w:val="100"/>
          <w:position w:val="0"/>
        </w:rPr>
        <w:t>6）</w:t>
        <w:tab/>
      </w:r>
      <w:r>
        <w:rPr>
          <w:color w:val="000000"/>
          <w:spacing w:val="0"/>
          <w:w w:val="100"/>
          <w:position w:val="0"/>
        </w:rPr>
        <w:t>武雪松先生，男，中国国籍，无境外永久居留权，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日出生，北京大学本科学历、北京大学 国家发展研究院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年任英美烟草</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有限公司管理级培训生。</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年在软 银中国创业投资有限公司担任项目经理。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年在中国惠普有限公司，历任客户经理</w:t>
      </w:r>
      <w:r>
        <w:rPr>
          <w:color w:val="000000"/>
          <w:spacing w:val="0"/>
          <w:w w:val="100"/>
          <w:position w:val="0"/>
        </w:rPr>
        <w:t>，</w:t>
      </w:r>
      <w:r>
        <w:rPr>
          <w:color w:val="000000"/>
          <w:spacing w:val="0"/>
          <w:w w:val="100"/>
          <w:position w:val="0"/>
        </w:rPr>
        <w:t>华北区销 售经理。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年在</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racle</w:t>
      </w:r>
      <w:r>
        <w:rPr>
          <w:color w:val="000000"/>
          <w:spacing w:val="0"/>
          <w:w w:val="100"/>
          <w:position w:val="0"/>
        </w:rPr>
        <w:t>中国公司历任政府行业销售总监</w:t>
      </w:r>
      <w:r>
        <w:rPr>
          <w:color w:val="000000"/>
          <w:spacing w:val="0"/>
          <w:w w:val="100"/>
          <w:position w:val="0"/>
        </w:rPr>
        <w:t>，</w:t>
      </w:r>
      <w:r>
        <w:rPr>
          <w:color w:val="000000"/>
          <w:spacing w:val="0"/>
          <w:w w:val="100"/>
          <w:position w:val="0"/>
        </w:rPr>
        <w:t xml:space="preserve">中间件业务金融行业中国区总经理。 </w:t>
      </w:r>
      <w:r>
        <w:rPr>
          <w:rFonts w:ascii="Times New Roman" w:eastAsia="Times New Roman" w:hAnsi="Times New Roman" w:cs="Times New Roman"/>
          <w:color w:val="000000"/>
          <w:spacing w:val="0"/>
          <w:w w:val="100"/>
          <w:position w:val="0"/>
        </w:rPr>
        <w:t>2011</w:t>
      </w:r>
      <w:r>
        <w:rPr>
          <w:color w:val="000000"/>
          <w:spacing w:val="0"/>
          <w:w w:val="100"/>
          <w:position w:val="0"/>
        </w:rPr>
        <w:t>年至今任上海天玑科技股份有限公司北京分公司总经理、区域销售总监。</w:t>
      </w:r>
    </w:p>
    <w:p>
      <w:pPr>
        <w:pStyle w:val="Style40"/>
        <w:keepNext w:val="0"/>
        <w:keepLines w:val="0"/>
        <w:widowControl w:val="0"/>
        <w:shd w:val="clear" w:color="auto" w:fill="auto"/>
        <w:bidi w:val="0"/>
        <w:spacing w:before="0" w:after="0" w:line="468" w:lineRule="exact"/>
        <w:ind w:left="0" w:right="0" w:firstLine="0"/>
        <w:jc w:val="left"/>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rPr>
        <w:t>7</w:t>
      </w:r>
      <w:r>
        <w:rPr>
          <w:color w:val="000000"/>
          <w:spacing w:val="0"/>
          <w:w w:val="100"/>
          <w:position w:val="0"/>
        </w:rPr>
        <w:t>） 严义埙先生，男，中国国籍，无境外永久居留权，</w:t>
      </w:r>
      <w:r>
        <w:rPr>
          <w:rFonts w:ascii="Times New Roman" w:eastAsia="Times New Roman" w:hAnsi="Times New Roman" w:cs="Times New Roman"/>
          <w:color w:val="000000"/>
          <w:spacing w:val="0"/>
          <w:w w:val="100"/>
          <w:position w:val="0"/>
        </w:rPr>
        <w:t>1939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w:t>
      </w:r>
      <w:r>
        <w:rPr>
          <w:rFonts w:ascii="Times New Roman" w:eastAsia="Times New Roman" w:hAnsi="Times New Roman" w:cs="Times New Roman"/>
          <w:color w:val="000000"/>
          <w:spacing w:val="0"/>
          <w:w w:val="100"/>
          <w:position w:val="0"/>
        </w:rPr>
        <w:t>1967</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 在中科院上海技术物理研究所历任助理研究员、副研究员、研究员、室主任、博士生导师、副所长、所长; </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年，担任中国科学院副院长；</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年，担任第一届联想控股董事；</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 担任中科院国有资产经营管理公司董事；</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年，担任中国网通董事长；</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年，担任 中国网通集团</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公司董事；</w:t>
      </w:r>
      <w:r>
        <w:rPr>
          <w:rFonts w:ascii="Times New Roman" w:eastAsia="Times New Roman" w:hAnsi="Times New Roman" w:cs="Times New Roman"/>
          <w:color w:val="000000"/>
          <w:spacing w:val="0"/>
          <w:w w:val="100"/>
          <w:position w:val="0"/>
        </w:rPr>
        <w:t>1986</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年，担任上海尼赛拉传感器公司董事；</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年，创 立上海联创投资管理有限公司，任董事长职务。现该公司改名为上海永宣创业投资管理有限公司，</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月至今，担任上海永宣创业投资管理有限公司董事长；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年至今，担任北京汉王科技股份有限公司董 事。现任上海天玑科技股份有限公司第二届董事会独立董事。</w:t>
      </w:r>
    </w:p>
    <w:p>
      <w:pPr>
        <w:pStyle w:val="Style40"/>
        <w:keepNext w:val="0"/>
        <w:keepLines w:val="0"/>
        <w:widowControl w:val="0"/>
        <w:shd w:val="clear" w:color="auto" w:fill="auto"/>
        <w:bidi w:val="0"/>
        <w:spacing w:before="0" w:after="0" w:line="468" w:lineRule="exact"/>
        <w:ind w:left="0" w:right="0" w:firstLine="0"/>
        <w:jc w:val="left"/>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8</w:t>
      </w:r>
      <w:r>
        <w:rPr>
          <w:color w:val="000000"/>
          <w:spacing w:val="0"/>
          <w:w w:val="100"/>
          <w:position w:val="0"/>
        </w:rPr>
        <w:t>） 朱范予先生，男，中国国籍，无境外永久居留权，</w:t>
      </w:r>
      <w:r>
        <w:rPr>
          <w:rFonts w:ascii="Times New Roman" w:eastAsia="Times New Roman" w:hAnsi="Times New Roman" w:cs="Times New Roman"/>
          <w:color w:val="000000"/>
          <w:spacing w:val="0"/>
          <w:w w:val="100"/>
          <w:position w:val="0"/>
        </w:rPr>
        <w:t>1947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浙江大学研究生学历。</w:t>
      </w:r>
    </w:p>
    <w:p>
      <w:pPr>
        <w:pStyle w:val="Style40"/>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年，担任中国人民建设银行海南省分行副行长；</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年，担任中国人民建设银行福 建省分行副行长；</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年，中国建设银行浙江省分行任行长；</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年，中国建设银行总 行任市场规划领导小组副组长；</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年，浙江省农村信用社联合社任理事长；</w:t>
      </w:r>
      <w:r>
        <w:rPr>
          <w:rFonts w:ascii="Times New Roman" w:eastAsia="Times New Roman" w:hAnsi="Times New Roman" w:cs="Times New Roman"/>
          <w:color w:val="000000"/>
          <w:spacing w:val="0"/>
          <w:w w:val="100"/>
          <w:position w:val="0"/>
        </w:rPr>
        <w:t>2008</w:t>
      </w:r>
      <w:r>
        <w:rPr>
          <w:color w:val="000000"/>
          <w:spacing w:val="0"/>
          <w:w w:val="100"/>
          <w:position w:val="0"/>
        </w:rPr>
        <w:t>年至今，浙江 省政协农业和农村工作委员会常务副主任。现任农夫山泉股权有限公司独立董事、上海天玑科技股份有限 公司第二届董事会独立董事。</w:t>
      </w:r>
    </w:p>
    <w:p>
      <w:pPr>
        <w:pStyle w:val="Style40"/>
        <w:keepNext w:val="0"/>
        <w:keepLines w:val="0"/>
        <w:widowControl w:val="0"/>
        <w:shd w:val="clear" w:color="auto" w:fill="auto"/>
        <w:bidi w:val="0"/>
        <w:spacing w:before="0" w:after="0" w:line="468" w:lineRule="exact"/>
        <w:ind w:left="0" w:right="0" w:firstLine="0"/>
        <w:jc w:val="left"/>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9</w:t>
      </w:r>
      <w:r>
        <w:rPr>
          <w:color w:val="000000"/>
          <w:spacing w:val="0"/>
          <w:w w:val="100"/>
          <w:position w:val="0"/>
        </w:rPr>
        <w:t>） 陈杰平先生，男，中国香港籍。</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月出生，美国休斯顿大学工商管理博士（会计专业）。现任 上海天玑科技股份有限公司第二届董事会独立董事。</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年，香港城市大学会计系先后担任助理 教授、系副主任、代理系主任、系主任等职务；</w:t>
      </w:r>
      <w:r>
        <w:rPr>
          <w:rFonts w:ascii="Times New Roman" w:eastAsia="Times New Roman" w:hAnsi="Times New Roman" w:cs="Times New Roman"/>
          <w:color w:val="000000"/>
          <w:spacing w:val="0"/>
          <w:w w:val="100"/>
          <w:position w:val="0"/>
        </w:rPr>
        <w:t>2007</w:t>
      </w:r>
      <w:r>
        <w:rPr>
          <w:color w:val="000000"/>
          <w:spacing w:val="0"/>
          <w:w w:val="100"/>
          <w:position w:val="0"/>
        </w:rPr>
        <w:t>年至今，珠海华发实业股份有限公司独立董事；</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年至今，历任中欧国际工商学院教授、副教务长、</w:t>
      </w:r>
      <w:r>
        <w:rPr>
          <w:rFonts w:ascii="Times New Roman" w:eastAsia="Times New Roman" w:hAnsi="Times New Roman" w:cs="Times New Roman"/>
          <w:color w:val="000000"/>
          <w:spacing w:val="0"/>
          <w:w w:val="100"/>
          <w:position w:val="0"/>
        </w:rPr>
        <w:t>EMBA</w:t>
      </w:r>
      <w:r>
        <w:rPr>
          <w:color w:val="000000"/>
          <w:spacing w:val="0"/>
          <w:w w:val="100"/>
          <w:position w:val="0"/>
        </w:rPr>
        <w:t>主任；</w:t>
      </w:r>
      <w:r>
        <w:rPr>
          <w:rFonts w:ascii="Times New Roman" w:eastAsia="Times New Roman" w:hAnsi="Times New Roman" w:cs="Times New Roman"/>
          <w:color w:val="000000"/>
          <w:spacing w:val="0"/>
          <w:w w:val="100"/>
          <w:position w:val="0"/>
        </w:rPr>
        <w:t>2009</w:t>
      </w:r>
      <w:r>
        <w:rPr>
          <w:color w:val="000000"/>
          <w:spacing w:val="0"/>
          <w:w w:val="100"/>
          <w:position w:val="0"/>
        </w:rPr>
        <w:t>年至今任中银国际证券有限公司独立 董事；</w:t>
      </w:r>
      <w:r>
        <w:rPr>
          <w:rFonts w:ascii="Times New Roman" w:eastAsia="Times New Roman" w:hAnsi="Times New Roman" w:cs="Times New Roman"/>
          <w:color w:val="000000"/>
          <w:spacing w:val="0"/>
          <w:w w:val="100"/>
          <w:position w:val="0"/>
        </w:rPr>
        <w:t>2011</w:t>
      </w:r>
      <w:r>
        <w:rPr>
          <w:color w:val="000000"/>
          <w:spacing w:val="0"/>
          <w:w w:val="100"/>
          <w:position w:val="0"/>
        </w:rPr>
        <w:t>年至今任兴业证券股份有限公司独立董事、深圳市淑女屋时装股份有限公司独立董事；</w:t>
      </w:r>
      <w:r>
        <w:rPr>
          <w:color w:val="000000"/>
          <w:spacing w:val="0"/>
          <w:w w:val="100"/>
          <w:position w:val="0"/>
        </w:rPr>
        <w:t>2013</w:t>
      </w:r>
      <w:r>
        <w:rPr>
          <w:color w:val="000000"/>
          <w:spacing w:val="0"/>
          <w:w w:val="100"/>
          <w:position w:val="0"/>
        </w:rPr>
        <w:t xml:space="preserve">年 </w:t>
      </w:r>
      <w:r>
        <w:rPr>
          <w:color w:val="000000"/>
          <w:spacing w:val="0"/>
          <w:w w:val="100"/>
          <w:position w:val="0"/>
        </w:rPr>
        <w:t>9</w:t>
      </w:r>
      <w:r>
        <w:rPr>
          <w:color w:val="000000"/>
          <w:spacing w:val="0"/>
          <w:w w:val="100"/>
          <w:position w:val="0"/>
        </w:rPr>
        <w:t>月任世联行独立董事。</w:t>
      </w:r>
    </w:p>
    <w:p>
      <w:pPr>
        <w:pStyle w:val="Style40"/>
        <w:keepNext w:val="0"/>
        <w:keepLines w:val="0"/>
        <w:widowControl w:val="0"/>
        <w:shd w:val="clear" w:color="auto" w:fill="auto"/>
        <w:bidi w:val="0"/>
        <w:spacing w:before="0" w:after="0" w:line="468" w:lineRule="exact"/>
        <w:ind w:left="0" w:right="0" w:firstLine="0"/>
        <w:jc w:val="left"/>
      </w:pPr>
      <w:bookmarkStart w:id="390" w:name="bookmark390"/>
      <w:r>
        <w:rPr>
          <w:rFonts w:ascii="Times New Roman" w:eastAsia="Times New Roman" w:hAnsi="Times New Roman" w:cs="Times New Roman"/>
          <w:color w:val="000000"/>
          <w:spacing w:val="0"/>
          <w:w w:val="100"/>
          <w:position w:val="0"/>
        </w:rPr>
        <w:t>2</w:t>
      </w:r>
      <w:bookmarkEnd w:id="390"/>
      <w:r>
        <w:rPr>
          <w:color w:val="000000"/>
          <w:spacing w:val="0"/>
          <w:w w:val="100"/>
          <w:position w:val="0"/>
        </w:rPr>
        <w:t>、监事会成员本公司第二届监事会由</w:t>
      </w:r>
      <w:r>
        <w:rPr>
          <w:rFonts w:ascii="Times New Roman" w:eastAsia="Times New Roman" w:hAnsi="Times New Roman" w:cs="Times New Roman"/>
          <w:color w:val="000000"/>
          <w:spacing w:val="0"/>
          <w:w w:val="100"/>
          <w:position w:val="0"/>
        </w:rPr>
        <w:t>3</w:t>
      </w:r>
      <w:r>
        <w:rPr>
          <w:color w:val="000000"/>
          <w:spacing w:val="0"/>
          <w:w w:val="100"/>
          <w:position w:val="0"/>
        </w:rPr>
        <w:t xml:space="preserve">名监事组成，其中刘洁琼为职工监事，由职工代表大会选派产生, </w:t>
      </w:r>
      <w:r>
        <w:rPr>
          <w:color w:val="000000"/>
          <w:spacing w:val="0"/>
          <w:w w:val="100"/>
          <w:position w:val="0"/>
        </w:rPr>
        <w:t>周全由公司监事会提名，经公司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年第一次临时股东大会选举产生。原监事会主席丁毅先生于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日提出离职，后第二届监事会第六次临时会议选举杨万强先生为监事候选人并经</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 东大会审议通过。本届监事会任期自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0"/>
        <w:keepNext w:val="0"/>
        <w:keepLines w:val="0"/>
        <w:widowControl w:val="0"/>
        <w:shd w:val="clear" w:color="auto" w:fill="auto"/>
        <w:bidi w:val="0"/>
        <w:spacing w:before="0" w:after="0" w:line="472" w:lineRule="exact"/>
        <w:ind w:left="0" w:right="0" w:firstLine="0"/>
        <w:jc w:val="both"/>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 周全先生，男，中国国籍，无境外永久居留权。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月出生，大学本科学历。</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 在天津日电电子通信工业有限公司先后担任研发工程师、售前工程师、销售经理；</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年，在中 国惠普有限公司担任销售经理；</w:t>
      </w:r>
      <w:r>
        <w:rPr>
          <w:rFonts w:ascii="Times New Roman" w:eastAsia="Times New Roman" w:hAnsi="Times New Roman" w:cs="Times New Roman"/>
          <w:color w:val="000000"/>
          <w:spacing w:val="0"/>
          <w:w w:val="100"/>
          <w:position w:val="0"/>
        </w:rPr>
        <w:t>2006</w:t>
      </w:r>
      <w:r>
        <w:rPr>
          <w:color w:val="000000"/>
          <w:spacing w:val="0"/>
          <w:w w:val="100"/>
          <w:position w:val="0"/>
        </w:rPr>
        <w:t>年至今担任上海天玑科技股份有限公司区域销售总监、第二届监事会 监事。</w:t>
      </w:r>
    </w:p>
    <w:p>
      <w:pPr>
        <w:pStyle w:val="Style40"/>
        <w:keepNext w:val="0"/>
        <w:keepLines w:val="0"/>
        <w:widowControl w:val="0"/>
        <w:shd w:val="clear" w:color="auto" w:fill="auto"/>
        <w:bidi w:val="0"/>
        <w:spacing w:before="0" w:after="0" w:line="472" w:lineRule="exact"/>
        <w:ind w:left="0" w:right="0" w:firstLine="0"/>
        <w:jc w:val="both"/>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 刘洁琼，女，中国国籍，无境外永久居留权。</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月出生，大专学历。</w:t>
      </w:r>
      <w:r>
        <w:rPr>
          <w:rFonts w:ascii="Times New Roman" w:eastAsia="Times New Roman" w:hAnsi="Times New Roman" w:cs="Times New Roman"/>
          <w:color w:val="000000"/>
          <w:spacing w:val="0"/>
          <w:w w:val="100"/>
          <w:position w:val="0"/>
        </w:rPr>
        <w:t>2001</w:t>
      </w:r>
      <w:r>
        <w:rPr>
          <w:color w:val="000000"/>
          <w:spacing w:val="0"/>
          <w:w w:val="100"/>
          <w:position w:val="0"/>
        </w:rPr>
        <w:t>入天玑科技，历任 行政助理、客服主管、备件管理部经理。现任客户服务部经理。</w:t>
      </w:r>
    </w:p>
    <w:p>
      <w:pPr>
        <w:pStyle w:val="Style40"/>
        <w:keepNext w:val="0"/>
        <w:keepLines w:val="0"/>
        <w:widowControl w:val="0"/>
        <w:shd w:val="clear" w:color="auto" w:fill="auto"/>
        <w:bidi w:val="0"/>
        <w:spacing w:before="0" w:after="220" w:line="472" w:lineRule="exact"/>
        <w:ind w:left="0" w:right="0" w:firstLine="0"/>
        <w:jc w:val="both"/>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rPr>
        <w:t>3</w:t>
      </w:r>
      <w:r>
        <w:rPr>
          <w:color w:val="000000"/>
          <w:spacing w:val="0"/>
          <w:w w:val="100"/>
          <w:position w:val="0"/>
        </w:rPr>
        <w:t>） 杨万强先生，男，中国国籍，无境外永久居留权，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月出生，大学本科学历。现任天玑科技 旗下子公司上海复深蓝信息技术有限公司总经理。</w:t>
      </w:r>
      <w:r>
        <w:rPr>
          <w:rFonts w:ascii="Times New Roman" w:eastAsia="Times New Roman" w:hAnsi="Times New Roman" w:cs="Times New Roman"/>
          <w:color w:val="000000"/>
          <w:spacing w:val="0"/>
          <w:w w:val="100"/>
          <w:position w:val="0"/>
        </w:rPr>
        <w:t>2004</w:t>
      </w:r>
      <w:r>
        <w:rPr>
          <w:color w:val="000000"/>
          <w:spacing w:val="0"/>
          <w:w w:val="100"/>
          <w:position w:val="0"/>
        </w:rPr>
        <w:t>年创立上海复深蓝信息技术有限公司，担任公司总 经理，负责公司的管理，并主管技术研发。有十五年以上软件行业工作经验，深入掌握软件工程的相关理 论和技术，有丰富的软件项目实施管理经验，成功主持和参与过多个金融等重要行业的大型项目，曾作为 主力研发人员参加国家火炬计划</w:t>
      </w:r>
      <w:r>
        <w:rPr>
          <w:rFonts w:ascii="Times New Roman" w:eastAsia="Times New Roman" w:hAnsi="Times New Roman" w:cs="Times New Roman"/>
          <w:color w:val="000000"/>
          <w:spacing w:val="0"/>
          <w:w w:val="100"/>
          <w:position w:val="0"/>
        </w:rPr>
        <w:t>“</w:t>
      </w:r>
      <w:r>
        <w:rPr>
          <w:color w:val="000000"/>
          <w:spacing w:val="0"/>
          <w:w w:val="100"/>
          <w:position w:val="0"/>
        </w:rPr>
        <w:t>开放式金融前端开发平台</w:t>
      </w:r>
      <w:r>
        <w:rPr>
          <w:rFonts w:ascii="Times New Roman" w:eastAsia="Times New Roman" w:hAnsi="Times New Roman" w:cs="Times New Roman"/>
          <w:color w:val="000000"/>
          <w:spacing w:val="0"/>
          <w:w w:val="100"/>
          <w:position w:val="0"/>
        </w:rPr>
        <w:t>''</w:t>
      </w:r>
      <w:r>
        <w:rPr>
          <w:color w:val="000000"/>
          <w:spacing w:val="0"/>
          <w:w w:val="100"/>
          <w:position w:val="0"/>
        </w:rPr>
        <w:t>的研发，曾领导过获得上海市和国家创新基金 的</w:t>
      </w:r>
      <w:r>
        <w:rPr>
          <w:rFonts w:ascii="Times New Roman" w:eastAsia="Times New Roman" w:hAnsi="Times New Roman" w:cs="Times New Roman"/>
          <w:color w:val="000000"/>
          <w:spacing w:val="0"/>
          <w:w w:val="100"/>
          <w:position w:val="0"/>
        </w:rPr>
        <w:t>“</w:t>
      </w:r>
      <w:r>
        <w:rPr>
          <w:color w:val="000000"/>
          <w:spacing w:val="0"/>
          <w:w w:val="100"/>
          <w:position w:val="0"/>
        </w:rPr>
        <w:t>金融交易测试工具软件''的研发。</w:t>
      </w:r>
    </w:p>
    <w:p>
      <w:pPr>
        <w:pStyle w:val="Style40"/>
        <w:keepNext w:val="0"/>
        <w:keepLines w:val="0"/>
        <w:widowControl w:val="0"/>
        <w:shd w:val="clear" w:color="auto" w:fill="auto"/>
        <w:bidi w:val="0"/>
        <w:spacing w:before="0" w:after="0" w:line="492" w:lineRule="auto"/>
        <w:ind w:left="0" w:right="0" w:firstLine="0"/>
        <w:jc w:val="both"/>
      </w:pPr>
      <w:bookmarkStart w:id="394" w:name="bookmark394"/>
      <w:r>
        <w:rPr>
          <w:rFonts w:ascii="Times New Roman" w:eastAsia="Times New Roman" w:hAnsi="Times New Roman" w:cs="Times New Roman"/>
          <w:color w:val="000000"/>
          <w:spacing w:val="0"/>
          <w:w w:val="100"/>
          <w:position w:val="0"/>
        </w:rPr>
        <w:t>3</w:t>
      </w:r>
      <w:bookmarkEnd w:id="394"/>
      <w:r>
        <w:rPr>
          <w:color w:val="000000"/>
          <w:spacing w:val="0"/>
          <w:w w:val="100"/>
          <w:position w:val="0"/>
        </w:rPr>
        <w:t>、高级管理人员</w:t>
      </w:r>
    </w:p>
    <w:p>
      <w:pPr>
        <w:pStyle w:val="Style40"/>
        <w:keepNext w:val="0"/>
        <w:keepLines w:val="0"/>
        <w:widowControl w:val="0"/>
        <w:shd w:val="clear" w:color="auto" w:fill="auto"/>
        <w:tabs>
          <w:tab w:pos="443" w:val="left"/>
        </w:tabs>
        <w:bidi w:val="0"/>
        <w:spacing w:before="0" w:after="0" w:line="472" w:lineRule="exact"/>
        <w:ind w:left="0" w:right="0" w:firstLine="0"/>
        <w:jc w:val="both"/>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t>杜力耘，总经理兼董事，简历见上。</w:t>
      </w:r>
    </w:p>
    <w:p>
      <w:pPr>
        <w:pStyle w:val="Style40"/>
        <w:keepNext w:val="0"/>
        <w:keepLines w:val="0"/>
        <w:widowControl w:val="0"/>
        <w:shd w:val="clear" w:color="auto" w:fill="auto"/>
        <w:tabs>
          <w:tab w:pos="443" w:val="left"/>
        </w:tabs>
        <w:bidi w:val="0"/>
        <w:spacing w:before="0" w:after="0" w:line="472" w:lineRule="exact"/>
        <w:ind w:left="0" w:right="0" w:firstLine="0"/>
        <w:jc w:val="both"/>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w:t>
        <w:tab/>
        <w:t>陈宏科，副总经理兼董事，简历见上。</w:t>
      </w:r>
    </w:p>
    <w:p>
      <w:pPr>
        <w:pStyle w:val="Style40"/>
        <w:keepNext w:val="0"/>
        <w:keepLines w:val="0"/>
        <w:widowControl w:val="0"/>
        <w:shd w:val="clear" w:color="auto" w:fill="auto"/>
        <w:tabs>
          <w:tab w:pos="443" w:val="left"/>
        </w:tabs>
        <w:bidi w:val="0"/>
        <w:spacing w:before="0" w:after="0" w:line="472" w:lineRule="exact"/>
        <w:ind w:left="0" w:right="0" w:firstLine="0"/>
        <w:jc w:val="both"/>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rPr>
        <w:t>3</w:t>
      </w:r>
      <w:r>
        <w:rPr>
          <w:color w:val="000000"/>
          <w:spacing w:val="0"/>
          <w:w w:val="100"/>
          <w:position w:val="0"/>
        </w:rPr>
        <w:t>）</w:t>
        <w:tab/>
        <w:t>姜蓓蓓，副总经理兼董事，简历见上。</w:t>
      </w:r>
    </w:p>
    <w:p>
      <w:pPr>
        <w:pStyle w:val="Style40"/>
        <w:keepNext w:val="0"/>
        <w:keepLines w:val="0"/>
        <w:widowControl w:val="0"/>
        <w:shd w:val="clear" w:color="auto" w:fill="auto"/>
        <w:bidi w:val="0"/>
        <w:spacing w:before="0" w:after="220" w:line="472" w:lineRule="exact"/>
        <w:ind w:left="0" w:right="0" w:firstLine="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4</w:t>
      </w:r>
      <w:r>
        <w:rPr>
          <w:color w:val="000000"/>
          <w:spacing w:val="0"/>
          <w:w w:val="100"/>
          <w:position w:val="0"/>
        </w:rPr>
        <w:t>） 陆廷洁，副总经理、董事会秘书兼财务总监。陆廷洁女士，女，中国国籍，无境外永久居留权，</w:t>
      </w:r>
      <w:r>
        <w:rPr>
          <w:rFonts w:ascii="Times New Roman" w:eastAsia="Times New Roman" w:hAnsi="Times New Roman" w:cs="Times New Roman"/>
          <w:color w:val="000000"/>
          <w:spacing w:val="0"/>
          <w:w w:val="100"/>
          <w:position w:val="0"/>
        </w:rPr>
        <w:t xml:space="preserve">1976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月出生，大学本科学历。公司董事会秘书、副总经理。</w:t>
      </w:r>
      <w:r>
        <w:rPr>
          <w:rFonts w:ascii="Times New Roman" w:eastAsia="Times New Roman" w:hAnsi="Times New Roman" w:cs="Times New Roman"/>
          <w:color w:val="000000"/>
          <w:spacing w:val="0"/>
          <w:w w:val="100"/>
          <w:position w:val="0"/>
        </w:rPr>
        <w:t>2002</w:t>
      </w:r>
      <w:r>
        <w:rPr>
          <w:color w:val="000000"/>
          <w:spacing w:val="0"/>
          <w:w w:val="100"/>
          <w:position w:val="0"/>
        </w:rPr>
        <w:t>年加入天玑有限，历任商务经理、副总经 理、董事会秘书等职务。</w:t>
      </w:r>
    </w:p>
    <w:p>
      <w:pPr>
        <w:pStyle w:val="Style3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在股东单位任职情况</w:t>
      </w:r>
    </w:p>
    <w:p>
      <w:pPr>
        <w:pStyle w:val="Style36"/>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3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在其他单位任职情况</w:t>
      </w:r>
    </w:p>
    <w:p>
      <w:pPr>
        <w:pStyle w:val="Style36"/>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210"/>
        <w:gridCol w:w="3192"/>
        <w:gridCol w:w="1061"/>
        <w:gridCol w:w="1493"/>
        <w:gridCol w:w="1560"/>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严义埙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上海永宣创业投资管理有限公司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严义埙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北京汉王科技股份有限公司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493"/>
        <w:gridCol w:w="1560"/>
        <w:gridCol w:w="10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朱范予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农夫山泉股份有限公司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中欧国际工商学院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中银国际证券有限公司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深圳市淑女屋时装股份有限公司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世联行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r>
        <w:rPr>
          <w:color w:val="000000"/>
          <w:spacing w:val="0"/>
          <w:w w:val="100"/>
          <w:position w:val="0"/>
        </w:rPr>
        <w:t>三、董事、监事、高级管理人员报酬情况</w:t>
      </w:r>
      <w:bookmarkEnd w:id="399"/>
      <w:bookmarkEnd w:id="400"/>
      <w:bookmarkEnd w:id="401"/>
    </w:p>
    <w:tbl>
      <w:tblPr>
        <w:tblOverlap w:val="never"/>
        <w:jc w:val="center"/>
        <w:tblLayout w:type="fixed"/>
      </w:tblPr>
      <w:tblGrid>
        <w:gridCol w:w="3605"/>
        <w:gridCol w:w="598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公司董事、监事报酬由股东大会决定，高级管理人员报酬由董事会决定；在 公司承担职务的董事、监事、高级管理人员报酬由公司支付，董事、监事不 另外支付津贴；独立董事津贴依据股东大会决议支付。</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依据公司盈利水平及各董事、监事、高级管理人员的工作分工及履职情况确 定。</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已按相关规定及时支付董事、监事和高级管理人员报酬。</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公司报告期内董事、监事和高级管理人员报酬情况</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武雪松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严义埙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朱范予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杨万强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刘洁琼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 事会秘书、财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w:t>
            </w:r>
          </w:p>
        </w:tc>
      </w:tr>
    </w:tbl>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90"/>
        <w:gridCol w:w="1061"/>
        <w:gridCol w:w="1061"/>
        <w:gridCol w:w="1061"/>
        <w:gridCol w:w="1061"/>
        <w:gridCol w:w="1061"/>
        <w:gridCol w:w="1061"/>
        <w:gridCol w:w="1061"/>
        <w:gridCol w:w="107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报告期内可 行权的期权</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报告期内已 行权的期权</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报告期内已 行权期限的 行权价格（元</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限制性股票 的授予价格</w:t>
            </w:r>
          </w:p>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报告期行权 的限制性股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武雪松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 事会秘书兼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四</w:t>
      </w:r>
      <w:bookmarkEnd w:id="404"/>
      <w:r>
        <w:rPr>
          <w:color w:val="000000"/>
          <w:spacing w:val="0"/>
          <w:w w:val="100"/>
          <w:position w:val="0"/>
        </w:rPr>
        <w:t>、公司董事、监事、高级管理人员变动情况</w:t>
      </w:r>
      <w:bookmarkEnd w:id="402"/>
      <w:bookmarkEnd w:id="403"/>
      <w:bookmarkEnd w:id="405"/>
    </w:p>
    <w:tbl>
      <w:tblPr>
        <w:tblOverlap w:val="never"/>
        <w:jc w:val="center"/>
        <w:tblLayout w:type="fixed"/>
      </w:tblPr>
      <w:tblGrid>
        <w:gridCol w:w="1339"/>
        <w:gridCol w:w="1330"/>
        <w:gridCol w:w="1166"/>
        <w:gridCol w:w="1493"/>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因个人身体原因提出辞去监事会主席职务，辞职后不 再公司担任任何职务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杨万强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五</w:t>
      </w:r>
      <w:bookmarkEnd w:id="408"/>
      <w:r>
        <w:rPr>
          <w:color w:val="000000"/>
          <w:spacing w:val="0"/>
          <w:w w:val="100"/>
          <w:position w:val="0"/>
        </w:rPr>
        <w:t>、报告期核心技术团队或关键技术人员变动情况（非董事、监事、高级管理人员）</w:t>
      </w:r>
      <w:bookmarkEnd w:id="406"/>
      <w:bookmarkEnd w:id="407"/>
      <w:bookmarkEnd w:id="409"/>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报告期内，公司核心技术团队或关键技术人员未发生变动情况（非董事、监事、高级管理人员）。</w:t>
      </w:r>
    </w:p>
    <w:p>
      <w:pPr>
        <w:pStyle w:val="Style27"/>
        <w:keepNext/>
        <w:keepLines/>
        <w:widowControl w:val="0"/>
        <w:shd w:val="clear" w:color="auto" w:fill="auto"/>
        <w:bidi w:val="0"/>
        <w:spacing w:before="0" w:after="34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六</w:t>
      </w:r>
      <w:bookmarkEnd w:id="412"/>
      <w:r>
        <w:rPr>
          <w:color w:val="000000"/>
          <w:spacing w:val="0"/>
          <w:w w:val="100"/>
          <w:position w:val="0"/>
        </w:rPr>
        <w:t>、公司员工情况</w:t>
      </w:r>
      <w:bookmarkEnd w:id="410"/>
      <w:bookmarkEnd w:id="411"/>
      <w:bookmarkEnd w:id="413"/>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日，公司共有在册员工人员共计</w:t>
      </w:r>
      <w:r>
        <w:rPr>
          <w:rFonts w:ascii="Times New Roman" w:eastAsia="Times New Roman" w:hAnsi="Times New Roman" w:cs="Times New Roman"/>
          <w:color w:val="000000"/>
          <w:spacing w:val="0"/>
          <w:w w:val="100"/>
          <w:position w:val="0"/>
        </w:rPr>
        <w:t>1,039</w:t>
      </w:r>
      <w:r>
        <w:rPr>
          <w:color w:val="000000"/>
          <w:spacing w:val="0"/>
          <w:w w:val="100"/>
          <w:position w:val="0"/>
        </w:rPr>
        <w:t>人（包括复深蓝人员），其中各类人员的情况如下:</w:t>
      </w:r>
    </w:p>
    <w:tbl>
      <w:tblPr>
        <w:tblOverlap w:val="never"/>
        <w:jc w:val="center"/>
        <w:tblLayout w:type="fixed"/>
      </w:tblPr>
      <w:tblGrid>
        <w:gridCol w:w="1430"/>
        <w:gridCol w:w="1838"/>
        <w:gridCol w:w="1584"/>
        <w:gridCol w:w="1992"/>
      </w:tblGrid>
      <w:tr>
        <w:trPr>
          <w:trHeight w:val="34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分类结构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人数（个）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所占比例（%）</w:t>
            </w:r>
          </w:p>
        </w:tc>
      </w:tr>
      <w:tr>
        <w:trPr>
          <w:trHeight w:val="33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sz w:val="19"/>
                <w:szCs w:val="19"/>
              </w:rPr>
              <w:t>25</w:t>
            </w:r>
            <w:r>
              <w:rPr>
                <w:rFonts w:ascii="SimHei" w:eastAsia="SimHei" w:hAnsi="SimHei" w:cs="SimHei"/>
                <w:color w:val="000000"/>
                <w:spacing w:val="0"/>
                <w:w w:val="100"/>
                <w:position w:val="0"/>
              </w:rPr>
              <w:t>岁及以下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30.22%</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sz w:val="19"/>
                <w:szCs w:val="19"/>
              </w:rPr>
              <w:t xml:space="preserve">26-35 </w:t>
            </w:r>
            <w:r>
              <w:rPr>
                <w:rFonts w:ascii="SimHei" w:eastAsia="SimHei" w:hAnsi="SimHei" w:cs="SimHei"/>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58.52%</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sz w:val="19"/>
                <w:szCs w:val="19"/>
              </w:rPr>
              <w:t xml:space="preserve">36-50 </w:t>
            </w:r>
            <w:r>
              <w:rPr>
                <w:rFonts w:ascii="SimHei" w:eastAsia="SimHei" w:hAnsi="SimHei" w:cs="SimHei"/>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10.59%</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sz w:val="19"/>
                <w:szCs w:val="19"/>
              </w:rPr>
              <w:t>51</w:t>
            </w:r>
            <w:r>
              <w:rPr>
                <w:rFonts w:ascii="SimHei" w:eastAsia="SimHei" w:hAnsi="SimHei" w:cs="SimHei"/>
                <w:color w:val="000000"/>
                <w:spacing w:val="0"/>
                <w:w w:val="100"/>
                <w:position w:val="0"/>
              </w:rPr>
              <w:t>岁以上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0.67%</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100.00%</w:t>
            </w:r>
          </w:p>
        </w:tc>
      </w:tr>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学历构成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硕士、博士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3.27%</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57.65%</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35.13%</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2.02%</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高中及以下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1.92%</w:t>
            </w:r>
          </w:p>
        </w:tc>
      </w:tr>
    </w:tbl>
    <w:p>
      <w:pPr>
        <w:spacing w:lineRule="exact" w:line="1"/>
        <w:rPr>
          <w:sz w:val="2"/>
          <w:szCs w:val="2"/>
        </w:rPr>
      </w:pPr>
      <w:r>
        <w:br w:type="page"/>
      </w:r>
    </w:p>
    <w:tbl>
      <w:tblPr>
        <w:tblOverlap w:val="never"/>
        <w:jc w:val="center"/>
        <w:tblLayout w:type="fixed"/>
      </w:tblPr>
      <w:tblGrid>
        <w:gridCol w:w="1430"/>
        <w:gridCol w:w="1838"/>
        <w:gridCol w:w="1584"/>
        <w:gridCol w:w="1992"/>
      </w:tblGrid>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1039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100.00%</w:t>
            </w:r>
          </w:p>
        </w:tc>
      </w:tr>
      <w:tr>
        <w:trPr>
          <w:trHeight w:val="33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冈位构成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行政管理人员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8.85%</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财务管理人员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1.73%</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市场营销人员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6.93%</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实施开发人员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79.98%</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2.50%</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mbria" w:eastAsia="Cambria" w:hAnsi="Cambria" w:cs="Cambria"/>
                <w:color w:val="000000"/>
                <w:spacing w:val="0"/>
                <w:w w:val="100"/>
                <w:position w:val="0"/>
                <w:sz w:val="19"/>
                <w:szCs w:val="19"/>
              </w:rPr>
              <w:t>100.00%</w:t>
            </w:r>
          </w:p>
        </w:tc>
      </w:tr>
    </w:tbl>
    <w:p>
      <w:pPr>
        <w:sectPr>
          <w:footnotePr>
            <w:pos w:val="pageBottom"/>
            <w:numFmt w:val="decimal"/>
            <w:numRestart w:val="continuous"/>
          </w:footnotePr>
          <w:pgSz w:w="11900" w:h="16840"/>
          <w:pgMar w:top="1326" w:right="1057" w:bottom="1441" w:left="1051" w:header="0" w:footer="3" w:gutter="0"/>
          <w:cols w:space="720"/>
          <w:noEndnote/>
          <w:rtlGutter w:val="0"/>
          <w:docGrid w:linePitch="360"/>
        </w:sectPr>
      </w:pPr>
    </w:p>
    <w:p>
      <w:pPr>
        <w:pStyle w:val="Style14"/>
        <w:keepNext/>
        <w:keepLines/>
        <w:widowControl w:val="0"/>
        <w:shd w:val="clear" w:color="auto" w:fill="auto"/>
        <w:bidi w:val="0"/>
        <w:spacing w:before="620" w:after="560" w:line="240" w:lineRule="auto"/>
        <w:ind w:left="0" w:right="0" w:firstLine="0"/>
        <w:jc w:val="center"/>
      </w:pPr>
      <w:bookmarkStart w:id="414" w:name="bookmark414"/>
      <w:bookmarkStart w:id="415" w:name="bookmark415"/>
      <w:bookmarkStart w:id="416" w:name="bookmark416"/>
      <w:r>
        <w:rPr>
          <w:color w:val="000000"/>
          <w:spacing w:val="0"/>
          <w:w w:val="100"/>
          <w:position w:val="0"/>
        </w:rPr>
        <w:t>第八节公司治理</w:t>
      </w:r>
      <w:bookmarkEnd w:id="414"/>
      <w:bookmarkEnd w:id="415"/>
      <w:bookmarkEnd w:id="416"/>
    </w:p>
    <w:p>
      <w:pPr>
        <w:pStyle w:val="Style27"/>
        <w:keepNext/>
        <w:keepLines/>
        <w:widowControl w:val="0"/>
        <w:shd w:val="clear" w:color="auto" w:fill="auto"/>
        <w:bidi w:val="0"/>
        <w:spacing w:before="0" w:after="200" w:line="240" w:lineRule="auto"/>
        <w:ind w:left="0" w:right="0" w:firstLine="0"/>
        <w:jc w:val="both"/>
      </w:pPr>
      <w:bookmarkStart w:id="417" w:name="bookmark417"/>
      <w:bookmarkStart w:id="418" w:name="bookmark418"/>
      <w:bookmarkStart w:id="419" w:name="bookmark419"/>
      <w:bookmarkStart w:id="420" w:name="bookmark420"/>
      <w:bookmarkStart w:id="421" w:name="bookmark421"/>
      <w:r>
        <w:rPr>
          <w:color w:val="000000"/>
          <w:spacing w:val="0"/>
          <w:w w:val="100"/>
          <w:position w:val="0"/>
        </w:rPr>
        <w:t>一</w:t>
      </w:r>
      <w:bookmarkEnd w:id="420"/>
      <w:r>
        <w:rPr>
          <w:color w:val="000000"/>
          <w:spacing w:val="0"/>
          <w:w w:val="100"/>
          <w:position w:val="0"/>
        </w:rPr>
        <w:t>、公司治理的基本状况</w:t>
      </w:r>
      <w:bookmarkEnd w:id="418"/>
      <w:bookmarkEnd w:id="419"/>
      <w:bookmarkEnd w:id="421"/>
      <w:bookmarkEnd w:id="417"/>
    </w:p>
    <w:p>
      <w:pPr>
        <w:pStyle w:val="Style40"/>
        <w:keepNext w:val="0"/>
        <w:keepLines w:val="0"/>
        <w:widowControl w:val="0"/>
        <w:shd w:val="clear" w:color="auto" w:fill="auto"/>
        <w:bidi w:val="0"/>
        <w:spacing w:before="0" w:after="0" w:line="469" w:lineRule="exact"/>
        <w:ind w:left="0" w:right="0" w:firstLine="0"/>
        <w:jc w:val="both"/>
      </w:pPr>
      <w:bookmarkStart w:id="422" w:name="bookmark422"/>
      <w:r>
        <w:rPr>
          <w:color w:val="000000"/>
          <w:spacing w:val="0"/>
          <w:w w:val="100"/>
          <w:position w:val="0"/>
        </w:rPr>
        <w:t>一</w:t>
      </w:r>
      <w:bookmarkEnd w:id="422"/>
      <w:r>
        <w:rPr>
          <w:color w:val="000000"/>
          <w:spacing w:val="0"/>
          <w:w w:val="100"/>
          <w:position w:val="0"/>
        </w:rPr>
        <w:t>、公司治理相关情况</w:t>
      </w:r>
    </w:p>
    <w:p>
      <w:pPr>
        <w:pStyle w:val="Style40"/>
        <w:keepNext w:val="0"/>
        <w:keepLines w:val="0"/>
        <w:widowControl w:val="0"/>
        <w:shd w:val="clear" w:color="auto" w:fill="auto"/>
        <w:bidi w:val="0"/>
        <w:spacing w:before="0" w:after="0" w:line="469" w:lineRule="exact"/>
        <w:ind w:left="0" w:right="0" w:firstLine="360"/>
        <w:jc w:val="left"/>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律法规等的要求，不断完善公司的法人治理结构，建立健全公司内部管理和控制制度，规范运作，严格进 行信息披露工作，保护广大投资者利益。截至报告期末，公司治理的实际情况基本符合中国证监会发布 的有关上市公司治理的规范性文件的要求，已经形成了权力机构、决策机构、监督机构与管理层之间权责 分明、各司其职、相互制衡、科学决策、协调运作的法人治理结构。</w:t>
      </w:r>
    </w:p>
    <w:p>
      <w:pPr>
        <w:pStyle w:val="Style40"/>
        <w:keepNext w:val="0"/>
        <w:keepLines w:val="0"/>
        <w:widowControl w:val="0"/>
        <w:shd w:val="clear" w:color="auto" w:fill="auto"/>
        <w:tabs>
          <w:tab w:pos="426" w:val="left"/>
        </w:tabs>
        <w:bidi w:val="0"/>
        <w:spacing w:before="0" w:after="0" w:line="469" w:lineRule="exact"/>
        <w:ind w:left="0" w:right="0" w:firstLine="0"/>
        <w:jc w:val="left"/>
      </w:pPr>
      <w:bookmarkStart w:id="423" w:name="bookmark423"/>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关于股东与股东大会</w:t>
      </w:r>
    </w:p>
    <w:p>
      <w:pPr>
        <w:pStyle w:val="Style40"/>
        <w:keepNext w:val="0"/>
        <w:keepLines w:val="0"/>
        <w:widowControl w:val="0"/>
        <w:shd w:val="clear" w:color="auto" w:fill="auto"/>
        <w:bidi w:val="0"/>
        <w:spacing w:before="0" w:after="0" w:line="424" w:lineRule="exact"/>
        <w:ind w:left="0" w:right="0" w:firstLine="440"/>
        <w:jc w:val="both"/>
      </w:pPr>
      <w:r>
        <w:rPr>
          <w:color w:val="000000"/>
          <w:spacing w:val="0"/>
          <w:w w:val="100"/>
          <w:position w:val="0"/>
        </w:rPr>
        <w:t xml:space="preserve">公司股东大会均严格按照《上市公司股东大会规则》、《公司章程》、《股东大会议事规则》等规定 召集、召开，平等对待所有股东，并尽可能为股东参加股东大会提供便利，使其充分行使股东权利。同时, 公司聘请专业律师见证股东大会，确保会议召集召开以及表决程序符合相关法律规定，维护股东的合法权 </w:t>
      </w: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0" w:line="472" w:lineRule="exact"/>
        <w:ind w:left="0" w:right="0" w:firstLine="0"/>
        <w:jc w:val="left"/>
      </w:pPr>
      <w:r>
        <w:rPr>
          <w:color w:val="000000"/>
          <w:spacing w:val="0"/>
          <w:w w:val="100"/>
          <w:position w:val="0"/>
        </w:rPr>
        <w:t>益。</w:t>
      </w:r>
    </w:p>
    <w:p>
      <w:pPr>
        <w:pStyle w:val="Style40"/>
        <w:keepNext w:val="0"/>
        <w:keepLines w:val="0"/>
        <w:widowControl w:val="0"/>
        <w:shd w:val="clear" w:color="auto" w:fill="auto"/>
        <w:tabs>
          <w:tab w:pos="426" w:val="left"/>
        </w:tabs>
        <w:bidi w:val="0"/>
        <w:spacing w:before="0" w:after="0" w:line="472" w:lineRule="exact"/>
        <w:ind w:left="0" w:right="0" w:firstLine="0"/>
        <w:jc w:val="left"/>
      </w:pPr>
      <w:bookmarkStart w:id="424" w:name="bookmark424"/>
      <w:r>
        <w:rPr>
          <w:rFonts w:ascii="Times New Roman" w:eastAsia="Times New Roman" w:hAnsi="Times New Roman" w:cs="Times New Roman"/>
          <w:color w:val="000000"/>
          <w:spacing w:val="0"/>
          <w:w w:val="100"/>
          <w:position w:val="0"/>
        </w:rPr>
        <w:t>2</w:t>
      </w:r>
      <w:bookmarkEnd w:id="424"/>
      <w:r>
        <w:rPr>
          <w:color w:val="000000"/>
          <w:spacing w:val="0"/>
          <w:w w:val="100"/>
          <w:position w:val="0"/>
        </w:rPr>
        <w:t>、</w:t>
        <w:tab/>
        <w:t>关于公司与控股股东、实际控制人</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公司控股股东、实际控制人严格规范自己的行为，没有超越股东大会直接或间接干预公司的决策和经 营活动，未损害公司及其他股东的利益，不存在控股股东占用公司资金的现象，公司亦无为控股股东提供 担保的情形。公司拥有独立完整的业务和自主经营能力，在业务、人员、资产、机构、财务上独立于控股 股东，公司董事会、监事会和内部机构独立运作。</w:t>
      </w:r>
    </w:p>
    <w:p>
      <w:pPr>
        <w:pStyle w:val="Style40"/>
        <w:keepNext w:val="0"/>
        <w:keepLines w:val="0"/>
        <w:widowControl w:val="0"/>
        <w:shd w:val="clear" w:color="auto" w:fill="auto"/>
        <w:tabs>
          <w:tab w:pos="426" w:val="left"/>
        </w:tabs>
        <w:bidi w:val="0"/>
        <w:spacing w:before="0" w:after="0" w:line="472" w:lineRule="exact"/>
        <w:ind w:left="0" w:right="0" w:firstLine="0"/>
        <w:jc w:val="both"/>
      </w:pPr>
      <w:bookmarkStart w:id="425" w:name="bookmark425"/>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关于董事和董事会</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的要求。公司董事能够依据《深圳证券交易所创业板上市公司规范运作指引》、《董事会议事规则》、《独 立董事工作制度》等开展工作，出席董事会和股东大会，勤勉尽责地履行职责和义务，同时积极参加相关 培训，熟悉相关法律法规。</w:t>
      </w:r>
    </w:p>
    <w:p>
      <w:pPr>
        <w:pStyle w:val="Style40"/>
        <w:keepNext w:val="0"/>
        <w:keepLines w:val="0"/>
        <w:widowControl w:val="0"/>
        <w:shd w:val="clear" w:color="auto" w:fill="auto"/>
        <w:tabs>
          <w:tab w:pos="426" w:val="left"/>
        </w:tabs>
        <w:bidi w:val="0"/>
        <w:spacing w:before="0" w:after="0" w:line="472" w:lineRule="exact"/>
        <w:ind w:left="0" w:right="0" w:firstLine="0"/>
        <w:jc w:val="left"/>
      </w:pPr>
      <w:bookmarkStart w:id="426" w:name="bookmark426"/>
      <w:r>
        <w:rPr>
          <w:color w:val="000000"/>
          <w:spacing w:val="0"/>
          <w:w w:val="100"/>
          <w:position w:val="0"/>
        </w:rPr>
        <w:t>4</w:t>
      </w:r>
      <w:bookmarkEnd w:id="426"/>
      <w:r>
        <w:rPr>
          <w:color w:val="000000"/>
          <w:spacing w:val="0"/>
          <w:w w:val="100"/>
          <w:position w:val="0"/>
        </w:rPr>
        <w:t>、</w:t>
        <w:tab/>
        <w:t>关于监事和监事会</w:t>
      </w:r>
    </w:p>
    <w:p>
      <w:pPr>
        <w:pStyle w:val="Style40"/>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 xml:space="preserve">名，监事会的人数和构成符合法律、法规的要求。公司监事能 够按照《深圳证券交易所创业板上市公司规范运作指引》、《监事会议事规则》的要求，认真履行自己的 </w:t>
      </w:r>
      <w:r>
        <w:rPr>
          <w:color w:val="000000"/>
          <w:spacing w:val="0"/>
          <w:w w:val="100"/>
          <w:position w:val="0"/>
        </w:rPr>
        <w:t>职责，对公司重大事项、财务状况、董事和高级管理人员的履行职责的合法合规性进行监督，维护公司及 股东的合法权益。</w:t>
      </w:r>
    </w:p>
    <w:p>
      <w:pPr>
        <w:pStyle w:val="Style40"/>
        <w:keepNext w:val="0"/>
        <w:keepLines w:val="0"/>
        <w:widowControl w:val="0"/>
        <w:shd w:val="clear" w:color="auto" w:fill="auto"/>
        <w:tabs>
          <w:tab w:pos="389" w:val="left"/>
        </w:tabs>
        <w:bidi w:val="0"/>
        <w:spacing w:before="0" w:after="0"/>
        <w:ind w:left="0" w:right="0" w:firstLine="0"/>
        <w:jc w:val="left"/>
      </w:pPr>
      <w:bookmarkStart w:id="427" w:name="bookmark427"/>
      <w:r>
        <w:rPr>
          <w:rFonts w:ascii="Times New Roman" w:eastAsia="Times New Roman" w:hAnsi="Times New Roman" w:cs="Times New Roman"/>
          <w:color w:val="000000"/>
          <w:spacing w:val="0"/>
          <w:w w:val="100"/>
          <w:position w:val="0"/>
        </w:rPr>
        <w:t>5</w:t>
      </w:r>
      <w:bookmarkEnd w:id="427"/>
      <w:r>
        <w:rPr>
          <w:color w:val="000000"/>
          <w:spacing w:val="0"/>
          <w:w w:val="100"/>
          <w:position w:val="0"/>
        </w:rPr>
        <w:t>、</w:t>
        <w:tab/>
        <w:t>关于绩效评价与激励约束机制</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公司已建立企业绩效激励与评价体系，并不断完善。公司董事、监事和高级管理人员的绩效评价标准 和激励约束机制公开、透明，符合法律、法规的规定。公司董事会设立了薪酬与考核委员会，负责薪酬政 策及方案的制定与审定。公司高级管理人员均认真履行工作职责，较好地完成了董事会制定的经营管理任 务。</w:t>
      </w:r>
    </w:p>
    <w:p>
      <w:pPr>
        <w:pStyle w:val="Style40"/>
        <w:keepNext w:val="0"/>
        <w:keepLines w:val="0"/>
        <w:widowControl w:val="0"/>
        <w:shd w:val="clear" w:color="auto" w:fill="auto"/>
        <w:tabs>
          <w:tab w:pos="389" w:val="left"/>
        </w:tabs>
        <w:bidi w:val="0"/>
        <w:spacing w:before="0" w:after="0"/>
        <w:ind w:left="0" w:right="0" w:firstLine="0"/>
        <w:jc w:val="left"/>
      </w:pPr>
      <w:bookmarkStart w:id="428" w:name="bookmark428"/>
      <w:r>
        <w:rPr>
          <w:rFonts w:ascii="Times New Roman" w:eastAsia="Times New Roman" w:hAnsi="Times New Roman" w:cs="Times New Roman"/>
          <w:color w:val="000000"/>
          <w:spacing w:val="0"/>
          <w:w w:val="100"/>
          <w:position w:val="0"/>
        </w:rPr>
        <w:t>6</w:t>
      </w:r>
      <w:bookmarkEnd w:id="428"/>
      <w:r>
        <w:rPr>
          <w:color w:val="000000"/>
          <w:spacing w:val="0"/>
          <w:w w:val="100"/>
          <w:position w:val="0"/>
        </w:rPr>
        <w:t>、</w:t>
        <w:tab/>
        <w:t>关于信息披露与透明度</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公司严格按照《上市公司信息披露管理办法》、深圳证券交易所创业板上市公司的信息披露格式指引 等规定以及公司制定的《信息披露制度》等要求，真实、准确、及时、公平、完整地披露有关信息；并指 定公司董事会秘书负责信息披露工作，协调公司与投资者的关系</w:t>
      </w:r>
      <w:r>
        <w:rPr>
          <w:color w:val="000000"/>
          <w:spacing w:val="0"/>
          <w:w w:val="100"/>
          <w:position w:val="0"/>
        </w:rPr>
        <w:t>，</w:t>
      </w:r>
      <w:r>
        <w:rPr>
          <w:color w:val="000000"/>
          <w:spacing w:val="0"/>
          <w:w w:val="100"/>
          <w:position w:val="0"/>
        </w:rPr>
        <w:t>接待股东来访，回答投资者咨询；并指定 《证券时报》、《上海证券报》、《中国证券报》、《证券日报》等法定报纸和巨潮资讯网(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为公司信息披露的指定报纸和网站，确保公司所有股东能够以平等的机会获得信息。</w:t>
      </w:r>
    </w:p>
    <w:p>
      <w:pPr>
        <w:pStyle w:val="Style40"/>
        <w:keepNext w:val="0"/>
        <w:keepLines w:val="0"/>
        <w:widowControl w:val="0"/>
        <w:shd w:val="clear" w:color="auto" w:fill="auto"/>
        <w:tabs>
          <w:tab w:pos="389" w:val="left"/>
        </w:tabs>
        <w:bidi w:val="0"/>
        <w:spacing w:before="0" w:after="0" w:line="469" w:lineRule="exact"/>
        <w:ind w:left="0" w:right="0" w:firstLine="0"/>
        <w:jc w:val="left"/>
      </w:pPr>
      <w:bookmarkStart w:id="429" w:name="bookmark429"/>
      <w:r>
        <w:rPr>
          <w:color w:val="000000"/>
          <w:spacing w:val="0"/>
          <w:w w:val="100"/>
          <w:position w:val="0"/>
        </w:rPr>
        <w:t>7</w:t>
      </w:r>
      <w:bookmarkEnd w:id="429"/>
      <w:r>
        <w:rPr>
          <w:color w:val="000000"/>
          <w:spacing w:val="0"/>
          <w:w w:val="100"/>
          <w:position w:val="0"/>
        </w:rPr>
        <w:t>、</w:t>
        <w:tab/>
        <w:t>尊重、维护相关利益者的合法权益</w:t>
      </w:r>
    </w:p>
    <w:p>
      <w:pPr>
        <w:pStyle w:val="Style40"/>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公司充分尊重和维护相关利益者的合法权益，实现社会、股东、公司、员工等各方面利益的协调平衡, 诚信对待供应商和客户，坚持与相关利益者互利共赢的原则，共同推动公司持续、稳健发展。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二</w:t>
      </w:r>
      <w:bookmarkEnd w:id="432"/>
      <w:r>
        <w:rPr>
          <w:color w:val="000000"/>
          <w:spacing w:val="0"/>
          <w:w w:val="100"/>
          <w:position w:val="0"/>
        </w:rPr>
        <w:t>、报告期内召开的年度股东大会和临时股东大会的有关情况</w:t>
      </w:r>
      <w:bookmarkEnd w:id="430"/>
      <w:bookmarkEnd w:id="431"/>
      <w:bookmarkEnd w:id="433"/>
    </w:p>
    <w:p>
      <w:pPr>
        <w:pStyle w:val="Style40"/>
        <w:keepNext w:val="0"/>
        <w:keepLines w:val="0"/>
        <w:widowControl w:val="0"/>
        <w:shd w:val="clear" w:color="auto" w:fill="auto"/>
        <w:bidi w:val="0"/>
        <w:spacing w:before="0" w:after="80"/>
        <w:ind w:left="0" w:right="0" w:firstLine="0"/>
        <w:jc w:val="left"/>
      </w:pPr>
      <w:bookmarkStart w:id="434" w:name="bookmark434"/>
      <w:r>
        <w:rPr>
          <w:rFonts w:ascii="Times New Roman" w:eastAsia="Times New Roman" w:hAnsi="Times New Roman" w:cs="Times New Roman"/>
          <w:b/>
          <w:bCs/>
          <w:color w:val="000000"/>
          <w:spacing w:val="0"/>
          <w:w w:val="100"/>
          <w:position w:val="0"/>
        </w:rPr>
        <w:t>1</w:t>
      </w:r>
      <w:bookmarkEnd w:id="434"/>
      <w:r>
        <w:rPr>
          <w:b/>
          <w:bCs/>
          <w:color w:val="000000"/>
          <w:spacing w:val="0"/>
          <w:w w:val="100"/>
          <w:position w:val="0"/>
        </w:rPr>
        <w:t>、本报告期年度股东大会情况</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bl>
    <w:p>
      <w:pPr>
        <w:widowControl w:val="0"/>
        <w:spacing w:after="319" w:line="1" w:lineRule="exact"/>
      </w:pP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、本报告期临时股东大会情况</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bl>
    <w:p>
      <w:pPr>
        <w:pStyle w:val="Style27"/>
        <w:keepNext/>
        <w:keepLines/>
        <w:widowControl w:val="0"/>
        <w:shd w:val="clear" w:color="auto" w:fill="auto"/>
        <w:bidi w:val="0"/>
        <w:spacing w:before="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三</w:t>
      </w:r>
      <w:bookmarkEnd w:id="437"/>
      <w:r>
        <w:rPr>
          <w:color w:val="000000"/>
          <w:spacing w:val="0"/>
          <w:w w:val="100"/>
          <w:position w:val="0"/>
        </w:rPr>
        <w:t>、报告期董事会召开情况</w:t>
      </w:r>
      <w:bookmarkEnd w:id="435"/>
      <w:bookmarkEnd w:id="436"/>
      <w:bookmarkEnd w:id="438"/>
    </w:p>
    <w:tbl>
      <w:tblPr>
        <w:tblOverlap w:val="never"/>
        <w:jc w:val="center"/>
        <w:tblLayout w:type="fixed"/>
      </w:tblPr>
      <w:tblGrid>
        <w:gridCol w:w="2400"/>
        <w:gridCol w:w="1862"/>
        <w:gridCol w:w="2832"/>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会议决议刊登的信息披露日期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第二届董事会第七次（临时）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第二届董事会第八次（临时）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第二届董事会第九次（临时）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第二届董事会第十二次（临 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bl>
    <w:p>
      <w:pPr>
        <w:widowControl w:val="0"/>
        <w:spacing w:after="319" w:line="1" w:lineRule="exact"/>
      </w:pPr>
    </w:p>
    <w:p>
      <w:pPr>
        <w:pStyle w:val="Style27"/>
        <w:keepNext/>
        <w:keepLines/>
        <w:widowControl w:val="0"/>
        <w:shd w:val="clear" w:color="auto" w:fill="auto"/>
        <w:tabs>
          <w:tab w:pos="498" w:val="left"/>
        </w:tabs>
        <w:bidi w:val="0"/>
        <w:spacing w:before="0" w:after="20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四</w:t>
      </w:r>
      <w:bookmarkEnd w:id="441"/>
      <w:r>
        <w:rPr>
          <w:color w:val="000000"/>
          <w:spacing w:val="0"/>
          <w:w w:val="100"/>
          <w:position w:val="0"/>
        </w:rPr>
        <w:t>、</w:t>
        <w:tab/>
        <w:t>年度报告重大差错责任追究制度的建立与执行情况</w:t>
      </w:r>
      <w:bookmarkEnd w:id="439"/>
      <w:bookmarkEnd w:id="440"/>
      <w:bookmarkEnd w:id="442"/>
    </w:p>
    <w:p>
      <w:pPr>
        <w:pStyle w:val="Style40"/>
        <w:keepNext w:val="0"/>
        <w:keepLines w:val="0"/>
        <w:widowControl w:val="0"/>
        <w:shd w:val="clear" w:color="auto" w:fill="auto"/>
        <w:bidi w:val="0"/>
        <w:spacing w:before="0" w:after="440" w:line="469" w:lineRule="exact"/>
        <w:ind w:left="0" w:right="0"/>
        <w:jc w:val="both"/>
      </w:pPr>
      <w:r>
        <w:rPr>
          <w:color w:val="000000"/>
          <w:spacing w:val="0"/>
          <w:w w:val="100"/>
          <w:position w:val="0"/>
        </w:rPr>
        <w:t>为进一步提高公司规范运作水平，加大对年报信息披露责任人的问责力度，提高年报信息披露的质量 和透明度，根据《证券法》、《会计法》、《上市公司信息披露管理办法》等相关规定及《公司章程》、《信息 披露制度》的规定，公司董事会制定了《年报信息披露重大差错责任追究制度》。该制度已经</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日召开的公司第一届董事会第二十三次会议审议通过。报告期内公司未发生重大会计差错更正、重大遗 漏信息补充以及业绩预告修正等情况。</w:t>
      </w:r>
    </w:p>
    <w:p>
      <w:pPr>
        <w:pStyle w:val="Style27"/>
        <w:keepNext/>
        <w:keepLines/>
        <w:widowControl w:val="0"/>
        <w:shd w:val="clear" w:color="auto" w:fill="auto"/>
        <w:tabs>
          <w:tab w:pos="517" w:val="left"/>
        </w:tabs>
        <w:bidi w:val="0"/>
        <w:spacing w:before="0" w:after="38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五</w:t>
      </w:r>
      <w:bookmarkEnd w:id="445"/>
      <w:r>
        <w:rPr>
          <w:color w:val="000000"/>
          <w:spacing w:val="0"/>
          <w:w w:val="100"/>
          <w:position w:val="0"/>
        </w:rPr>
        <w:t>、</w:t>
        <w:tab/>
        <w:t>监事会工作情况</w:t>
      </w:r>
      <w:bookmarkEnd w:id="443"/>
      <w:bookmarkEnd w:id="444"/>
      <w:bookmarkEnd w:id="44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监事会在报告期内的监督活动是否发现公司存在风险</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21" w:right="1021" w:bottom="1763" w:left="1087" w:header="0" w:footer="3" w:gutter="0"/>
          <w:cols w:space="720"/>
          <w:noEndnote/>
          <w:rtlGutter w:val="0"/>
          <w:docGrid w:linePitch="360"/>
        </w:sectPr>
      </w:pPr>
      <w:r>
        <w:rPr>
          <w:color w:val="000000"/>
          <w:spacing w:val="0"/>
          <w:w w:val="100"/>
          <w:position w:val="0"/>
        </w:rPr>
        <w:t>公司监事会对报告期内的监督事项无异议。</w:t>
      </w:r>
    </w:p>
    <w:p>
      <w:pPr>
        <w:pStyle w:val="Style14"/>
        <w:keepNext/>
        <w:keepLines/>
        <w:widowControl w:val="0"/>
        <w:shd w:val="clear" w:color="auto" w:fill="auto"/>
        <w:bidi w:val="0"/>
        <w:spacing w:before="680" w:after="560" w:line="240" w:lineRule="auto"/>
        <w:ind w:left="0" w:right="0" w:firstLine="0"/>
        <w:jc w:val="center"/>
      </w:pPr>
      <w:bookmarkStart w:id="447" w:name="bookmark447"/>
      <w:bookmarkStart w:id="448" w:name="bookmark448"/>
      <w:bookmarkStart w:id="449" w:name="bookmark449"/>
      <w:r>
        <w:rPr>
          <w:color w:val="000000"/>
          <w:spacing w:val="0"/>
          <w:w w:val="100"/>
          <w:position w:val="0"/>
        </w:rPr>
        <w:t>第九节财务报告</w:t>
      </w:r>
      <w:bookmarkEnd w:id="447"/>
      <w:bookmarkEnd w:id="448"/>
      <w:bookmarkEnd w:id="449"/>
    </w:p>
    <w:p>
      <w:pPr>
        <w:pStyle w:val="Style27"/>
        <w:keepNext/>
        <w:keepLines/>
        <w:widowControl w:val="0"/>
        <w:shd w:val="clear" w:color="auto" w:fill="auto"/>
        <w:bidi w:val="0"/>
        <w:spacing w:before="0" w:after="300" w:line="240" w:lineRule="auto"/>
        <w:ind w:left="0" w:right="0" w:firstLine="260"/>
        <w:jc w:val="both"/>
      </w:pPr>
      <w:bookmarkStart w:id="450" w:name="bookmark450"/>
      <w:bookmarkStart w:id="451" w:name="bookmark451"/>
      <w:bookmarkStart w:id="452" w:name="bookmark452"/>
      <w:bookmarkStart w:id="453" w:name="bookmark453"/>
      <w:r>
        <w:rPr>
          <w:color w:val="000000"/>
          <w:spacing w:val="0"/>
          <w:w w:val="100"/>
          <w:position w:val="0"/>
        </w:rPr>
        <w:t>、审计报告</w:t>
      </w:r>
      <w:bookmarkEnd w:id="451"/>
      <w:bookmarkEnd w:id="452"/>
      <w:bookmarkEnd w:id="453"/>
      <w:bookmarkEnd w:id="45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111786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朱育勤、张洪</w:t>
            </w:r>
          </w:p>
        </w:tc>
      </w:tr>
    </w:tbl>
    <w:p>
      <w:pPr>
        <w:pStyle w:val="Style3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审计报告正文</w:t>
      </w:r>
    </w:p>
    <w:p>
      <w:pPr>
        <w:pStyle w:val="Style33"/>
        <w:keepNext/>
        <w:keepLines/>
        <w:widowControl w:val="0"/>
        <w:shd w:val="clear" w:color="auto" w:fill="auto"/>
        <w:bidi w:val="0"/>
        <w:spacing w:before="0" w:after="0" w:line="468" w:lineRule="exact"/>
        <w:ind w:left="0" w:right="0" w:firstLine="0"/>
        <w:jc w:val="both"/>
      </w:pPr>
      <w:bookmarkStart w:id="454" w:name="bookmark454"/>
      <w:bookmarkStart w:id="455" w:name="bookmark455"/>
      <w:bookmarkStart w:id="456" w:name="bookmark456"/>
      <w:r>
        <w:rPr>
          <w:color w:val="000000"/>
          <w:spacing w:val="0"/>
          <w:w w:val="100"/>
          <w:position w:val="0"/>
        </w:rPr>
        <w:t>上海天玑科技股份有限公司全体股东：</w:t>
      </w:r>
      <w:bookmarkEnd w:id="454"/>
      <w:bookmarkEnd w:id="455"/>
      <w:bookmarkEnd w:id="456"/>
    </w:p>
    <w:p>
      <w:pPr>
        <w:pStyle w:val="Style4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我们审计了后附的上海天玑科技股份有限公司（以下简称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日的合并资产负债表和资产负债表、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年度的合并利润表和利润表、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年度的合并现金流量表和现 金流量表、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年度的合并所有者权益变动表和所有者权益变动表以及财务报表附注。</w:t>
      </w:r>
    </w:p>
    <w:p>
      <w:pPr>
        <w:pStyle w:val="Style33"/>
        <w:keepNext/>
        <w:keepLines/>
        <w:widowControl w:val="0"/>
        <w:shd w:val="clear" w:color="auto" w:fill="auto"/>
        <w:tabs>
          <w:tab w:pos="1218" w:val="left"/>
        </w:tabs>
        <w:bidi w:val="0"/>
        <w:spacing w:before="0" w:after="0" w:line="468" w:lineRule="exact"/>
        <w:ind w:left="0" w:right="0" w:firstLine="740"/>
        <w:jc w:val="both"/>
      </w:pPr>
      <w:bookmarkStart w:id="457" w:name="bookmark457"/>
      <w:bookmarkStart w:id="458" w:name="bookmark458"/>
      <w:bookmarkStart w:id="459" w:name="bookmark459"/>
      <w:bookmarkStart w:id="460" w:name="bookmark460"/>
      <w:r>
        <w:rPr>
          <w:color w:val="000000"/>
          <w:spacing w:val="0"/>
          <w:w w:val="100"/>
          <w:position w:val="0"/>
        </w:rPr>
        <w:t>一</w:t>
      </w:r>
      <w:bookmarkEnd w:id="459"/>
      <w:r>
        <w:rPr>
          <w:color w:val="000000"/>
          <w:spacing w:val="0"/>
          <w:w w:val="100"/>
          <w:position w:val="0"/>
        </w:rPr>
        <w:t>、</w:t>
        <w:tab/>
        <w:t>管理层对财务报表的责任</w:t>
      </w:r>
      <w:bookmarkEnd w:id="457"/>
      <w:bookmarkEnd w:id="458"/>
      <w:bookmarkEnd w:id="460"/>
    </w:p>
    <w:p>
      <w:pPr>
        <w:pStyle w:val="Style4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3"/>
        <w:keepNext/>
        <w:keepLines/>
        <w:widowControl w:val="0"/>
        <w:shd w:val="clear" w:color="auto" w:fill="auto"/>
        <w:tabs>
          <w:tab w:pos="1218" w:val="left"/>
        </w:tabs>
        <w:bidi w:val="0"/>
        <w:spacing w:before="0" w:after="0" w:line="468" w:lineRule="exact"/>
        <w:ind w:left="0" w:right="0" w:firstLine="740"/>
        <w:jc w:val="both"/>
      </w:pPr>
      <w:bookmarkStart w:id="461" w:name="bookmark461"/>
      <w:bookmarkStart w:id="462" w:name="bookmark462"/>
      <w:bookmarkStart w:id="463" w:name="bookmark463"/>
      <w:bookmarkStart w:id="464" w:name="bookmark464"/>
      <w:r>
        <w:rPr>
          <w:color w:val="000000"/>
          <w:spacing w:val="0"/>
          <w:w w:val="100"/>
          <w:position w:val="0"/>
        </w:rPr>
        <w:t>二</w:t>
      </w:r>
      <w:bookmarkEnd w:id="463"/>
      <w:r>
        <w:rPr>
          <w:color w:val="000000"/>
          <w:spacing w:val="0"/>
          <w:w w:val="100"/>
          <w:position w:val="0"/>
        </w:rPr>
        <w:t>、</w:t>
        <w:tab/>
        <w:t>注册会计师的责任</w:t>
      </w:r>
      <w:bookmarkEnd w:id="461"/>
      <w:bookmarkEnd w:id="462"/>
      <w:bookmarkEnd w:id="464"/>
    </w:p>
    <w:p>
      <w:pPr>
        <w:pStyle w:val="Style4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我们的责任是在执行审计工作的基础上对财务报表发表审计意见。我们按照中国注册会计师审计准 则的规定执行了审计工作。中国注册会计师审计准则要求我们遵守中国注册会计师职业道德守则，计划和 执行审计工作以对财务报表是否不存在重大错报获取合理保证。</w:t>
      </w:r>
    </w:p>
    <w:p>
      <w:pPr>
        <w:pStyle w:val="Style4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审计工作涉及实施审计程序，以获取有关财务报表金额和披露的审计证据。选择的审计程序取决于 注册会计师的判断，包括对由于舞弊或错误导致的财务报表重大错报风险的评估。在进行风险评估时，注 册会计师考虑与财务报表编制和公允列报相关的内部控制，以设计恰当的审计程序，但目的并非对内部控 制的有效性发表意见。审计工作还包括评价管理层选用会计政策的恰当性和作出会计估计的合理性，以及 评价财务报表的总体列报。</w:t>
      </w:r>
    </w:p>
    <w:p>
      <w:pPr>
        <w:pStyle w:val="Style40"/>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我们相信，我们获取的审计证据是充分、适当的，为发表审计意见提供了基础。</w:t>
      </w:r>
    </w:p>
    <w:p>
      <w:pPr>
        <w:pStyle w:val="Style33"/>
        <w:keepNext/>
        <w:keepLines/>
        <w:widowControl w:val="0"/>
        <w:shd w:val="clear" w:color="auto" w:fill="auto"/>
        <w:tabs>
          <w:tab w:pos="1223" w:val="left"/>
        </w:tabs>
        <w:bidi w:val="0"/>
        <w:spacing w:before="0" w:after="0" w:line="468" w:lineRule="exact"/>
        <w:ind w:left="0" w:right="0" w:firstLine="740"/>
        <w:jc w:val="both"/>
      </w:pPr>
      <w:bookmarkStart w:id="465" w:name="bookmark465"/>
      <w:bookmarkStart w:id="466" w:name="bookmark466"/>
      <w:bookmarkStart w:id="467" w:name="bookmark467"/>
      <w:bookmarkStart w:id="468" w:name="bookmark468"/>
      <w:r>
        <w:rPr>
          <w:color w:val="000000"/>
          <w:spacing w:val="0"/>
          <w:w w:val="100"/>
          <w:position w:val="0"/>
        </w:rPr>
        <w:t>三</w:t>
      </w:r>
      <w:bookmarkEnd w:id="467"/>
      <w:r>
        <w:rPr>
          <w:color w:val="000000"/>
          <w:spacing w:val="0"/>
          <w:w w:val="100"/>
          <w:position w:val="0"/>
        </w:rPr>
        <w:t>、</w:t>
        <w:tab/>
        <w:t>审计意见</w:t>
      </w:r>
      <w:bookmarkEnd w:id="465"/>
      <w:bookmarkEnd w:id="466"/>
      <w:bookmarkEnd w:id="468"/>
    </w:p>
    <w:p>
      <w:pPr>
        <w:pStyle w:val="Style40"/>
        <w:keepNext w:val="0"/>
        <w:keepLines w:val="0"/>
        <w:widowControl w:val="0"/>
        <w:shd w:val="clear" w:color="auto" w:fill="auto"/>
        <w:bidi w:val="0"/>
        <w:spacing w:before="0" w:after="700" w:line="468" w:lineRule="exact"/>
        <w:ind w:left="0" w:right="0" w:firstLine="58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p>
    <w:p>
      <w:pPr>
        <w:pStyle w:val="Style40"/>
        <w:keepNext w:val="0"/>
        <w:keepLines w:val="0"/>
        <w:widowControl w:val="0"/>
        <w:shd w:val="clear" w:color="auto" w:fill="auto"/>
        <w:bidi w:val="0"/>
        <w:spacing w:before="0" w:after="220" w:line="240" w:lineRule="auto"/>
        <w:ind w:left="0" w:right="0" w:firstLine="580"/>
        <w:jc w:val="left"/>
      </w:pPr>
      <w:r>
        <w:rPr>
          <w:b/>
          <w:bCs/>
          <w:color w:val="000000"/>
          <w:spacing w:val="0"/>
          <w:w w:val="100"/>
          <w:position w:val="0"/>
        </w:rPr>
        <w:t>立信会计师事务所中国注册会计师：朱育勤</w:t>
      </w:r>
    </w:p>
    <w:p>
      <w:pPr>
        <w:pStyle w:val="Style40"/>
        <w:keepNext w:val="0"/>
        <w:keepLines w:val="0"/>
        <w:widowControl w:val="0"/>
        <w:shd w:val="clear" w:color="auto" w:fill="auto"/>
        <w:bidi w:val="0"/>
        <w:spacing w:before="0" w:after="700" w:line="240" w:lineRule="auto"/>
        <w:ind w:left="0" w:right="0" w:firstLine="580"/>
        <w:jc w:val="left"/>
      </w:pPr>
      <w:r>
        <w:rPr>
          <w:b/>
          <w:bCs/>
          <w:color w:val="000000"/>
          <w:spacing w:val="0"/>
          <w:w w:val="100"/>
          <w:position w:val="0"/>
        </w:rPr>
        <w:t>（特殊普通合伙）</w:t>
      </w:r>
    </w:p>
    <w:p>
      <w:pPr>
        <w:pStyle w:val="Style40"/>
        <w:keepNext w:val="0"/>
        <w:keepLines w:val="0"/>
        <w:widowControl w:val="0"/>
        <w:shd w:val="clear" w:color="auto" w:fill="auto"/>
        <w:bidi w:val="0"/>
        <w:spacing w:before="0" w:after="700" w:line="240" w:lineRule="auto"/>
        <w:ind w:left="2600" w:right="0" w:firstLine="0"/>
        <w:jc w:val="left"/>
      </w:pPr>
      <w:r>
        <w:rPr>
          <w:b/>
          <w:bCs/>
          <w:color w:val="000000"/>
          <w:spacing w:val="0"/>
          <w:w w:val="100"/>
          <w:position w:val="0"/>
        </w:rPr>
        <w:t>中国注册会计师：张洪</w:t>
      </w:r>
    </w:p>
    <w:p>
      <w:pPr>
        <w:pStyle w:val="Style4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上海二</w:t>
      </w:r>
      <w:r>
        <w:rPr>
          <w:rFonts w:ascii="Times New Roman" w:eastAsia="Times New Roman" w:hAnsi="Times New Roman" w:cs="Times New Roman"/>
          <w:b/>
          <w:bCs/>
          <w:color w:val="000000"/>
          <w:spacing w:val="0"/>
          <w:w w:val="100"/>
          <w:position w:val="0"/>
        </w:rPr>
        <w:t>O</w:t>
      </w:r>
      <w:r>
        <w:rPr>
          <w:b/>
          <w:bCs/>
          <w:color w:val="000000"/>
          <w:spacing w:val="0"/>
          <w:w w:val="100"/>
          <w:position w:val="0"/>
        </w:rPr>
        <w:t>一四年四月九日</w:t>
      </w:r>
      <w:r>
        <w:br w:type="page"/>
      </w:r>
    </w:p>
    <w:p>
      <w:pPr>
        <w:pStyle w:val="Style27"/>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二</w:t>
      </w:r>
      <w:bookmarkEnd w:id="471"/>
      <w:r>
        <w:rPr>
          <w:color w:val="000000"/>
          <w:spacing w:val="0"/>
          <w:w w:val="100"/>
          <w:position w:val="0"/>
        </w:rPr>
        <w:t>、财务报表</w:t>
      </w:r>
      <w:bookmarkEnd w:id="469"/>
      <w:bookmarkEnd w:id="470"/>
      <w:bookmarkEnd w:id="47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、合并资产负债表</w:t>
      </w:r>
      <w:bookmarkEnd w:id="473"/>
      <w:bookmarkEnd w:id="474"/>
      <w:bookmarkEnd w:id="47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编制单位：上海天玑科技股份有限公司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418,179,606.61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367,331,032.45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121,429,950.71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96,841,450.66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472,160.89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34,703,119.94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3,382,023.98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3,795,205.48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5,110,016.06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6,463,488.94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21,302,894.64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23,869,065.91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570,146,652.89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533,083,363.38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97,256,153.35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72,977,857.79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1,216,716.84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8,743,834.70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8,925,367.58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24,302,015.94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24,302,015.94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1,796,149.71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765,795.39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669,543.92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133,092,955.35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108,857,297.46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703,239,608.24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641,940,660.84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25,745,104.94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27,279,533.26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19,893,409.53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44,259,155.61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24,369,896.08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19,146,323.37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15,024,065.70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10,317,608.09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9,035,052.87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11,019,055.36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94,067,529.12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112,021,675.69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94,067,529.12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112,021,675.69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139,530,000.00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256,846,939.47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232,775,347.05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22,993,921.70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16,923,389.92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177,513,586.83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136,141,389.56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596,669,261.22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519,685,524.77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12,502,817.90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10,233,460.38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609,172,079.12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529,918,985.15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703,239,608.24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641,940,660.84</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78" behindDoc="0" locked="0" layoutInCell="1" allowOverlap="1">
                <wp:simplePos x="0" y="0"/>
                <wp:positionH relativeFrom="page">
                  <wp:posOffset>708660</wp:posOffset>
                </wp:positionH>
                <wp:positionV relativeFrom="margin">
                  <wp:posOffset>6931025</wp:posOffset>
                </wp:positionV>
                <wp:extent cx="1054735" cy="149225"/>
                <wp:wrapTopAndBottom/>
                <wp:docPr id="12" name="Shape 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wps:txbx>
                      <wps:bodyPr wrap="none" lIns="0" tIns="0" rIns="0" bIns="0">
                        <a:noAutoFit/>
                      </wps:bodyPr>
                    </wps:wsp>
                  </a:graphicData>
                </a:graphic>
              </wp:anchor>
            </w:drawing>
          </mc:Choice>
          <mc:Fallback>
            <w:pict>
              <v:shape id="_x0000_s1038" type="#_x0000_t202" style="position:absolute;margin-left:55.800000000000004pt;margin-top:545.75pt;width:83.049999999999997pt;height:11.75pt;z-index:-125829375;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v:textbox>
                <w10:wrap type="topAndBottom" anchorx="page" anchory="margin"/>
              </v:shape>
            </w:pict>
          </mc:Fallback>
        </mc:AlternateContent>
      </w:r>
      <w:r>
        <mc:AlternateContent>
          <mc:Choice Requires="wps">
            <w:drawing>
              <wp:anchor distT="139700" distB="0" distL="2293620" distR="2519045" simplePos="0" relativeHeight="125829380" behindDoc="0" locked="0" layoutInCell="1" allowOverlap="1">
                <wp:simplePos x="0" y="0"/>
                <wp:positionH relativeFrom="page">
                  <wp:posOffset>2887980</wp:posOffset>
                </wp:positionH>
                <wp:positionV relativeFrom="margin">
                  <wp:posOffset>6931025</wp:posOffset>
                </wp:positionV>
                <wp:extent cx="1505585" cy="149225"/>
                <wp:wrapTopAndBottom/>
                <wp:docPr id="14" name="Shape 1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040" type="#_x0000_t202" style="position:absolute;margin-left:227.40000000000001pt;margin-top:545.75pt;width:118.55pt;height:11.75pt;z-index:-125829373;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39700" distB="0" distL="4918075" distR="113665" simplePos="0" relativeHeight="125829382" behindDoc="0" locked="0" layoutInCell="1" allowOverlap="1">
                <wp:simplePos x="0" y="0"/>
                <wp:positionH relativeFrom="page">
                  <wp:posOffset>5512435</wp:posOffset>
                </wp:positionH>
                <wp:positionV relativeFrom="margin">
                  <wp:posOffset>6931025</wp:posOffset>
                </wp:positionV>
                <wp:extent cx="1286510" cy="149225"/>
                <wp:wrapTopAndBottom/>
                <wp:docPr id="16" name="Shape 1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wps:txbx>
                      <wps:bodyPr wrap="none" lIns="0" tIns="0" rIns="0" bIns="0">
                        <a:noAutoFit/>
                      </wps:bodyPr>
                    </wps:wsp>
                  </a:graphicData>
                </a:graphic>
              </wp:anchor>
            </w:drawing>
          </mc:Choice>
          <mc:Fallback>
            <w:pict>
              <v:shape id="_x0000_s1042" type="#_x0000_t202" style="position:absolute;margin-left:434.05000000000001pt;margin-top:545.75pt;width:101.3pt;height:11.75pt;z-index:-125829371;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v:textbox>
                <w10:wrap type="topAndBottom" anchorx="page" anchory="margin"/>
              </v:shape>
            </w:pict>
          </mc:Fallback>
        </mc:AlternateContent>
      </w: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、母公司资产负债表</w:t>
      </w:r>
      <w:bookmarkEnd w:id="477"/>
      <w:bookmarkEnd w:id="478"/>
      <w:bookmarkEnd w:id="48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编制单位：上海天玑科技股份有限公司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386,490,584.82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337,992,490.45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99,476,295.51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74,638,780.68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444,912.27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33,892,684.57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3,382,023.98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3,795,205.48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7,182,768.31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9,492,048.50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15,560,782.24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15,766,113.40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512,807,367.13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475,657,323.08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51,478,320.00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51,882,220.00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98,847,212.23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74,151,897.13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1,216,716.84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9,688,279.12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8,925,367.58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1,681,624.10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926,789.97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630,165.53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162,622,225.42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137,400,374.30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675,429,592.55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613,057,697.38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384" behindDoc="0" locked="0" layoutInCell="1" allowOverlap="1">
                <wp:simplePos x="0" y="0"/>
                <wp:positionH relativeFrom="page">
                  <wp:posOffset>731520</wp:posOffset>
                </wp:positionH>
                <wp:positionV relativeFrom="margin">
                  <wp:posOffset>8717280</wp:posOffset>
                </wp:positionV>
                <wp:extent cx="1054735" cy="149225"/>
                <wp:wrapTopAndBottom/>
                <wp:docPr id="18" name="Shape 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wps:txbx>
                      <wps:bodyPr wrap="none" lIns="0" tIns="0" rIns="0" bIns="0">
                        <a:noAutoFit/>
                      </wps:bodyPr>
                    </wps:wsp>
                  </a:graphicData>
                </a:graphic>
              </wp:anchor>
            </w:drawing>
          </mc:Choice>
          <mc:Fallback>
            <w:pict>
              <v:shape id="_x0000_s1044" type="#_x0000_t202" style="position:absolute;margin-left:57.600000000000001pt;margin-top:686.39999999999998pt;width:83.049999999999997pt;height:11.75pt;z-index:-125829369;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v:textbox>
                <w10:wrap type="topAndBottom" anchorx="page" anchory="margin"/>
              </v:shape>
            </w:pict>
          </mc:Fallback>
        </mc:AlternateContent>
      </w:r>
      <w:r>
        <mc:AlternateContent>
          <mc:Choice Requires="wps">
            <w:drawing>
              <wp:anchor distT="139700" distB="0" distL="2293620" distR="2519045" simplePos="0" relativeHeight="125829386" behindDoc="0" locked="0" layoutInCell="1" allowOverlap="1">
                <wp:simplePos x="0" y="0"/>
                <wp:positionH relativeFrom="page">
                  <wp:posOffset>2910840</wp:posOffset>
                </wp:positionH>
                <wp:positionV relativeFrom="margin">
                  <wp:posOffset>8717280</wp:posOffset>
                </wp:positionV>
                <wp:extent cx="1505585" cy="149225"/>
                <wp:wrapTopAndBottom/>
                <wp:docPr id="20" name="Shape 2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046" type="#_x0000_t202" style="position:absolute;margin-left:229.20000000000002pt;margin-top:686.39999999999998pt;width:118.55pt;height:11.75pt;z-index:-125829367;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39700" distB="0" distL="4918075" distR="113665" simplePos="0" relativeHeight="125829388" behindDoc="0" locked="0" layoutInCell="1" allowOverlap="1">
                <wp:simplePos x="0" y="0"/>
                <wp:positionH relativeFrom="page">
                  <wp:posOffset>5535295</wp:posOffset>
                </wp:positionH>
                <wp:positionV relativeFrom="margin">
                  <wp:posOffset>8717280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wps:txbx>
                      <wps:bodyPr wrap="none" lIns="0" tIns="0" rIns="0" bIns="0">
                        <a:noAutoFit/>
                      </wps:bodyPr>
                    </wps:wsp>
                  </a:graphicData>
                </a:graphic>
              </wp:anchor>
            </w:drawing>
          </mc:Choice>
          <mc:Fallback>
            <w:pict>
              <v:shape id="_x0000_s1048" type="#_x0000_t202" style="position:absolute;margin-left:435.85000000000002pt;margin-top:686.39999999999998pt;width:101.3pt;height:11.75pt;z-index:-125829365;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30,022,986.10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25,836,499.70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19,159,058.27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42,929,557.06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18,961,498.99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14,312,332.74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11,097,016.24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8,409,728.73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3,339,032.74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5,626,489.15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82,579,592.34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97,114,607.38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82,579,592.34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97,114,607.38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139,530,000.00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256,846,939.47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232,775,347.05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22,993,921.70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16,923,389.92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173,479,139.04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132,244,353.03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592,850,000.21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515,943,090.00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675,429,592.55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613,057,697.38</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、合并利润表</w:t>
      </w:r>
      <w:bookmarkEnd w:id="481"/>
      <w:bookmarkEnd w:id="482"/>
      <w:bookmarkEnd w:id="48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编制单位：上海天玑科技股份有限公司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344,940,078.15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313,260,727.26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344,940,078.15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313,260,727.26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277,443,911.08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260,024,556.94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188,769,467.31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182,042,152.25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1,257,708.07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1,558,639.90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25,781,315.39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27,195,460.62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68,369,647.58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57,098,992.84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-9,018,488.59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-8,731,968.69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2,284,261.32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861,280.02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68,236,490.38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53,236,170.32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7,406,633.26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6,378,822.83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220,779.09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9,357.14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75,598,034.49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59,394,214.06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12,485,947.92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9,018,580.88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63,112,086.57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50,375,633.18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60,842,729.05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48,207,495.51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2,269,357.52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2,168,137.67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63,051,501.55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50,371,108.36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60,782,144.03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48,202,970.69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2,269,357.52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2,168,137.67</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90" behindDoc="0" locked="0" layoutInCell="1" allowOverlap="1">
                <wp:simplePos x="0" y="0"/>
                <wp:positionH relativeFrom="page">
                  <wp:posOffset>708660</wp:posOffset>
                </wp:positionH>
                <wp:positionV relativeFrom="margin">
                  <wp:posOffset>4492625</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wps:txbx>
                      <wps:bodyPr wrap="none" lIns="0" tIns="0" rIns="0" bIns="0">
                        <a:noAutoFit/>
                      </wps:bodyPr>
                    </wps:wsp>
                  </a:graphicData>
                </a:graphic>
              </wp:anchor>
            </w:drawing>
          </mc:Choice>
          <mc:Fallback>
            <w:pict>
              <v:shape id="_x0000_s1050" type="#_x0000_t202" style="position:absolute;margin-left:55.800000000000004pt;margin-top:353.75pt;width:83.049999999999997pt;height:11.75pt;z-index:-125829363;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v:textbox>
                <w10:wrap type="topAndBottom" anchorx="page" anchory="margin"/>
              </v:shape>
            </w:pict>
          </mc:Fallback>
        </mc:AlternateContent>
      </w:r>
      <w:r>
        <mc:AlternateContent>
          <mc:Choice Requires="wps">
            <w:drawing>
              <wp:anchor distT="139700" distB="0" distL="2293620" distR="2519045" simplePos="0" relativeHeight="125829392" behindDoc="0" locked="0" layoutInCell="1" allowOverlap="1">
                <wp:simplePos x="0" y="0"/>
                <wp:positionH relativeFrom="page">
                  <wp:posOffset>2887980</wp:posOffset>
                </wp:positionH>
                <wp:positionV relativeFrom="margin">
                  <wp:posOffset>4492625</wp:posOffset>
                </wp:positionV>
                <wp:extent cx="1505585" cy="149225"/>
                <wp:wrapTopAndBottom/>
                <wp:docPr id="26" name="Shape 2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052" type="#_x0000_t202" style="position:absolute;margin-left:227.40000000000001pt;margin-top:353.75pt;width:118.55pt;height:11.75pt;z-index:-125829361;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39700" distB="0" distL="4918075" distR="113665" simplePos="0" relativeHeight="125829394" behindDoc="0" locked="0" layoutInCell="1" allowOverlap="1">
                <wp:simplePos x="0" y="0"/>
                <wp:positionH relativeFrom="page">
                  <wp:posOffset>5512435</wp:posOffset>
                </wp:positionH>
                <wp:positionV relativeFrom="margin">
                  <wp:posOffset>4492625</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wps:txbx>
                      <wps:bodyPr wrap="none" lIns="0" tIns="0" rIns="0" bIns="0">
                        <a:noAutoFit/>
                      </wps:bodyPr>
                    </wps:wsp>
                  </a:graphicData>
                </a:graphic>
              </wp:anchor>
            </w:drawing>
          </mc:Choice>
          <mc:Fallback>
            <w:pict>
              <v:shape id="_x0000_s1054" type="#_x0000_t202" style="position:absolute;margin-left:434.05000000000001pt;margin-top:353.75pt;width:101.3pt;height:11.75pt;z-index:-125829359;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v:textbox>
                <w10:wrap type="topAndBottom" anchorx="page" anchory="margin"/>
              </v:shape>
            </w:pict>
          </mc:Fallback>
        </mc:AlternateContent>
      </w: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、母公司利润表</w:t>
      </w:r>
      <w:bookmarkEnd w:id="485"/>
      <w:bookmarkEnd w:id="486"/>
      <w:bookmarkEnd w:id="48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编制单位：上海天玑科技股份有限公司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287,078,281.72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252,081,620.75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158,286,479.72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146,503,583.64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1,395,921.07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23,105,931.89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22,817,934.14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50,154,577.45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42,411,797.80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-8,640,374.74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-8,573,076.67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1,977,496.24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616,600.04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3,474,050.02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64,965,410.14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46,908,860.73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6,540,787.97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5,135,896.53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71,485,572.97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51,918,267.70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10,780,255.18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7,822,114.50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60,705,317.79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44,096,153.20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60,705,317.79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44,096,153.20</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6" behindDoc="0" locked="0" layoutInCell="1" allowOverlap="1">
                <wp:simplePos x="0" y="0"/>
                <wp:positionH relativeFrom="page">
                  <wp:posOffset>708660</wp:posOffset>
                </wp:positionH>
                <wp:positionV relativeFrom="margin">
                  <wp:posOffset>3843655</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wps:txbx>
                      <wps:bodyPr wrap="none" lIns="0" tIns="0" rIns="0" bIns="0">
                        <a:noAutoFit/>
                      </wps:bodyPr>
                    </wps:wsp>
                  </a:graphicData>
                </a:graphic>
              </wp:anchor>
            </w:drawing>
          </mc:Choice>
          <mc:Fallback>
            <w:pict>
              <v:shape id="_x0000_s1056" type="#_x0000_t202" style="position:absolute;margin-left:55.800000000000004pt;margin-top:302.65000000000003pt;width:83.049999999999997pt;height:11.75pt;z-index:-125829357;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v:textbox>
                <w10:wrap type="topAndBottom" anchorx="page" anchory="margin"/>
              </v:shape>
            </w:pict>
          </mc:Fallback>
        </mc:AlternateContent>
      </w:r>
      <w:r>
        <mc:AlternateContent>
          <mc:Choice Requires="wps">
            <w:drawing>
              <wp:anchor distT="152400" distB="0" distL="2293620" distR="2519045" simplePos="0" relativeHeight="125829398" behindDoc="0" locked="0" layoutInCell="1" allowOverlap="1">
                <wp:simplePos x="0" y="0"/>
                <wp:positionH relativeFrom="page">
                  <wp:posOffset>2887980</wp:posOffset>
                </wp:positionH>
                <wp:positionV relativeFrom="margin">
                  <wp:posOffset>3843655</wp:posOffset>
                </wp:positionV>
                <wp:extent cx="1505585" cy="149225"/>
                <wp:wrapTopAndBottom/>
                <wp:docPr id="32" name="Shape 3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058" type="#_x0000_t202" style="position:absolute;margin-left:227.40000000000001pt;margin-top:302.65000000000003pt;width:118.55pt;height:11.75pt;z-index:-125829355;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52400" distB="0" distL="4918075" distR="113665" simplePos="0" relativeHeight="125829400" behindDoc="0" locked="0" layoutInCell="1" allowOverlap="1">
                <wp:simplePos x="0" y="0"/>
                <wp:positionH relativeFrom="page">
                  <wp:posOffset>5512435</wp:posOffset>
                </wp:positionH>
                <wp:positionV relativeFrom="margin">
                  <wp:posOffset>3843655</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wps:txbx>
                      <wps:bodyPr wrap="none" lIns="0" tIns="0" rIns="0" bIns="0">
                        <a:noAutoFit/>
                      </wps:bodyPr>
                    </wps:wsp>
                  </a:graphicData>
                </a:graphic>
              </wp:anchor>
            </w:drawing>
          </mc:Choice>
          <mc:Fallback>
            <w:pict>
              <v:shape id="_x0000_s1060" type="#_x0000_t202" style="position:absolute;margin-left:434.05000000000001pt;margin-top:302.65000000000003pt;width:101.3pt;height:11.75pt;z-index:-125829353;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v:textbox>
                <w10:wrap type="topAndBottom" anchorx="page" anchory="margin"/>
              </v:shape>
            </w:pict>
          </mc:Fallback>
        </mc:AlternateContent>
      </w: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、合并现金流量表</w:t>
      </w:r>
      <w:bookmarkEnd w:id="489"/>
      <w:bookmarkEnd w:id="490"/>
      <w:bookmarkEnd w:id="49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编制单位：上海天玑科技股份有限公司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321,052,927.95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322,618,519.00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19,964,185.48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17,470,027.59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341,017,113.43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340,196,227.78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116,847,946.77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116,336,540.50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129,004,853.99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107,289,319.94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29,025,539.24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30,370,178.42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21,451,490.95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33,539,894.23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296,329,830.95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287,535,933.09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44,687,282.48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52,660,294.69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18,188,479.84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91,743,923.31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18,195,909.16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2,986,818.26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51,819,704.78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98,266,818.26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79,659,704.78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-6,522,894.95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-61,463,795.62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26,599,300.00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13,199,300.00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51,317,215.86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-22,908,608.37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365,206,474.29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388,115,082.66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416,523,690.15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365,206,474.29</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02" behindDoc="0" locked="0" layoutInCell="1" allowOverlap="1">
                <wp:simplePos x="0" y="0"/>
                <wp:positionH relativeFrom="page">
                  <wp:posOffset>708660</wp:posOffset>
                </wp:positionH>
                <wp:positionV relativeFrom="margin">
                  <wp:posOffset>4974590</wp:posOffset>
                </wp:positionV>
                <wp:extent cx="1054735" cy="149225"/>
                <wp:wrapTopAndBottom/>
                <wp:docPr id="36" name="Shape 3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wps:txbx>
                      <wps:bodyPr wrap="none" lIns="0" tIns="0" rIns="0" bIns="0">
                        <a:noAutoFit/>
                      </wps:bodyPr>
                    </wps:wsp>
                  </a:graphicData>
                </a:graphic>
              </wp:anchor>
            </w:drawing>
          </mc:Choice>
          <mc:Fallback>
            <w:pict>
              <v:shape id="_x0000_s1062" type="#_x0000_t202" style="position:absolute;margin-left:55.800000000000004pt;margin-top:391.69999999999999pt;width:83.049999999999997pt;height:11.75pt;z-index:-125829351;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v:textbox>
                <w10:wrap type="topAndBottom" anchorx="page" anchory="margin"/>
              </v:shape>
            </w:pict>
          </mc:Fallback>
        </mc:AlternateContent>
      </w:r>
      <w:r>
        <mc:AlternateContent>
          <mc:Choice Requires="wps">
            <w:drawing>
              <wp:anchor distT="152400" distB="0" distL="2293620" distR="2519045" simplePos="0" relativeHeight="125829404" behindDoc="0" locked="0" layoutInCell="1" allowOverlap="1">
                <wp:simplePos x="0" y="0"/>
                <wp:positionH relativeFrom="page">
                  <wp:posOffset>2887980</wp:posOffset>
                </wp:positionH>
                <wp:positionV relativeFrom="margin">
                  <wp:posOffset>4974590</wp:posOffset>
                </wp:positionV>
                <wp:extent cx="1505585" cy="149225"/>
                <wp:wrapTopAndBottom/>
                <wp:docPr id="38" name="Shape 3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064" type="#_x0000_t202" style="position:absolute;margin-left:227.40000000000001pt;margin-top:391.69999999999999pt;width:118.55pt;height:11.75pt;z-index:-125829349;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52400" distB="0" distL="4918075" distR="113665" simplePos="0" relativeHeight="125829406" behindDoc="0" locked="0" layoutInCell="1" allowOverlap="1">
                <wp:simplePos x="0" y="0"/>
                <wp:positionH relativeFrom="page">
                  <wp:posOffset>5512435</wp:posOffset>
                </wp:positionH>
                <wp:positionV relativeFrom="margin">
                  <wp:posOffset>4974590</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wps:txbx>
                      <wps:bodyPr wrap="none" lIns="0" tIns="0" rIns="0" bIns="0">
                        <a:noAutoFit/>
                      </wps:bodyPr>
                    </wps:wsp>
                  </a:graphicData>
                </a:graphic>
              </wp:anchor>
            </w:drawing>
          </mc:Choice>
          <mc:Fallback>
            <w:pict>
              <v:shape id="_x0000_s1066" type="#_x0000_t202" style="position:absolute;margin-left:434.05000000000001pt;margin-top:391.69999999999999pt;width:101.3pt;height:11.75pt;z-index:-125829347;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v:textbox>
                <w10:wrap type="topAndBottom" anchorx="page" anchory="margin"/>
              </v:shape>
            </w:pict>
          </mc:Fallback>
        </mc:AlternateContent>
      </w: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6</w:t>
      </w:r>
      <w:bookmarkEnd w:id="495"/>
      <w:r>
        <w:rPr>
          <w:color w:val="000000"/>
          <w:spacing w:val="0"/>
          <w:w w:val="100"/>
          <w:position w:val="0"/>
        </w:rPr>
        <w:t>、母公司现金流量表</w:t>
      </w:r>
      <w:bookmarkEnd w:id="493"/>
      <w:bookmarkEnd w:id="494"/>
      <w:bookmarkEnd w:id="49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编制单位：上海天玑科技股份有限公司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256,803,836.24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263,272,297.80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24,739,652.49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17,629,742.93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281,543,488.73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280,902,040.73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108,331,328.75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89,878,396.19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89,200,124.50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78,031,476.52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22,803,985.76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27,382,536.31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23,852,154.91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31,031,304.84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244,187,593.92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226,323,713.86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37,355,894.81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54,578,326.87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2,607,226.71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99,351,150.02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5,737,608.76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57,371,797.97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27,840,000.00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101,017,608.76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85,211,797.97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-1,666,458.74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-85,204,997.97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13,199,300.00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48,888,736.07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-44,026,671.10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336,149,432.29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380,176,103.39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385,038,168.36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336,149,432.29</w:t>
            </w:r>
          </w:p>
        </w:tc>
      </w:tr>
    </w:tbl>
    <w:p>
      <w:pPr>
        <w:spacing w:lineRule="exact" w:line="1"/>
        <w:rPr>
          <w:sz w:val="2"/>
          <w:szCs w:val="2"/>
        </w:rPr>
      </w:pPr>
      <w:r>
        <w:br w:type="page"/>
      </w:r>
    </w:p>
    <w:p>
      <w:pPr>
        <w:pStyle w:val="Style29"/>
        <w:keepNext w:val="0"/>
        <w:keepLines w:val="0"/>
        <w:widowControl w:val="0"/>
        <w:shd w:val="clear" w:color="auto" w:fill="auto"/>
        <w:tabs>
          <w:tab w:pos="3427" w:val="left"/>
        </w:tabs>
        <w:bidi w:val="0"/>
        <w:spacing w:before="0" w:after="380" w:line="240" w:lineRule="auto"/>
        <w:ind w:left="0" w:right="0" w:firstLine="0"/>
        <w:jc w:val="left"/>
      </w:pPr>
      <w:r>
        <mc:AlternateContent>
          <mc:Choice Requires="wps">
            <w:drawing>
              <wp:anchor distT="0" distB="0" distL="114300" distR="114300" simplePos="0" relativeHeight="125829408" behindDoc="0" locked="0" layoutInCell="1" allowOverlap="1">
                <wp:simplePos x="0" y="0"/>
                <wp:positionH relativeFrom="page">
                  <wp:posOffset>5507990</wp:posOffset>
                </wp:positionH>
                <wp:positionV relativeFrom="paragraph">
                  <wp:posOffset>12700</wp:posOffset>
                </wp:positionV>
                <wp:extent cx="1286510" cy="149225"/>
                <wp:wrapSquare wrapText="left"/>
                <wp:docPr id="42" name="Shape 4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wps:txbx>
                      <wps:bodyPr wrap="none" lIns="0" tIns="0" rIns="0" bIns="0">
                        <a:noAutoFit/>
                      </wps:bodyPr>
                    </wps:wsp>
                  </a:graphicData>
                </a:graphic>
              </wp:anchor>
            </w:drawing>
          </mc:Choice>
          <mc:Fallback>
            <w:pict>
              <v:shape id="_x0000_s1068" type="#_x0000_t202" style="position:absolute;margin-left:433.69999999999999pt;margin-top:1.pt;width:101.3pt;height:11.75pt;z-index:-125829345;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v:textbox>
                <w10:wrap type="square" side="left" anchorx="page"/>
              </v:shape>
            </w:pict>
          </mc:Fallback>
        </mc:AlternateContent>
      </w:r>
      <w:r>
        <w:rPr>
          <w:color w:val="000000"/>
          <w:spacing w:val="0"/>
          <w:w w:val="100"/>
          <w:position w:val="0"/>
        </w:rPr>
        <w:t>法定代表人：陆文雄</w:t>
        <w:tab/>
        <w:t>主管会计工作负责人：陆廷洁</w:t>
      </w:r>
    </w:p>
    <w:p>
      <w:pPr>
        <w:pStyle w:val="Style33"/>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7</w:t>
      </w:r>
      <w:bookmarkEnd w:id="499"/>
      <w:r>
        <w:rPr>
          <w:color w:val="000000"/>
          <w:spacing w:val="0"/>
          <w:w w:val="100"/>
          <w:position w:val="0"/>
        </w:rPr>
        <w:t>、合并所有者权益变动表</w:t>
      </w:r>
      <w:bookmarkEnd w:id="497"/>
      <w:bookmarkEnd w:id="498"/>
      <w:bookmarkEnd w:id="50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编制单位：上海天玑科技股份有限公司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529,918,98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389.56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529,918,98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389.56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79,253,093</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63,112,086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27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-60,585.02</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63,051,501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29,601,592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26,599,300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3,002,292.</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256,846,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177,513,</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12,502,81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609,172,07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上年金额</w:t>
      </w:r>
    </w:p>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299,775,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105,743,</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484,882,55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299,775,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105,743,</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484,882,55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-67,000,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30,397,8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10,233,46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45,036,431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48,207,4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50,375,633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410" behindDoc="0" locked="0" layoutInCell="1" allowOverlap="1">
                <wp:simplePos x="0" y="0"/>
                <wp:positionH relativeFrom="page">
                  <wp:posOffset>732790</wp:posOffset>
                </wp:positionH>
                <wp:positionV relativeFrom="margin">
                  <wp:posOffset>8089265</wp:posOffset>
                </wp:positionV>
                <wp:extent cx="1054735" cy="149225"/>
                <wp:wrapTopAndBottom/>
                <wp:docPr id="44" name="Shape 4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wps:txbx>
                      <wps:bodyPr wrap="none" lIns="0" tIns="0" rIns="0" bIns="0">
                        <a:noAutoFit/>
                      </wps:bodyPr>
                    </wps:wsp>
                  </a:graphicData>
                </a:graphic>
              </wp:anchor>
            </w:drawing>
          </mc:Choice>
          <mc:Fallback>
            <w:pict>
              <v:shape id="_x0000_s1070" type="#_x0000_t202" style="position:absolute;margin-left:57.700000000000003pt;margin-top:636.95000000000005pt;width:83.049999999999997pt;height:11.75pt;z-index:-125829343;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法定代表人：陆文雄</w:t>
                      </w:r>
                    </w:p>
                  </w:txbxContent>
                </v:textbox>
                <w10:wrap type="topAndBottom" anchorx="page" anchory="margin"/>
              </v:shape>
            </w:pict>
          </mc:Fallback>
        </mc:AlternateContent>
      </w:r>
      <w:r>
        <mc:AlternateContent>
          <mc:Choice Requires="wps">
            <w:drawing>
              <wp:anchor distT="139700" distB="0" distL="2293620" distR="2519045" simplePos="0" relativeHeight="125829412" behindDoc="0" locked="0" layoutInCell="1" allowOverlap="1">
                <wp:simplePos x="0" y="0"/>
                <wp:positionH relativeFrom="page">
                  <wp:posOffset>2912110</wp:posOffset>
                </wp:positionH>
                <wp:positionV relativeFrom="margin">
                  <wp:posOffset>8089265</wp:posOffset>
                </wp:positionV>
                <wp:extent cx="1505585" cy="149225"/>
                <wp:wrapTopAndBottom/>
                <wp:docPr id="46" name="Shape 4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072" type="#_x0000_t202" style="position:absolute;margin-left:229.30000000000001pt;margin-top:636.95000000000005pt;width:118.55pt;height:11.75pt;z-index:-125829341;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39700" distB="0" distL="4918075" distR="113665" simplePos="0" relativeHeight="125829414" behindDoc="0" locked="0" layoutInCell="1" allowOverlap="1">
                <wp:simplePos x="0" y="0"/>
                <wp:positionH relativeFrom="page">
                  <wp:posOffset>5536565</wp:posOffset>
                </wp:positionH>
                <wp:positionV relativeFrom="margin">
                  <wp:posOffset>8089265</wp:posOffset>
                </wp:positionV>
                <wp:extent cx="1286510" cy="149225"/>
                <wp:wrapTopAndBottom/>
                <wp:docPr id="48" name="Shape 4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wps:txbx>
                      <wps:bodyPr wrap="none" lIns="0" tIns="0" rIns="0" bIns="0">
                        <a:noAutoFit/>
                      </wps:bodyPr>
                    </wps:wsp>
                  </a:graphicData>
                </a:graphic>
              </wp:anchor>
            </w:drawing>
          </mc:Choice>
          <mc:Fallback>
            <w:pict>
              <v:shape id="_x0000_s1074" type="#_x0000_t202" style="position:absolute;margin-left:435.94999999999999pt;margin-top:636.95000000000005pt;width:101.3pt;height:11.75pt;z-index:-125829339;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会计机构负责人：李思琪</w:t>
                      </w:r>
                    </w:p>
                  </w:txbxContent>
                </v:textbox>
                <w10:wrap type="topAndBottom" anchorx="page" anchory="margin"/>
              </v:shape>
            </w:pict>
          </mc:Fallback>
        </mc:AlternateConten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48,207,4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50,371,108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8,065,322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8,065,322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-4,409,6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232,775,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529,918,98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8</w:t>
      </w:r>
      <w:bookmarkEnd w:id="503"/>
      <w:r>
        <w:rPr>
          <w:color w:val="000000"/>
          <w:spacing w:val="0"/>
          <w:w w:val="100"/>
          <w:position w:val="0"/>
        </w:rPr>
        <w:t>、母公司所有者权益变动表</w:t>
      </w:r>
      <w:bookmarkEnd w:id="501"/>
      <w:bookmarkEnd w:id="502"/>
      <w:bookmarkEnd w:id="5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编制单位：上海天玑科技股份有限公司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538"/>
        <w:gridCol w:w="1234"/>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 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232,775,34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16,923,389.92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132,244,35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515,943,09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232,775,34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16,923,389.92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132,244,35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515,943,09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24,071,592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6,070,531.78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41,234,786</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76,906,910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60,705,317</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60,705,317</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24,071,592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29,601,592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21,069,300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6,070,531.78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-19,470,53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6,070,531.78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-6,070,531.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538"/>
        <w:gridCol w:w="1234"/>
        <w:gridCol w:w="883"/>
        <w:gridCol w:w="888"/>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256,846,93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22,993,921.70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上年金额</w:t>
      </w:r>
    </w:p>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1190"/>
        <w:gridCol w:w="1277"/>
        <w:gridCol w:w="422"/>
        <w:gridCol w:w="648"/>
        <w:gridCol w:w="1195"/>
        <w:gridCol w:w="571"/>
        <w:gridCol w:w="883"/>
        <w:gridCol w:w="89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299,775,347.05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12,513,774.60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105,957,81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485,246,93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299,775,347.05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12,513,774.60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105,957,81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485,246,93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4,409,615.32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26,286,537</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30,696,153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44,096,153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44,096,153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44,096,153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44,096,153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4,409,615.32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-17,809,61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506"/>
        <w:gridCol w:w="1190"/>
        <w:gridCol w:w="1277"/>
        <w:gridCol w:w="422"/>
        <w:gridCol w:w="648"/>
        <w:gridCol w:w="1195"/>
        <w:gridCol w:w="571"/>
        <w:gridCol w:w="883"/>
        <w:gridCol w:w="8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4,409,615.32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232,775,347.05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16,923,389.92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515,943,09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tabs>
          <w:tab w:pos="3427" w:val="left"/>
          <w:tab w:pos="7526" w:val="left"/>
        </w:tabs>
        <w:bidi w:val="0"/>
        <w:spacing w:before="0" w:after="0" w:line="240" w:lineRule="auto"/>
        <w:ind w:left="0" w:right="0" w:firstLine="0"/>
        <w:jc w:val="left"/>
        <w:rPr>
          <w:sz w:val="17"/>
          <w:szCs w:val="17"/>
        </w:rPr>
      </w:pPr>
      <w:r>
        <w:rPr>
          <w:color w:val="000000"/>
          <w:spacing w:val="0"/>
          <w:w w:val="100"/>
          <w:position w:val="0"/>
          <w:sz w:val="17"/>
          <w:szCs w:val="17"/>
        </w:rPr>
        <w:t>法定代表人：陆文雄</w:t>
        <w:tab/>
        <w:t>主管会计工作负责人：陆廷洁</w:t>
        <w:tab/>
        <w:t>会计机构负责人：李思琪</w:t>
      </w:r>
    </w:p>
    <w:p>
      <w:pPr>
        <w:widowControl w:val="0"/>
        <w:spacing w:after="399" w:line="1" w:lineRule="exact"/>
      </w:pPr>
    </w:p>
    <w:p>
      <w:pPr>
        <w:pStyle w:val="Style27"/>
        <w:keepNext/>
        <w:keepLines/>
        <w:widowControl w:val="0"/>
        <w:shd w:val="clear" w:color="auto" w:fill="auto"/>
        <w:bidi w:val="0"/>
        <w:spacing w:before="0" w:after="200" w:line="240" w:lineRule="auto"/>
        <w:ind w:left="0" w:right="0" w:firstLine="0"/>
        <w:jc w:val="both"/>
      </w:pPr>
      <w:bookmarkStart w:id="505" w:name="bookmark505"/>
      <w:bookmarkStart w:id="506" w:name="bookmark506"/>
      <w:bookmarkStart w:id="507" w:name="bookmark507"/>
      <w:bookmarkStart w:id="508" w:name="bookmark508"/>
      <w:r>
        <w:rPr>
          <w:color w:val="000000"/>
          <w:spacing w:val="0"/>
          <w:w w:val="100"/>
          <w:position w:val="0"/>
        </w:rPr>
        <w:t>三</w:t>
      </w:r>
      <w:bookmarkEnd w:id="507"/>
      <w:r>
        <w:rPr>
          <w:color w:val="000000"/>
          <w:spacing w:val="0"/>
          <w:w w:val="100"/>
          <w:position w:val="0"/>
        </w:rPr>
        <w:t>、公司基本情况</w:t>
      </w:r>
      <w:bookmarkEnd w:id="505"/>
      <w:bookmarkEnd w:id="506"/>
      <w:bookmarkEnd w:id="508"/>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上海天玑科技股份有限公司（以下简称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前身系上海天玑科技有限责任公司，由陆 文雄等</w:t>
      </w:r>
      <w:r>
        <w:rPr>
          <w:rFonts w:ascii="Times New Roman" w:eastAsia="Times New Roman" w:hAnsi="Times New Roman" w:cs="Times New Roman"/>
          <w:color w:val="000000"/>
          <w:spacing w:val="0"/>
          <w:w w:val="100"/>
          <w:position w:val="0"/>
        </w:rPr>
        <w:t>7</w:t>
      </w:r>
      <w:r>
        <w:rPr>
          <w:color w:val="000000"/>
          <w:spacing w:val="0"/>
          <w:w w:val="100"/>
          <w:position w:val="0"/>
        </w:rPr>
        <w:t>个自然人于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月共同出资设立。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月，根据公司发起人协议及章程的规定，原上海天 玑科技有限责任公司以其净资产折股整体变更为上海天玑科技股份有限公司。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月，公司首次向社 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17,000,000</w:t>
      </w:r>
      <w:r>
        <w:rPr>
          <w:color w:val="000000"/>
          <w:spacing w:val="0"/>
          <w:w w:val="100"/>
          <w:position w:val="0"/>
        </w:rPr>
        <w:t>股，经中国证券监督管理委员会以证监许可</w:t>
      </w:r>
      <w:r>
        <w:rPr>
          <w:rFonts w:ascii="Times New Roman" w:eastAsia="Times New Roman" w:hAnsi="Times New Roman" w:cs="Times New Roman"/>
          <w:color w:val="000000"/>
          <w:spacing w:val="0"/>
          <w:w w:val="100"/>
          <w:position w:val="0"/>
        </w:rPr>
        <w:t>[2011]1035</w:t>
      </w:r>
      <w:r>
        <w:rPr>
          <w:color w:val="000000"/>
          <w:spacing w:val="0"/>
          <w:w w:val="100"/>
          <w:position w:val="0"/>
        </w:rPr>
        <w:t>号《关 于核准上海天玑科技股份有限公司首次公开发行股票并在创业板上市的批复》核准，于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 深圳证券交易所上市交易。</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年度股东大会决议通过，公司以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67,000,000</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 公积金转增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67,000,000</w:t>
      </w:r>
      <w:r>
        <w:rPr>
          <w:color w:val="000000"/>
          <w:spacing w:val="0"/>
          <w:w w:val="100"/>
          <w:position w:val="0"/>
        </w:rPr>
        <w:t>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日实施。转增后，注册资本增至人民币 </w:t>
      </w:r>
      <w:r>
        <w:rPr>
          <w:rFonts w:ascii="Times New Roman" w:eastAsia="Times New Roman" w:hAnsi="Times New Roman" w:cs="Times New Roman"/>
          <w:color w:val="000000"/>
          <w:spacing w:val="0"/>
          <w:w w:val="100"/>
          <w:position w:val="0"/>
        </w:rPr>
        <w:t>134,000,000.0</w:t>
      </w:r>
      <w:r>
        <w:rPr>
          <w:rFonts w:ascii="Times New Roman" w:eastAsia="Times New Roman" w:hAnsi="Times New Roman" w:cs="Times New Roman"/>
          <w:color w:val="000000"/>
          <w:spacing w:val="0"/>
          <w:w w:val="100"/>
          <w:position w:val="0"/>
        </w:rPr>
        <w:t>0</w:t>
      </w:r>
      <w:r>
        <w:rPr>
          <w:color w:val="000000"/>
          <w:spacing w:val="0"/>
          <w:w w:val="100"/>
          <w:position w:val="0"/>
        </w:rPr>
        <w:t>元。至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日，公司已完成增资工商登记变更手续。</w:t>
      </w:r>
    </w:p>
    <w:p>
      <w:pPr>
        <w:pStyle w:val="Style4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年第一次临时股东大会决议通过《上海天玑科技股份有限公司限制性股票 激励计划（草案修订稿）及其摘要》，向</w:t>
      </w:r>
      <w:r>
        <w:rPr>
          <w:rFonts w:ascii="Times New Roman" w:eastAsia="Times New Roman" w:hAnsi="Times New Roman" w:cs="Times New Roman"/>
          <w:color w:val="000000"/>
          <w:spacing w:val="0"/>
          <w:w w:val="100"/>
          <w:position w:val="0"/>
        </w:rPr>
        <w:t>78</w:t>
      </w:r>
      <w:r>
        <w:rPr>
          <w:color w:val="000000"/>
          <w:spacing w:val="0"/>
          <w:w w:val="100"/>
          <w:position w:val="0"/>
        </w:rPr>
        <w:t>名自然人发行限制性股票</w:t>
      </w:r>
      <w:r>
        <w:rPr>
          <w:rFonts w:ascii="Times New Roman" w:eastAsia="Times New Roman" w:hAnsi="Times New Roman" w:cs="Times New Roman"/>
          <w:color w:val="000000"/>
          <w:spacing w:val="0"/>
          <w:w w:val="100"/>
          <w:position w:val="0"/>
        </w:rPr>
        <w:t>5,530,000</w:t>
      </w:r>
      <w:r>
        <w:rPr>
          <w:color w:val="000000"/>
          <w:spacing w:val="0"/>
          <w:w w:val="100"/>
          <w:position w:val="0"/>
        </w:rPr>
        <w:t>股，授予价格每股人民币</w:t>
      </w:r>
      <w:r>
        <w:rPr>
          <w:rFonts w:ascii="Times New Roman" w:eastAsia="Times New Roman" w:hAnsi="Times New Roman" w:cs="Times New Roman"/>
          <w:color w:val="000000"/>
          <w:spacing w:val="0"/>
          <w:w w:val="100"/>
          <w:position w:val="0"/>
        </w:rPr>
        <w:t xml:space="preserve">4.81 </w:t>
      </w:r>
      <w:r>
        <w:rPr>
          <w:color w:val="000000"/>
          <w:spacing w:val="0"/>
          <w:w w:val="100"/>
          <w:position w:val="0"/>
        </w:rPr>
        <w:t>元。公司分别于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日予以实施。本次股权激励，业经立信会计师事务所（特 </w:t>
      </w:r>
      <w:r>
        <w:rPr>
          <w:color w:val="000000"/>
          <w:spacing w:val="0"/>
          <w:w w:val="100"/>
          <w:position w:val="0"/>
        </w:rPr>
        <w:t>殊普通合伙）分别于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日出具信会师报字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113716</w:t>
      </w:r>
      <w:r>
        <w:rPr>
          <w:color w:val="000000"/>
          <w:spacing w:val="0"/>
          <w:w w:val="100"/>
          <w:position w:val="0"/>
        </w:rPr>
        <w:t>号验资报告、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日出具信会 师报字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114120</w:t>
      </w:r>
      <w:r>
        <w:rPr>
          <w:color w:val="000000"/>
          <w:spacing w:val="0"/>
          <w:w w:val="100"/>
          <w:position w:val="0"/>
        </w:rPr>
        <w:t>号验资报告验证。至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日，公司已完成增资工商登记变更手续。</w:t>
      </w:r>
    </w:p>
    <w:p>
      <w:pPr>
        <w:pStyle w:val="Style66"/>
        <w:keepNext w:val="0"/>
        <w:keepLines w:val="0"/>
        <w:widowControl w:val="0"/>
        <w:shd w:val="clear" w:color="auto" w:fill="auto"/>
        <w:bidi w:val="0"/>
        <w:spacing w:before="0" w:after="0" w:line="466" w:lineRule="exact"/>
        <w:ind w:left="0" w:right="0" w:firstLine="440"/>
        <w:jc w:val="left"/>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日，公司注册资本为</w:t>
      </w:r>
      <w:r>
        <w:rPr>
          <w:color w:val="000000"/>
          <w:spacing w:val="0"/>
          <w:w w:val="100"/>
          <w:position w:val="0"/>
        </w:rPr>
        <w:t>139,530,000.00</w:t>
      </w:r>
      <w:r>
        <w:rPr>
          <w:rFonts w:ascii="SimSun" w:eastAsia="SimSun" w:hAnsi="SimSun" w:cs="SimSun"/>
          <w:color w:val="000000"/>
          <w:spacing w:val="0"/>
          <w:w w:val="100"/>
          <w:position w:val="0"/>
        </w:rPr>
        <w:t>元，公司股本总数为</w:t>
      </w:r>
      <w:r>
        <w:rPr>
          <w:color w:val="000000"/>
          <w:spacing w:val="0"/>
          <w:w w:val="100"/>
          <w:position w:val="0"/>
        </w:rPr>
        <w:t>139,530,000</w:t>
      </w:r>
      <w:r>
        <w:rPr>
          <w:rFonts w:ascii="SimSun" w:eastAsia="SimSun" w:hAnsi="SimSun" w:cs="SimSun"/>
          <w:color w:val="000000"/>
          <w:spacing w:val="0"/>
          <w:w w:val="100"/>
          <w:position w:val="0"/>
        </w:rPr>
        <w:t>股，其中无限售 条件流通股份合计为</w:t>
      </w:r>
      <w:r>
        <w:rPr>
          <w:color w:val="000000"/>
          <w:spacing w:val="0"/>
          <w:w w:val="100"/>
          <w:position w:val="0"/>
        </w:rPr>
        <w:t>61,396,130.00</w:t>
      </w:r>
      <w:r>
        <w:rPr>
          <w:rFonts w:ascii="SimSun" w:eastAsia="SimSun" w:hAnsi="SimSun" w:cs="SimSun"/>
          <w:color w:val="000000"/>
          <w:spacing w:val="0"/>
          <w:w w:val="100"/>
          <w:position w:val="0"/>
        </w:rPr>
        <w:t>股；有限售条件股份合计为</w:t>
      </w:r>
      <w:r>
        <w:rPr>
          <w:color w:val="000000"/>
          <w:spacing w:val="0"/>
          <w:w w:val="100"/>
          <w:position w:val="0"/>
        </w:rPr>
        <w:t>78,133,870.00</w:t>
      </w:r>
      <w:r>
        <w:rPr>
          <w:rFonts w:ascii="SimSun" w:eastAsia="SimSun" w:hAnsi="SimSun" w:cs="SimSun"/>
          <w:color w:val="000000"/>
          <w:spacing w:val="0"/>
          <w:w w:val="100"/>
          <w:position w:val="0"/>
        </w:rPr>
        <w:t>股。</w:t>
      </w:r>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本公司的实际控制人为陆文雄。</w:t>
      </w:r>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公司的企业法人营业执照注册号：</w:t>
      </w:r>
      <w:r>
        <w:rPr>
          <w:rFonts w:ascii="Times New Roman" w:eastAsia="Times New Roman" w:hAnsi="Times New Roman" w:cs="Times New Roman"/>
          <w:color w:val="000000"/>
          <w:spacing w:val="0"/>
          <w:w w:val="100"/>
          <w:position w:val="0"/>
        </w:rPr>
        <w:t>310229000614545</w:t>
      </w:r>
      <w:r>
        <w:rPr>
          <w:color w:val="000000"/>
          <w:spacing w:val="0"/>
          <w:w w:val="100"/>
          <w:position w:val="0"/>
        </w:rPr>
        <w:t>。</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公司所属行业：计算机服务业。</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公司经营范围：计算机软硬件开发、销售、维修，系统集成，通讯设备的销售及维修，提供相关的技</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术咨询、服务，自有设备租赁，从事货物及技术进出口业务。（涉及行政许可的，凭许可证经营）。</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公司提供的主要服务包括</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r>
        <w:rPr>
          <w:rFonts w:ascii="Times New Roman" w:eastAsia="Times New Roman" w:hAnsi="Times New Roman" w:cs="Times New Roman"/>
          <w:color w:val="000000"/>
          <w:spacing w:val="0"/>
          <w:w w:val="100"/>
          <w:position w:val="0"/>
        </w:rPr>
        <w:t>IT</w:t>
      </w:r>
      <w:r>
        <w:rPr>
          <w:color w:val="000000"/>
          <w:spacing w:val="0"/>
          <w:w w:val="100"/>
          <w:position w:val="0"/>
        </w:rPr>
        <w:t>外包服务、</w:t>
      </w:r>
      <w:r>
        <w:rPr>
          <w:rFonts w:ascii="Times New Roman" w:eastAsia="Times New Roman" w:hAnsi="Times New Roman" w:cs="Times New Roman"/>
          <w:color w:val="000000"/>
          <w:spacing w:val="0"/>
          <w:w w:val="100"/>
          <w:position w:val="0"/>
        </w:rPr>
        <w:t>IT</w:t>
      </w:r>
      <w:r>
        <w:rPr>
          <w:color w:val="000000"/>
          <w:spacing w:val="0"/>
          <w:w w:val="100"/>
          <w:position w:val="0"/>
        </w:rPr>
        <w:t>专业服务、</w:t>
      </w:r>
      <w:r>
        <w:rPr>
          <w:rFonts w:ascii="Times New Roman" w:eastAsia="Times New Roman" w:hAnsi="Times New Roman" w:cs="Times New Roman"/>
          <w:color w:val="000000"/>
          <w:spacing w:val="0"/>
          <w:w w:val="100"/>
          <w:position w:val="0"/>
        </w:rPr>
        <w:t>IT</w:t>
      </w:r>
      <w:r>
        <w:rPr>
          <w:color w:val="000000"/>
          <w:spacing w:val="0"/>
          <w:w w:val="100"/>
          <w:position w:val="0"/>
        </w:rPr>
        <w:t>软件服务等技术服务。</w:t>
      </w:r>
    </w:p>
    <w:p>
      <w:pPr>
        <w:pStyle w:val="Style40"/>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公司注册地址：上海市青浦区清河湾路</w:t>
      </w:r>
      <w:r>
        <w:rPr>
          <w:rFonts w:ascii="Times New Roman" w:eastAsia="Times New Roman" w:hAnsi="Times New Roman" w:cs="Times New Roman"/>
          <w:color w:val="000000"/>
          <w:spacing w:val="0"/>
          <w:w w:val="100"/>
          <w:position w:val="0"/>
        </w:rPr>
        <w:t>1200</w:t>
      </w:r>
      <w:r>
        <w:rPr>
          <w:color w:val="000000"/>
          <w:spacing w:val="0"/>
          <w:w w:val="100"/>
          <w:position w:val="0"/>
        </w:rPr>
        <w:t>号</w:t>
      </w:r>
      <w:r>
        <w:rPr>
          <w:rFonts w:ascii="Times New Roman" w:eastAsia="Times New Roman" w:hAnsi="Times New Roman" w:cs="Times New Roman"/>
          <w:color w:val="000000"/>
          <w:spacing w:val="0"/>
          <w:w w:val="100"/>
          <w:position w:val="0"/>
        </w:rPr>
        <w:t>1008</w:t>
      </w:r>
      <w:r>
        <w:rPr>
          <w:color w:val="000000"/>
          <w:spacing w:val="0"/>
          <w:w w:val="100"/>
          <w:position w:val="0"/>
        </w:rPr>
        <w:t>室；</w:t>
      </w:r>
    </w:p>
    <w:p>
      <w:pPr>
        <w:pStyle w:val="Style4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总部办公地：上海市徐汇区桂平路</w:t>
      </w:r>
      <w:r>
        <w:rPr>
          <w:rFonts w:ascii="Times New Roman" w:eastAsia="Times New Roman" w:hAnsi="Times New Roman" w:cs="Times New Roman"/>
          <w:color w:val="000000"/>
          <w:spacing w:val="0"/>
          <w:w w:val="100"/>
          <w:position w:val="0"/>
        </w:rPr>
        <w:t>481</w:t>
      </w:r>
      <w:r>
        <w:rPr>
          <w:color w:val="000000"/>
          <w:spacing w:val="0"/>
          <w:w w:val="100"/>
          <w:position w:val="0"/>
        </w:rPr>
        <w:t>号</w:t>
      </w:r>
      <w:r>
        <w:rPr>
          <w:rFonts w:ascii="Times New Roman" w:eastAsia="Times New Roman" w:hAnsi="Times New Roman" w:cs="Times New Roman"/>
          <w:color w:val="000000"/>
          <w:spacing w:val="0"/>
          <w:w w:val="100"/>
          <w:position w:val="0"/>
        </w:rPr>
        <w:t>18</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楼。</w:t>
      </w:r>
    </w:p>
    <w:p>
      <w:pPr>
        <w:pStyle w:val="Style27"/>
        <w:keepNext/>
        <w:keepLines/>
        <w:widowControl w:val="0"/>
        <w:shd w:val="clear" w:color="auto" w:fill="auto"/>
        <w:bidi w:val="0"/>
        <w:spacing w:before="0" w:after="140" w:line="240" w:lineRule="auto"/>
        <w:ind w:left="0" w:right="0" w:firstLine="0"/>
        <w:jc w:val="left"/>
      </w:pPr>
      <w:bookmarkStart w:id="509" w:name="bookmark509"/>
      <w:bookmarkStart w:id="510" w:name="bookmark510"/>
      <w:bookmarkStart w:id="511" w:name="bookmark511"/>
      <w:r>
        <w:rPr>
          <w:color w:val="000000"/>
          <w:spacing w:val="0"/>
          <w:w w:val="100"/>
          <w:position w:val="0"/>
        </w:rPr>
        <w:t>四、公司主要会计政策、会计估计和前期差错</w:t>
      </w:r>
      <w:bookmarkEnd w:id="509"/>
      <w:bookmarkEnd w:id="510"/>
      <w:bookmarkEnd w:id="511"/>
    </w:p>
    <w:p>
      <w:pPr>
        <w:pStyle w:val="Style33"/>
        <w:keepNext/>
        <w:keepLines/>
        <w:widowControl w:val="0"/>
        <w:shd w:val="clear" w:color="auto" w:fill="auto"/>
        <w:tabs>
          <w:tab w:pos="368" w:val="left"/>
        </w:tabs>
        <w:bidi w:val="0"/>
        <w:spacing w:before="0" w:after="220" w:line="466" w:lineRule="exact"/>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color w:val="000000"/>
          <w:spacing w:val="0"/>
          <w:w w:val="100"/>
          <w:position w:val="0"/>
        </w:rPr>
        <w:t>、</w:t>
        <w:tab/>
        <w:t>财务报表的编制基础</w:t>
      </w:r>
      <w:bookmarkEnd w:id="512"/>
      <w:bookmarkEnd w:id="513"/>
      <w:bookmarkEnd w:id="515"/>
    </w:p>
    <w:p>
      <w:pPr>
        <w:pStyle w:val="Style40"/>
        <w:keepNext w:val="0"/>
        <w:keepLines w:val="0"/>
        <w:widowControl w:val="0"/>
        <w:shd w:val="clear" w:color="auto" w:fill="auto"/>
        <w:bidi w:val="0"/>
        <w:spacing w:before="0" w:after="220" w:line="466" w:lineRule="exact"/>
        <w:ind w:left="0" w:right="0" w:firstLine="0"/>
        <w:jc w:val="left"/>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 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 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3"/>
        <w:keepNext/>
        <w:keepLines/>
        <w:widowControl w:val="0"/>
        <w:shd w:val="clear" w:color="auto" w:fill="auto"/>
        <w:tabs>
          <w:tab w:pos="378" w:val="left"/>
        </w:tabs>
        <w:bidi w:val="0"/>
        <w:spacing w:before="0" w:after="220" w:line="466" w:lineRule="exact"/>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遵循企业会计准则的声明</w:t>
      </w:r>
      <w:bookmarkEnd w:id="516"/>
      <w:bookmarkEnd w:id="517"/>
      <w:bookmarkEnd w:id="519"/>
    </w:p>
    <w:p>
      <w:pPr>
        <w:pStyle w:val="Style40"/>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公司所编制的财务报表符合企业会计准则的要求，真实、完整地反映了报告期公司的财务状况、经营成果、 现金流量等有关信息。</w:t>
      </w:r>
    </w:p>
    <w:p>
      <w:pPr>
        <w:pStyle w:val="Style33"/>
        <w:keepNext/>
        <w:keepLines/>
        <w:widowControl w:val="0"/>
        <w:shd w:val="clear" w:color="auto" w:fill="auto"/>
        <w:tabs>
          <w:tab w:pos="378" w:val="left"/>
        </w:tabs>
        <w:bidi w:val="0"/>
        <w:spacing w:before="0" w:after="0" w:line="48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会计期间</w:t>
      </w:r>
      <w:bookmarkEnd w:id="520"/>
      <w:bookmarkEnd w:id="521"/>
      <w:bookmarkEnd w:id="523"/>
    </w:p>
    <w:p>
      <w:pPr>
        <w:pStyle w:val="Style40"/>
        <w:keepNext w:val="0"/>
        <w:keepLines w:val="0"/>
        <w:widowControl w:val="0"/>
        <w:shd w:val="clear" w:color="auto" w:fill="auto"/>
        <w:bidi w:val="0"/>
        <w:spacing w:before="0" w:after="360" w:line="466"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after="220" w:line="48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记账本位币</w:t>
      </w:r>
      <w:bookmarkEnd w:id="524"/>
      <w:bookmarkEnd w:id="525"/>
      <w:bookmarkEnd w:id="527"/>
      <w:r>
        <w:rPr>
          <w:color w:val="000000"/>
          <w:spacing w:val="0"/>
          <w:w w:val="100"/>
          <w:position w:val="0"/>
        </w:rPr>
        <w:t xml:space="preserve"> </w:t>
      </w:r>
      <w:r>
        <w:rPr>
          <w:rStyle w:val="CharStyle41"/>
          <w:b w:val="0"/>
          <w:bCs w:val="0"/>
        </w:rPr>
        <w:t>采用人民币为记账本位币。</w:t>
      </w:r>
    </w:p>
    <w:p>
      <w:pPr>
        <w:pStyle w:val="Style4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境外子公司以其经营所处的主要经济环境中的货币为记账本位币。</w:t>
      </w:r>
    </w:p>
    <w:p>
      <w:pPr>
        <w:pStyle w:val="Style33"/>
        <w:keepNext/>
        <w:keepLines/>
        <w:widowControl w:val="0"/>
        <w:shd w:val="clear" w:color="auto" w:fill="auto"/>
        <w:bidi w:val="0"/>
        <w:spacing w:before="0" w:after="220" w:line="469" w:lineRule="exact"/>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5</w:t>
      </w:r>
      <w:bookmarkEnd w:id="530"/>
      <w:r>
        <w:rPr>
          <w:color w:val="000000"/>
          <w:spacing w:val="0"/>
          <w:w w:val="100"/>
          <w:position w:val="0"/>
        </w:rPr>
        <w:t>、同一控制下和非同一控制下企业合并的会计处理方法</w:t>
      </w:r>
      <w:bookmarkEnd w:id="528"/>
      <w:bookmarkEnd w:id="529"/>
      <w:bookmarkEnd w:id="531"/>
    </w:p>
    <w:p>
      <w:pPr>
        <w:pStyle w:val="Style33"/>
        <w:keepNext/>
        <w:keepLines/>
        <w:widowControl w:val="0"/>
        <w:numPr>
          <w:ilvl w:val="0"/>
          <w:numId w:val="5"/>
        </w:numPr>
        <w:shd w:val="clear" w:color="auto" w:fill="auto"/>
        <w:tabs>
          <w:tab w:pos="450" w:val="left"/>
        </w:tabs>
        <w:bidi w:val="0"/>
        <w:spacing w:before="0" w:after="280" w:line="469" w:lineRule="exact"/>
        <w:ind w:left="0" w:right="0" w:firstLine="0"/>
        <w:jc w:val="both"/>
      </w:pPr>
      <w:bookmarkStart w:id="528" w:name="bookmark528"/>
      <w:bookmarkStart w:id="529" w:name="bookmark529"/>
      <w:bookmarkStart w:id="532" w:name="bookmark532"/>
      <w:bookmarkStart w:id="533" w:name="bookmark533"/>
      <w:bookmarkEnd w:id="532"/>
      <w:r>
        <w:rPr>
          <w:color w:val="000000"/>
          <w:spacing w:val="0"/>
          <w:w w:val="100"/>
          <w:position w:val="0"/>
        </w:rPr>
        <w:t>同一控制下企业合并</w:t>
      </w:r>
      <w:bookmarkEnd w:id="528"/>
      <w:bookmarkEnd w:id="529"/>
      <w:bookmarkEnd w:id="533"/>
    </w:p>
    <w:p>
      <w:pPr>
        <w:pStyle w:val="Style40"/>
        <w:keepNext w:val="0"/>
        <w:keepLines w:val="0"/>
        <w:widowControl w:val="0"/>
        <w:shd w:val="clear" w:color="auto" w:fill="auto"/>
        <w:bidi w:val="0"/>
        <w:spacing w:before="0" w:after="0" w:line="471" w:lineRule="exact"/>
        <w:ind w:left="0" w:right="0" w:firstLine="0"/>
        <w:jc w:val="both"/>
      </w:pPr>
      <w:r>
        <w:rPr>
          <w:color w:val="000000"/>
          <w:spacing w:val="0"/>
          <w:w w:val="100"/>
          <w:position w:val="0"/>
        </w:rPr>
        <w:t>本公司在企业合并中取得的资产和负债，按照合并日在被合并方的账面价值计量。被合并各方采用的会计 政策与本公司不一致的，本公司在合并日按照本公司会计政策进行调整，在此基础上按照调整后的账面价 值确认。</w:t>
      </w:r>
    </w:p>
    <w:p>
      <w:pPr>
        <w:pStyle w:val="Style40"/>
        <w:keepNext w:val="0"/>
        <w:keepLines w:val="0"/>
        <w:widowControl w:val="0"/>
        <w:shd w:val="clear" w:color="auto" w:fill="auto"/>
        <w:bidi w:val="0"/>
        <w:spacing w:before="0" w:after="0" w:line="471" w:lineRule="exact"/>
        <w:ind w:left="0" w:right="0" w:firstLine="0"/>
        <w:jc w:val="both"/>
      </w:pPr>
      <w:r>
        <w:rPr>
          <w:color w:val="000000"/>
          <w:spacing w:val="0"/>
          <w:w w:val="100"/>
          <w:position w:val="0"/>
        </w:rPr>
        <w:t>在合并中取得的净资产账面价值与支付的合并对价账面价值的差额，调整资本公积中的股本溢价，资本公 积中的股本溢价不足冲减的，调整留存收益。</w:t>
      </w:r>
    </w:p>
    <w:p>
      <w:pPr>
        <w:pStyle w:val="Style40"/>
        <w:keepNext w:val="0"/>
        <w:keepLines w:val="0"/>
        <w:widowControl w:val="0"/>
        <w:shd w:val="clear" w:color="auto" w:fill="auto"/>
        <w:bidi w:val="0"/>
        <w:spacing w:before="0" w:after="0" w:line="471" w:lineRule="exact"/>
        <w:ind w:left="0" w:right="0" w:firstLine="0"/>
        <w:jc w:val="both"/>
      </w:pPr>
      <w:r>
        <w:rPr>
          <w:color w:val="000000"/>
          <w:spacing w:val="0"/>
          <w:w w:val="100"/>
          <w:position w:val="0"/>
        </w:rPr>
        <w:t>本公司为进行企业合并而发生的各项直接相关费用，包括为进行企业合并而支付的审计费用、评估费用、 法律服务费等，于发生时计入当期损益。</w:t>
      </w:r>
    </w:p>
    <w:p>
      <w:pPr>
        <w:pStyle w:val="Style40"/>
        <w:keepNext w:val="0"/>
        <w:keepLines w:val="0"/>
        <w:widowControl w:val="0"/>
        <w:shd w:val="clear" w:color="auto" w:fill="auto"/>
        <w:bidi w:val="0"/>
        <w:spacing w:before="0" w:after="280" w:line="471" w:lineRule="exact"/>
        <w:ind w:left="0" w:right="0" w:firstLine="0"/>
        <w:jc w:val="both"/>
      </w:pPr>
      <w:r>
        <w:rPr>
          <w:color w:val="000000"/>
          <w:spacing w:val="0"/>
          <w:w w:val="100"/>
          <w:position w:val="0"/>
        </w:rPr>
        <w:t>企业合并中发行权益性证券发生的手续费、佣金等，抵减权益性证券溢价收入，溢价收入不足冲减的，冲 减留存收益。</w:t>
      </w:r>
    </w:p>
    <w:p>
      <w:pPr>
        <w:pStyle w:val="Style33"/>
        <w:keepNext/>
        <w:keepLines/>
        <w:widowControl w:val="0"/>
        <w:numPr>
          <w:ilvl w:val="0"/>
          <w:numId w:val="5"/>
        </w:numPr>
        <w:shd w:val="clear" w:color="auto" w:fill="auto"/>
        <w:tabs>
          <w:tab w:pos="450" w:val="left"/>
        </w:tabs>
        <w:bidi w:val="0"/>
        <w:spacing w:before="0" w:after="280" w:line="469" w:lineRule="exact"/>
        <w:ind w:left="0" w:right="0" w:firstLine="0"/>
        <w:jc w:val="both"/>
      </w:pPr>
      <w:bookmarkStart w:id="534" w:name="bookmark534"/>
      <w:bookmarkStart w:id="535" w:name="bookmark535"/>
      <w:bookmarkStart w:id="536" w:name="bookmark536"/>
      <w:bookmarkStart w:id="537" w:name="bookmark537"/>
      <w:bookmarkEnd w:id="536"/>
      <w:r>
        <w:rPr>
          <w:color w:val="000000"/>
          <w:spacing w:val="0"/>
          <w:w w:val="100"/>
          <w:position w:val="0"/>
        </w:rPr>
        <w:t>非同一控制下的企业合并</w:t>
      </w:r>
      <w:bookmarkEnd w:id="534"/>
      <w:bookmarkEnd w:id="535"/>
      <w:bookmarkEnd w:id="537"/>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本公司在购买日对作为企业合并对价付出的资产、发生或承担的负债按照公允价值计量。公允价值与其账 面价值的差额，计入当期损益。</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本公司在购买日对合并成本进行分配，确认所取得的被购买方各项可辨认资产、负债及或有负债的公允价 值。</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本公司对合并成本大于合并中取得的被购买方可辨认净资产公允价值份额的差额，确认为商誉；合并成本 小于合并中取得的被购买方可辨认净资产公允价值份额的差额，经复核后，计入当期损益。</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企业合并中取得的被购买方除无形资产外的其他各项资产(不仅限于被购买方原已确认的资产)，其所带 来的经济利益很可能流入本公司且公允价值能够可靠计量的，单独确认并按公允价值计量；公允价值能够 可靠计量的无形资产，单独确认为无形资产并按公允价值计量；取得的被购买方除或有负债以外的其他各 项负债，履行有关义务很可能导致经济利益流出本公司且公允价值能够可靠计量的，单独确认并按照公允 价值计量；取得的被购买方或有负债，其公允价值能可靠计量的，单独确认为负债并按照公允价值计量。 本公司在企业合并中取得的被购买方的可抵扣暂时性差异，在购买日不符合递延所得税资产确认条件的， 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个月内，如取得新的或进一步的信息表明购买日的相关情况已经存在，预期被购 买方在购买日可抵扣暂时性差异带来的经济利益能够实现的，确认相关的递延所得税资产，同时减少商誉, 商誉不足冲减的，差额部分确认为当期损益；除上述情况以外，确认与企业合并相关的递延所得税资产， </w:t>
      </w:r>
      <w:r>
        <w:rPr>
          <w:color w:val="000000"/>
          <w:spacing w:val="0"/>
          <w:w w:val="100"/>
          <w:position w:val="0"/>
        </w:rPr>
        <w:t>计入当期损益。</w:t>
      </w:r>
    </w:p>
    <w:p>
      <w:pPr>
        <w:pStyle w:val="Style40"/>
        <w:keepNext w:val="0"/>
        <w:keepLines w:val="0"/>
        <w:widowControl w:val="0"/>
        <w:shd w:val="clear" w:color="auto" w:fill="auto"/>
        <w:bidi w:val="0"/>
        <w:spacing w:before="0" w:after="460" w:line="468" w:lineRule="exact"/>
        <w:ind w:left="0" w:right="0" w:firstLine="0"/>
        <w:jc w:val="both"/>
      </w:pPr>
      <w:r>
        <w:rPr>
          <w:color w:val="000000"/>
          <w:spacing w:val="0"/>
          <w:w w:val="100"/>
          <w:position w:val="0"/>
        </w:rPr>
        <w:t>非同一控制下企业合并，购买方为企业合并发生的审计、法律服务、评估咨询等中介费用以及其他相关管 理费用，应当于发生时计入当期损益；购买方作为合并对价发行的权益性证券或债务性证券的交易费用， 应当计入权益性证券或债务性证券的初始确认金额。</w:t>
      </w:r>
    </w:p>
    <w:p>
      <w:pPr>
        <w:pStyle w:val="Style33"/>
        <w:keepNext/>
        <w:keepLines/>
        <w:widowControl w:val="0"/>
        <w:shd w:val="clear" w:color="auto" w:fill="auto"/>
        <w:tabs>
          <w:tab w:pos="378" w:val="left"/>
        </w:tabs>
        <w:bidi w:val="0"/>
        <w:spacing w:before="0" w:after="0" w:line="48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6</w:t>
      </w:r>
      <w:bookmarkEnd w:id="540"/>
      <w:r>
        <w:rPr>
          <w:color w:val="000000"/>
          <w:spacing w:val="0"/>
          <w:w w:val="100"/>
          <w:position w:val="0"/>
        </w:rPr>
        <w:t>、</w:t>
        <w:tab/>
        <w:t>分步处置股权至丧失控制权相关的具体会计政策</w:t>
      </w:r>
      <w:bookmarkEnd w:id="538"/>
      <w:bookmarkEnd w:id="539"/>
      <w:bookmarkEnd w:id="541"/>
    </w:p>
    <w:p>
      <w:pPr>
        <w:pStyle w:val="Style33"/>
        <w:keepNext/>
        <w:keepLines/>
        <w:widowControl w:val="0"/>
        <w:shd w:val="clear" w:color="auto" w:fill="auto"/>
        <w:tabs>
          <w:tab w:pos="493" w:val="left"/>
        </w:tabs>
        <w:bidi w:val="0"/>
        <w:spacing w:before="0" w:after="380" w:line="468" w:lineRule="exact"/>
        <w:ind w:left="0" w:right="0" w:firstLine="0"/>
        <w:jc w:val="both"/>
      </w:pPr>
      <w:bookmarkStart w:id="538" w:name="bookmark538"/>
      <w:bookmarkStart w:id="539" w:name="bookmark539"/>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538"/>
      <w:bookmarkEnd w:id="539"/>
      <w:bookmarkEnd w:id="543"/>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468" w:lineRule="exact"/>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44"/>
      <w:bookmarkEnd w:id="545"/>
      <w:bookmarkEnd w:id="54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468" w:lineRule="exact"/>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48"/>
      <w:bookmarkEnd w:id="549"/>
      <w:bookmarkEnd w:id="551"/>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0"/>
        <w:keepNext w:val="0"/>
        <w:keepLines w:val="0"/>
        <w:widowControl w:val="0"/>
        <w:shd w:val="clear" w:color="auto" w:fill="auto"/>
        <w:tabs>
          <w:tab w:pos="373" w:val="left"/>
        </w:tabs>
        <w:bidi w:val="0"/>
        <w:spacing w:before="0" w:after="0"/>
        <w:ind w:left="0" w:right="0" w:firstLine="0"/>
        <w:jc w:val="both"/>
      </w:pPr>
      <w:bookmarkStart w:id="552" w:name="bookmark552"/>
      <w:r>
        <w:rPr>
          <w:rFonts w:ascii="Times New Roman" w:eastAsia="Times New Roman" w:hAnsi="Times New Roman" w:cs="Times New Roman"/>
          <w:b/>
          <w:bCs/>
          <w:color w:val="000000"/>
          <w:spacing w:val="0"/>
          <w:w w:val="100"/>
          <w:position w:val="0"/>
        </w:rPr>
        <w:t>7</w:t>
      </w:r>
      <w:bookmarkEnd w:id="552"/>
      <w:r>
        <w:rPr>
          <w:b/>
          <w:bCs/>
          <w:color w:val="000000"/>
          <w:spacing w:val="0"/>
          <w:w w:val="100"/>
          <w:position w:val="0"/>
        </w:rPr>
        <w:t>、</w:t>
        <w:tab/>
        <w:t>合并财务报表的编制方法</w:t>
      </w:r>
    </w:p>
    <w:p>
      <w:pPr>
        <w:pStyle w:val="Style40"/>
        <w:keepNext w:val="0"/>
        <w:keepLines w:val="0"/>
        <w:widowControl w:val="0"/>
        <w:shd w:val="clear" w:color="auto" w:fill="auto"/>
        <w:bidi w:val="0"/>
        <w:spacing w:before="0" w:after="380" w:line="468" w:lineRule="exact"/>
        <w:ind w:left="0" w:right="0" w:firstLine="0"/>
        <w:jc w:val="both"/>
      </w:pPr>
      <w:bookmarkStart w:id="553" w:name="bookmark553"/>
      <w:r>
        <w:rPr>
          <w:b/>
          <w:bCs/>
          <w:color w:val="000000"/>
          <w:spacing w:val="0"/>
          <w:w w:val="100"/>
          <w:position w:val="0"/>
        </w:rPr>
        <w:t>（</w:t>
      </w:r>
      <w:bookmarkEnd w:id="553"/>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40"/>
        <w:keepNext w:val="0"/>
        <w:keepLines w:val="0"/>
        <w:widowControl w:val="0"/>
        <w:shd w:val="clear" w:color="auto" w:fill="auto"/>
        <w:tabs>
          <w:tab w:pos="368" w:val="left"/>
        </w:tabs>
        <w:bidi w:val="0"/>
        <w:spacing w:before="0" w:after="60" w:line="240" w:lineRule="auto"/>
        <w:ind w:left="0" w:right="0" w:firstLine="0"/>
        <w:jc w:val="left"/>
      </w:pPr>
      <w:bookmarkStart w:id="554" w:name="bookmark554"/>
      <w:r>
        <w:rPr>
          <w:rFonts w:ascii="Times New Roman" w:eastAsia="Times New Roman" w:hAnsi="Times New Roman" w:cs="Times New Roman"/>
          <w:b/>
          <w:bCs/>
          <w:color w:val="000000"/>
          <w:spacing w:val="0"/>
          <w:w w:val="100"/>
          <w:position w:val="0"/>
        </w:rPr>
        <w:t>1</w:t>
      </w:r>
      <w:bookmarkEnd w:id="554"/>
      <w:r>
        <w:rPr>
          <w:b/>
          <w:bCs/>
          <w:color w:val="000000"/>
          <w:spacing w:val="0"/>
          <w:w w:val="100"/>
          <w:position w:val="0"/>
        </w:rPr>
        <w:t>、</w:t>
        <w:tab/>
        <w:t>合并范围</w:t>
      </w:r>
    </w:p>
    <w:p>
      <w:pPr>
        <w:pStyle w:val="Style4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本公司合并财务报表的合并范围以控制为基础确定，所有子公司均纳入合并财务报表。</w:t>
      </w:r>
    </w:p>
    <w:p>
      <w:pPr>
        <w:pStyle w:val="Style33"/>
        <w:keepNext/>
        <w:keepLines/>
        <w:widowControl w:val="0"/>
        <w:shd w:val="clear" w:color="auto" w:fill="auto"/>
        <w:tabs>
          <w:tab w:pos="378" w:val="left"/>
        </w:tabs>
        <w:bidi w:val="0"/>
        <w:spacing w:before="0" w:after="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合并程序</w:t>
      </w:r>
      <w:bookmarkEnd w:id="555"/>
      <w:bookmarkEnd w:id="556"/>
      <w:bookmarkEnd w:id="558"/>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所有纳入合并财务报表合并范围的子公司所采用的会计政策、会计期间与本公司一致，如子公司采用的会 计政策、会计期间与本公司不一致的，在编制合并财务报表时，按本公司的会计政策、会计期间进行必要 的调整。对于非同一控制下企业合并取得的子公司，以购买日可辨认净资产公允价值为基础对其财务报表 进行调整。合并财务报表以本公司及子公司的财务报表为基础，根据其他有关资料，按照权益法调整对子 公司的长期股权投资后，由本公司编制。</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合并财务报表时抵销本公司与各子公司、各子公司相互之间发生的内部交易对合并资产负债表、合并利润 表、合并现金流量表、合并所有者权益变动表的影响。</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子公司少数股东应占的权益和损益分别在合并资产负债表中所有者权益项目下和合并利润表中净利润项 目下单独列示。子公司少数股分担的当期亏损超过了少数股东在该子公司期初所有者权益中所享有份额而 形成的余额，冲减少数股东权益。</w:t>
      </w:r>
    </w:p>
    <w:p>
      <w:pPr>
        <w:pStyle w:val="Style40"/>
        <w:keepNext w:val="0"/>
        <w:keepLines w:val="0"/>
        <w:widowControl w:val="0"/>
        <w:shd w:val="clear" w:color="auto" w:fill="auto"/>
        <w:bidi w:val="0"/>
        <w:spacing w:before="0" w:after="0" w:line="468" w:lineRule="exact"/>
        <w:ind w:left="0" w:right="0" w:firstLine="0"/>
        <w:jc w:val="left"/>
      </w:pPr>
      <w:bookmarkStart w:id="559" w:name="bookmark559"/>
      <w:r>
        <w:rPr>
          <w:color w:val="000000"/>
          <w:spacing w:val="0"/>
          <w:w w:val="100"/>
          <w:position w:val="0"/>
        </w:rPr>
        <w:t>（</w:t>
      </w:r>
      <w:bookmarkEnd w:id="559"/>
      <w:r>
        <w:rPr>
          <w:rFonts w:ascii="Times New Roman" w:eastAsia="Times New Roman" w:hAnsi="Times New Roman" w:cs="Times New Roman"/>
          <w:color w:val="000000"/>
          <w:spacing w:val="0"/>
          <w:w w:val="100"/>
          <w:position w:val="0"/>
        </w:rPr>
        <w:t>1</w:t>
      </w:r>
      <w:r>
        <w:rPr>
          <w:color w:val="000000"/>
          <w:spacing w:val="0"/>
          <w:w w:val="100"/>
          <w:position w:val="0"/>
        </w:rPr>
        <w:t xml:space="preserve">）增加子公司 </w:t>
      </w:r>
      <w:r>
        <w:rPr>
          <w:color w:val="000000"/>
          <w:spacing w:val="0"/>
          <w:w w:val="100"/>
          <w:position w:val="0"/>
        </w:rPr>
        <w:t>在报告期内，若因同一控制下企业合并增加子公司的，则调整合并资产负债表的期初数；将子公司合并当 期期初至报告期末的收入、费用、利润纳入合并利润表；将子公司合并当期期初至报告期末的现金流量纳 入合并现金流量表，同时对比较报表的相关项目进行调整，视同合并后的报告主体在以前期间一直存在。 在报告期内，若因非同一控制下企业合并增加子公司的，则不调整合并资产负债表期初数；将子公司自购 买日至报告期末的收入、费用、利润纳入合并利润表；该子公司自购买日至报告期末的现金流量纳入合并 现金流量表。通过多次交易分步实现非同一控制下企业合并时，对于购买日之前持有的被购买方的股权， 本公司按照该股权在购买日的公允价值进行重新计量，公允价值与其账面价值的差额计入当期投资收益。 购买日之前持有的被购买方的股权涉及其他综合收益的，与其相关的其他综合收益转为购买日所属当期投 资收益。</w:t>
      </w:r>
    </w:p>
    <w:p>
      <w:pPr>
        <w:pStyle w:val="Style40"/>
        <w:keepNext w:val="0"/>
        <w:keepLines w:val="0"/>
        <w:widowControl w:val="0"/>
        <w:shd w:val="clear" w:color="auto" w:fill="auto"/>
        <w:bidi w:val="0"/>
        <w:spacing w:before="0" w:after="0" w:line="468" w:lineRule="exact"/>
        <w:ind w:left="0" w:right="0" w:firstLine="0"/>
        <w:jc w:val="both"/>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rPr>
        <w:t>2</w:t>
      </w:r>
      <w:r>
        <w:rPr>
          <w:color w:val="000000"/>
          <w:spacing w:val="0"/>
          <w:w w:val="100"/>
          <w:position w:val="0"/>
        </w:rPr>
        <w:t>）处置子公司</w:t>
      </w:r>
    </w:p>
    <w:p>
      <w:pPr>
        <w:pStyle w:val="Style40"/>
        <w:keepNext w:val="0"/>
        <w:keepLines w:val="0"/>
        <w:widowControl w:val="0"/>
        <w:numPr>
          <w:ilvl w:val="0"/>
          <w:numId w:val="7"/>
        </w:numPr>
        <w:shd w:val="clear" w:color="auto" w:fill="auto"/>
        <w:tabs>
          <w:tab w:pos="337" w:val="left"/>
        </w:tabs>
        <w:bidi w:val="0"/>
        <w:spacing w:before="0" w:after="0" w:line="468" w:lineRule="exact"/>
        <w:ind w:left="0" w:right="0" w:firstLine="0"/>
        <w:jc w:val="both"/>
      </w:pPr>
      <w:bookmarkStart w:id="561" w:name="bookmark561"/>
      <w:bookmarkEnd w:id="561"/>
      <w:r>
        <w:rPr>
          <w:color w:val="000000"/>
          <w:spacing w:val="0"/>
          <w:w w:val="100"/>
          <w:position w:val="0"/>
        </w:rPr>
        <w:t>一般处理方法</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在报告期内，本公司处置子公司，则该子公司期初至处置日的收入、费用、利润纳入合并利润表；该子公 司期初至处置日的现金流量纳入合并现金流量表。因处置部分股权投资或其他原因丧失了对原有子公司控 制权时，对于处置后的剩余股权投资，本公司按照其在丧失控制权日的公允价值进行重新计量。处置股权 取得的对价与剩余股权公允价值之和，减去按原持股比例计算应享有原有子公司自购买日开始持续计算的 净资产的份额之间的差额，计入丧失控制权当期的投资收益。与原有子公司股权投资相关的其他综合收益, 在丧失控制权时转为当期投资收益。</w:t>
      </w:r>
    </w:p>
    <w:p>
      <w:pPr>
        <w:pStyle w:val="Style40"/>
        <w:keepNext w:val="0"/>
        <w:keepLines w:val="0"/>
        <w:widowControl w:val="0"/>
        <w:numPr>
          <w:ilvl w:val="0"/>
          <w:numId w:val="7"/>
        </w:numPr>
        <w:shd w:val="clear" w:color="auto" w:fill="auto"/>
        <w:tabs>
          <w:tab w:pos="340" w:val="left"/>
        </w:tabs>
        <w:bidi w:val="0"/>
        <w:spacing w:before="0" w:after="0" w:line="468" w:lineRule="exact"/>
        <w:ind w:left="0" w:right="0" w:firstLine="0"/>
        <w:jc w:val="both"/>
      </w:pPr>
      <w:bookmarkStart w:id="562" w:name="bookmark562"/>
      <w:bookmarkEnd w:id="562"/>
      <w:r>
        <w:rPr>
          <w:color w:val="000000"/>
          <w:spacing w:val="0"/>
          <w:w w:val="100"/>
          <w:position w:val="0"/>
        </w:rPr>
        <w:t>分步处置子公司</w:t>
      </w:r>
    </w:p>
    <w:p>
      <w:pPr>
        <w:pStyle w:val="Style40"/>
        <w:keepNext w:val="0"/>
        <w:keepLines w:val="0"/>
        <w:widowControl w:val="0"/>
        <w:shd w:val="clear" w:color="auto" w:fill="auto"/>
        <w:bidi w:val="0"/>
        <w:spacing w:before="0" w:after="240" w:line="468" w:lineRule="exact"/>
        <w:ind w:left="0" w:right="0" w:firstLine="0"/>
        <w:jc w:val="both"/>
      </w:pPr>
      <w:r>
        <w:rPr>
          <w:color w:val="000000"/>
          <w:spacing w:val="0"/>
          <w:w w:val="100"/>
          <w:position w:val="0"/>
        </w:rPr>
        <w:t>通过多次交易分步处置对子公司股权投资直至丧失控制权的，处置对子公司股权投资的各项交易的条款、 条件以及经济影响符合以下一种或多种情况，通常表明应将多次交易事项作为一揽子交易进行会计处理：</w:t>
      </w:r>
    </w:p>
    <w:p>
      <w:pPr>
        <w:pStyle w:val="Style40"/>
        <w:keepNext w:val="0"/>
        <w:keepLines w:val="0"/>
        <w:widowControl w:val="0"/>
        <w:numPr>
          <w:ilvl w:val="0"/>
          <w:numId w:val="9"/>
        </w:numPr>
        <w:shd w:val="clear" w:color="auto" w:fill="auto"/>
        <w:tabs>
          <w:tab w:pos="337" w:val="left"/>
        </w:tabs>
        <w:bidi w:val="0"/>
        <w:spacing w:before="0" w:after="0"/>
        <w:ind w:left="0" w:right="0" w:firstLine="0"/>
        <w:jc w:val="both"/>
      </w:pPr>
      <w:bookmarkStart w:id="563" w:name="bookmark563"/>
      <w:bookmarkEnd w:id="563"/>
      <w:r>
        <w:rPr>
          <w:color w:val="000000"/>
          <w:spacing w:val="0"/>
          <w:w w:val="100"/>
          <w:position w:val="0"/>
        </w:rPr>
        <w:t>这些交易是同时或者在考虑了彼此影响的情况下订立的；</w:t>
      </w:r>
    </w:p>
    <w:p>
      <w:pPr>
        <w:pStyle w:val="Style40"/>
        <w:keepNext w:val="0"/>
        <w:keepLines w:val="0"/>
        <w:widowControl w:val="0"/>
        <w:numPr>
          <w:ilvl w:val="0"/>
          <w:numId w:val="9"/>
        </w:numPr>
        <w:shd w:val="clear" w:color="auto" w:fill="auto"/>
        <w:tabs>
          <w:tab w:pos="364" w:val="left"/>
        </w:tabs>
        <w:bidi w:val="0"/>
        <w:spacing w:before="0" w:after="0"/>
        <w:ind w:left="0" w:right="0" w:firstLine="0"/>
        <w:jc w:val="left"/>
      </w:pPr>
      <w:bookmarkStart w:id="564" w:name="bookmark564"/>
      <w:bookmarkEnd w:id="564"/>
      <w:r>
        <w:rPr>
          <w:color w:val="000000"/>
          <w:spacing w:val="0"/>
          <w:w w:val="100"/>
          <w:position w:val="0"/>
        </w:rPr>
        <w:t>这些交易整体才能达成一项完整的商业结果；</w:t>
      </w:r>
    </w:p>
    <w:p>
      <w:pPr>
        <w:pStyle w:val="Style40"/>
        <w:keepNext w:val="0"/>
        <w:keepLines w:val="0"/>
        <w:widowControl w:val="0"/>
        <w:numPr>
          <w:ilvl w:val="0"/>
          <w:numId w:val="9"/>
        </w:numPr>
        <w:shd w:val="clear" w:color="auto" w:fill="auto"/>
        <w:tabs>
          <w:tab w:pos="398" w:val="left"/>
        </w:tabs>
        <w:bidi w:val="0"/>
        <w:spacing w:before="0" w:after="0"/>
        <w:ind w:left="0" w:right="0" w:firstLine="0"/>
        <w:jc w:val="left"/>
      </w:pPr>
      <w:bookmarkStart w:id="565" w:name="bookmark565"/>
      <w:bookmarkEnd w:id="565"/>
      <w:r>
        <w:rPr>
          <w:color w:val="000000"/>
          <w:spacing w:val="0"/>
          <w:w w:val="100"/>
          <w:position w:val="0"/>
        </w:rPr>
        <w:t>一项交易的发生取决于其他至少一项交易的发生；</w:t>
      </w:r>
    </w:p>
    <w:p>
      <w:pPr>
        <w:pStyle w:val="Style40"/>
        <w:keepNext w:val="0"/>
        <w:keepLines w:val="0"/>
        <w:widowControl w:val="0"/>
        <w:numPr>
          <w:ilvl w:val="0"/>
          <w:numId w:val="9"/>
        </w:numPr>
        <w:shd w:val="clear" w:color="auto" w:fill="auto"/>
        <w:tabs>
          <w:tab w:pos="412" w:val="left"/>
        </w:tabs>
        <w:bidi w:val="0"/>
        <w:spacing w:before="0" w:after="0" w:line="472" w:lineRule="exact"/>
        <w:ind w:left="0" w:right="0" w:firstLine="0"/>
        <w:jc w:val="left"/>
      </w:pPr>
      <w:bookmarkStart w:id="566" w:name="bookmark566"/>
      <w:bookmarkEnd w:id="566"/>
      <w:r>
        <w:rPr>
          <w:color w:val="000000"/>
          <w:spacing w:val="0"/>
          <w:w w:val="100"/>
          <w:position w:val="0"/>
        </w:rPr>
        <w:t>一项交易单独看是不经济的，但是和其他交易一并考虑时是经济的。 处置对子公司股权投资直至丧失控制权的各项交易属于一揽子交易的，本公司将各项交易作为一项处置子 公司并丧失控制权的交易进行会计处理；但是，在丧失控制权之前每一次处置价款与处置投资对应的享有 该子公司净资产份额的差额，在合并财务报表中确认为其他综合收益，在丧失控制权时一并转入丧失控制 权当期的损益。</w:t>
      </w:r>
    </w:p>
    <w:p>
      <w:pPr>
        <w:pStyle w:val="Style40"/>
        <w:keepNext w:val="0"/>
        <w:keepLines w:val="0"/>
        <w:widowControl w:val="0"/>
        <w:shd w:val="clear" w:color="auto" w:fill="auto"/>
        <w:bidi w:val="0"/>
        <w:spacing w:before="0" w:after="0" w:line="451" w:lineRule="exact"/>
        <w:ind w:left="0" w:right="0" w:firstLine="0"/>
        <w:jc w:val="both"/>
      </w:pPr>
      <w:r>
        <w:rPr>
          <w:color w:val="000000"/>
          <w:spacing w:val="0"/>
          <w:w w:val="100"/>
          <w:position w:val="0"/>
        </w:rPr>
        <w:t>处置对子公司股权投资直至丧失控制权的各项交易不属于一揽子交易的，在丧失控制权之前，按附注二 （六）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不丧失控制权的情况下部分处置对子公司的股权投资</w:t>
      </w:r>
      <w:r>
        <w:rPr>
          <w:rFonts w:ascii="Times New Roman" w:eastAsia="Times New Roman" w:hAnsi="Times New Roman" w:cs="Times New Roman"/>
          <w:color w:val="000000"/>
          <w:spacing w:val="0"/>
          <w:w w:val="100"/>
          <w:position w:val="0"/>
        </w:rPr>
        <w:t>''</w:t>
      </w:r>
      <w:r>
        <w:rPr>
          <w:color w:val="000000"/>
          <w:spacing w:val="0"/>
          <w:w w:val="100"/>
          <w:position w:val="0"/>
        </w:rPr>
        <w:t xml:space="preserve">进行会计处理；在丧失控制权时， </w:t>
      </w:r>
      <w:r>
        <w:rPr>
          <w:color w:val="000000"/>
          <w:spacing w:val="0"/>
          <w:w w:val="100"/>
          <w:position w:val="0"/>
        </w:rPr>
        <w:t>按处置子公司附注二（六）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，①</w:t>
      </w:r>
      <w:r>
        <w:rPr>
          <w:rFonts w:ascii="Times New Roman" w:eastAsia="Times New Roman" w:hAnsi="Times New Roman" w:cs="Times New Roman"/>
          <w:color w:val="000000"/>
          <w:spacing w:val="0"/>
          <w:w w:val="100"/>
          <w:position w:val="0"/>
        </w:rPr>
        <w:t>“</w:t>
      </w:r>
      <w:r>
        <w:rPr>
          <w:color w:val="000000"/>
          <w:spacing w:val="0"/>
          <w:w w:val="100"/>
          <w:position w:val="0"/>
        </w:rPr>
        <w:t>一般处理方法''进行会计处理。</w:t>
      </w:r>
    </w:p>
    <w:p>
      <w:pPr>
        <w:pStyle w:val="Style40"/>
        <w:keepNext w:val="0"/>
        <w:keepLines w:val="0"/>
        <w:widowControl w:val="0"/>
        <w:shd w:val="clear" w:color="auto" w:fill="auto"/>
        <w:tabs>
          <w:tab w:pos="488" w:val="left"/>
        </w:tabs>
        <w:bidi w:val="0"/>
        <w:spacing w:before="0" w:after="0" w:line="468" w:lineRule="exact"/>
        <w:ind w:left="0" w:right="0" w:firstLine="0"/>
        <w:jc w:val="both"/>
      </w:pPr>
      <w:bookmarkStart w:id="567" w:name="bookmark567"/>
      <w:r>
        <w:rPr>
          <w:color w:val="000000"/>
          <w:spacing w:val="0"/>
          <w:w w:val="100"/>
          <w:position w:val="0"/>
        </w:rPr>
        <w:t>（</w:t>
      </w:r>
      <w:bookmarkEnd w:id="567"/>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本公司因购买少数股权新取得的长期股权投资与按照新增持股比例计算应享有子公司自购买日（或合并 日）开始持续计算的可辨认净资产份额之间的差额，调整合并资产负债表中的资本公积中的股本溢价，资 本公积中的股本溢价不足冲减的，调整留存收益。</w:t>
      </w:r>
    </w:p>
    <w:p>
      <w:pPr>
        <w:pStyle w:val="Style40"/>
        <w:keepNext w:val="0"/>
        <w:keepLines w:val="0"/>
        <w:widowControl w:val="0"/>
        <w:shd w:val="clear" w:color="auto" w:fill="auto"/>
        <w:tabs>
          <w:tab w:pos="488" w:val="left"/>
        </w:tabs>
        <w:bidi w:val="0"/>
        <w:spacing w:before="0" w:after="0" w:line="468" w:lineRule="exact"/>
        <w:ind w:left="0" w:right="0" w:firstLine="0"/>
        <w:jc w:val="both"/>
      </w:pPr>
      <w:bookmarkStart w:id="568" w:name="bookmark568"/>
      <w:r>
        <w:rPr>
          <w:color w:val="000000"/>
          <w:spacing w:val="0"/>
          <w:w w:val="100"/>
          <w:position w:val="0"/>
        </w:rPr>
        <w:t>（</w:t>
      </w:r>
      <w:bookmarkEnd w:id="568"/>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40"/>
        <w:keepNext w:val="0"/>
        <w:keepLines w:val="0"/>
        <w:widowControl w:val="0"/>
        <w:shd w:val="clear" w:color="auto" w:fill="auto"/>
        <w:bidi w:val="0"/>
        <w:spacing w:before="0" w:after="220" w:line="468" w:lineRule="exact"/>
        <w:ind w:left="0" w:right="0" w:firstLine="0"/>
        <w:jc w:val="both"/>
      </w:pPr>
      <w:r>
        <w:rPr>
          <w:color w:val="000000"/>
          <w:spacing w:val="0"/>
          <w:w w:val="100"/>
          <w:position w:val="0"/>
        </w:rPr>
        <w:t>在不丧失控制权的情况下因部分处置对子公司的股权投资而取得的处置价款与处置长期股权投资相对应 享有子公司净资产份额的差额，调整合并资产负债表中的资本公积中的股本溢价，资本公积中的股本溢价 不足冲减的，调整留存收益。</w:t>
      </w:r>
    </w:p>
    <w:p>
      <w:pPr>
        <w:pStyle w:val="Style33"/>
        <w:keepNext/>
        <w:keepLines/>
        <w:widowControl w:val="0"/>
        <w:shd w:val="clear" w:color="auto" w:fill="auto"/>
        <w:bidi w:val="0"/>
        <w:spacing w:before="0" w:after="400" w:line="468" w:lineRule="exact"/>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69"/>
      <w:bookmarkEnd w:id="570"/>
      <w:bookmarkEnd w:id="572"/>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386" w:val="left"/>
        </w:tabs>
        <w:bidi w:val="0"/>
        <w:spacing w:before="0" w:after="220" w:line="468" w:lineRule="exact"/>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8</w:t>
      </w:r>
      <w:bookmarkEnd w:id="575"/>
      <w:r>
        <w:rPr>
          <w:color w:val="000000"/>
          <w:spacing w:val="0"/>
          <w:w w:val="100"/>
          <w:position w:val="0"/>
        </w:rPr>
        <w:t>、</w:t>
        <w:tab/>
        <w:t>现金及现金等价物的确定标准</w:t>
      </w:r>
      <w:bookmarkEnd w:id="573"/>
      <w:bookmarkEnd w:id="574"/>
      <w:bookmarkEnd w:id="576"/>
    </w:p>
    <w:p>
      <w:pPr>
        <w:pStyle w:val="Style40"/>
        <w:keepNext w:val="0"/>
        <w:keepLines w:val="0"/>
        <w:widowControl w:val="0"/>
        <w:shd w:val="clear" w:color="auto" w:fill="auto"/>
        <w:bidi w:val="0"/>
        <w:spacing w:before="0" w:after="220" w:line="466" w:lineRule="exact"/>
        <w:ind w:left="0" w:right="0" w:firstLine="0"/>
        <w:jc w:val="both"/>
      </w:pPr>
      <w:r>
        <w:rPr>
          <w:color w:val="000000"/>
          <w:spacing w:val="0"/>
          <w:w w:val="100"/>
          <w:position w:val="0"/>
        </w:rPr>
        <w:t>在编制现金流量表时，将本公司库存现金以及可以随时用于支付的存款确认为现金。将同时具备期限短（从 购买日起三个月内到期）、流动性强、易于转换为已知现金、价值变动风险很小四个条件的投资，确定为 现金等价物。</w:t>
      </w:r>
    </w:p>
    <w:p>
      <w:pPr>
        <w:pStyle w:val="Style33"/>
        <w:keepNext/>
        <w:keepLines/>
        <w:widowControl w:val="0"/>
        <w:shd w:val="clear" w:color="auto" w:fill="auto"/>
        <w:tabs>
          <w:tab w:pos="386" w:val="left"/>
        </w:tabs>
        <w:bidi w:val="0"/>
        <w:spacing w:before="0" w:after="140" w:line="468" w:lineRule="exact"/>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9</w:t>
      </w:r>
      <w:bookmarkEnd w:id="579"/>
      <w:r>
        <w:rPr>
          <w:color w:val="000000"/>
          <w:spacing w:val="0"/>
          <w:w w:val="100"/>
          <w:position w:val="0"/>
        </w:rPr>
        <w:t>、</w:t>
        <w:tab/>
        <w:t>外币业务和外币报表折算</w:t>
      </w:r>
      <w:bookmarkEnd w:id="577"/>
      <w:bookmarkEnd w:id="578"/>
      <w:bookmarkEnd w:id="580"/>
    </w:p>
    <w:p>
      <w:pPr>
        <w:pStyle w:val="Style33"/>
        <w:keepNext/>
        <w:keepLines/>
        <w:widowControl w:val="0"/>
        <w:shd w:val="clear" w:color="auto" w:fill="auto"/>
        <w:tabs>
          <w:tab w:pos="493" w:val="left"/>
        </w:tabs>
        <w:bidi w:val="0"/>
        <w:spacing w:before="0" w:after="220" w:line="468" w:lineRule="exact"/>
        <w:ind w:left="0" w:right="0" w:firstLine="0"/>
        <w:jc w:val="both"/>
      </w:pPr>
      <w:bookmarkStart w:id="577" w:name="bookmark577"/>
      <w:bookmarkStart w:id="578" w:name="bookmark578"/>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77"/>
      <w:bookmarkEnd w:id="578"/>
      <w:bookmarkEnd w:id="582"/>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外币业务采用交易发生当月的月初汇率作为折算汇率，折合成人民币记账。</w:t>
      </w:r>
    </w:p>
    <w:p>
      <w:pPr>
        <w:pStyle w:val="Style40"/>
        <w:keepNext w:val="0"/>
        <w:keepLines w:val="0"/>
        <w:widowControl w:val="0"/>
        <w:shd w:val="clear" w:color="auto" w:fill="auto"/>
        <w:bidi w:val="0"/>
        <w:spacing w:before="0" w:after="220" w:line="469" w:lineRule="exact"/>
        <w:ind w:left="0" w:right="0" w:firstLine="0"/>
        <w:jc w:val="both"/>
      </w:pPr>
      <w:r>
        <w:rPr>
          <w:color w:val="000000"/>
          <w:spacing w:val="0"/>
          <w:w w:val="100"/>
          <w:position w:val="0"/>
        </w:rPr>
        <w:t>外币货币性项目余额按资产负债表日即期汇率折算，由此产生的汇兑差额，除属于与购建符合资本化条件 的资产相关的外币专门借款产生的汇兑差额按照借款费用资本化的原则处理外，均计入当期损益。以历史 成本计量的外币非货币性项目，仍采用交易发生日的即期汇率折算，不改变其记账本位币金额。以公允价 值计量的外币非货币性项目，采用公允价值确定日的即期汇率折算，由此产生的汇兑差额计入当期损益或 资本公积。</w:t>
      </w:r>
    </w:p>
    <w:p>
      <w:pPr>
        <w:pStyle w:val="Style33"/>
        <w:keepNext/>
        <w:keepLines/>
        <w:widowControl w:val="0"/>
        <w:shd w:val="clear" w:color="auto" w:fill="auto"/>
        <w:tabs>
          <w:tab w:pos="493" w:val="left"/>
        </w:tabs>
        <w:bidi w:val="0"/>
        <w:spacing w:before="0" w:after="220" w:line="468" w:lineRule="exact"/>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83"/>
      <w:bookmarkEnd w:id="584"/>
      <w:bookmarkEnd w:id="586"/>
    </w:p>
    <w:p>
      <w:pPr>
        <w:pStyle w:val="Style40"/>
        <w:keepNext w:val="0"/>
        <w:keepLines w:val="0"/>
        <w:widowControl w:val="0"/>
        <w:shd w:val="clear" w:color="auto" w:fill="auto"/>
        <w:bidi w:val="0"/>
        <w:spacing w:before="0" w:after="0" w:line="461"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 xml:space="preserve">'' </w:t>
      </w:r>
      <w:r>
        <w:rPr>
          <w:color w:val="000000"/>
          <w:spacing w:val="0"/>
          <w:w w:val="100"/>
          <w:position w:val="0"/>
        </w:rPr>
        <w:t xml:space="preserve">项目外，其他项目采用发生时的即期汇率折算。利润表中的收入和费用项目，采用交易年度的平均汇率折 </w:t>
      </w:r>
      <w:r>
        <w:rPr>
          <w:color w:val="000000"/>
          <w:spacing w:val="0"/>
          <w:w w:val="100"/>
          <w:position w:val="0"/>
        </w:rPr>
        <w:t>算。按照上述折算产生的外币财务报表折算差额，在资产负债表所有者权益项目下单独列示。</w:t>
      </w:r>
    </w:p>
    <w:p>
      <w:pPr>
        <w:pStyle w:val="Style40"/>
        <w:keepNext w:val="0"/>
        <w:keepLines w:val="0"/>
        <w:widowControl w:val="0"/>
        <w:shd w:val="clear" w:color="auto" w:fill="auto"/>
        <w:bidi w:val="0"/>
        <w:spacing w:before="0" w:after="460" w:line="468" w:lineRule="exact"/>
        <w:ind w:left="0" w:right="0" w:firstLine="0"/>
        <w:jc w:val="left"/>
      </w:pPr>
      <w:r>
        <w:rPr>
          <w:color w:val="000000"/>
          <w:spacing w:val="0"/>
          <w:w w:val="100"/>
          <w:position w:val="0"/>
        </w:rPr>
        <w:t>处置境外经营时,将资产负债表中所有者权益项目下列示的、与该境外经营相关的外币财务报表折算差额, 自所有者权益项目转入处置当期损益；部分处置境外经营的，按处置的比例计算处置部分的外币财务报表 折算差额，转入处置当期损益。</w:t>
      </w:r>
    </w:p>
    <w:p>
      <w:pPr>
        <w:pStyle w:val="Style33"/>
        <w:keepNext/>
        <w:keepLines/>
        <w:widowControl w:val="0"/>
        <w:shd w:val="clear" w:color="auto" w:fill="auto"/>
        <w:bidi w:val="0"/>
        <w:spacing w:before="0" w:after="0" w:line="492"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587"/>
      <w:bookmarkEnd w:id="588"/>
      <w:bookmarkEnd w:id="590"/>
    </w:p>
    <w:p>
      <w:pPr>
        <w:pStyle w:val="Style40"/>
        <w:keepNext w:val="0"/>
        <w:keepLines w:val="0"/>
        <w:widowControl w:val="0"/>
        <w:shd w:val="clear" w:color="auto" w:fill="auto"/>
        <w:bidi w:val="0"/>
        <w:spacing w:before="0" w:after="140" w:line="470" w:lineRule="exact"/>
        <w:ind w:left="0" w:right="0" w:firstLine="0"/>
        <w:jc w:val="left"/>
      </w:pPr>
      <w:r>
        <w:rPr>
          <w:color w:val="000000"/>
          <w:spacing w:val="0"/>
          <w:w w:val="100"/>
          <w:position w:val="0"/>
        </w:rPr>
        <w:t>金融工具包括金融资产、金融负债和权益工具。</w:t>
      </w:r>
    </w:p>
    <w:p>
      <w:pPr>
        <w:pStyle w:val="Style33"/>
        <w:keepNext/>
        <w:keepLines/>
        <w:widowControl w:val="0"/>
        <w:numPr>
          <w:ilvl w:val="0"/>
          <w:numId w:val="11"/>
        </w:numPr>
        <w:shd w:val="clear" w:color="auto" w:fill="auto"/>
        <w:tabs>
          <w:tab w:pos="493" w:val="left"/>
        </w:tabs>
        <w:bidi w:val="0"/>
        <w:spacing w:before="0" w:after="200" w:line="470" w:lineRule="exact"/>
        <w:ind w:left="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金融工具的分类</w:t>
      </w:r>
      <w:bookmarkEnd w:id="591"/>
      <w:bookmarkEnd w:id="592"/>
      <w:bookmarkEnd w:id="594"/>
    </w:p>
    <w:p>
      <w:pPr>
        <w:pStyle w:val="Style40"/>
        <w:keepNext w:val="0"/>
        <w:keepLines w:val="0"/>
        <w:widowControl w:val="0"/>
        <w:shd w:val="clear" w:color="auto" w:fill="auto"/>
        <w:bidi w:val="0"/>
        <w:spacing w:before="0" w:after="200" w:line="468" w:lineRule="exact"/>
        <w:ind w:left="0" w:right="0" w:firstLine="0"/>
        <w:jc w:val="left"/>
      </w:pPr>
      <w:r>
        <w:rPr>
          <w:color w:val="000000"/>
          <w:spacing w:val="0"/>
          <w:w w:val="100"/>
          <w:position w:val="0"/>
        </w:rPr>
        <w:t>管理层按照取得持有金融资产和承担金融负债的目的，将其划分为：以公允价值计量且其变动计入当期损 益的金融资产或金融负债，包括交易性金融资产或金融负债和直接指定为以公允价值计量且其变动计入当 期损益的金融资产或金融负债；应收款项；其他金融负债等。</w:t>
      </w:r>
    </w:p>
    <w:p>
      <w:pPr>
        <w:pStyle w:val="Style33"/>
        <w:keepNext/>
        <w:keepLines/>
        <w:widowControl w:val="0"/>
        <w:numPr>
          <w:ilvl w:val="0"/>
          <w:numId w:val="11"/>
        </w:numPr>
        <w:shd w:val="clear" w:color="auto" w:fill="auto"/>
        <w:tabs>
          <w:tab w:pos="493" w:val="left"/>
        </w:tabs>
        <w:bidi w:val="0"/>
        <w:spacing w:before="0" w:after="200" w:line="470" w:lineRule="exact"/>
        <w:ind w:left="0" w:right="0" w:firstLine="0"/>
        <w:jc w:val="left"/>
      </w:pPr>
      <w:bookmarkStart w:id="595" w:name="bookmark595"/>
      <w:bookmarkStart w:id="596" w:name="bookmark596"/>
      <w:bookmarkStart w:id="597" w:name="bookmark597"/>
      <w:bookmarkStart w:id="598" w:name="bookmark598"/>
      <w:bookmarkEnd w:id="597"/>
      <w:r>
        <w:rPr>
          <w:color w:val="000000"/>
          <w:spacing w:val="0"/>
          <w:w w:val="100"/>
          <w:position w:val="0"/>
        </w:rPr>
        <w:t>金融工具的确认依据和计量方法</w:t>
      </w:r>
      <w:bookmarkEnd w:id="595"/>
      <w:bookmarkEnd w:id="596"/>
      <w:bookmarkEnd w:id="598"/>
    </w:p>
    <w:p>
      <w:pPr>
        <w:pStyle w:val="Style40"/>
        <w:keepNext w:val="0"/>
        <w:keepLines w:val="0"/>
        <w:widowControl w:val="0"/>
        <w:numPr>
          <w:ilvl w:val="0"/>
          <w:numId w:val="13"/>
        </w:numPr>
        <w:shd w:val="clear" w:color="auto" w:fill="auto"/>
        <w:tabs>
          <w:tab w:pos="478" w:val="left"/>
        </w:tabs>
        <w:bidi w:val="0"/>
        <w:spacing w:before="0" w:after="0" w:line="470" w:lineRule="exact"/>
        <w:ind w:left="0" w:right="0" w:firstLine="0"/>
        <w:jc w:val="left"/>
      </w:pPr>
      <w:bookmarkStart w:id="599" w:name="bookmark599"/>
      <w:bookmarkEnd w:id="599"/>
      <w:r>
        <w:rPr>
          <w:color w:val="000000"/>
          <w:spacing w:val="0"/>
          <w:w w:val="100"/>
          <w:position w:val="0"/>
        </w:rPr>
        <w:t>以公允价值计量且其变动计入当期损益的金融资产(金融负债)</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取得时以公允价值(扣除已宣告但尚未发放的现金股利或已到付息期但尚未领取的债券利息)作为初始确 认金额，相关的交易费用计入当期损益。</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持有期间将取得的利息或现金股利确认为投资收益，期末将公允价值变动计入当期损益。</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40"/>
        <w:keepNext w:val="0"/>
        <w:keepLines w:val="0"/>
        <w:widowControl w:val="0"/>
        <w:numPr>
          <w:ilvl w:val="0"/>
          <w:numId w:val="13"/>
        </w:numPr>
        <w:shd w:val="clear" w:color="auto" w:fill="auto"/>
        <w:tabs>
          <w:tab w:pos="488" w:val="left"/>
        </w:tabs>
        <w:bidi w:val="0"/>
        <w:spacing w:before="0" w:after="0" w:line="470" w:lineRule="exact"/>
        <w:ind w:left="0" w:right="0" w:firstLine="0"/>
        <w:jc w:val="left"/>
      </w:pPr>
      <w:bookmarkStart w:id="600" w:name="bookmark600"/>
      <w:bookmarkEnd w:id="600"/>
      <w:r>
        <w:rPr>
          <w:color w:val="000000"/>
          <w:spacing w:val="0"/>
          <w:w w:val="100"/>
          <w:position w:val="0"/>
        </w:rPr>
        <w:t>应收款项</w:t>
      </w:r>
    </w:p>
    <w:p>
      <w:pPr>
        <w:pStyle w:val="Style40"/>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公司对外销售商品或提供劳务形成的应收债权，以及公司持有的其他企业的不包括在活跃市场上有报价的 债务工具的债权，包括应收账款、应收票据、预付账款、其他应收款、长期应收款等，以向购货方应收的 合同或协议价款作为初始确认金额。</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收回或处置时，将取得的价款与该应收款项账面价值之间的差额计入当期损益。</w:t>
      </w:r>
    </w:p>
    <w:p>
      <w:pPr>
        <w:pStyle w:val="Style40"/>
        <w:keepNext w:val="0"/>
        <w:keepLines w:val="0"/>
        <w:widowControl w:val="0"/>
        <w:numPr>
          <w:ilvl w:val="0"/>
          <w:numId w:val="13"/>
        </w:numPr>
        <w:shd w:val="clear" w:color="auto" w:fill="auto"/>
        <w:tabs>
          <w:tab w:pos="488" w:val="left"/>
        </w:tabs>
        <w:bidi w:val="0"/>
        <w:spacing w:before="0" w:after="0" w:line="470" w:lineRule="exact"/>
        <w:ind w:left="0" w:right="0" w:firstLine="0"/>
        <w:jc w:val="left"/>
      </w:pPr>
      <w:bookmarkStart w:id="601" w:name="bookmark601"/>
      <w:bookmarkEnd w:id="601"/>
      <w:r>
        <w:rPr>
          <w:color w:val="000000"/>
          <w:spacing w:val="0"/>
          <w:w w:val="100"/>
          <w:position w:val="0"/>
        </w:rPr>
        <w:t>其他金融负债</w:t>
      </w:r>
    </w:p>
    <w:p>
      <w:pPr>
        <w:pStyle w:val="Style40"/>
        <w:keepNext w:val="0"/>
        <w:keepLines w:val="0"/>
        <w:widowControl w:val="0"/>
        <w:shd w:val="clear" w:color="auto" w:fill="auto"/>
        <w:bidi w:val="0"/>
        <w:spacing w:before="0" w:after="200" w:line="470" w:lineRule="exact"/>
        <w:ind w:left="0" w:right="0" w:firstLine="0"/>
        <w:jc w:val="left"/>
      </w:pPr>
      <w:r>
        <w:rPr>
          <w:color w:val="000000"/>
          <w:spacing w:val="0"/>
          <w:w w:val="100"/>
          <w:position w:val="0"/>
        </w:rPr>
        <w:t>按其公允价值和相关交易费用之和作为初始确认金额。采用摊余成本进行后续计量。</w:t>
      </w:r>
    </w:p>
    <w:p>
      <w:pPr>
        <w:pStyle w:val="Style33"/>
        <w:keepNext/>
        <w:keepLines/>
        <w:widowControl w:val="0"/>
        <w:numPr>
          <w:ilvl w:val="0"/>
          <w:numId w:val="11"/>
        </w:numPr>
        <w:shd w:val="clear" w:color="auto" w:fill="auto"/>
        <w:tabs>
          <w:tab w:pos="493" w:val="left"/>
        </w:tabs>
        <w:bidi w:val="0"/>
        <w:spacing w:before="0" w:after="400" w:line="470" w:lineRule="exact"/>
        <w:ind w:left="0" w:right="0" w:firstLine="0"/>
        <w:jc w:val="left"/>
      </w:pPr>
      <w:bookmarkStart w:id="602" w:name="bookmark602"/>
      <w:bookmarkStart w:id="603" w:name="bookmark603"/>
      <w:bookmarkStart w:id="604" w:name="bookmark604"/>
      <w:bookmarkStart w:id="605" w:name="bookmark605"/>
      <w:bookmarkEnd w:id="604"/>
      <w:r>
        <w:rPr>
          <w:color w:val="000000"/>
          <w:spacing w:val="0"/>
          <w:w w:val="100"/>
          <w:position w:val="0"/>
        </w:rPr>
        <w:t>金融资产转移的确认依据和计量方法</w:t>
      </w:r>
      <w:bookmarkEnd w:id="602"/>
      <w:bookmarkEnd w:id="603"/>
      <w:bookmarkEnd w:id="605"/>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不适用</w:t>
      </w:r>
    </w:p>
    <w:p>
      <w:pPr>
        <w:pStyle w:val="Style33"/>
        <w:keepNext/>
        <w:keepLines/>
        <w:widowControl w:val="0"/>
        <w:numPr>
          <w:ilvl w:val="0"/>
          <w:numId w:val="11"/>
        </w:numPr>
        <w:shd w:val="clear" w:color="auto" w:fill="auto"/>
        <w:tabs>
          <w:tab w:pos="493" w:val="left"/>
        </w:tabs>
        <w:bidi w:val="0"/>
        <w:spacing w:before="0" w:after="200" w:line="469" w:lineRule="exact"/>
        <w:ind w:left="0" w:right="0" w:firstLine="0"/>
        <w:jc w:val="left"/>
      </w:pPr>
      <w:bookmarkStart w:id="606" w:name="bookmark606"/>
      <w:bookmarkStart w:id="607" w:name="bookmark607"/>
      <w:bookmarkStart w:id="608" w:name="bookmark608"/>
      <w:bookmarkStart w:id="609" w:name="bookmark609"/>
      <w:bookmarkEnd w:id="608"/>
      <w:r>
        <w:rPr>
          <w:color w:val="000000"/>
          <w:spacing w:val="0"/>
          <w:w w:val="100"/>
          <w:position w:val="0"/>
        </w:rPr>
        <w:t>金融负债终止确认条件</w:t>
      </w:r>
      <w:bookmarkEnd w:id="606"/>
      <w:bookmarkEnd w:id="607"/>
      <w:bookmarkEnd w:id="609"/>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金融负债的现时义务全部或部分已经解除的，则终止确认该金融负债或其一部分；本公司若与债权人签定 协议，以承担新金融负债方式替换现存金融负债，且新金融负债与现存金融负债的合同条款实质上不同的, 则终止确认现存金融负债，并同时确认新金融负债。</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对现存金融负债全部或部分合同条款作出实质性修改的，则终止确认现存金融负债或其一部分，同时将修 改条款后的金融负债确认为一项新金融负债。</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金融负债全部或部分终止确认时，终止确认的金融负债账面价值与支付对价(包括转出的非现金资产或承 担的新金融负债)之间的差额，计入当期损益。</w:t>
      </w:r>
    </w:p>
    <w:p>
      <w:pPr>
        <w:pStyle w:val="Style40"/>
        <w:keepNext w:val="0"/>
        <w:keepLines w:val="0"/>
        <w:widowControl w:val="0"/>
        <w:shd w:val="clear" w:color="auto" w:fill="auto"/>
        <w:bidi w:val="0"/>
        <w:spacing w:before="0" w:after="200" w:line="469" w:lineRule="exact"/>
        <w:ind w:left="0" w:right="0" w:firstLine="0"/>
        <w:jc w:val="left"/>
      </w:pPr>
      <w:r>
        <w:rPr>
          <w:color w:val="000000"/>
          <w:spacing w:val="0"/>
          <w:w w:val="100"/>
          <w:position w:val="0"/>
        </w:rPr>
        <w:t>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pStyle w:val="Style33"/>
        <w:keepNext/>
        <w:keepLines/>
        <w:widowControl w:val="0"/>
        <w:numPr>
          <w:ilvl w:val="0"/>
          <w:numId w:val="11"/>
        </w:numPr>
        <w:shd w:val="clear" w:color="auto" w:fill="auto"/>
        <w:tabs>
          <w:tab w:pos="493" w:val="left"/>
        </w:tabs>
        <w:bidi w:val="0"/>
        <w:spacing w:before="0" w:after="140" w:line="469" w:lineRule="exact"/>
        <w:ind w:left="0" w:right="0" w:firstLine="0"/>
        <w:jc w:val="both"/>
      </w:pPr>
      <w:bookmarkStart w:id="610" w:name="bookmark610"/>
      <w:bookmarkStart w:id="611" w:name="bookmark611"/>
      <w:bookmarkStart w:id="612" w:name="bookmark612"/>
      <w:bookmarkStart w:id="613" w:name="bookmark613"/>
      <w:bookmarkEnd w:id="612"/>
      <w:r>
        <w:rPr>
          <w:color w:val="000000"/>
          <w:spacing w:val="0"/>
          <w:w w:val="100"/>
          <w:position w:val="0"/>
        </w:rPr>
        <w:t>金融资产和金融负债公允价值的确定方法</w:t>
      </w:r>
      <w:bookmarkEnd w:id="610"/>
      <w:bookmarkEnd w:id="611"/>
      <w:bookmarkEnd w:id="613"/>
    </w:p>
    <w:p>
      <w:pPr>
        <w:pStyle w:val="Style40"/>
        <w:keepNext w:val="0"/>
        <w:keepLines w:val="0"/>
        <w:widowControl w:val="0"/>
        <w:shd w:val="clear" w:color="auto" w:fill="auto"/>
        <w:bidi w:val="0"/>
        <w:spacing w:before="0" w:after="140" w:line="469" w:lineRule="exact"/>
        <w:ind w:left="0" w:right="0" w:firstLine="0"/>
        <w:jc w:val="both"/>
      </w:pPr>
      <w:r>
        <w:rPr>
          <w:color w:val="000000"/>
          <w:spacing w:val="0"/>
          <w:w w:val="100"/>
          <w:position w:val="0"/>
        </w:rPr>
        <w:t>金融资产和金融负债的公允价值按期末活跃市场报价确定。</w:t>
      </w:r>
    </w:p>
    <w:p>
      <w:pPr>
        <w:pStyle w:val="Style33"/>
        <w:keepNext/>
        <w:keepLines/>
        <w:widowControl w:val="0"/>
        <w:numPr>
          <w:ilvl w:val="0"/>
          <w:numId w:val="11"/>
        </w:numPr>
        <w:shd w:val="clear" w:color="auto" w:fill="auto"/>
        <w:tabs>
          <w:tab w:pos="493" w:val="left"/>
        </w:tabs>
        <w:bidi w:val="0"/>
        <w:spacing w:before="0" w:after="400" w:line="469" w:lineRule="exact"/>
        <w:ind w:left="0" w:right="0" w:firstLine="0"/>
        <w:jc w:val="both"/>
      </w:pPr>
      <w:bookmarkStart w:id="614" w:name="bookmark614"/>
      <w:bookmarkStart w:id="615" w:name="bookmark615"/>
      <w:bookmarkStart w:id="616" w:name="bookmark616"/>
      <w:bookmarkStart w:id="617" w:name="bookmark617"/>
      <w:bookmarkEnd w:id="616"/>
      <w:r>
        <w:rPr>
          <w:color w:val="000000"/>
          <w:spacing w:val="0"/>
          <w:w w:val="100"/>
          <w:position w:val="0"/>
        </w:rPr>
        <w:t>金融资产(不含应收款项)减值测试方法、减值准备计提方法</w:t>
      </w:r>
      <w:bookmarkEnd w:id="614"/>
      <w:bookmarkEnd w:id="615"/>
      <w:bookmarkEnd w:id="61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各类可供出售金融资产减值的各项认定标准</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33"/>
        <w:keepNext/>
        <w:keepLines/>
        <w:widowControl w:val="0"/>
        <w:numPr>
          <w:ilvl w:val="0"/>
          <w:numId w:val="11"/>
        </w:numPr>
        <w:shd w:val="clear" w:color="auto" w:fill="auto"/>
        <w:tabs>
          <w:tab w:pos="493" w:val="left"/>
        </w:tabs>
        <w:bidi w:val="0"/>
        <w:spacing w:before="0" w:after="400" w:line="469" w:lineRule="exact"/>
        <w:ind w:left="0" w:right="0" w:firstLine="0"/>
        <w:jc w:val="both"/>
      </w:pPr>
      <w:bookmarkStart w:id="618" w:name="bookmark618"/>
      <w:bookmarkStart w:id="619" w:name="bookmark619"/>
      <w:bookmarkStart w:id="620" w:name="bookmark620"/>
      <w:bookmarkStart w:id="621" w:name="bookmark621"/>
      <w:bookmarkEnd w:id="620"/>
      <w:r>
        <w:rPr>
          <w:color w:val="000000"/>
          <w:spacing w:val="0"/>
          <w:w w:val="100"/>
          <w:position w:val="0"/>
        </w:rPr>
        <w:t>将尚未到期的持有至到期投资重分类为可供出售金融资产的，说明持有意图或能力发生改变的依据</w:t>
      </w:r>
      <w:bookmarkEnd w:id="618"/>
      <w:bookmarkEnd w:id="619"/>
      <w:bookmarkEnd w:id="621"/>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33"/>
        <w:keepNext/>
        <w:keepLines/>
        <w:widowControl w:val="0"/>
        <w:shd w:val="clear" w:color="auto" w:fill="auto"/>
        <w:bidi w:val="0"/>
        <w:spacing w:before="0" w:after="200" w:line="469" w:lineRule="exact"/>
        <w:ind w:left="0" w:right="0" w:firstLine="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22"/>
      <w:bookmarkEnd w:id="623"/>
      <w:bookmarkEnd w:id="625"/>
    </w:p>
    <w:p>
      <w:pPr>
        <w:pStyle w:val="Style33"/>
        <w:keepNext/>
        <w:keepLines/>
        <w:widowControl w:val="0"/>
        <w:numPr>
          <w:ilvl w:val="0"/>
          <w:numId w:val="15"/>
        </w:numPr>
        <w:shd w:val="clear" w:color="auto" w:fill="auto"/>
        <w:bidi w:val="0"/>
        <w:spacing w:before="0" w:after="0" w:line="468" w:lineRule="exact"/>
        <w:ind w:left="0" w:right="0" w:firstLine="0"/>
        <w:jc w:val="left"/>
      </w:pPr>
      <w:bookmarkStart w:id="622" w:name="bookmark622"/>
      <w:bookmarkStart w:id="623" w:name="bookmark623"/>
      <w:bookmarkStart w:id="626" w:name="bookmark626"/>
      <w:bookmarkStart w:id="627" w:name="bookmark627"/>
      <w:bookmarkEnd w:id="626"/>
      <w:r>
        <w:rPr>
          <w:color w:val="000000"/>
          <w:spacing w:val="0"/>
          <w:w w:val="100"/>
          <w:position w:val="0"/>
        </w:rPr>
        <w:t>、单项金额重大并单项计提坏账准备的应收款项</w:t>
      </w:r>
      <w:bookmarkEnd w:id="622"/>
      <w:bookmarkEnd w:id="623"/>
      <w:bookmarkEnd w:id="627"/>
    </w:p>
    <w:p>
      <w:pPr>
        <w:pStyle w:val="Style40"/>
        <w:keepNext w:val="0"/>
        <w:keepLines w:val="0"/>
        <w:widowControl w:val="0"/>
        <w:numPr>
          <w:ilvl w:val="0"/>
          <w:numId w:val="17"/>
        </w:numPr>
        <w:shd w:val="clear" w:color="auto" w:fill="auto"/>
        <w:tabs>
          <w:tab w:pos="478" w:val="left"/>
        </w:tabs>
        <w:bidi w:val="0"/>
        <w:spacing w:before="0" w:after="0" w:line="468" w:lineRule="exact"/>
        <w:ind w:left="0" w:right="0" w:firstLine="0"/>
        <w:jc w:val="left"/>
      </w:pPr>
      <w:bookmarkStart w:id="628" w:name="bookmark628"/>
      <w:bookmarkEnd w:id="628"/>
      <w:r>
        <w:rPr>
          <w:color w:val="000000"/>
          <w:spacing w:val="0"/>
          <w:w w:val="100"/>
          <w:position w:val="0"/>
        </w:rPr>
        <w:t>单项金额重大的判断依据</w:t>
      </w:r>
    </w:p>
    <w:p>
      <w:pPr>
        <w:pStyle w:val="Style40"/>
        <w:keepNext w:val="0"/>
        <w:keepLines w:val="0"/>
        <w:widowControl w:val="0"/>
        <w:shd w:val="clear" w:color="auto" w:fill="auto"/>
        <w:bidi w:val="0"/>
        <w:spacing w:before="0" w:after="0" w:line="468" w:lineRule="exact"/>
        <w:ind w:left="0" w:right="0" w:firstLine="0"/>
        <w:jc w:val="left"/>
      </w:pPr>
      <w:r>
        <w:rPr>
          <w:color w:val="000000"/>
          <w:spacing w:val="0"/>
          <w:w w:val="100"/>
          <w:position w:val="0"/>
        </w:rPr>
        <w:t>单项金额重大的具体标准为：占应收款项余额</w:t>
      </w:r>
      <w:r>
        <w:rPr>
          <w:rFonts w:ascii="Times New Roman" w:eastAsia="Times New Roman" w:hAnsi="Times New Roman" w:cs="Times New Roman"/>
          <w:color w:val="000000"/>
          <w:spacing w:val="0"/>
          <w:w w:val="100"/>
          <w:position w:val="0"/>
        </w:rPr>
        <w:t>10</w:t>
      </w:r>
      <w:r>
        <w:rPr>
          <w:color w:val="000000"/>
          <w:spacing w:val="0"/>
          <w:w w:val="100"/>
          <w:position w:val="0"/>
        </w:rPr>
        <w:t>%以上的款项。</w:t>
      </w:r>
    </w:p>
    <w:p>
      <w:pPr>
        <w:pStyle w:val="Style40"/>
        <w:keepNext w:val="0"/>
        <w:keepLines w:val="0"/>
        <w:widowControl w:val="0"/>
        <w:numPr>
          <w:ilvl w:val="0"/>
          <w:numId w:val="17"/>
        </w:numPr>
        <w:shd w:val="clear" w:color="auto" w:fill="auto"/>
        <w:tabs>
          <w:tab w:pos="488" w:val="left"/>
        </w:tabs>
        <w:bidi w:val="0"/>
        <w:spacing w:before="0" w:after="0" w:line="468" w:lineRule="exact"/>
        <w:ind w:left="0" w:right="0" w:firstLine="0"/>
        <w:jc w:val="both"/>
      </w:pPr>
      <w:bookmarkStart w:id="629" w:name="bookmark629"/>
      <w:bookmarkEnd w:id="629"/>
      <w:r>
        <w:rPr>
          <w:color w:val="000000"/>
          <w:spacing w:val="0"/>
          <w:w w:val="100"/>
          <w:position w:val="0"/>
        </w:rPr>
        <w:t>单项金额重大并单项计提坏账准备的计提方法</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 xml:space="preserve">单独进行减值测试,如有客观证据表明其发生了减值的，根据其未来现金流量现值低于其账面价值的差额, 确认减值损失，计提坏账准备。短期应收款项的预计未来现金流量与其现值相差很小，在确定相关减值损 失时，不对其预计未来现金流量进行折现。单独测试未发生减值的应收款项，包括在具有类似信用风险特 </w:t>
      </w:r>
      <w:r>
        <w:rPr>
          <w:color w:val="000000"/>
          <w:spacing w:val="0"/>
          <w:w w:val="100"/>
          <w:position w:val="0"/>
        </w:rPr>
        <w:t>征的应收款项组合中再进行减值测试。</w:t>
      </w:r>
    </w:p>
    <w:p>
      <w:pPr>
        <w:pStyle w:val="Style33"/>
        <w:keepNext/>
        <w:keepLines/>
        <w:widowControl w:val="0"/>
        <w:shd w:val="clear" w:color="auto" w:fill="auto"/>
        <w:bidi w:val="0"/>
        <w:spacing w:before="0" w:after="0" w:line="466" w:lineRule="exact"/>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w:t>
      </w:r>
      <w:bookmarkEnd w:id="632"/>
      <w:r>
        <w:rPr>
          <w:rFonts w:ascii="Times New Roman" w:eastAsia="Times New Roman" w:hAnsi="Times New Roman" w:cs="Times New Roman"/>
          <w:color w:val="000000"/>
          <w:spacing w:val="0"/>
          <w:w w:val="100"/>
          <w:position w:val="0"/>
        </w:rPr>
        <w:t>2）</w:t>
      </w:r>
      <w:r>
        <w:rPr>
          <w:color w:val="000000"/>
          <w:spacing w:val="0"/>
          <w:w w:val="100"/>
          <w:position w:val="0"/>
        </w:rPr>
        <w:t>、对单项金额虽不重大但单项计提减值准备的应收账款</w:t>
      </w:r>
      <w:bookmarkEnd w:id="630"/>
      <w:bookmarkEnd w:id="631"/>
      <w:bookmarkEnd w:id="633"/>
    </w:p>
    <w:p>
      <w:pPr>
        <w:pStyle w:val="Style40"/>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对于期末单项金额非重大的应收款项单独进行减值测试。如有客观证据表明其发生了减值的，根据其未来 现金流量现值低于其账面价值的差额，确认减值损失，计提坏账准备。单独测试未发生减值的应收款项， 包括在具有类似信用风险特征的应收款项组合中再进行减值测试。</w:t>
      </w:r>
    </w:p>
    <w:p>
      <w:pPr>
        <w:pStyle w:val="Style33"/>
        <w:keepNext/>
        <w:keepLines/>
        <w:widowControl w:val="0"/>
        <w:shd w:val="clear" w:color="auto" w:fill="auto"/>
        <w:bidi w:val="0"/>
        <w:spacing w:before="0" w:after="32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w:t>
      </w:r>
      <w:bookmarkEnd w:id="636"/>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634"/>
      <w:bookmarkEnd w:id="635"/>
      <w:bookmarkEnd w:id="637"/>
    </w:p>
    <w:tbl>
      <w:tblPr>
        <w:tblOverlap w:val="never"/>
        <w:jc w:val="center"/>
        <w:tblLayout w:type="fixed"/>
      </w:tblPr>
      <w:tblGrid>
        <w:gridCol w:w="5064"/>
        <w:gridCol w:w="45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占应收款项余额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%以上的款项</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单独进行减值测试，如有客观证据表明其发生了减值的， 根据其未来现金流量现值低于其账面价值的差额，确认减 值损失，计提坏账准备。短期应收款项的预计未来现金流 量与其现值相差很小，在确定相关减值损失时，不对其预 计未来现金流量进行折现。单独测试未发生减值的应收款 项，包括在具有类似信用风险特征的应收款项组合中再进 行减值测试。</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w:t>
      </w:r>
      <w:bookmarkEnd w:id="640"/>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638"/>
      <w:bookmarkEnd w:id="639"/>
      <w:bookmarkEnd w:id="641"/>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除单项金额重大并已单项计提坏账准备及单项金额不重大并 已单项计提坏账准备的应收款项之外，其余应收款项按账龄 划分组合</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1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）单项金额虽不重大但单项计提坏账准备的应收账款</w:t>
      </w:r>
    </w:p>
    <w:tbl>
      <w:tblPr>
        <w:tblOverlap w:val="never"/>
        <w:jc w:val="center"/>
        <w:tblLayout w:type="fixed"/>
      </w:tblPr>
      <w:tblGrid>
        <w:gridCol w:w="3365"/>
        <w:gridCol w:w="622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对于期末单项金额非重大的应收款项（包括应收账款、应收票据、预付账款、 其他应收款、长期应收款等）单独进行减值测试。如有客观证据表明其发生了 减值的。</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根据其未来现金流量现值低于其账面价值的差额，确认减值损失，计提坏账准 备。</w:t>
            </w:r>
          </w:p>
        </w:tc>
      </w:tr>
    </w:tbl>
    <w:p>
      <w:pPr>
        <w:widowControl w:val="0"/>
        <w:spacing w:after="119" w:line="1" w:lineRule="exact"/>
      </w:pPr>
    </w:p>
    <w:p>
      <w:pPr>
        <w:pStyle w:val="Style33"/>
        <w:keepNext/>
        <w:keepLines/>
        <w:widowControl w:val="0"/>
        <w:shd w:val="clear" w:color="auto" w:fill="auto"/>
        <w:bidi w:val="0"/>
        <w:spacing w:before="0" w:after="120" w:line="468" w:lineRule="exact"/>
        <w:ind w:left="0" w:right="0" w:firstLine="0"/>
        <w:jc w:val="both"/>
      </w:pPr>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42"/>
      <w:bookmarkEnd w:id="643"/>
      <w:bookmarkEnd w:id="644"/>
    </w:p>
    <w:p>
      <w:pPr>
        <w:pStyle w:val="Style33"/>
        <w:keepNext/>
        <w:keepLines/>
        <w:widowControl w:val="0"/>
        <w:shd w:val="clear" w:color="auto" w:fill="auto"/>
        <w:tabs>
          <w:tab w:pos="493" w:val="left"/>
        </w:tabs>
        <w:bidi w:val="0"/>
        <w:spacing w:before="0" w:after="120" w:line="468" w:lineRule="exact"/>
        <w:ind w:left="0" w:right="0" w:firstLine="0"/>
        <w:jc w:val="both"/>
      </w:pPr>
      <w:bookmarkStart w:id="642" w:name="bookmark642"/>
      <w:bookmarkStart w:id="643" w:name="bookmark643"/>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42"/>
      <w:bookmarkEnd w:id="643"/>
      <w:bookmarkEnd w:id="646"/>
    </w:p>
    <w:p>
      <w:pPr>
        <w:pStyle w:val="Style40"/>
        <w:keepNext w:val="0"/>
        <w:keepLines w:val="0"/>
        <w:widowControl w:val="0"/>
        <w:shd w:val="clear" w:color="auto" w:fill="auto"/>
        <w:bidi w:val="0"/>
        <w:spacing w:before="0" w:after="120" w:line="468" w:lineRule="exact"/>
        <w:ind w:left="0" w:right="0" w:firstLine="0"/>
        <w:jc w:val="both"/>
      </w:pPr>
      <w:r>
        <w:rPr>
          <w:color w:val="000000"/>
          <w:spacing w:val="0"/>
          <w:w w:val="100"/>
          <w:position w:val="0"/>
        </w:rPr>
        <w:t>存货分类为：低值易耗品、库存商品、劳务成本等。</w:t>
      </w:r>
    </w:p>
    <w:p>
      <w:pPr>
        <w:pStyle w:val="Style33"/>
        <w:keepNext/>
        <w:keepLines/>
        <w:widowControl w:val="0"/>
        <w:shd w:val="clear" w:color="auto" w:fill="auto"/>
        <w:tabs>
          <w:tab w:pos="493" w:val="left"/>
        </w:tabs>
        <w:bidi w:val="0"/>
        <w:spacing w:before="0" w:after="120" w:line="468" w:lineRule="exact"/>
        <w:ind w:left="0" w:right="0" w:firstLine="0"/>
        <w:jc w:val="both"/>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47"/>
      <w:bookmarkEnd w:id="648"/>
      <w:bookmarkEnd w:id="650"/>
    </w:p>
    <w:p>
      <w:pPr>
        <w:pStyle w:val="Style29"/>
        <w:keepNext w:val="0"/>
        <w:keepLines w:val="0"/>
        <w:widowControl w:val="0"/>
        <w:shd w:val="clear" w:color="auto" w:fill="auto"/>
        <w:bidi w:val="0"/>
        <w:spacing w:before="0" w:after="0" w:line="466" w:lineRule="exact"/>
        <w:ind w:left="0" w:right="0" w:firstLine="0"/>
        <w:jc w:val="both"/>
      </w:pPr>
      <w:r>
        <w:rPr>
          <w:color w:val="000000"/>
          <w:spacing w:val="0"/>
          <w:w w:val="100"/>
          <w:position w:val="0"/>
        </w:rPr>
        <w:t>计价方法：先进先出法</w:t>
      </w:r>
    </w:p>
    <w:p>
      <w:pPr>
        <w:pStyle w:val="Style40"/>
        <w:keepNext w:val="0"/>
        <w:keepLines w:val="0"/>
        <w:widowControl w:val="0"/>
        <w:shd w:val="clear" w:color="auto" w:fill="auto"/>
        <w:bidi w:val="0"/>
        <w:spacing w:before="0" w:after="220" w:line="466" w:lineRule="exact"/>
        <w:ind w:left="0" w:right="0" w:firstLine="0"/>
        <w:jc w:val="both"/>
      </w:pPr>
      <w:r>
        <w:rPr>
          <w:color w:val="000000"/>
          <w:spacing w:val="0"/>
          <w:w w:val="100"/>
          <w:position w:val="0"/>
        </w:rPr>
        <w:t>日常核算取得时按实际成本计价；发出时按先进先出法计价。对于不能替代使用的存货以及为特定项目专 门购入或制造的存货，公司采用个别计价法确定发出存货的成本。</w:t>
      </w:r>
    </w:p>
    <w:p>
      <w:pPr>
        <w:pStyle w:val="Style33"/>
        <w:keepNext/>
        <w:keepLines/>
        <w:widowControl w:val="0"/>
        <w:shd w:val="clear" w:color="auto" w:fill="auto"/>
        <w:tabs>
          <w:tab w:pos="493" w:val="left"/>
        </w:tabs>
        <w:bidi w:val="0"/>
        <w:spacing w:before="0" w:after="220" w:line="468" w:lineRule="exact"/>
        <w:ind w:left="0" w:right="0" w:firstLine="0"/>
        <w:jc w:val="both"/>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51"/>
      <w:bookmarkEnd w:id="652"/>
      <w:bookmarkEnd w:id="654"/>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期末对存货进行全面清查后，按存货的成本与可变现净值孰低提取或调整存货跌价准备。</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产成品、库存商品和用于出售的材料等直接用于出售的商品存货，在正常生产经营过程中，以该存货的估 计售价减去估计的销售费用和相关税费后的金额，确定其可变现净值；需要经过加工的材料存货，在正常 生产经营过程中，以所生产的产成品的估计售价减去至完工时估计将要发生的成本、估计的销售费用和相 关税费后的金额，确定其可变现净值；为执行销售合同或者劳务合同而持有的存货，其可变现净值以合同 价格为基础计算，若持有存货的数量多于销售合同订购数量的，超出部分的存货的可变现净值以一般销售 价格为基础计算。</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期末按照单个存货项目计提存货跌价准备；但对于数量繁多、单价较低的存货，按照存货类别计提存货跌 价准备；与在同一地区生产和销售的产品系列相关、具有相同或类似最终用途或目的，且难以与其他项目 分开计量的存货，则合并计提存货跌价准备。</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以前减记存货价值的影响因素已经消失的，减记的金额予以恢复，并在原已计提的存货跌价准备金额内转 回，转回的金额计入当期损益。</w:t>
      </w:r>
    </w:p>
    <w:p>
      <w:pPr>
        <w:pStyle w:val="Style40"/>
        <w:keepNext w:val="0"/>
        <w:keepLines w:val="0"/>
        <w:widowControl w:val="0"/>
        <w:shd w:val="clear" w:color="auto" w:fill="auto"/>
        <w:bidi w:val="0"/>
        <w:spacing w:before="0" w:after="120" w:line="468" w:lineRule="exact"/>
        <w:ind w:left="0" w:right="0" w:firstLine="0"/>
        <w:jc w:val="both"/>
      </w:pPr>
      <w:r>
        <w:rPr>
          <w:color w:val="000000"/>
          <w:spacing w:val="0"/>
          <w:w w:val="100"/>
          <w:position w:val="0"/>
        </w:rPr>
        <w:t>除有明确证据表明资产负债表日市场价格异常外，存货项目的可变现净值以资产负债表日市场价格为基础 确定。</w:t>
      </w:r>
    </w:p>
    <w:p>
      <w:pPr>
        <w:pStyle w:val="Style40"/>
        <w:keepNext w:val="0"/>
        <w:keepLines w:val="0"/>
        <w:widowControl w:val="0"/>
        <w:shd w:val="clear" w:color="auto" w:fill="auto"/>
        <w:bidi w:val="0"/>
        <w:spacing w:before="0" w:after="200" w:line="461" w:lineRule="exact"/>
        <w:ind w:left="0" w:right="0" w:firstLine="0"/>
        <w:jc w:val="left"/>
      </w:pPr>
      <w:r>
        <w:rPr>
          <w:color w:val="000000"/>
          <w:spacing w:val="0"/>
          <w:w w:val="100"/>
          <w:position w:val="0"/>
        </w:rPr>
        <w:t>资产负债表日市场价格异常的判断依据为：本期期末存货项目的可变现净值以资产负债表日市场价格为基 础确定。</w:t>
      </w:r>
    </w:p>
    <w:p>
      <w:pPr>
        <w:pStyle w:val="Style33"/>
        <w:keepNext/>
        <w:keepLines/>
        <w:widowControl w:val="0"/>
        <w:shd w:val="clear" w:color="auto" w:fill="auto"/>
        <w:tabs>
          <w:tab w:pos="451" w:val="left"/>
        </w:tabs>
        <w:bidi w:val="0"/>
        <w:spacing w:before="0" w:after="400" w:line="469" w:lineRule="exact"/>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55"/>
      <w:bookmarkEnd w:id="656"/>
      <w:bookmarkEnd w:id="65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盘存制度：永续盘存制</w:t>
      </w:r>
    </w:p>
    <w:p>
      <w:pPr>
        <w:pStyle w:val="Style33"/>
        <w:keepNext/>
        <w:keepLines/>
        <w:widowControl w:val="0"/>
        <w:shd w:val="clear" w:color="auto" w:fill="auto"/>
        <w:tabs>
          <w:tab w:pos="451" w:val="left"/>
        </w:tabs>
        <w:bidi w:val="0"/>
        <w:spacing w:before="0" w:after="400" w:line="469" w:lineRule="exact"/>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59"/>
      <w:bookmarkEnd w:id="660"/>
      <w:bookmarkEnd w:id="6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摊销方法：一次摊销法</w:t>
      </w:r>
    </w:p>
    <w:p>
      <w:pPr>
        <w:pStyle w:val="Style33"/>
        <w:keepNext/>
        <w:keepLines/>
        <w:widowControl w:val="0"/>
        <w:shd w:val="clear" w:color="auto" w:fill="auto"/>
        <w:bidi w:val="0"/>
        <w:spacing w:before="0" w:after="0" w:line="48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63"/>
      <w:bookmarkEnd w:id="664"/>
      <w:bookmarkEnd w:id="666"/>
    </w:p>
    <w:p>
      <w:pPr>
        <w:pStyle w:val="Style33"/>
        <w:keepNext/>
        <w:keepLines/>
        <w:widowControl w:val="0"/>
        <w:shd w:val="clear" w:color="auto" w:fill="auto"/>
        <w:bidi w:val="0"/>
        <w:spacing w:before="0" w:after="200" w:line="469" w:lineRule="exact"/>
        <w:ind w:left="0" w:right="0" w:firstLine="0"/>
        <w:jc w:val="left"/>
      </w:pPr>
      <w:bookmarkStart w:id="663" w:name="bookmark663"/>
      <w:bookmarkStart w:id="664" w:name="bookmark664"/>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63"/>
      <w:bookmarkEnd w:id="664"/>
      <w:bookmarkEnd w:id="668"/>
    </w:p>
    <w:p>
      <w:pPr>
        <w:pStyle w:val="Style40"/>
        <w:keepNext w:val="0"/>
        <w:keepLines w:val="0"/>
        <w:widowControl w:val="0"/>
        <w:shd w:val="clear" w:color="auto" w:fill="auto"/>
        <w:bidi w:val="0"/>
        <w:spacing w:before="0" w:after="0" w:line="469" w:lineRule="exact"/>
        <w:ind w:left="0" w:right="0" w:firstLine="0"/>
        <w:jc w:val="left"/>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a</w:t>
      </w:r>
      <w:r>
        <w:rPr>
          <w:color w:val="000000"/>
          <w:spacing w:val="0"/>
          <w:w w:val="100"/>
          <w:position w:val="0"/>
        </w:rPr>
        <w:t xml:space="preserve">） </w:t>
      </w:r>
      <w:r>
        <w:rPr>
          <w:color w:val="000000"/>
          <w:spacing w:val="0"/>
          <w:w w:val="100"/>
          <w:position w:val="0"/>
        </w:rPr>
        <w:t>企业合并形成的长期股权投资同一控制下的企业合并：公司以支付现金、转让非现金资产或承担债 务方式以及以发行权益性证券作为合并对价的，在合并日按照取得被合并方所有者权益账面价值的份额作 为长期股权投资的初始投资成本。长期股权投资初始投资成本与支付合并对价之间的差额，调整资本公积 中的股本溢价；资本公积中的股本溢价不足冲减的，调整留存收益。合并发生的各项直接相关费用，包括 为进行合并而支付的审计费用、评估费用、法律服务费用等，于发生时计入当期损益。非同一控制下的企 业合并：公司按照购买日确定的合并成本作为长期股权投资的初始投资成本。合并成本为购买日购买方为 取得对被购买方的控制权而付出的资产、发生或承担的负债以及发行的权益性证券的公允价值。购买方为 企业合并而发生的审计、法律服务、评估咨询等中介费用以及其他相关管理费用于发生时计入当期损益； 购买方作为合并对价发行的权益性证券或债务性证券的交易费用，计入权益性证券或债务性证券的初始确 认金额。通过多次交易分步实现的非同一控制下企业合并，以购买日之前所持被购买方的股权投资的账面 价值与购买日新增投资成本之和，作为该项投资的初始投资成本。本公司将合并协议约定的或有对价作为 企业合并转移对价的一部分，按照其在购买日的公允价值计入企业合并成本。</w:t>
      </w:r>
    </w:p>
    <w:p>
      <w:pPr>
        <w:pStyle w:val="Style40"/>
        <w:keepNext w:val="0"/>
        <w:keepLines w:val="0"/>
        <w:widowControl w:val="0"/>
        <w:shd w:val="clear" w:color="auto" w:fill="auto"/>
        <w:tabs>
          <w:tab w:pos="557" w:val="left"/>
        </w:tabs>
        <w:bidi w:val="0"/>
        <w:spacing w:before="0" w:after="200" w:line="470" w:lineRule="exact"/>
        <w:ind w:left="0" w:right="0" w:firstLine="0"/>
        <w:jc w:val="left"/>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 xml:space="preserve">其他方式取得的长期股权投资以支付现金方式取得的长期股权投资，按照实际支付的购买价款作为 初始投资成本。以发行权益性证券取得的长期股权投资，按照发行权益性证券的公允价值作为初始投资成 本。投资者投入的长期股权投资，按照投资合同或协议约定的价值（扣除已宣告但尚未发放的现金股利或 利润）作为初始投资成本，但合同或协议约定价值不公允的除外。在非货币性资产交换具备商业实质和换 入资产或换出资产的公允价值能够可靠计量的前提下，非货币性资产交换换入的长期股权投资以换出资产 </w:t>
      </w:r>
      <w:r>
        <w:rPr>
          <w:color w:val="000000"/>
          <w:spacing w:val="0"/>
          <w:w w:val="100"/>
          <w:position w:val="0"/>
        </w:rPr>
        <w:t>的公允价值为基础确定其初始投资成本，除非有确凿证据表明换入资产的公允价值更加可靠；不满足上述 前提的非货币性资产交换，以换出资产的账面价值和应支付的相关税费作为换入长期股权投资的初始投资 成本。通过债务重组取得的长期股权投资，其初始投资成本按照公允价值为基础确定。</w:t>
      </w:r>
    </w:p>
    <w:p>
      <w:pPr>
        <w:pStyle w:val="Style33"/>
        <w:keepNext/>
        <w:keepLines/>
        <w:widowControl w:val="0"/>
        <w:numPr>
          <w:ilvl w:val="0"/>
          <w:numId w:val="15"/>
        </w:numPr>
        <w:shd w:val="clear" w:color="auto" w:fill="auto"/>
        <w:bidi w:val="0"/>
        <w:spacing w:before="0" w:after="200" w:line="469" w:lineRule="exact"/>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后续计量及损益确认</w:t>
      </w:r>
      <w:bookmarkEnd w:id="671"/>
      <w:bookmarkEnd w:id="672"/>
      <w:bookmarkEnd w:id="674"/>
    </w:p>
    <w:p>
      <w:pPr>
        <w:pStyle w:val="Style40"/>
        <w:keepNext w:val="0"/>
        <w:keepLines w:val="0"/>
        <w:widowControl w:val="0"/>
        <w:numPr>
          <w:ilvl w:val="0"/>
          <w:numId w:val="19"/>
        </w:numPr>
        <w:shd w:val="clear" w:color="auto" w:fill="auto"/>
        <w:tabs>
          <w:tab w:pos="529" w:val="left"/>
        </w:tabs>
        <w:bidi w:val="0"/>
        <w:spacing w:before="0" w:after="0" w:line="470" w:lineRule="exact"/>
        <w:ind w:left="0" w:right="0" w:firstLine="0"/>
        <w:jc w:val="left"/>
      </w:pPr>
      <w:bookmarkStart w:id="675" w:name="bookmark675"/>
      <w:bookmarkEnd w:id="675"/>
      <w:r>
        <w:rPr>
          <w:color w:val="000000"/>
          <w:spacing w:val="0"/>
          <w:w w:val="100"/>
          <w:position w:val="0"/>
        </w:rPr>
        <w:t>后续计量公司对子公司的长期股权投资，采用成本法核算，编制合并财务报表时按照权益法进行调 整。对被投资单位不具有共同控制或重大影响，并且在活跃市场中没有报价、公允价值不能可靠计量的长 期股权投资，采用成本法核算。对被投资单位具有共同控制或重大影响的长期股权投资，采用权益法核算。 初始投资成本大于投资时应享有被投资单位可辨认净资产公允价值份额的差额，不调整长期股权投资的初 始投资成本；初始投资成本小于投资时应享有被投资单位可辨认净资产公允价值份额的差额，计入当期损 益。被投资单位除净损益以外所有者权益其他变动的处理：对于被投资单位除净损益以外所有者权益的其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w:t>
      </w:r>
    </w:p>
    <w:p>
      <w:pPr>
        <w:pStyle w:val="Style40"/>
        <w:keepNext w:val="0"/>
        <w:keepLines w:val="0"/>
        <w:widowControl w:val="0"/>
        <w:numPr>
          <w:ilvl w:val="0"/>
          <w:numId w:val="19"/>
        </w:numPr>
        <w:shd w:val="clear" w:color="auto" w:fill="auto"/>
        <w:bidi w:val="0"/>
        <w:spacing w:before="0" w:after="0" w:line="469" w:lineRule="exact"/>
        <w:ind w:left="0" w:right="0" w:firstLine="0"/>
        <w:jc w:val="left"/>
      </w:pPr>
      <w:bookmarkStart w:id="676" w:name="bookmark676"/>
      <w:bookmarkEnd w:id="676"/>
      <w:r>
        <w:rPr>
          <w:color w:val="000000"/>
          <w:spacing w:val="0"/>
          <w:w w:val="100"/>
          <w:position w:val="0"/>
        </w:rPr>
        <w:t xml:space="preserve"> </w:t>
      </w:r>
      <w:r>
        <w:rPr>
          <w:color w:val="000000"/>
          <w:spacing w:val="0"/>
          <w:w w:val="100"/>
          <w:position w:val="0"/>
        </w:rPr>
        <w:t>损益确认权益法下，在被投资单位账面净利润的基础上考虑：被投资单位与本公司采用的会计政策 及会计期间不一致，按本公司的会计政策及会计期间对被投资单位财务报表进行调整；以取得投资时被投 资单位固定资产、无形资产的公允价值为基础计提的折旧额或摊销额以及有关资产减值准备金额等对被投 资单位净利润的影响；对本公司与联营企业及合营企业之间发生的未实现内部交易予以抵销等事项的适当 调整后，确认应享有或应负担被投资单位的净利润或净亏损。在公司确认应分担被投资单位发生的亏损时, 按照以下顺序进行处理：首先，冲减长期股权投资的账面价值。其次，长期股权投资的账面价值不足以冲 减的，以其他实质上构成对被投资单位净投资的长期权益账面价值为限继续确认投资损失，冲减长期应收 项目等的账面价值。最后，经过上述处理，按照投资合同或协议约定企业仍承担额外义务的，按预计承担 的义务确认预计负债，计入当期投资损失。被投资单位以后期间实现盈利的，公司在扣除未确认的亏损分 担额后，按与上述相反的顺序处理，减记已确认预计负债的账面余额、恢复其他实质上构成对被投资单位 净投资的长期权益及长期股权投资的账面价值，同时确认投资收益。在持有投资期间，被投资单位能够提 供合并财务报表的，应当以合并财务报表中的净利润和其他权益变动为基础进行核算。</w:t>
      </w:r>
    </w:p>
    <w:p>
      <w:pPr>
        <w:pStyle w:val="Style40"/>
        <w:keepNext w:val="0"/>
        <w:keepLines w:val="0"/>
        <w:widowControl w:val="0"/>
        <w:numPr>
          <w:ilvl w:val="0"/>
          <w:numId w:val="19"/>
        </w:numPr>
        <w:shd w:val="clear" w:color="auto" w:fill="auto"/>
        <w:tabs>
          <w:tab w:pos="529" w:val="left"/>
        </w:tabs>
        <w:bidi w:val="0"/>
        <w:spacing w:before="0" w:after="200" w:line="474" w:lineRule="exact"/>
        <w:ind w:left="0" w:right="0" w:firstLine="0"/>
        <w:jc w:val="left"/>
      </w:pPr>
      <w:bookmarkStart w:id="677" w:name="bookmark677"/>
      <w:bookmarkEnd w:id="677"/>
      <w:r>
        <w:rPr>
          <w:color w:val="000000"/>
          <w:spacing w:val="0"/>
          <w:w w:val="100"/>
          <w:position w:val="0"/>
        </w:rPr>
        <w:t xml:space="preserve">长期股权投资的处置处置长期股权投资，其账面价值与实际取得价款的差额，计入当期损益。采用 权益法核算的长期股权投资，因被投资单位除净损益以外所有者权益的其他变动而计入所有者权益的，处 置该项投资时将原计入所有者权益的部分按相应比例转入当期损益。因处置部分股权投资或其他原因丧失 了对原有子公司控制权的，对于剩余股权，按其账面价值确认为长期股权投资或其他相关金融资产。处置 </w:t>
      </w:r>
      <w:r>
        <w:rPr>
          <w:color w:val="000000"/>
          <w:spacing w:val="0"/>
          <w:w w:val="100"/>
          <w:position w:val="0"/>
        </w:rPr>
        <w:t>后的剩余股权能够对原有子公司实施共同控制或重大影响的，首先按处置或收回投资的比例结转应终止确 认的长期股权投资成本。在此基础上，比较剩余的长期股权投资成本与按照剩余持股比例计算原投资时应 享有被投资单位可辨认净资产公允价值的份额，属于投资作价中体现的商誉部分，不调整长期股权投资的 账面价值；属于投资成本小于原投资时应享有被投资单位可辨认净资产公允价值份额的，在调整长期股权 投资成本的同时调整留存收益。对于原取得投资后至因处置投资导致转变为权益法核算之间被投资单位实 现净损益中应享有的份额，一方面调整长期股权投资的账面价值，同时对于原取得投资时至处置投资当期 期初被投资单位实现的净损益（扣除已发放及已宣告发放的现金股利和利润）中应享有的份额，调整留存 收益，对于处置投资当期期初至处置投资之日被投资单位实现的净损益中享有的份额，调整当期损益；其 他原因导致被投资单位所有者权益变动中应享有的份额，在调整长期股权投资账面价值的同时，计入资本 公积（其他资本公积）。</w:t>
      </w:r>
    </w:p>
    <w:p>
      <w:pPr>
        <w:pStyle w:val="Style33"/>
        <w:keepNext/>
        <w:keepLines/>
        <w:widowControl w:val="0"/>
        <w:shd w:val="clear" w:color="auto" w:fill="auto"/>
        <w:tabs>
          <w:tab w:pos="433" w:val="left"/>
        </w:tabs>
        <w:bidi w:val="0"/>
        <w:spacing w:before="0" w:after="200" w:line="468" w:lineRule="exact"/>
        <w:ind w:left="0" w:right="0" w:firstLine="0"/>
        <w:jc w:val="both"/>
      </w:pPr>
      <w:bookmarkStart w:id="678" w:name="bookmark678"/>
      <w:bookmarkStart w:id="679" w:name="bookmark679"/>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78"/>
      <w:bookmarkEnd w:id="679"/>
      <w:bookmarkEnd w:id="681"/>
    </w:p>
    <w:p>
      <w:pPr>
        <w:pStyle w:val="Style40"/>
        <w:keepNext w:val="0"/>
        <w:keepLines w:val="0"/>
        <w:widowControl w:val="0"/>
        <w:shd w:val="clear" w:color="auto" w:fill="auto"/>
        <w:bidi w:val="0"/>
        <w:spacing w:before="0" w:after="200" w:line="468" w:lineRule="exact"/>
        <w:ind w:left="0" w:right="0" w:firstLine="0"/>
        <w:jc w:val="both"/>
      </w:pPr>
      <w:r>
        <w:rPr>
          <w:color w:val="000000"/>
          <w:spacing w:val="0"/>
          <w:w w:val="100"/>
          <w:position w:val="0"/>
        </w:rPr>
        <w:t>共同控制，是指按照合同约定对某项经济活动所共有的控制，仅在与该项经济活动相关的重要财务和经营 决策需要分享控制权的投资方一致同意时存在。投资企业与其他方对被投资单位实施共同控制的，被投资 单位为其合营企业。重大影响，是指对一个企业的财务和经营决策有参与决策的权力，但并不能够控制或 者与其他方一起共同控制这些政策的制定。投资企业能够对被投资单位施加重大影响的，被投资单位为其 联营企业。</w:t>
      </w:r>
    </w:p>
    <w:p>
      <w:pPr>
        <w:pStyle w:val="Style33"/>
        <w:keepNext/>
        <w:keepLines/>
        <w:widowControl w:val="0"/>
        <w:shd w:val="clear" w:color="auto" w:fill="auto"/>
        <w:tabs>
          <w:tab w:pos="433" w:val="left"/>
        </w:tabs>
        <w:bidi w:val="0"/>
        <w:spacing w:before="0" w:after="200" w:line="468" w:lineRule="exact"/>
        <w:ind w:left="0" w:right="0" w:firstLine="0"/>
        <w:jc w:val="both"/>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82"/>
      <w:bookmarkEnd w:id="683"/>
      <w:bookmarkEnd w:id="685"/>
    </w:p>
    <w:p>
      <w:pPr>
        <w:pStyle w:val="Style40"/>
        <w:keepNext w:val="0"/>
        <w:keepLines w:val="0"/>
        <w:widowControl w:val="0"/>
        <w:shd w:val="clear" w:color="auto" w:fill="auto"/>
        <w:bidi w:val="0"/>
        <w:spacing w:before="0" w:after="460" w:line="467" w:lineRule="exact"/>
        <w:ind w:left="0" w:right="0" w:firstLine="0"/>
        <w:jc w:val="both"/>
      </w:pPr>
      <w:r>
        <w:rPr>
          <w:color w:val="000000"/>
          <w:spacing w:val="0"/>
          <w:w w:val="100"/>
          <w:position w:val="0"/>
        </w:rPr>
        <w:t>重大影响以下的、在活跃市场中没有报价、公允价值不能可靠计量的长期股权投资，其减值损失是根据其 账面价值与按类似金融资产当时市场收益率对未来现金流量折现确定的现值之间的差额进行确定。除因企 业合并形成的商誉以外的存在减值迹象的其他长期股权投资，如果可收回金额的计量结果表明，该长期股 权投资的可收回金额低于其账面价值的，将差额确认为减值损失。因企业合并形成的商誉，无论是否存在 减值迹象，每年都进行减值测试。长期股权投资减值损失一经确认，不再转回。</w:t>
      </w:r>
    </w:p>
    <w:p>
      <w:pPr>
        <w:pStyle w:val="Style33"/>
        <w:keepNext/>
        <w:keepLines/>
        <w:widowControl w:val="0"/>
        <w:shd w:val="clear" w:color="auto" w:fill="auto"/>
        <w:bidi w:val="0"/>
        <w:spacing w:before="0" w:after="200" w:line="480" w:lineRule="auto"/>
        <w:ind w:left="0" w:right="0" w:firstLine="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686"/>
      <w:bookmarkEnd w:id="687"/>
      <w:bookmarkEnd w:id="689"/>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690"/>
      <w:bookmarkEnd w:id="691"/>
      <w:bookmarkEnd w:id="693"/>
    </w:p>
    <w:p>
      <w:pPr>
        <w:pStyle w:val="Style33"/>
        <w:keepNext/>
        <w:keepLines/>
        <w:widowControl w:val="0"/>
        <w:numPr>
          <w:ilvl w:val="0"/>
          <w:numId w:val="21"/>
        </w:numPr>
        <w:shd w:val="clear" w:color="auto" w:fill="auto"/>
        <w:tabs>
          <w:tab w:pos="493" w:val="left"/>
        </w:tabs>
        <w:bidi w:val="0"/>
        <w:spacing w:before="0" w:after="440" w:line="240" w:lineRule="auto"/>
        <w:ind w:left="0" w:right="0" w:firstLine="0"/>
        <w:jc w:val="left"/>
      </w:pPr>
      <w:bookmarkStart w:id="690" w:name="bookmark690"/>
      <w:bookmarkStart w:id="691" w:name="bookmark691"/>
      <w:bookmarkStart w:id="694" w:name="bookmark694"/>
      <w:bookmarkStart w:id="695" w:name="bookmark695"/>
      <w:bookmarkEnd w:id="694"/>
      <w:r>
        <w:rPr>
          <w:color w:val="000000"/>
          <w:spacing w:val="0"/>
          <w:w w:val="100"/>
          <w:position w:val="0"/>
        </w:rPr>
        <w:t>固定资产确认条件</w:t>
      </w:r>
      <w:bookmarkEnd w:id="690"/>
      <w:bookmarkEnd w:id="691"/>
      <w:bookmarkEnd w:id="695"/>
    </w:p>
    <w:p>
      <w:pPr>
        <w:pStyle w:val="Style4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固定资产指为生产商品、提供劳务、出租或经营管理而持有，并且使用寿命超过一个会计年度的有形资产。</w:t>
      </w:r>
    </w:p>
    <w:p>
      <w:pPr>
        <w:pStyle w:val="Style4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固定资产在同时满足下列条件时予以确认：</w:t>
      </w:r>
    </w:p>
    <w:p>
      <w:pPr>
        <w:pStyle w:val="Style40"/>
        <w:keepNext w:val="0"/>
        <w:keepLines w:val="0"/>
        <w:widowControl w:val="0"/>
        <w:numPr>
          <w:ilvl w:val="0"/>
          <w:numId w:val="23"/>
        </w:numPr>
        <w:shd w:val="clear" w:color="auto" w:fill="auto"/>
        <w:tabs>
          <w:tab w:pos="478" w:val="left"/>
        </w:tabs>
        <w:bidi w:val="0"/>
        <w:spacing w:before="0" w:after="260" w:line="240" w:lineRule="auto"/>
        <w:ind w:left="0" w:right="0" w:firstLine="0"/>
        <w:jc w:val="left"/>
      </w:pPr>
      <w:bookmarkStart w:id="696" w:name="bookmark696"/>
      <w:bookmarkEnd w:id="696"/>
      <w:r>
        <w:rPr>
          <w:color w:val="000000"/>
          <w:spacing w:val="0"/>
          <w:w w:val="100"/>
          <w:position w:val="0"/>
        </w:rPr>
        <w:t>与该固定资产有关的经济利益很可能流入企业；</w:t>
      </w:r>
    </w:p>
    <w:p>
      <w:pPr>
        <w:pStyle w:val="Style40"/>
        <w:keepNext w:val="0"/>
        <w:keepLines w:val="0"/>
        <w:widowControl w:val="0"/>
        <w:numPr>
          <w:ilvl w:val="0"/>
          <w:numId w:val="23"/>
        </w:numPr>
        <w:shd w:val="clear" w:color="auto" w:fill="auto"/>
        <w:tabs>
          <w:tab w:pos="488" w:val="left"/>
        </w:tabs>
        <w:bidi w:val="0"/>
        <w:spacing w:before="0" w:after="440" w:line="240" w:lineRule="auto"/>
        <w:ind w:left="0" w:right="0" w:firstLine="0"/>
        <w:jc w:val="left"/>
      </w:pPr>
      <w:bookmarkStart w:id="697" w:name="bookmark697"/>
      <w:bookmarkEnd w:id="697"/>
      <w:r>
        <w:rPr>
          <w:color w:val="000000"/>
          <w:spacing w:val="0"/>
          <w:w w:val="100"/>
          <w:position w:val="0"/>
        </w:rPr>
        <w:t>该固定资产的成本能够可靠地计量。</w:t>
      </w:r>
    </w:p>
    <w:p>
      <w:pPr>
        <w:pStyle w:val="Style33"/>
        <w:keepNext/>
        <w:keepLines/>
        <w:widowControl w:val="0"/>
        <w:numPr>
          <w:ilvl w:val="0"/>
          <w:numId w:val="21"/>
        </w:numPr>
        <w:shd w:val="clear" w:color="auto" w:fill="auto"/>
        <w:tabs>
          <w:tab w:pos="493" w:val="left"/>
        </w:tabs>
        <w:bidi w:val="0"/>
        <w:spacing w:before="0" w:after="440" w:line="240" w:lineRule="auto"/>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融资租入固定资产的认定依据、计价方法</w:t>
      </w:r>
      <w:bookmarkEnd w:id="698"/>
      <w:bookmarkEnd w:id="699"/>
      <w:bookmarkEnd w:id="70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numPr>
          <w:ilvl w:val="0"/>
          <w:numId w:val="21"/>
        </w:numPr>
        <w:shd w:val="clear" w:color="auto" w:fill="auto"/>
        <w:tabs>
          <w:tab w:pos="493" w:val="left"/>
        </w:tabs>
        <w:bidi w:val="0"/>
        <w:spacing w:before="0" w:after="360" w:line="240" w:lineRule="auto"/>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各类固定资产的折旧方法</w:t>
      </w:r>
      <w:bookmarkEnd w:id="702"/>
      <w:bookmarkEnd w:id="703"/>
      <w:bookmarkEnd w:id="705"/>
    </w:p>
    <w:p>
      <w:pPr>
        <w:pStyle w:val="Style4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固定资产折旧采用年限平均法计提，根据固定资产类别、预计使用寿命和预计净残值率确定折旧率。</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7.92-31.67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7.92-31.67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bl>
    <w:p>
      <w:pPr>
        <w:widowControl w:val="0"/>
        <w:spacing w:after="99" w:line="1" w:lineRule="exact"/>
      </w:pPr>
    </w:p>
    <w:p>
      <w:pPr>
        <w:pStyle w:val="Style33"/>
        <w:keepNext/>
        <w:keepLines/>
        <w:widowControl w:val="0"/>
        <w:numPr>
          <w:ilvl w:val="0"/>
          <w:numId w:val="21"/>
        </w:numPr>
        <w:shd w:val="clear" w:color="auto" w:fill="auto"/>
        <w:bidi w:val="0"/>
        <w:spacing w:before="0" w:after="220" w:line="469" w:lineRule="exact"/>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固定资产的减值测试方法、减值准备计提方法</w:t>
      </w:r>
      <w:bookmarkEnd w:id="706"/>
      <w:bookmarkEnd w:id="707"/>
      <w:bookmarkEnd w:id="709"/>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期末判断固定资产是否存在可能发生减值的迹象。</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对存在减值迹象的，估计其可收回金额。可收回金额根据固定资产的公允价值减去处置费用后的净额与固 定资产预计未来现金流量的值两者之间较高者确定。</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当固定资产的可收回金额低于其账面价值的，将固定资产的账面价值减记至可收回金额，减记的金额确认 为固定资产减值损失，计入当期损益，同时计提相应的固定资产减值准备。</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固定资产减值损失确认后，减值固定资产的折旧在未来期间作相应调整，以使该固定资产在剩余使用寿命 内，系统地分摊调整后的固定资产账面价值。</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有迹象表明一项固定资产可能发生减值的，企业以单项固定资产为基础估计其可收回金额。企业难以对单 项固定资产的可收回金额进行估计的，以该固定资产所属的资产组为基础确定资产组的可收回金额。</w:t>
      </w:r>
    </w:p>
    <w:p>
      <w:pPr>
        <w:pStyle w:val="Style40"/>
        <w:keepNext w:val="0"/>
        <w:keepLines w:val="0"/>
        <w:widowControl w:val="0"/>
        <w:shd w:val="clear" w:color="auto" w:fill="auto"/>
        <w:bidi w:val="0"/>
        <w:spacing w:before="0" w:after="360" w:line="469" w:lineRule="exact"/>
        <w:ind w:left="0" w:right="0" w:firstLine="0"/>
        <w:jc w:val="both"/>
      </w:pPr>
      <w:r>
        <w:rPr>
          <w:color w:val="000000"/>
          <w:spacing w:val="0"/>
          <w:w w:val="100"/>
          <w:position w:val="0"/>
        </w:rPr>
        <w:t>固定资产的减值损失一经确认，在以后会计期间不再转回。</w:t>
      </w:r>
    </w:p>
    <w:p>
      <w:pPr>
        <w:pStyle w:val="Style33"/>
        <w:keepNext/>
        <w:keepLines/>
        <w:widowControl w:val="0"/>
        <w:numPr>
          <w:ilvl w:val="0"/>
          <w:numId w:val="21"/>
        </w:numPr>
        <w:shd w:val="clear" w:color="auto" w:fill="auto"/>
        <w:bidi w:val="0"/>
        <w:spacing w:before="0" w:after="220" w:line="472" w:lineRule="exact"/>
        <w:ind w:left="0" w:right="0" w:firstLine="0"/>
        <w:jc w:val="both"/>
      </w:pPr>
      <w:bookmarkStart w:id="710" w:name="bookmark710"/>
      <w:bookmarkStart w:id="711" w:name="bookmark711"/>
      <w:bookmarkStart w:id="712" w:name="bookmark712"/>
      <w:bookmarkStart w:id="713" w:name="bookmark713"/>
      <w:bookmarkEnd w:id="712"/>
      <w:r>
        <w:rPr>
          <w:color w:val="000000"/>
          <w:spacing w:val="0"/>
          <w:w w:val="100"/>
          <w:position w:val="0"/>
        </w:rPr>
        <w:t>其他说明</w:t>
      </w:r>
      <w:bookmarkEnd w:id="710"/>
      <w:bookmarkEnd w:id="711"/>
      <w:bookmarkEnd w:id="713"/>
    </w:p>
    <w:p>
      <w:pPr>
        <w:pStyle w:val="Style40"/>
        <w:keepNext w:val="0"/>
        <w:keepLines w:val="0"/>
        <w:widowControl w:val="0"/>
        <w:shd w:val="clear" w:color="auto" w:fill="auto"/>
        <w:bidi w:val="0"/>
        <w:spacing w:before="0" w:after="0" w:line="472" w:lineRule="exact"/>
        <w:ind w:left="0" w:right="0" w:firstLine="0"/>
        <w:jc w:val="both"/>
      </w:pPr>
      <w:r>
        <w:rPr>
          <w:color w:val="000000"/>
          <w:spacing w:val="0"/>
          <w:w w:val="100"/>
          <w:position w:val="0"/>
        </w:rPr>
        <w:t>固定资产取得时一般采用实际成本计价。</w:t>
      </w:r>
    </w:p>
    <w:p>
      <w:pPr>
        <w:pStyle w:val="Style40"/>
        <w:keepNext w:val="0"/>
        <w:keepLines w:val="0"/>
        <w:widowControl w:val="0"/>
        <w:numPr>
          <w:ilvl w:val="0"/>
          <w:numId w:val="25"/>
        </w:numPr>
        <w:shd w:val="clear" w:color="auto" w:fill="auto"/>
        <w:bidi w:val="0"/>
        <w:spacing w:before="0" w:after="0" w:line="472" w:lineRule="exact"/>
        <w:ind w:left="0" w:right="0" w:firstLine="0"/>
        <w:jc w:val="both"/>
      </w:pPr>
      <w:bookmarkStart w:id="714" w:name="bookmark714"/>
      <w:bookmarkEnd w:id="714"/>
      <w:r>
        <w:rPr>
          <w:color w:val="000000"/>
          <w:spacing w:val="0"/>
          <w:w w:val="100"/>
          <w:position w:val="0"/>
        </w:rPr>
        <w:t xml:space="preserve"> </w:t>
      </w:r>
      <w:r>
        <w:rPr>
          <w:color w:val="000000"/>
          <w:spacing w:val="0"/>
          <w:w w:val="100"/>
          <w:position w:val="0"/>
        </w:rPr>
        <w:t>外购固定资产的成本，以购买价款、相关税费、使固定资产达到预定可使用状态前所发生的可归属 于该项资产的运输费、装卸费、安装费和专业人员服务费等确定。购买固定资产的价款超过正常信用条件 延期支付，实质上具有融资性质的，固定资产的成本以购买价款的现值为基础确定。(</w:t>
      </w:r>
      <w:r>
        <w:rPr>
          <w:rFonts w:ascii="Times New Roman" w:eastAsia="Times New Roman" w:hAnsi="Times New Roman" w:cs="Times New Roman"/>
          <w:color w:val="000000"/>
          <w:spacing w:val="0"/>
          <w:w w:val="100"/>
          <w:position w:val="0"/>
        </w:rPr>
        <w:t>2</w:t>
      </w:r>
      <w:r>
        <w:rPr>
          <w:color w:val="000000"/>
          <w:spacing w:val="0"/>
          <w:w w:val="100"/>
          <w:position w:val="0"/>
        </w:rPr>
        <w:t>)自行建造固定 资产的成本，由建造该项资产达到预定可使用状态前所发生的必要支出构成。</w:t>
      </w:r>
    </w:p>
    <w:p>
      <w:pPr>
        <w:pStyle w:val="Style40"/>
        <w:keepNext w:val="0"/>
        <w:keepLines w:val="0"/>
        <w:widowControl w:val="0"/>
        <w:numPr>
          <w:ilvl w:val="0"/>
          <w:numId w:val="25"/>
        </w:numPr>
        <w:shd w:val="clear" w:color="auto" w:fill="auto"/>
        <w:tabs>
          <w:tab w:pos="603" w:val="left"/>
        </w:tabs>
        <w:bidi w:val="0"/>
        <w:spacing w:before="0" w:after="0" w:line="475" w:lineRule="exact"/>
        <w:ind w:left="0" w:right="0" w:firstLine="0"/>
        <w:jc w:val="both"/>
      </w:pPr>
      <w:bookmarkStart w:id="715" w:name="bookmark715"/>
      <w:bookmarkEnd w:id="715"/>
      <w:r>
        <w:rPr>
          <w:color w:val="000000"/>
          <w:spacing w:val="0"/>
          <w:w w:val="100"/>
          <w:position w:val="0"/>
        </w:rPr>
        <w:t>债务重组取得债务人用以抵债的固定资产，以该固定资产的公允价值为基础确定其入账价值，并将 重组债务的账面价值与该用以抵债的固定资产公允价值之间的差额，计入当期损益；</w:t>
      </w:r>
    </w:p>
    <w:p>
      <w:pPr>
        <w:pStyle w:val="Style40"/>
        <w:keepNext w:val="0"/>
        <w:keepLines w:val="0"/>
        <w:widowControl w:val="0"/>
        <w:numPr>
          <w:ilvl w:val="0"/>
          <w:numId w:val="25"/>
        </w:numPr>
        <w:shd w:val="clear" w:color="auto" w:fill="auto"/>
        <w:tabs>
          <w:tab w:pos="603" w:val="left"/>
        </w:tabs>
        <w:bidi w:val="0"/>
        <w:spacing w:before="0" w:after="0" w:line="475" w:lineRule="exact"/>
        <w:ind w:left="0" w:right="0" w:firstLine="0"/>
        <w:jc w:val="both"/>
      </w:pPr>
      <w:bookmarkStart w:id="716" w:name="bookmark716"/>
      <w:bookmarkEnd w:id="716"/>
      <w:r>
        <w:rPr>
          <w:color w:val="000000"/>
          <w:spacing w:val="0"/>
          <w:w w:val="100"/>
          <w:position w:val="0"/>
        </w:rPr>
        <w:t>在非货币性资产交换具备商业实质和换入资产或换出资产的公允价值能够可靠计量的前提下，换入 的固定资产以换出资产的公允价值为基础确定其入账价值，除非有确凿证据表明换入资产的公允价值更加 可靠；不满足上述前提的非货币性资产交换，以换出资产的账面价值和应支付的相关税费作为换入固定资 产的成本，不确认损益。</w:t>
      </w:r>
    </w:p>
    <w:p>
      <w:pPr>
        <w:pStyle w:val="Style40"/>
        <w:keepNext w:val="0"/>
        <w:keepLines w:val="0"/>
        <w:widowControl w:val="0"/>
        <w:numPr>
          <w:ilvl w:val="0"/>
          <w:numId w:val="25"/>
        </w:numPr>
        <w:shd w:val="clear" w:color="auto" w:fill="auto"/>
        <w:tabs>
          <w:tab w:pos="598" w:val="left"/>
        </w:tabs>
        <w:bidi w:val="0"/>
        <w:spacing w:before="0" w:after="220" w:line="475" w:lineRule="exact"/>
        <w:ind w:left="0" w:right="0" w:firstLine="0"/>
        <w:jc w:val="both"/>
      </w:pPr>
      <w:bookmarkStart w:id="717" w:name="bookmark717"/>
      <w:bookmarkEnd w:id="717"/>
      <w:r>
        <w:rPr>
          <w:color w:val="000000"/>
          <w:spacing w:val="0"/>
          <w:w w:val="100"/>
          <w:position w:val="0"/>
        </w:rPr>
        <w:t>以同一控制下的企业吸收合并方式取得的固定资产按被合并方的账面价值确定其入账价值；以非同 一控制下的企业吸收合并方式取得的固定资产按公允价值确定其入账价值。</w:t>
      </w:r>
    </w:p>
    <w:p>
      <w:pPr>
        <w:pStyle w:val="Style33"/>
        <w:keepNext/>
        <w:keepLines/>
        <w:widowControl w:val="0"/>
        <w:shd w:val="clear" w:color="auto" w:fill="auto"/>
        <w:bidi w:val="0"/>
        <w:spacing w:before="0" w:after="140" w:line="472" w:lineRule="exact"/>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718"/>
      <w:bookmarkEnd w:id="719"/>
      <w:bookmarkEnd w:id="721"/>
    </w:p>
    <w:p>
      <w:pPr>
        <w:pStyle w:val="Style33"/>
        <w:keepNext/>
        <w:keepLines/>
        <w:widowControl w:val="0"/>
        <w:numPr>
          <w:ilvl w:val="0"/>
          <w:numId w:val="27"/>
        </w:numPr>
        <w:shd w:val="clear" w:color="auto" w:fill="auto"/>
        <w:tabs>
          <w:tab w:pos="493" w:val="left"/>
        </w:tabs>
        <w:bidi w:val="0"/>
        <w:spacing w:before="0" w:after="380" w:line="472" w:lineRule="exact"/>
        <w:ind w:left="0" w:right="0" w:firstLine="0"/>
        <w:jc w:val="both"/>
      </w:pPr>
      <w:bookmarkStart w:id="718" w:name="bookmark718"/>
      <w:bookmarkStart w:id="719" w:name="bookmark719"/>
      <w:bookmarkStart w:id="722" w:name="bookmark722"/>
      <w:bookmarkStart w:id="723" w:name="bookmark723"/>
      <w:bookmarkEnd w:id="722"/>
      <w:r>
        <w:rPr>
          <w:color w:val="000000"/>
          <w:spacing w:val="0"/>
          <w:w w:val="100"/>
          <w:position w:val="0"/>
        </w:rPr>
        <w:t>在建工程的类别</w:t>
      </w:r>
      <w:bookmarkEnd w:id="718"/>
      <w:bookmarkEnd w:id="719"/>
      <w:bookmarkEnd w:id="723"/>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在建工程以立项项目分类核算。</w:t>
      </w:r>
    </w:p>
    <w:p>
      <w:pPr>
        <w:pStyle w:val="Style33"/>
        <w:keepNext/>
        <w:keepLines/>
        <w:widowControl w:val="0"/>
        <w:numPr>
          <w:ilvl w:val="0"/>
          <w:numId w:val="27"/>
        </w:numPr>
        <w:shd w:val="clear" w:color="auto" w:fill="auto"/>
        <w:tabs>
          <w:tab w:pos="493" w:val="left"/>
        </w:tabs>
        <w:bidi w:val="0"/>
        <w:spacing w:before="0" w:after="220" w:line="472" w:lineRule="exact"/>
        <w:ind w:left="0" w:right="0" w:firstLine="0"/>
        <w:jc w:val="both"/>
      </w:pPr>
      <w:bookmarkStart w:id="724" w:name="bookmark724"/>
      <w:bookmarkStart w:id="725" w:name="bookmark725"/>
      <w:bookmarkStart w:id="726" w:name="bookmark726"/>
      <w:bookmarkStart w:id="727" w:name="bookmark727"/>
      <w:bookmarkEnd w:id="726"/>
      <w:r>
        <w:rPr>
          <w:color w:val="000000"/>
          <w:spacing w:val="0"/>
          <w:w w:val="100"/>
          <w:position w:val="0"/>
        </w:rPr>
        <w:t>在建工程结转为固定资产的标准和时点</w:t>
      </w:r>
      <w:bookmarkEnd w:id="724"/>
      <w:bookmarkEnd w:id="725"/>
      <w:bookmarkEnd w:id="727"/>
    </w:p>
    <w:p>
      <w:pPr>
        <w:pStyle w:val="Style40"/>
        <w:keepNext w:val="0"/>
        <w:keepLines w:val="0"/>
        <w:widowControl w:val="0"/>
        <w:shd w:val="clear" w:color="auto" w:fill="auto"/>
        <w:bidi w:val="0"/>
        <w:spacing w:before="0" w:after="220" w:line="467" w:lineRule="exact"/>
        <w:ind w:left="0" w:right="0" w:firstLine="0"/>
        <w:jc w:val="both"/>
      </w:pPr>
      <w:r>
        <w:rPr>
          <w:color w:val="000000"/>
          <w:spacing w:val="0"/>
          <w:w w:val="100"/>
          <w:position w:val="0"/>
        </w:rPr>
        <w:t>在建工程项目按建造该项资产达到预定可使用状态前所发生的全部支出，作为固定资产的入账价值。所建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提固定资产的折旧，待办理竣工决算后，再按实际成本调整原来的暂估价值，但不调整原已计提的折旧额。</w:t>
      </w:r>
    </w:p>
    <w:p>
      <w:pPr>
        <w:pStyle w:val="Style33"/>
        <w:keepNext/>
        <w:keepLines/>
        <w:widowControl w:val="0"/>
        <w:numPr>
          <w:ilvl w:val="0"/>
          <w:numId w:val="27"/>
        </w:numPr>
        <w:shd w:val="clear" w:color="auto" w:fill="auto"/>
        <w:tabs>
          <w:tab w:pos="493" w:val="left"/>
        </w:tabs>
        <w:bidi w:val="0"/>
        <w:spacing w:before="0" w:after="220" w:line="472" w:lineRule="exact"/>
        <w:ind w:left="0" w:right="0" w:firstLine="0"/>
        <w:jc w:val="both"/>
      </w:pPr>
      <w:bookmarkStart w:id="728" w:name="bookmark728"/>
      <w:bookmarkStart w:id="729" w:name="bookmark729"/>
      <w:bookmarkStart w:id="730" w:name="bookmark730"/>
      <w:bookmarkStart w:id="731" w:name="bookmark731"/>
      <w:bookmarkEnd w:id="730"/>
      <w:r>
        <w:rPr>
          <w:color w:val="000000"/>
          <w:spacing w:val="0"/>
          <w:w w:val="100"/>
          <w:position w:val="0"/>
        </w:rPr>
        <w:t>在建工程的减值测试方法、减值准备计提方法</w:t>
      </w:r>
      <w:bookmarkEnd w:id="728"/>
      <w:bookmarkEnd w:id="729"/>
      <w:bookmarkEnd w:id="731"/>
    </w:p>
    <w:p>
      <w:pPr>
        <w:pStyle w:val="Style40"/>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公司在每期末判断在建工程是否存在可能发生减值的迹象。</w:t>
      </w:r>
    </w:p>
    <w:p>
      <w:pPr>
        <w:pStyle w:val="Style40"/>
        <w:keepNext w:val="0"/>
        <w:keepLines w:val="0"/>
        <w:widowControl w:val="0"/>
        <w:shd w:val="clear" w:color="auto" w:fill="auto"/>
        <w:bidi w:val="0"/>
        <w:spacing w:before="0" w:after="0" w:line="470" w:lineRule="exact"/>
        <w:ind w:left="0" w:right="0" w:firstLine="0"/>
        <w:jc w:val="both"/>
      </w:pPr>
      <w:r>
        <w:rPr>
          <w:color w:val="000000"/>
          <w:spacing w:val="0"/>
          <w:w w:val="100"/>
          <w:position w:val="0"/>
        </w:rPr>
        <w:t xml:space="preserve">在建工程存在减值迹象的，估计其可收回金额。有迹象表明一项在建工程可能发生减值的，企业以单项在 建工程为基础估计其可收回金额。企业难以对单项在建工程的可收回金额进行估计的，以该在建工程所属 </w:t>
      </w:r>
      <w:r>
        <w:rPr>
          <w:color w:val="000000"/>
          <w:spacing w:val="0"/>
          <w:w w:val="100"/>
          <w:position w:val="0"/>
        </w:rPr>
        <w:t>的资产组为基础确定资产组的可收回金额。</w:t>
      </w:r>
    </w:p>
    <w:p>
      <w:pPr>
        <w:pStyle w:val="Style40"/>
        <w:keepNext w:val="0"/>
        <w:keepLines w:val="0"/>
        <w:widowControl w:val="0"/>
        <w:shd w:val="clear" w:color="auto" w:fill="auto"/>
        <w:bidi w:val="0"/>
        <w:spacing w:before="0" w:after="0" w:line="475" w:lineRule="exact"/>
        <w:ind w:left="0" w:right="0" w:firstLine="0"/>
        <w:jc w:val="left"/>
      </w:pPr>
      <w:r>
        <w:rPr>
          <w:color w:val="000000"/>
          <w:spacing w:val="0"/>
          <w:w w:val="100"/>
          <w:position w:val="0"/>
        </w:rPr>
        <w:t>可收回金额根据在建工程的公允价值减去处置费用后的净额与在建工程预计未来现金流量的现值两者之 间较高者确定。</w:t>
      </w:r>
    </w:p>
    <w:p>
      <w:pPr>
        <w:pStyle w:val="Style40"/>
        <w:keepNext w:val="0"/>
        <w:keepLines w:val="0"/>
        <w:widowControl w:val="0"/>
        <w:shd w:val="clear" w:color="auto" w:fill="auto"/>
        <w:bidi w:val="0"/>
        <w:spacing w:before="0" w:after="0" w:line="475" w:lineRule="exact"/>
        <w:ind w:left="0" w:right="0" w:firstLine="0"/>
        <w:jc w:val="left"/>
      </w:pPr>
      <w:r>
        <w:rPr>
          <w:color w:val="000000"/>
          <w:spacing w:val="0"/>
          <w:w w:val="100"/>
          <w:position w:val="0"/>
        </w:rPr>
        <w:t>当在建工程的可收回金额低于其账面价值的，将在建工程的账面价值减记至可收回金额，减记的金额确认 为在建工程减值损失，计入当期损益，同时计提相应的在建工程减值准备。</w:t>
      </w:r>
    </w:p>
    <w:p>
      <w:pPr>
        <w:pStyle w:val="Style40"/>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在建工程的减值损失一经确认，在以后会计期间不再转回。</w:t>
      </w:r>
    </w:p>
    <w:p>
      <w:pPr>
        <w:pStyle w:val="Style33"/>
        <w:keepNext/>
        <w:keepLines/>
        <w:widowControl w:val="0"/>
        <w:shd w:val="clear" w:color="auto" w:fill="auto"/>
        <w:tabs>
          <w:tab w:pos="474" w:val="left"/>
        </w:tabs>
        <w:bidi w:val="0"/>
        <w:spacing w:before="0" w:after="0" w:line="497"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32"/>
      <w:bookmarkEnd w:id="733"/>
      <w:bookmarkEnd w:id="735"/>
    </w:p>
    <w:p>
      <w:pPr>
        <w:pStyle w:val="Style33"/>
        <w:keepNext/>
        <w:keepLines/>
        <w:widowControl w:val="0"/>
        <w:shd w:val="clear" w:color="auto" w:fill="auto"/>
        <w:tabs>
          <w:tab w:pos="493" w:val="left"/>
        </w:tabs>
        <w:bidi w:val="0"/>
        <w:spacing w:before="0" w:after="380" w:line="475" w:lineRule="exact"/>
        <w:ind w:left="0" w:right="0" w:firstLine="0"/>
        <w:jc w:val="left"/>
      </w:pPr>
      <w:bookmarkStart w:id="732" w:name="bookmark732"/>
      <w:bookmarkStart w:id="733" w:name="bookmark733"/>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32"/>
      <w:bookmarkEnd w:id="733"/>
      <w:bookmarkEnd w:id="73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475" w:lineRule="exact"/>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w:t>
      </w:r>
      <w:bookmarkEnd w:id="740"/>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38"/>
      <w:bookmarkEnd w:id="739"/>
      <w:bookmarkEnd w:id="74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475" w:lineRule="exact"/>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42"/>
      <w:bookmarkEnd w:id="743"/>
      <w:bookmarkEnd w:id="74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475" w:lineRule="exact"/>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w:t>
      </w:r>
      <w:bookmarkEnd w:id="748"/>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46"/>
      <w:bookmarkEnd w:id="747"/>
      <w:bookmarkEnd w:id="74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74" w:val="left"/>
        </w:tabs>
        <w:bidi w:val="0"/>
        <w:spacing w:before="0" w:after="160" w:line="497"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750"/>
      <w:bookmarkEnd w:id="751"/>
      <w:bookmarkEnd w:id="75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74" w:val="left"/>
        </w:tabs>
        <w:bidi w:val="0"/>
        <w:spacing w:before="0" w:after="160" w:line="497"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754"/>
      <w:bookmarkEnd w:id="755"/>
      <w:bookmarkEnd w:id="75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0" w:line="497"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758"/>
      <w:bookmarkEnd w:id="759"/>
      <w:bookmarkEnd w:id="761"/>
    </w:p>
    <w:p>
      <w:pPr>
        <w:pStyle w:val="Style33"/>
        <w:keepNext/>
        <w:keepLines/>
        <w:widowControl w:val="0"/>
        <w:shd w:val="clear" w:color="auto" w:fill="auto"/>
        <w:bidi w:val="0"/>
        <w:spacing w:before="0" w:after="160" w:line="475" w:lineRule="exact"/>
        <w:ind w:left="0" w:right="0" w:firstLine="0"/>
        <w:jc w:val="left"/>
      </w:pPr>
      <w:bookmarkStart w:id="758" w:name="bookmark758"/>
      <w:bookmarkStart w:id="759" w:name="bookmark759"/>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58"/>
      <w:bookmarkEnd w:id="759"/>
      <w:bookmarkEnd w:id="763"/>
    </w:p>
    <w:p>
      <w:pPr>
        <w:pStyle w:val="Style40"/>
        <w:keepNext w:val="0"/>
        <w:keepLines w:val="0"/>
        <w:widowControl w:val="0"/>
        <w:shd w:val="clear" w:color="auto" w:fill="auto"/>
        <w:bidi w:val="0"/>
        <w:spacing w:before="0" w:after="0" w:line="47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公司取得无形资产时按成本进行初始计量；</w:t>
      </w:r>
    </w:p>
    <w:p>
      <w:pPr>
        <w:pStyle w:val="Style40"/>
        <w:keepNext w:val="0"/>
        <w:keepLines w:val="0"/>
        <w:widowControl w:val="0"/>
        <w:shd w:val="clear" w:color="auto" w:fill="auto"/>
        <w:bidi w:val="0"/>
        <w:spacing w:before="0" w:after="0" w:line="475" w:lineRule="exact"/>
        <w:ind w:left="0" w:right="0" w:firstLine="0"/>
        <w:jc w:val="left"/>
      </w:pPr>
      <w:r>
        <w:rPr>
          <w:color w:val="000000"/>
          <w:spacing w:val="0"/>
          <w:w w:val="100"/>
          <w:position w:val="0"/>
        </w:rPr>
        <w:t>外购无形资产的成本，包括购买价款、相关税费以及直接归属于使该项资产达到预定用途所发生的其他支</w:t>
      </w:r>
    </w:p>
    <w:p>
      <w:pPr>
        <w:pStyle w:val="Style40"/>
        <w:keepNext w:val="0"/>
        <w:keepLines w:val="0"/>
        <w:widowControl w:val="0"/>
        <w:shd w:val="clear" w:color="auto" w:fill="auto"/>
        <w:bidi w:val="0"/>
        <w:spacing w:before="0" w:after="0" w:line="475" w:lineRule="exact"/>
        <w:ind w:left="0" w:right="0" w:firstLine="0"/>
        <w:jc w:val="left"/>
      </w:pPr>
      <w:r>
        <w:rPr>
          <w:color w:val="000000"/>
          <w:spacing w:val="0"/>
          <w:w w:val="100"/>
          <w:position w:val="0"/>
        </w:rPr>
        <w:t xml:space="preserve">出。购买无形资产的价款超过正常信用条件延期支付，实质上具有融资性质的，无形资产的成本以购买价 </w:t>
      </w:r>
      <w:r>
        <w:rPr>
          <w:color w:val="000000"/>
          <w:spacing w:val="0"/>
          <w:w w:val="100"/>
          <w:position w:val="0"/>
        </w:rPr>
        <w:t>款的现值为基础确定。</w:t>
      </w:r>
    </w:p>
    <w:p>
      <w:pPr>
        <w:pStyle w:val="Style40"/>
        <w:keepNext w:val="0"/>
        <w:keepLines w:val="0"/>
        <w:widowControl w:val="0"/>
        <w:shd w:val="clear" w:color="auto" w:fill="auto"/>
        <w:bidi w:val="0"/>
        <w:spacing w:before="0" w:after="0" w:line="467" w:lineRule="exact"/>
        <w:ind w:left="0" w:right="0" w:firstLine="0"/>
        <w:jc w:val="both"/>
      </w:pPr>
      <w:r>
        <w:rPr>
          <w:color w:val="000000"/>
          <w:spacing w:val="0"/>
          <w:w w:val="100"/>
          <w:position w:val="0"/>
        </w:rPr>
        <w:t>债务重组取得债务人用以抵债的无形资产，以该无形资产的公允价值为基础确定其入账价值，并将重组债 务的账面价值与该用以抵债的无形资产公允价值之间的差额，计入当期损益；</w:t>
      </w:r>
    </w:p>
    <w:p>
      <w:pPr>
        <w:pStyle w:val="Style40"/>
        <w:keepNext w:val="0"/>
        <w:keepLines w:val="0"/>
        <w:widowControl w:val="0"/>
        <w:shd w:val="clear" w:color="auto" w:fill="auto"/>
        <w:bidi w:val="0"/>
        <w:spacing w:before="0" w:after="0" w:line="467" w:lineRule="exact"/>
        <w:ind w:left="0" w:right="0" w:firstLine="0"/>
        <w:jc w:val="both"/>
      </w:pPr>
      <w:r>
        <w:rPr>
          <w:color w:val="000000"/>
          <w:spacing w:val="0"/>
          <w:w w:val="100"/>
          <w:position w:val="0"/>
        </w:rPr>
        <w:t>在非货币性资产交换具备商业实质且换入资产或换出资产的公允价值能够可靠计量的前提下，非货币性资 产交换换入的无形资产以换出资产的公允价值为基础确定其入账价值，除非有确凿证据表明换入资产的公 允价值更加可靠；不满足上述前提的非货币性资产交换，以换出资产的账面价值和应支付的相关税费作为 换入无形资产的成本，不确认损益。</w:t>
      </w:r>
    </w:p>
    <w:p>
      <w:pPr>
        <w:pStyle w:val="Style40"/>
        <w:keepNext w:val="0"/>
        <w:keepLines w:val="0"/>
        <w:widowControl w:val="0"/>
        <w:shd w:val="clear" w:color="auto" w:fill="auto"/>
        <w:bidi w:val="0"/>
        <w:spacing w:before="0" w:after="0" w:line="467" w:lineRule="exact"/>
        <w:ind w:left="0" w:right="0" w:firstLine="0"/>
        <w:jc w:val="both"/>
      </w:pPr>
      <w:r>
        <w:rPr>
          <w:color w:val="000000"/>
          <w:spacing w:val="0"/>
          <w:w w:val="100"/>
          <w:position w:val="0"/>
        </w:rPr>
        <w:t>以同一控制下的企业吸收合并方式取得的无形资产按被合并方的账面价值确定其入账价值；以非同一控制 下的企业吸收合并方式取得的无形资产按公允价值确定其入账价值。</w:t>
      </w:r>
    </w:p>
    <w:p>
      <w:pPr>
        <w:pStyle w:val="Style40"/>
        <w:keepNext w:val="0"/>
        <w:keepLines w:val="0"/>
        <w:widowControl w:val="0"/>
        <w:shd w:val="clear" w:color="auto" w:fill="auto"/>
        <w:bidi w:val="0"/>
        <w:spacing w:before="0" w:after="240" w:line="467" w:lineRule="exact"/>
        <w:ind w:left="0" w:right="0" w:firstLine="0"/>
        <w:jc w:val="both"/>
      </w:pPr>
      <w:r>
        <w:rPr>
          <w:color w:val="000000"/>
          <w:spacing w:val="0"/>
          <w:w w:val="100"/>
          <w:position w:val="0"/>
        </w:rPr>
        <w:t>内部自行开发的无形资产，其成本包括：开发该无形资产时耗用的材料、劳务成本、注册费、在开发过程 中使用的其他专利权和特许权的摊销以及满足资本化条件的利息费用，以及为使该无形资产达到预定用途 前所发生的其他直接费用。</w:t>
      </w:r>
    </w:p>
    <w:p>
      <w:pPr>
        <w:pStyle w:val="Style4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后续计量</w:t>
      </w:r>
    </w:p>
    <w:p>
      <w:pPr>
        <w:pStyle w:val="Style40"/>
        <w:keepNext w:val="0"/>
        <w:keepLines w:val="0"/>
        <w:widowControl w:val="0"/>
        <w:shd w:val="clear" w:color="auto" w:fill="auto"/>
        <w:bidi w:val="0"/>
        <w:spacing w:before="0" w:after="0" w:line="467" w:lineRule="exact"/>
        <w:ind w:left="0" w:right="0" w:firstLine="0"/>
        <w:jc w:val="both"/>
      </w:pPr>
      <w:r>
        <w:rPr>
          <w:color w:val="000000"/>
          <w:spacing w:val="0"/>
          <w:w w:val="100"/>
          <w:position w:val="0"/>
        </w:rPr>
        <w:t>在取得无形资产时分析判断其使用寿命。</w:t>
      </w:r>
    </w:p>
    <w:p>
      <w:pPr>
        <w:pStyle w:val="Style40"/>
        <w:keepNext w:val="0"/>
        <w:keepLines w:val="0"/>
        <w:widowControl w:val="0"/>
        <w:shd w:val="clear" w:color="auto" w:fill="auto"/>
        <w:bidi w:val="0"/>
        <w:spacing w:before="0" w:after="380" w:line="467" w:lineRule="exact"/>
        <w:ind w:left="0" w:right="0" w:firstLine="0"/>
        <w:jc w:val="both"/>
      </w:pPr>
      <w:r>
        <w:rPr>
          <w:color w:val="000000"/>
          <w:spacing w:val="0"/>
          <w:w w:val="100"/>
          <w:position w:val="0"/>
        </w:rPr>
        <w:t>对于使用寿命有限的无形资产，在为企业带来经济利益的期限内按直线法摊销；无法预见无形资产为企业 带来经济利益期限的，视为使用寿命不确定的无形资产，不予摊销。</w:t>
      </w:r>
    </w:p>
    <w:p>
      <w:pPr>
        <w:pStyle w:val="Style33"/>
        <w:keepNext/>
        <w:keepLines/>
        <w:widowControl w:val="0"/>
        <w:shd w:val="clear" w:color="auto" w:fill="auto"/>
        <w:bidi w:val="0"/>
        <w:spacing w:before="0" w:after="380" w:line="312" w:lineRule="exact"/>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64"/>
      <w:bookmarkEnd w:id="765"/>
      <w:bookmarkEnd w:id="767"/>
    </w:p>
    <w:p>
      <w:pPr>
        <w:pStyle w:val="Style36"/>
        <w:keepNext w:val="0"/>
        <w:keepLines w:val="0"/>
        <w:widowControl w:val="0"/>
        <w:shd w:val="clear" w:color="auto" w:fill="auto"/>
        <w:bidi w:val="0"/>
        <w:spacing w:before="0" w:after="0" w:line="312" w:lineRule="exact"/>
        <w:ind w:left="48" w:right="0" w:firstLine="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按权利期限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土地权利证书</w:t>
            </w:r>
          </w:p>
        </w:tc>
      </w:tr>
    </w:tbl>
    <w:p>
      <w:pPr>
        <w:widowControl w:val="0"/>
        <w:spacing w:after="31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68"/>
      <w:bookmarkEnd w:id="769"/>
      <w:bookmarkEnd w:id="77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72"/>
      <w:bookmarkEnd w:id="773"/>
      <w:bookmarkEnd w:id="77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76"/>
      <w:bookmarkEnd w:id="777"/>
      <w:bookmarkEnd w:id="77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200" w:line="480" w:lineRule="exact"/>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780"/>
      <w:bookmarkEnd w:id="781"/>
      <w:bookmarkEnd w:id="783"/>
    </w:p>
    <w:p>
      <w:pPr>
        <w:pStyle w:val="Style40"/>
        <w:keepNext w:val="0"/>
        <w:keepLines w:val="0"/>
        <w:widowControl w:val="0"/>
        <w:shd w:val="clear" w:color="auto" w:fill="auto"/>
        <w:bidi w:val="0"/>
        <w:spacing w:before="0" w:after="0" w:line="480" w:lineRule="exact"/>
        <w:ind w:left="0" w:right="0" w:firstLine="0"/>
        <w:jc w:val="left"/>
      </w:pPr>
      <w:r>
        <w:rPr>
          <w:color w:val="000000"/>
          <w:spacing w:val="0"/>
          <w:w w:val="100"/>
          <w:position w:val="0"/>
        </w:rPr>
        <w:t>内部研究开发项目研究阶段的支出，在发生时计入当期损益。</w:t>
      </w:r>
    </w:p>
    <w:p>
      <w:pPr>
        <w:pStyle w:val="Style40"/>
        <w:keepNext w:val="0"/>
        <w:keepLines w:val="0"/>
        <w:widowControl w:val="0"/>
        <w:shd w:val="clear" w:color="auto" w:fill="auto"/>
        <w:bidi w:val="0"/>
        <w:spacing w:before="0" w:after="0" w:line="480" w:lineRule="exact"/>
        <w:ind w:left="0" w:right="0" w:firstLine="0"/>
        <w:jc w:val="left"/>
      </w:pPr>
      <w:r>
        <w:rPr>
          <w:color w:val="000000"/>
          <w:spacing w:val="0"/>
          <w:w w:val="100"/>
          <w:position w:val="0"/>
        </w:rPr>
        <w:t>内部研究开发项目开发阶段的支出，同时满足下列条件时确认为无形资产：</w:t>
      </w:r>
    </w:p>
    <w:p>
      <w:pPr>
        <w:pStyle w:val="Style40"/>
        <w:keepNext w:val="0"/>
        <w:keepLines w:val="0"/>
        <w:widowControl w:val="0"/>
        <w:shd w:val="clear" w:color="auto" w:fill="auto"/>
        <w:tabs>
          <w:tab w:pos="478" w:val="left"/>
        </w:tabs>
        <w:bidi w:val="0"/>
        <w:spacing w:before="0" w:after="0" w:line="480" w:lineRule="exact"/>
        <w:ind w:left="0" w:right="0" w:firstLine="0"/>
        <w:jc w:val="left"/>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完成该无形资产以使其能够使用或出售在技术上具有可行性；</w:t>
      </w:r>
    </w:p>
    <w:p>
      <w:pPr>
        <w:pStyle w:val="Style40"/>
        <w:keepNext w:val="0"/>
        <w:keepLines w:val="0"/>
        <w:widowControl w:val="0"/>
        <w:shd w:val="clear" w:color="auto" w:fill="auto"/>
        <w:tabs>
          <w:tab w:pos="488" w:val="left"/>
        </w:tabs>
        <w:bidi w:val="0"/>
        <w:spacing w:before="0" w:after="0" w:line="480" w:lineRule="exact"/>
        <w:ind w:left="0" w:right="0" w:firstLine="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具有完成该无形资产并使用或出售的意图；</w:t>
      </w:r>
    </w:p>
    <w:p>
      <w:pPr>
        <w:pStyle w:val="Style40"/>
        <w:keepNext w:val="0"/>
        <w:keepLines w:val="0"/>
        <w:widowControl w:val="0"/>
        <w:shd w:val="clear" w:color="auto" w:fill="auto"/>
        <w:tabs>
          <w:tab w:pos="598" w:val="left"/>
        </w:tabs>
        <w:bidi w:val="0"/>
        <w:spacing w:before="0" w:after="0" w:line="480" w:lineRule="exact"/>
        <w:ind w:left="0" w:right="0" w:firstLine="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40"/>
        <w:keepNext w:val="0"/>
        <w:keepLines w:val="0"/>
        <w:widowControl w:val="0"/>
        <w:shd w:val="clear" w:color="auto" w:fill="auto"/>
        <w:bidi w:val="0"/>
        <w:spacing w:before="0" w:after="0" w:line="456" w:lineRule="exact"/>
        <w:ind w:left="0" w:right="0" w:firstLine="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d</w:t>
      </w:r>
      <w:r>
        <w:rPr>
          <w:color w:val="000000"/>
          <w:spacing w:val="0"/>
          <w:w w:val="100"/>
          <w:position w:val="0"/>
        </w:rPr>
        <w:t xml:space="preserve">） </w:t>
      </w:r>
      <w:r>
        <w:rPr>
          <w:color w:val="000000"/>
          <w:spacing w:val="0"/>
          <w:w w:val="100"/>
          <w:position w:val="0"/>
        </w:rPr>
        <w:t>有足够的技术、财务资源和其他资源支持，以完成该无形资产的开发，并有能力使用或出售该无形 资产；</w:t>
      </w:r>
    </w:p>
    <w:p>
      <w:pPr>
        <w:pStyle w:val="Style40"/>
        <w:keepNext w:val="0"/>
        <w:keepLines w:val="0"/>
        <w:widowControl w:val="0"/>
        <w:shd w:val="clear" w:color="auto" w:fill="auto"/>
        <w:tabs>
          <w:tab w:pos="488" w:val="left"/>
        </w:tabs>
        <w:bidi w:val="0"/>
        <w:spacing w:before="0" w:after="200" w:line="456" w:lineRule="exact"/>
        <w:ind w:left="0" w:right="0" w:firstLine="0"/>
        <w:jc w:val="left"/>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e</w:t>
      </w:r>
      <w:r>
        <w:rPr>
          <w:color w:val="000000"/>
          <w:spacing w:val="0"/>
          <w:w w:val="100"/>
          <w:position w:val="0"/>
        </w:rPr>
        <w:t>）</w:t>
        <w:tab/>
      </w:r>
      <w:r>
        <w:rPr>
          <w:color w:val="000000"/>
          <w:spacing w:val="0"/>
          <w:w w:val="100"/>
          <w:position w:val="0"/>
        </w:rPr>
        <w:t>归属于该无形资产开发阶段的支出能够可靠地计量。</w:t>
      </w:r>
    </w:p>
    <w:p>
      <w:pPr>
        <w:pStyle w:val="Style33"/>
        <w:keepNext/>
        <w:keepLines/>
        <w:widowControl w:val="0"/>
        <w:shd w:val="clear" w:color="auto" w:fill="auto"/>
        <w:bidi w:val="0"/>
        <w:spacing w:before="0" w:after="380" w:line="480"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789"/>
      <w:bookmarkEnd w:id="790"/>
      <w:bookmarkEnd w:id="792"/>
    </w:p>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长期待摊费用为已经发生但应由本期和以后各期负担的分摊期限在一年以上的各项费用。</w:t>
      </w:r>
    </w:p>
    <w:p>
      <w:pPr>
        <w:pStyle w:val="Style33"/>
        <w:keepNext/>
        <w:keepLines/>
        <w:widowControl w:val="0"/>
        <w:shd w:val="clear" w:color="auto" w:fill="auto"/>
        <w:tabs>
          <w:tab w:pos="414" w:val="left"/>
        </w:tabs>
        <w:bidi w:val="0"/>
        <w:spacing w:before="0" w:after="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color w:val="000000"/>
          <w:spacing w:val="0"/>
          <w:w w:val="100"/>
          <w:position w:val="0"/>
        </w:rPr>
        <w:t>、</w:t>
        <w:tab/>
        <w:t>长期待摊费用摊销方法</w:t>
      </w:r>
      <w:bookmarkEnd w:id="793"/>
      <w:bookmarkEnd w:id="794"/>
      <w:bookmarkEnd w:id="796"/>
    </w:p>
    <w:p>
      <w:pPr>
        <w:pStyle w:val="Style4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在受益期内平均摊销。</w:t>
      </w:r>
    </w:p>
    <w:p>
      <w:pPr>
        <w:pStyle w:val="Style36"/>
        <w:keepNext w:val="0"/>
        <w:keepLines w:val="0"/>
        <w:widowControl w:val="0"/>
        <w:shd w:val="clear" w:color="auto" w:fill="auto"/>
        <w:tabs>
          <w:tab w:pos="317" w:val="left"/>
        </w:tabs>
        <w:bidi w:val="0"/>
        <w:spacing w:before="0" w:after="0" w:line="480"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长期待摊费用受益期限的确定</w:t>
      </w:r>
    </w:p>
    <w:tbl>
      <w:tblPr>
        <w:tblOverlap w:val="never"/>
        <w:jc w:val="center"/>
        <w:tblLayout w:type="fixed"/>
      </w:tblPr>
      <w:tblGrid>
        <w:gridCol w:w="4027"/>
        <w:gridCol w:w="311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667"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受益期限</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租入固定资产的改良支出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剩余租赁期</w:t>
            </w:r>
          </w:p>
        </w:tc>
      </w:tr>
    </w:tbl>
    <w:p>
      <w:pPr>
        <w:widowControl w:val="0"/>
        <w:spacing w:after="639" w:line="1" w:lineRule="exact"/>
      </w:pPr>
    </w:p>
    <w:p>
      <w:pPr>
        <w:pStyle w:val="Style33"/>
        <w:keepNext/>
        <w:keepLines/>
        <w:widowControl w:val="0"/>
        <w:shd w:val="clear" w:color="auto" w:fill="auto"/>
        <w:tabs>
          <w:tab w:pos="483" w:val="left"/>
        </w:tabs>
        <w:bidi w:val="0"/>
        <w:spacing w:before="0" w:after="3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97"/>
      <w:bookmarkEnd w:id="798"/>
      <w:bookmarkEnd w:id="8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01"/>
      <w:bookmarkEnd w:id="802"/>
      <w:bookmarkEnd w:id="8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05"/>
      <w:bookmarkEnd w:id="806"/>
      <w:bookmarkEnd w:id="8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09"/>
      <w:bookmarkEnd w:id="810"/>
      <w:bookmarkEnd w:id="81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140" w:line="467"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4</w:t>
      </w:r>
      <w:r>
        <w:rPr>
          <w:color w:val="000000"/>
          <w:spacing w:val="0"/>
          <w:w w:val="100"/>
          <w:position w:val="0"/>
        </w:rPr>
        <w:t>、股份支付及权益工具</w:t>
      </w:r>
      <w:bookmarkEnd w:id="813"/>
      <w:bookmarkEnd w:id="814"/>
      <w:bookmarkEnd w:id="816"/>
    </w:p>
    <w:p>
      <w:pPr>
        <w:pStyle w:val="Style33"/>
        <w:keepNext/>
        <w:keepLines/>
        <w:widowControl w:val="0"/>
        <w:shd w:val="clear" w:color="auto" w:fill="auto"/>
        <w:tabs>
          <w:tab w:pos="486" w:val="left"/>
        </w:tabs>
        <w:bidi w:val="0"/>
        <w:spacing w:before="0" w:after="200" w:line="467" w:lineRule="exact"/>
        <w:ind w:left="0" w:right="0" w:firstLine="0"/>
        <w:jc w:val="left"/>
      </w:pPr>
      <w:bookmarkStart w:id="813" w:name="bookmark813"/>
      <w:bookmarkStart w:id="814" w:name="bookmark814"/>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13"/>
      <w:bookmarkEnd w:id="814"/>
      <w:bookmarkEnd w:id="818"/>
    </w:p>
    <w:p>
      <w:pPr>
        <w:pStyle w:val="Style40"/>
        <w:keepNext w:val="0"/>
        <w:keepLines w:val="0"/>
        <w:widowControl w:val="0"/>
        <w:shd w:val="clear" w:color="auto" w:fill="auto"/>
        <w:bidi w:val="0"/>
        <w:spacing w:before="0" w:after="200" w:line="470" w:lineRule="exact"/>
        <w:ind w:left="0" w:right="0" w:firstLine="0"/>
        <w:jc w:val="left"/>
      </w:pPr>
      <w:r>
        <w:rPr>
          <w:color w:val="000000"/>
          <w:spacing w:val="0"/>
          <w:w w:val="100"/>
          <w:position w:val="0"/>
        </w:rPr>
        <w:t>本公司的股份支付是为了获取职工提供服务而授予权益工具或者承担以权益工具为基础确定的负债的交 易。本公司的股份支付为以权益结算的股份支付。</w:t>
      </w:r>
    </w:p>
    <w:p>
      <w:pPr>
        <w:pStyle w:val="Style33"/>
        <w:keepNext/>
        <w:keepLines/>
        <w:widowControl w:val="0"/>
        <w:shd w:val="clear" w:color="auto" w:fill="auto"/>
        <w:tabs>
          <w:tab w:pos="486" w:val="left"/>
        </w:tabs>
        <w:bidi w:val="0"/>
        <w:spacing w:before="0" w:after="200" w:line="467" w:lineRule="exact"/>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19"/>
      <w:bookmarkEnd w:id="820"/>
      <w:bookmarkEnd w:id="822"/>
    </w:p>
    <w:p>
      <w:pPr>
        <w:pStyle w:val="Style40"/>
        <w:keepNext w:val="0"/>
        <w:keepLines w:val="0"/>
        <w:widowControl w:val="0"/>
        <w:shd w:val="clear" w:color="auto" w:fill="auto"/>
        <w:bidi w:val="0"/>
        <w:spacing w:before="0" w:after="200" w:line="467" w:lineRule="exact"/>
        <w:ind w:left="0" w:right="0" w:firstLine="0"/>
        <w:jc w:val="left"/>
      </w:pPr>
      <w:r>
        <w:rPr>
          <w:color w:val="000000"/>
          <w:spacing w:val="0"/>
          <w:w w:val="100"/>
          <w:position w:val="0"/>
        </w:rPr>
        <w:t>以权益结算的股份支付换取职工提供服务的，以授予职工权益工具的公允价值计量。授予后立即可行权的， 在授予日按照公允价值计入相关成本或费用，相应增加资本公积；完成等待期内的服务或达到规定业绩条 件才可行权的，在等待期内每个资产负债表日，本公司根据最新取得的可行权职工人数变动、是否达到规 定业绩条件等后续信息对可行权权益工具数量作出最佳估计，以此为基础，按照授予日的公允价值，将当 期取得的服务计入相关成本或费用，相应增加资本公积。权益工具的公允价值采用</w:t>
      </w:r>
      <w:r>
        <w:rPr>
          <w:rFonts w:ascii="Times New Roman" w:eastAsia="Times New Roman" w:hAnsi="Times New Roman" w:cs="Times New Roman"/>
          <w:color w:val="000000"/>
          <w:spacing w:val="0"/>
          <w:w w:val="100"/>
          <w:position w:val="0"/>
        </w:rPr>
        <w:t>Black-Scholes</w:t>
      </w:r>
      <w:r>
        <w:rPr>
          <w:color w:val="000000"/>
          <w:spacing w:val="0"/>
          <w:w w:val="100"/>
          <w:position w:val="0"/>
        </w:rPr>
        <w:t>模型确定, 详见附注七、股份支付。</w:t>
      </w:r>
    </w:p>
    <w:p>
      <w:pPr>
        <w:pStyle w:val="Style33"/>
        <w:keepNext/>
        <w:keepLines/>
        <w:widowControl w:val="0"/>
        <w:shd w:val="clear" w:color="auto" w:fill="auto"/>
        <w:tabs>
          <w:tab w:pos="486" w:val="left"/>
        </w:tabs>
        <w:bidi w:val="0"/>
        <w:spacing w:before="0" w:after="200" w:line="467" w:lineRule="exact"/>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23"/>
      <w:bookmarkEnd w:id="824"/>
      <w:bookmarkEnd w:id="826"/>
    </w:p>
    <w:p>
      <w:pPr>
        <w:pStyle w:val="Style40"/>
        <w:keepNext w:val="0"/>
        <w:keepLines w:val="0"/>
        <w:widowControl w:val="0"/>
        <w:shd w:val="clear" w:color="auto" w:fill="auto"/>
        <w:bidi w:val="0"/>
        <w:spacing w:before="0" w:after="200" w:line="473" w:lineRule="exact"/>
        <w:ind w:left="0" w:right="0" w:firstLine="0"/>
        <w:jc w:val="left"/>
      </w:pPr>
      <w:r>
        <w:rPr>
          <w:color w:val="000000"/>
          <w:spacing w:val="0"/>
          <w:w w:val="100"/>
          <w:position w:val="0"/>
        </w:rPr>
        <w:t>在满足业绩条件或服务期限条件的期间，应确认以权益结算的股份支付的成本或费用，并相应增加资本公 积。可行权日之前，于每个资产负债表日为以权益结算的股份支付确认的累计金额反映了等待期已届满的 部分以及本公司对最终可行权的权益工具数量的最佳估计。</w:t>
      </w:r>
    </w:p>
    <w:p>
      <w:pPr>
        <w:pStyle w:val="Style33"/>
        <w:keepNext/>
        <w:keepLines/>
        <w:widowControl w:val="0"/>
        <w:shd w:val="clear" w:color="auto" w:fill="auto"/>
        <w:tabs>
          <w:tab w:pos="486" w:val="left"/>
        </w:tabs>
        <w:bidi w:val="0"/>
        <w:spacing w:before="0" w:after="200" w:line="467" w:lineRule="exact"/>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27"/>
      <w:bookmarkEnd w:id="828"/>
      <w:bookmarkEnd w:id="830"/>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对于最终未能行权的股份支付，不确认成本或费用，除非行权条件是市场条件或非可行权条件，此时无论 是否满足市场条件或非可行权条件，只要满足所有可行权条件中的非市场条件，即视为可行权。</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如果修改了以权益结算的股份支付的条款，至少按照未修改条款的情况确认取得的服务。此外，任何增加 所授予权益工具公允价值的修改，或在修改日对职工有利的变更，均确认取得服务的增加。</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如果取消了以权益结算的股份支付，则于取消日作为加速行权处理，立即确认尚未确认的金额。职工或其 他方能够选择满足非可行权条件但在等待期内未满足的，作为取消以权益结算的股份支付处理。但是，如 果授予新的权益工具，并在新权益工具授予日认定所授予的新权益工具是用于替代被取消的权益工具的， 则以与处理原权益工具条款和条件修改相同的方式，对所授予的替代权益工具进行处理。</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公司合并范围内</w:t>
      </w:r>
      <w:r>
        <w:rPr>
          <w:rFonts w:ascii="Times New Roman" w:eastAsia="Times New Roman" w:hAnsi="Times New Roman" w:cs="Times New Roman"/>
          <w:color w:val="000000"/>
          <w:spacing w:val="0"/>
          <w:w w:val="100"/>
          <w:position w:val="0"/>
        </w:rPr>
        <w:t>（</w:t>
      </w:r>
      <w:r>
        <w:rPr>
          <w:color w:val="000000"/>
          <w:spacing w:val="0"/>
          <w:w w:val="100"/>
          <w:position w:val="0"/>
        </w:rPr>
        <w:t>由母公司和其全部子公司构成</w:t>
      </w:r>
      <w:r>
        <w:rPr>
          <w:rFonts w:ascii="Times New Roman" w:eastAsia="Times New Roman" w:hAnsi="Times New Roman" w:cs="Times New Roman"/>
          <w:color w:val="000000"/>
          <w:spacing w:val="0"/>
          <w:w w:val="100"/>
          <w:position w:val="0"/>
        </w:rPr>
        <w:t>）</w:t>
      </w:r>
      <w:r>
        <w:rPr>
          <w:color w:val="000000"/>
          <w:spacing w:val="0"/>
          <w:w w:val="100"/>
          <w:position w:val="0"/>
        </w:rPr>
        <w:t>内发生的股份支付交易，应当进行以下处理：</w:t>
      </w:r>
    </w:p>
    <w:p>
      <w:pPr>
        <w:pStyle w:val="Style40"/>
        <w:keepNext w:val="0"/>
        <w:keepLines w:val="0"/>
        <w:widowControl w:val="0"/>
        <w:shd w:val="clear" w:color="auto" w:fill="auto"/>
        <w:bidi w:val="0"/>
        <w:spacing w:before="0" w:after="0" w:line="466" w:lineRule="exact"/>
        <w:ind w:left="0" w:right="0" w:firstLine="0"/>
        <w:jc w:val="left"/>
      </w:pPr>
      <w:bookmarkStart w:id="831" w:name="bookmark831"/>
      <w:r>
        <w:rPr>
          <w:rFonts w:ascii="Times New Roman" w:eastAsia="Times New Roman" w:hAnsi="Times New Roman" w:cs="Times New Roman"/>
          <w:color w:val="000000"/>
          <w:spacing w:val="0"/>
          <w:w w:val="100"/>
          <w:position w:val="0"/>
        </w:rPr>
        <w:t>1</w:t>
      </w:r>
      <w:bookmarkEnd w:id="831"/>
      <w:r>
        <w:rPr>
          <w:color w:val="000000"/>
          <w:spacing w:val="0"/>
          <w:w w:val="100"/>
          <w:position w:val="0"/>
        </w:rPr>
        <w:t xml:space="preserve">）结算企业以其本身权益工具结算的，应当将该股份支付交易作为权益结算的股份支付处理；除此之外, </w:t>
      </w:r>
      <w:r>
        <w:rPr>
          <w:color w:val="000000"/>
          <w:spacing w:val="0"/>
          <w:w w:val="100"/>
          <w:position w:val="0"/>
        </w:rPr>
        <w:t>应当作为现金结算的股份支付处理。</w:t>
      </w:r>
    </w:p>
    <w:p>
      <w:pPr>
        <w:pStyle w:val="Style40"/>
        <w:keepNext w:val="0"/>
        <w:keepLines w:val="0"/>
        <w:widowControl w:val="0"/>
        <w:shd w:val="clear" w:color="auto" w:fill="auto"/>
        <w:bidi w:val="0"/>
        <w:spacing w:before="0" w:after="0" w:line="475" w:lineRule="exact"/>
        <w:ind w:left="0" w:right="0" w:firstLine="0"/>
        <w:jc w:val="both"/>
      </w:pPr>
      <w:r>
        <w:rPr>
          <w:color w:val="000000"/>
          <w:spacing w:val="0"/>
          <w:w w:val="100"/>
          <w:position w:val="0"/>
        </w:rPr>
        <w:t>结算企业是接受服务企业的投资者的，应当按照授予日权益工具的公允价值或应承担负债的公允价值确认 为对接受服务企业的长期股权投资，同时确认资本公积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w:t>
      </w:r>
      <w:r>
        <w:rPr>
          <w:color w:val="000000"/>
          <w:spacing w:val="0"/>
          <w:w w:val="100"/>
          <w:position w:val="0"/>
        </w:rPr>
        <w:t>或负债。</w:t>
      </w:r>
    </w:p>
    <w:p>
      <w:pPr>
        <w:pStyle w:val="Style40"/>
        <w:keepNext w:val="0"/>
        <w:keepLines w:val="0"/>
        <w:widowControl w:val="0"/>
        <w:shd w:val="clear" w:color="auto" w:fill="auto"/>
        <w:bidi w:val="0"/>
        <w:spacing w:before="0" w:after="440" w:line="475" w:lineRule="exact"/>
        <w:ind w:left="0" w:right="0" w:firstLine="0"/>
        <w:jc w:val="both"/>
      </w:pPr>
      <w:bookmarkStart w:id="832" w:name="bookmark832"/>
      <w:r>
        <w:rPr>
          <w:rFonts w:ascii="Times New Roman" w:eastAsia="Times New Roman" w:hAnsi="Times New Roman" w:cs="Times New Roman"/>
          <w:color w:val="000000"/>
          <w:spacing w:val="0"/>
          <w:w w:val="100"/>
          <w:position w:val="0"/>
        </w:rPr>
        <w:t>2</w:t>
      </w:r>
      <w:bookmarkEnd w:id="832"/>
      <w:r>
        <w:rPr>
          <w:color w:val="000000"/>
          <w:spacing w:val="0"/>
          <w:w w:val="100"/>
          <w:position w:val="0"/>
        </w:rPr>
        <w:t>）接受服务企业没有结算义务或授予本企业职工的是其自身权益工具的，应当将该股份支付交易作为权 益结算的股份支付处理；接受服务企业负有结算义务且授予本企业职工的是集团内其他企业权益工具的， 应当将该股份支付交易作为现金结算的股份支付处理。</w:t>
      </w:r>
    </w:p>
    <w:p>
      <w:pPr>
        <w:pStyle w:val="Style33"/>
        <w:keepNext/>
        <w:keepLines/>
        <w:widowControl w:val="0"/>
        <w:shd w:val="clear" w:color="auto" w:fill="auto"/>
        <w:tabs>
          <w:tab w:pos="483" w:val="left"/>
        </w:tabs>
        <w:bidi w:val="0"/>
        <w:spacing w:before="0" w:after="200" w:line="48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833"/>
      <w:bookmarkEnd w:id="834"/>
      <w:bookmarkEnd w:id="836"/>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0" w:line="48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37"/>
      <w:bookmarkEnd w:id="838"/>
      <w:bookmarkEnd w:id="840"/>
    </w:p>
    <w:p>
      <w:pPr>
        <w:pStyle w:val="Style33"/>
        <w:keepNext/>
        <w:keepLines/>
        <w:widowControl w:val="0"/>
        <w:shd w:val="clear" w:color="auto" w:fill="auto"/>
        <w:tabs>
          <w:tab w:pos="493" w:val="left"/>
        </w:tabs>
        <w:bidi w:val="0"/>
        <w:spacing w:before="0" w:after="200" w:line="468" w:lineRule="exact"/>
        <w:ind w:left="0" w:right="0" w:firstLine="0"/>
        <w:jc w:val="both"/>
      </w:pPr>
      <w:bookmarkStart w:id="837" w:name="bookmark837"/>
      <w:bookmarkStart w:id="838" w:name="bookmark838"/>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37"/>
      <w:bookmarkEnd w:id="838"/>
      <w:bookmarkEnd w:id="842"/>
    </w:p>
    <w:p>
      <w:pPr>
        <w:pStyle w:val="Style40"/>
        <w:keepNext w:val="0"/>
        <w:keepLines w:val="0"/>
        <w:widowControl w:val="0"/>
        <w:shd w:val="clear" w:color="auto" w:fill="auto"/>
        <w:bidi w:val="0"/>
        <w:spacing w:before="0" w:after="200" w:line="468" w:lineRule="exact"/>
        <w:ind w:left="0" w:right="0" w:firstLine="0"/>
        <w:jc w:val="both"/>
      </w:pPr>
      <w:r>
        <w:rPr>
          <w:color w:val="000000"/>
          <w:spacing w:val="0"/>
          <w:w w:val="100"/>
          <w:position w:val="0"/>
        </w:rPr>
        <w:t>软硬件销售收入确认的一般原则是：在销售产品时的主要风险和报酬已转移给买方，不再保留与之相联系 的管理权和控制权，在相关的经济利益能够流入公司，收入的金额能够可靠地计量时，相关成本能够可靠 地计量时确认收入。</w:t>
      </w:r>
    </w:p>
    <w:p>
      <w:pPr>
        <w:pStyle w:val="Style33"/>
        <w:keepNext/>
        <w:keepLines/>
        <w:widowControl w:val="0"/>
        <w:shd w:val="clear" w:color="auto" w:fill="auto"/>
        <w:tabs>
          <w:tab w:pos="493" w:val="left"/>
        </w:tabs>
        <w:bidi w:val="0"/>
        <w:spacing w:before="0" w:after="200" w:line="468" w:lineRule="exact"/>
        <w:ind w:left="0" w:right="0" w:firstLine="0"/>
        <w:jc w:val="both"/>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43"/>
      <w:bookmarkEnd w:id="844"/>
      <w:bookmarkEnd w:id="846"/>
    </w:p>
    <w:p>
      <w:pPr>
        <w:pStyle w:val="Style40"/>
        <w:keepNext w:val="0"/>
        <w:keepLines w:val="0"/>
        <w:widowControl w:val="0"/>
        <w:shd w:val="clear" w:color="auto" w:fill="auto"/>
        <w:bidi w:val="0"/>
        <w:spacing w:before="0" w:after="200" w:line="466" w:lineRule="exact"/>
        <w:ind w:left="0" w:right="0" w:firstLine="0"/>
        <w:jc w:val="both"/>
      </w:pPr>
      <w:r>
        <w:rPr>
          <w:color w:val="000000"/>
          <w:spacing w:val="0"/>
          <w:w w:val="100"/>
          <w:position w:val="0"/>
        </w:rPr>
        <w:t>与交易相关的经济利益很可能流入企业，收入的金额能够可靠地计量时。分别下列情况确定让渡资产使用 权收入金额：</w:t>
      </w:r>
    </w:p>
    <w:p>
      <w:pPr>
        <w:pStyle w:val="Style40"/>
        <w:keepNext w:val="0"/>
        <w:keepLines w:val="0"/>
        <w:widowControl w:val="0"/>
        <w:shd w:val="clear" w:color="auto" w:fill="auto"/>
        <w:tabs>
          <w:tab w:pos="373" w:val="left"/>
        </w:tabs>
        <w:bidi w:val="0"/>
        <w:spacing w:before="0" w:after="0"/>
        <w:ind w:left="0" w:right="0" w:firstLine="0"/>
        <w:jc w:val="both"/>
      </w:pPr>
      <w:bookmarkStart w:id="847" w:name="bookmark847"/>
      <w:r>
        <w:rPr>
          <w:rFonts w:ascii="Times New Roman" w:eastAsia="Times New Roman" w:hAnsi="Times New Roman" w:cs="Times New Roman"/>
          <w:color w:val="000000"/>
          <w:spacing w:val="0"/>
          <w:w w:val="100"/>
          <w:position w:val="0"/>
        </w:rPr>
        <w:t>1</w:t>
      </w:r>
      <w:bookmarkEnd w:id="847"/>
      <w:r>
        <w:rPr>
          <w:color w:val="000000"/>
          <w:spacing w:val="0"/>
          <w:w w:val="100"/>
          <w:position w:val="0"/>
        </w:rPr>
        <w:t>）</w:t>
        <w:tab/>
        <w:t>利息收入金额，按照他人使用本企业货币资金的时间和实际利率计算确定</w:t>
      </w:r>
    </w:p>
    <w:p>
      <w:pPr>
        <w:pStyle w:val="Style40"/>
        <w:keepNext w:val="0"/>
        <w:keepLines w:val="0"/>
        <w:widowControl w:val="0"/>
        <w:shd w:val="clear" w:color="auto" w:fill="auto"/>
        <w:tabs>
          <w:tab w:pos="392" w:val="left"/>
        </w:tabs>
        <w:bidi w:val="0"/>
        <w:spacing w:before="0" w:after="0"/>
        <w:ind w:left="0" w:right="0" w:firstLine="0"/>
        <w:jc w:val="both"/>
      </w:pPr>
      <w:bookmarkStart w:id="848" w:name="bookmark848"/>
      <w:r>
        <w:rPr>
          <w:rFonts w:ascii="Times New Roman" w:eastAsia="Times New Roman" w:hAnsi="Times New Roman" w:cs="Times New Roman"/>
          <w:color w:val="000000"/>
          <w:spacing w:val="0"/>
          <w:w w:val="100"/>
          <w:position w:val="0"/>
        </w:rPr>
        <w:t>2</w:t>
      </w:r>
      <w:bookmarkEnd w:id="848"/>
      <w:r>
        <w:rPr>
          <w:color w:val="000000"/>
          <w:spacing w:val="0"/>
          <w:w w:val="100"/>
          <w:position w:val="0"/>
        </w:rPr>
        <w:t>）</w:t>
        <w:tab/>
        <w:t>使用费收入金额，按照有关合同或协议约定的收费时间和方法计算确定。</w:t>
      </w:r>
    </w:p>
    <w:p>
      <w:pPr>
        <w:pStyle w:val="Style40"/>
        <w:keepNext w:val="0"/>
        <w:keepLines w:val="0"/>
        <w:widowControl w:val="0"/>
        <w:shd w:val="clear" w:color="auto" w:fill="auto"/>
        <w:bidi w:val="0"/>
        <w:spacing w:before="0" w:after="0" w:line="466" w:lineRule="exact"/>
        <w:ind w:left="0" w:right="0" w:firstLine="0"/>
        <w:jc w:val="both"/>
      </w:pPr>
      <w:r>
        <w:rPr>
          <w:color w:val="000000"/>
          <w:spacing w:val="0"/>
          <w:w w:val="100"/>
          <w:position w:val="0"/>
        </w:rPr>
        <w:t>其中出租物业收入按以下标准确认：</w:t>
      </w:r>
    </w:p>
    <w:p>
      <w:pPr>
        <w:pStyle w:val="Style40"/>
        <w:keepNext w:val="0"/>
        <w:keepLines w:val="0"/>
        <w:widowControl w:val="0"/>
        <w:numPr>
          <w:ilvl w:val="0"/>
          <w:numId w:val="29"/>
        </w:numPr>
        <w:shd w:val="clear" w:color="auto" w:fill="auto"/>
        <w:tabs>
          <w:tab w:pos="392" w:val="left"/>
        </w:tabs>
        <w:bidi w:val="0"/>
        <w:spacing w:before="0" w:after="0" w:line="466" w:lineRule="exact"/>
        <w:ind w:left="0" w:right="0" w:firstLine="0"/>
        <w:jc w:val="both"/>
      </w:pPr>
      <w:bookmarkStart w:id="849" w:name="bookmark849"/>
      <w:bookmarkEnd w:id="849"/>
      <w:r>
        <w:rPr>
          <w:color w:val="000000"/>
          <w:spacing w:val="0"/>
          <w:w w:val="100"/>
          <w:position w:val="0"/>
        </w:rPr>
        <w:t>具有承租人认可的租赁合同、协议或其他结算通知书；</w:t>
      </w:r>
    </w:p>
    <w:p>
      <w:pPr>
        <w:pStyle w:val="Style40"/>
        <w:keepNext w:val="0"/>
        <w:keepLines w:val="0"/>
        <w:widowControl w:val="0"/>
        <w:numPr>
          <w:ilvl w:val="0"/>
          <w:numId w:val="29"/>
        </w:numPr>
        <w:shd w:val="clear" w:color="auto" w:fill="auto"/>
        <w:tabs>
          <w:tab w:pos="397" w:val="left"/>
        </w:tabs>
        <w:bidi w:val="0"/>
        <w:spacing w:before="0" w:after="0" w:line="466" w:lineRule="exact"/>
        <w:ind w:left="0" w:right="0" w:firstLine="0"/>
        <w:jc w:val="both"/>
      </w:pPr>
      <w:bookmarkStart w:id="850" w:name="bookmark850"/>
      <w:bookmarkEnd w:id="850"/>
      <w:r>
        <w:rPr>
          <w:color w:val="000000"/>
          <w:spacing w:val="0"/>
          <w:w w:val="100"/>
          <w:position w:val="0"/>
        </w:rPr>
        <w:t>履行了合同规定的义务，开具租赁发票且价款已经取得或确信可以取得；</w:t>
      </w:r>
    </w:p>
    <w:p>
      <w:pPr>
        <w:pStyle w:val="Style40"/>
        <w:keepNext w:val="0"/>
        <w:keepLines w:val="0"/>
        <w:widowControl w:val="0"/>
        <w:numPr>
          <w:ilvl w:val="0"/>
          <w:numId w:val="29"/>
        </w:numPr>
        <w:shd w:val="clear" w:color="auto" w:fill="auto"/>
        <w:tabs>
          <w:tab w:pos="397" w:val="left"/>
        </w:tabs>
        <w:bidi w:val="0"/>
        <w:spacing w:before="0" w:after="200" w:line="466" w:lineRule="exact"/>
        <w:ind w:left="0" w:right="0" w:firstLine="0"/>
        <w:jc w:val="both"/>
      </w:pPr>
      <w:bookmarkStart w:id="851" w:name="bookmark851"/>
      <w:bookmarkEnd w:id="851"/>
      <w:r>
        <w:rPr>
          <w:color w:val="000000"/>
          <w:spacing w:val="0"/>
          <w:w w:val="100"/>
          <w:position w:val="0"/>
        </w:rPr>
        <w:t>出租特定设备成本能够可靠地计量。</w:t>
      </w:r>
    </w:p>
    <w:p>
      <w:pPr>
        <w:pStyle w:val="Style33"/>
        <w:keepNext/>
        <w:keepLines/>
        <w:widowControl w:val="0"/>
        <w:shd w:val="clear" w:color="auto" w:fill="auto"/>
        <w:tabs>
          <w:tab w:pos="493" w:val="left"/>
        </w:tabs>
        <w:bidi w:val="0"/>
        <w:spacing w:before="0" w:after="200" w:line="468" w:lineRule="exact"/>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52"/>
      <w:bookmarkEnd w:id="853"/>
      <w:bookmarkEnd w:id="855"/>
    </w:p>
    <w:p>
      <w:pPr>
        <w:pStyle w:val="Style40"/>
        <w:keepNext w:val="0"/>
        <w:keepLines w:val="0"/>
        <w:widowControl w:val="0"/>
        <w:shd w:val="clear" w:color="auto" w:fill="auto"/>
        <w:bidi w:val="0"/>
        <w:spacing w:before="0" w:after="0" w:line="475" w:lineRule="exact"/>
        <w:ind w:left="0" w:right="0" w:firstLine="0"/>
        <w:jc w:val="both"/>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基础设施服务收入确认的一般原则是：根据合同约定提供了相应服务，在相关的经济利益能够 流入公司，收入的金额能够可靠地计量时，相关成本能够可靠计量时确认收入。</w:t>
      </w:r>
    </w:p>
    <w:p>
      <w:pPr>
        <w:pStyle w:val="Style40"/>
        <w:keepNext w:val="0"/>
        <w:keepLines w:val="0"/>
        <w:widowControl w:val="0"/>
        <w:shd w:val="clear" w:color="auto" w:fill="auto"/>
        <w:bidi w:val="0"/>
        <w:spacing w:before="0" w:after="200" w:line="475" w:lineRule="exact"/>
        <w:ind w:left="0" w:right="0" w:firstLine="0"/>
        <w:jc w:val="both"/>
      </w:pPr>
      <w:r>
        <w:rPr>
          <w:color w:val="000000"/>
          <w:spacing w:val="0"/>
          <w:w w:val="100"/>
          <w:position w:val="0"/>
        </w:rPr>
        <w:t>根据合同约定条款的不同，分别按以下原则确认收入：</w:t>
      </w:r>
    </w:p>
    <w:p>
      <w:pPr>
        <w:pStyle w:val="Style40"/>
        <w:keepNext w:val="0"/>
        <w:keepLines w:val="0"/>
        <w:widowControl w:val="0"/>
        <w:shd w:val="clear" w:color="auto" w:fill="auto"/>
        <w:tabs>
          <w:tab w:pos="373" w:val="left"/>
        </w:tabs>
        <w:bidi w:val="0"/>
        <w:spacing w:before="0" w:after="0" w:line="470" w:lineRule="exact"/>
        <w:ind w:left="0" w:right="0" w:firstLine="0"/>
        <w:jc w:val="both"/>
      </w:pPr>
      <w:bookmarkStart w:id="856" w:name="bookmark856"/>
      <w:r>
        <w:rPr>
          <w:rFonts w:ascii="Times New Roman" w:eastAsia="Times New Roman" w:hAnsi="Times New Roman" w:cs="Times New Roman"/>
          <w:color w:val="000000"/>
          <w:spacing w:val="0"/>
          <w:w w:val="100"/>
          <w:position w:val="0"/>
        </w:rPr>
        <w:t>1</w:t>
      </w:r>
      <w:bookmarkEnd w:id="856"/>
      <w:r>
        <w:rPr>
          <w:color w:val="000000"/>
          <w:spacing w:val="0"/>
          <w:w w:val="100"/>
          <w:position w:val="0"/>
        </w:rPr>
        <w:t>）</w:t>
        <w:tab/>
        <w:t>合同明确约定服务期限的，在合同约定的服务期限内按时间进度确认收入。</w:t>
      </w:r>
    </w:p>
    <w:p>
      <w:pPr>
        <w:pStyle w:val="Style40"/>
        <w:keepNext w:val="0"/>
        <w:keepLines w:val="0"/>
        <w:widowControl w:val="0"/>
        <w:shd w:val="clear" w:color="auto" w:fill="auto"/>
        <w:tabs>
          <w:tab w:pos="392" w:val="left"/>
        </w:tabs>
        <w:bidi w:val="0"/>
        <w:spacing w:before="0" w:after="0" w:line="470" w:lineRule="exact"/>
        <w:ind w:left="0" w:right="0" w:firstLine="0"/>
        <w:jc w:val="both"/>
      </w:pPr>
      <w:bookmarkStart w:id="857" w:name="bookmark857"/>
      <w:r>
        <w:rPr>
          <w:rFonts w:ascii="Times New Roman" w:eastAsia="Times New Roman" w:hAnsi="Times New Roman" w:cs="Times New Roman"/>
          <w:color w:val="000000"/>
          <w:spacing w:val="0"/>
          <w:w w:val="100"/>
          <w:position w:val="0"/>
        </w:rPr>
        <w:t>2</w:t>
      </w:r>
      <w:bookmarkEnd w:id="857"/>
      <w:r>
        <w:rPr>
          <w:color w:val="000000"/>
          <w:spacing w:val="0"/>
          <w:w w:val="100"/>
          <w:position w:val="0"/>
        </w:rPr>
        <w:t>）</w:t>
        <w:tab/>
        <w:t>合同明确约定验收条款的，按约定条款验收并确认收入。</w:t>
      </w:r>
    </w:p>
    <w:p>
      <w:pPr>
        <w:pStyle w:val="Style40"/>
        <w:keepNext w:val="0"/>
        <w:keepLines w:val="0"/>
        <w:widowControl w:val="0"/>
        <w:shd w:val="clear" w:color="auto" w:fill="auto"/>
        <w:bidi w:val="0"/>
        <w:spacing w:before="0" w:after="0" w:line="470" w:lineRule="exact"/>
        <w:ind w:left="0" w:right="0" w:firstLine="0"/>
        <w:jc w:val="both"/>
      </w:pPr>
      <w:bookmarkStart w:id="858" w:name="bookmark858"/>
      <w:r>
        <w:rPr>
          <w:rFonts w:ascii="Times New Roman" w:eastAsia="Times New Roman" w:hAnsi="Times New Roman" w:cs="Times New Roman"/>
          <w:color w:val="000000"/>
          <w:spacing w:val="0"/>
          <w:w w:val="100"/>
          <w:position w:val="0"/>
        </w:rPr>
        <w:t>3</w:t>
      </w:r>
      <w:bookmarkEnd w:id="858"/>
      <w:r>
        <w:rPr>
          <w:color w:val="000000"/>
          <w:spacing w:val="0"/>
          <w:w w:val="100"/>
          <w:position w:val="0"/>
        </w:rPr>
        <w:t>） 合同明确约定开发项目进度的确认条款的，期末按照提供定制软件开发收入的合同金额乘以经客户确 认的开发项目进度的量化百分比扣除以前会计期间累计已确认提供劳务收入后的金额，确认当期提供定制 软件开发收入；同时，按照提供劳务估计总成本乘以经客户确认的开发项目进度的量化百分比扣除以前会 计期间累计已确认劳务成本后的金额，结转当期劳务成本。</w:t>
      </w:r>
    </w:p>
    <w:p>
      <w:pPr>
        <w:pStyle w:val="Style40"/>
        <w:keepNext w:val="0"/>
        <w:keepLines w:val="0"/>
        <w:widowControl w:val="0"/>
        <w:shd w:val="clear" w:color="auto" w:fill="auto"/>
        <w:tabs>
          <w:tab w:pos="392" w:val="left"/>
        </w:tabs>
        <w:bidi w:val="0"/>
        <w:spacing w:before="0" w:after="200" w:line="485" w:lineRule="exact"/>
        <w:ind w:left="0" w:right="0" w:firstLine="0"/>
        <w:jc w:val="both"/>
      </w:pPr>
      <w:bookmarkStart w:id="859" w:name="bookmark859"/>
      <w:r>
        <w:rPr>
          <w:rFonts w:ascii="Times New Roman" w:eastAsia="Times New Roman" w:hAnsi="Times New Roman" w:cs="Times New Roman"/>
          <w:color w:val="000000"/>
          <w:spacing w:val="0"/>
          <w:w w:val="100"/>
          <w:position w:val="0"/>
        </w:rPr>
        <w:t>4</w:t>
      </w:r>
      <w:bookmarkEnd w:id="859"/>
      <w:r>
        <w:rPr>
          <w:color w:val="000000"/>
          <w:spacing w:val="0"/>
          <w:w w:val="100"/>
          <w:position w:val="0"/>
        </w:rPr>
        <w:t>）</w:t>
        <w:tab/>
        <w:t>如合同条款约定向客户提供特定设备经营租赁的，在租赁设备时的主要风险和报酬已转移给承租方， 不再保留与之相联系的管理权和控制权，在租赁期各个期间内按照直线法确认收入实现。</w:t>
      </w:r>
    </w:p>
    <w:p>
      <w:pPr>
        <w:pStyle w:val="Style33"/>
        <w:keepNext/>
        <w:keepLines/>
        <w:widowControl w:val="0"/>
        <w:shd w:val="clear" w:color="auto" w:fill="auto"/>
        <w:bidi w:val="0"/>
        <w:spacing w:before="0" w:after="400" w:line="470" w:lineRule="exact"/>
        <w:ind w:left="0" w:right="0" w:firstLine="0"/>
        <w:jc w:val="both"/>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860"/>
      <w:bookmarkEnd w:id="861"/>
      <w:bookmarkEnd w:id="863"/>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0" w:line="492"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64"/>
      <w:bookmarkEnd w:id="865"/>
      <w:bookmarkEnd w:id="867"/>
    </w:p>
    <w:p>
      <w:pPr>
        <w:pStyle w:val="Style33"/>
        <w:keepNext/>
        <w:keepLines/>
        <w:widowControl w:val="0"/>
        <w:shd w:val="clear" w:color="auto" w:fill="auto"/>
        <w:tabs>
          <w:tab w:pos="493" w:val="left"/>
        </w:tabs>
        <w:bidi w:val="0"/>
        <w:spacing w:before="0" w:after="200" w:line="470" w:lineRule="exact"/>
        <w:ind w:left="0" w:right="0" w:firstLine="0"/>
        <w:jc w:val="both"/>
      </w:pPr>
      <w:bookmarkStart w:id="864" w:name="bookmark864"/>
      <w:bookmarkStart w:id="865" w:name="bookmark865"/>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64"/>
      <w:bookmarkEnd w:id="865"/>
      <w:bookmarkEnd w:id="869"/>
    </w:p>
    <w:p>
      <w:pPr>
        <w:pStyle w:val="Style40"/>
        <w:keepNext w:val="0"/>
        <w:keepLines w:val="0"/>
        <w:widowControl w:val="0"/>
        <w:shd w:val="clear" w:color="auto" w:fill="auto"/>
        <w:bidi w:val="0"/>
        <w:spacing w:before="0" w:after="200" w:line="469" w:lineRule="exact"/>
        <w:ind w:left="0" w:right="0" w:firstLine="0"/>
        <w:jc w:val="both"/>
      </w:pPr>
      <w:r>
        <w:rPr>
          <w:color w:val="000000"/>
          <w:spacing w:val="0"/>
          <w:w w:val="100"/>
          <w:position w:val="0"/>
        </w:rPr>
        <w:t>政府补助，是本公司从政府无偿取得的货币性资产与非货币性资产。分为与资产相关的政府补助和与收益 相关的政府补助。与资产相关的政府补助，是指企业取得的、用于购建或以其他方式形成长期资产的政府 补助，包括购买固定资产或无形资产的财政拨款、固定资产专门借款的财政贴息等。与收益相关的政府补 助，是指除与资产相关的政府补助之外的政府补助。</w:t>
      </w:r>
    </w:p>
    <w:p>
      <w:pPr>
        <w:pStyle w:val="Style33"/>
        <w:keepNext/>
        <w:keepLines/>
        <w:widowControl w:val="0"/>
        <w:shd w:val="clear" w:color="auto" w:fill="auto"/>
        <w:tabs>
          <w:tab w:pos="493" w:val="left"/>
        </w:tabs>
        <w:bidi w:val="0"/>
        <w:spacing w:before="0" w:after="200" w:line="470" w:lineRule="exact"/>
        <w:ind w:left="0" w:right="0" w:firstLine="0"/>
        <w:jc w:val="both"/>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70"/>
      <w:bookmarkEnd w:id="871"/>
      <w:bookmarkEnd w:id="873"/>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与资产相关的政府补助，确认为递延收益，按照所建造或购买的资产使用年限分期计入营业外收入；</w:t>
      </w:r>
    </w:p>
    <w:p>
      <w:pPr>
        <w:pStyle w:val="Style40"/>
        <w:keepNext w:val="0"/>
        <w:keepLines w:val="0"/>
        <w:widowControl w:val="0"/>
        <w:shd w:val="clear" w:color="auto" w:fill="auto"/>
        <w:bidi w:val="0"/>
        <w:spacing w:before="0" w:after="460" w:line="468" w:lineRule="exact"/>
        <w:ind w:left="0" w:right="0" w:firstLine="0"/>
        <w:jc w:val="both"/>
      </w:pPr>
      <w:r>
        <w:rPr>
          <w:color w:val="000000"/>
          <w:spacing w:val="0"/>
          <w:w w:val="100"/>
          <w:position w:val="0"/>
        </w:rPr>
        <w:t>与收益相关的政府补助，用于补偿企业以后期间的相关费用或损失的，取得时确认为递延收益，在确认相 关费用的期间计入当期营业外收入；用于补偿企业已发生的相关费用或损失的，取得时直接计入当期营业 外收入。</w:t>
      </w:r>
    </w:p>
    <w:p>
      <w:pPr>
        <w:pStyle w:val="Style33"/>
        <w:keepNext/>
        <w:keepLines/>
        <w:widowControl w:val="0"/>
        <w:shd w:val="clear" w:color="auto" w:fill="auto"/>
        <w:tabs>
          <w:tab w:pos="483" w:val="left"/>
        </w:tabs>
        <w:bidi w:val="0"/>
        <w:spacing w:before="0" w:after="0" w:line="492"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74"/>
      <w:bookmarkEnd w:id="875"/>
      <w:bookmarkEnd w:id="877"/>
    </w:p>
    <w:p>
      <w:pPr>
        <w:pStyle w:val="Style33"/>
        <w:keepNext/>
        <w:keepLines/>
        <w:widowControl w:val="0"/>
        <w:shd w:val="clear" w:color="auto" w:fill="auto"/>
        <w:bidi w:val="0"/>
        <w:spacing w:before="0" w:after="200" w:line="470" w:lineRule="exact"/>
        <w:ind w:left="0" w:right="0" w:firstLine="0"/>
        <w:jc w:val="both"/>
      </w:pPr>
      <w:bookmarkStart w:id="874" w:name="bookmark874"/>
      <w:bookmarkStart w:id="875" w:name="bookmark875"/>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874"/>
      <w:bookmarkEnd w:id="875"/>
      <w:bookmarkEnd w:id="879"/>
    </w:p>
    <w:p>
      <w:pPr>
        <w:pStyle w:val="Style40"/>
        <w:keepNext w:val="0"/>
        <w:keepLines w:val="0"/>
        <w:widowControl w:val="0"/>
        <w:shd w:val="clear" w:color="auto" w:fill="auto"/>
        <w:bidi w:val="0"/>
        <w:spacing w:before="0" w:after="200" w:line="475" w:lineRule="exact"/>
        <w:ind w:left="0" w:right="0" w:firstLine="0"/>
        <w:jc w:val="both"/>
      </w:pPr>
      <w:r>
        <w:rPr>
          <w:color w:val="000000"/>
          <w:spacing w:val="0"/>
          <w:w w:val="100"/>
          <w:position w:val="0"/>
        </w:rPr>
        <w:t>对于可抵扣暂时性差异确认递延所得税资产，以未来期间很可能取得的用来抵扣可抵扣暂时性差异的应纳 税所得额为限。</w:t>
      </w:r>
    </w:p>
    <w:p>
      <w:pPr>
        <w:pStyle w:val="Style33"/>
        <w:keepNext/>
        <w:keepLines/>
        <w:widowControl w:val="0"/>
        <w:shd w:val="clear" w:color="auto" w:fill="auto"/>
        <w:bidi w:val="0"/>
        <w:spacing w:before="0" w:after="220" w:line="468" w:lineRule="exact"/>
        <w:ind w:left="0" w:right="0" w:firstLine="0"/>
        <w:jc w:val="both"/>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880"/>
      <w:bookmarkEnd w:id="881"/>
      <w:bookmarkEnd w:id="883"/>
    </w:p>
    <w:p>
      <w:pPr>
        <w:pStyle w:val="Style40"/>
        <w:keepNext w:val="0"/>
        <w:keepLines w:val="0"/>
        <w:widowControl w:val="0"/>
        <w:shd w:val="clear" w:color="auto" w:fill="auto"/>
        <w:bidi w:val="0"/>
        <w:spacing w:before="0" w:after="220" w:line="468" w:lineRule="exact"/>
        <w:ind w:left="0" w:right="0" w:firstLine="0"/>
        <w:jc w:val="both"/>
      </w:pPr>
      <w:r>
        <w:rPr>
          <w:color w:val="000000"/>
          <w:spacing w:val="0"/>
          <w:w w:val="100"/>
          <w:position w:val="0"/>
        </w:rPr>
        <w:t>对于应纳税暂时性差异，除特殊情况外，确认递延所得税负债。不确认递延所得税资产或递延所得税负债 的特殊情况包括：商誉的初始确认；除企业合并以外的发生时既不影响会计利润也不影响应纳税所得额（或 可抵扣亏损）的其他交易或事项。</w:t>
      </w:r>
    </w:p>
    <w:p>
      <w:pPr>
        <w:pStyle w:val="Style40"/>
        <w:keepNext w:val="0"/>
        <w:keepLines w:val="0"/>
        <w:widowControl w:val="0"/>
        <w:shd w:val="clear" w:color="auto" w:fill="auto"/>
        <w:tabs>
          <w:tab w:pos="483" w:val="left"/>
        </w:tabs>
        <w:bidi w:val="0"/>
        <w:spacing w:before="0" w:after="160" w:line="468" w:lineRule="exact"/>
        <w:ind w:left="0" w:right="0" w:firstLine="0"/>
        <w:jc w:val="both"/>
      </w:pPr>
      <w:bookmarkStart w:id="884" w:name="bookmark884"/>
      <w:r>
        <w:rPr>
          <w:rFonts w:ascii="Times New Roman" w:eastAsia="Times New Roman" w:hAnsi="Times New Roman" w:cs="Times New Roman"/>
          <w:b/>
          <w:bCs/>
          <w:color w:val="000000"/>
          <w:spacing w:val="0"/>
          <w:w w:val="100"/>
          <w:position w:val="0"/>
        </w:rPr>
        <w:t>2</w:t>
      </w:r>
      <w:bookmarkEnd w:id="884"/>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经营租赁、融资租赁</w:t>
      </w:r>
    </w:p>
    <w:p>
      <w:pPr>
        <w:pStyle w:val="Style40"/>
        <w:keepNext w:val="0"/>
        <w:keepLines w:val="0"/>
        <w:widowControl w:val="0"/>
        <w:shd w:val="clear" w:color="auto" w:fill="auto"/>
        <w:tabs>
          <w:tab w:pos="493" w:val="left"/>
        </w:tabs>
        <w:bidi w:val="0"/>
        <w:spacing w:before="0" w:after="220" w:line="468" w:lineRule="exact"/>
        <w:ind w:left="0" w:right="0" w:firstLine="0"/>
        <w:jc w:val="both"/>
      </w:pPr>
      <w:bookmarkStart w:id="885" w:name="bookmark885"/>
      <w:r>
        <w:rPr>
          <w:b/>
          <w:bCs/>
          <w:color w:val="000000"/>
          <w:spacing w:val="0"/>
          <w:w w:val="100"/>
          <w:position w:val="0"/>
        </w:rPr>
        <w:t>（</w:t>
      </w:r>
      <w:bookmarkEnd w:id="88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经营租赁会计处理</w:t>
      </w:r>
    </w:p>
    <w:p>
      <w:pPr>
        <w:pStyle w:val="Style40"/>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、经营性租入</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公司租入资产所支付的租赁费，在不扣除免租期的整个租赁期内，按直线法进行分摊，计入当期费用。公 司支付的与租赁交易相关的初始直接费用，计入当期费用。</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资产出租方承担了应由公司承担的与租赁相关的费用时，公司将该部分费用从租赁总额中扣除，按扣除后 的租租赁费在租赁期内分摊，计入当期费用。</w:t>
      </w:r>
    </w:p>
    <w:p>
      <w:pPr>
        <w:pStyle w:val="Style33"/>
        <w:keepNext/>
        <w:keepLines/>
        <w:widowControl w:val="0"/>
        <w:shd w:val="clear" w:color="auto" w:fill="auto"/>
        <w:bidi w:val="0"/>
        <w:spacing w:before="0" w:after="0" w:line="470" w:lineRule="exact"/>
        <w:ind w:left="0" w:right="0" w:firstLine="0"/>
        <w:jc w:val="left"/>
      </w:pPr>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r>
        <w:rPr>
          <w:color w:val="000000"/>
          <w:spacing w:val="0"/>
          <w:w w:val="100"/>
          <w:position w:val="0"/>
        </w:rPr>
        <w:t>、经营性租出</w:t>
      </w:r>
      <w:bookmarkEnd w:id="886"/>
      <w:bookmarkEnd w:id="887"/>
      <w:bookmarkEnd w:id="888"/>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公司出租资产所收取的租赁费，在不扣除免租期的整个租赁期内，按直线法进行分摊，确认为租赁收入。 公司支付的与租赁交易相关的初始直接费用，计入当期费用；如金额较大的，则予以资本化，在整个租赁 期间内按照与租赁收入确认相同的基础分期计入当期收益。</w:t>
      </w:r>
    </w:p>
    <w:p>
      <w:pPr>
        <w:pStyle w:val="Style40"/>
        <w:keepNext w:val="0"/>
        <w:keepLines w:val="0"/>
        <w:widowControl w:val="0"/>
        <w:shd w:val="clear" w:color="auto" w:fill="auto"/>
        <w:bidi w:val="0"/>
        <w:spacing w:before="0" w:after="220" w:line="485" w:lineRule="exact"/>
        <w:ind w:left="0" w:right="0" w:firstLine="0"/>
        <w:jc w:val="left"/>
      </w:pPr>
      <w:r>
        <w:rPr>
          <w:color w:val="000000"/>
          <w:spacing w:val="0"/>
          <w:w w:val="100"/>
          <w:position w:val="0"/>
        </w:rPr>
        <w:t>公司承担了应由承租方承担的与租赁相关的费用时，公司将该部分费用从租赁收入总额中扣除，按扣除后 的租赁收入在租赁期内分配。</w:t>
      </w:r>
    </w:p>
    <w:p>
      <w:pPr>
        <w:pStyle w:val="Style33"/>
        <w:keepNext/>
        <w:keepLines/>
        <w:widowControl w:val="0"/>
        <w:shd w:val="clear" w:color="auto" w:fill="auto"/>
        <w:tabs>
          <w:tab w:pos="493" w:val="left"/>
        </w:tabs>
        <w:bidi w:val="0"/>
        <w:spacing w:before="0" w:after="380" w:line="468"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89"/>
      <w:bookmarkEnd w:id="890"/>
      <w:bookmarkEnd w:id="89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468" w:lineRule="exact"/>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893"/>
      <w:bookmarkEnd w:id="894"/>
      <w:bookmarkEnd w:id="89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160" w:line="468" w:lineRule="exact"/>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3</w:t>
      </w:r>
      <w:bookmarkEnd w:id="899"/>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897"/>
      <w:bookmarkEnd w:id="898"/>
      <w:bookmarkEnd w:id="900"/>
    </w:p>
    <w:p>
      <w:pPr>
        <w:pStyle w:val="Style33"/>
        <w:keepNext/>
        <w:keepLines/>
        <w:widowControl w:val="0"/>
        <w:shd w:val="clear" w:color="auto" w:fill="auto"/>
        <w:bidi w:val="0"/>
        <w:spacing w:before="0" w:after="380" w:line="468" w:lineRule="exact"/>
        <w:ind w:left="0" w:right="0" w:firstLine="0"/>
        <w:jc w:val="left"/>
      </w:pPr>
      <w:bookmarkStart w:id="897" w:name="bookmark897"/>
      <w:bookmarkStart w:id="898" w:name="bookmark898"/>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）持有待售资产确认标准</w:t>
      </w:r>
      <w:bookmarkEnd w:id="897"/>
      <w:bookmarkEnd w:id="898"/>
      <w:bookmarkEnd w:id="902"/>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）持有待售资产的会计处理方法</w:t>
      </w:r>
      <w:bookmarkEnd w:id="903"/>
      <w:bookmarkEnd w:id="904"/>
      <w:bookmarkEnd w:id="906"/>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24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907"/>
      <w:bookmarkEnd w:id="908"/>
      <w:bookmarkEnd w:id="910"/>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24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911"/>
      <w:bookmarkEnd w:id="912"/>
      <w:bookmarkEnd w:id="914"/>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24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915"/>
      <w:bookmarkEnd w:id="916"/>
      <w:bookmarkEnd w:id="918"/>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4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19"/>
      <w:bookmarkEnd w:id="920"/>
      <w:bookmarkEnd w:id="922"/>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本报告期主要会计政策是否变更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24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23"/>
      <w:bookmarkEnd w:id="924"/>
      <w:bookmarkEnd w:id="926"/>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83" w:val="left"/>
        </w:tabs>
        <w:bidi w:val="0"/>
        <w:spacing w:before="0" w:after="24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927"/>
      <w:bookmarkEnd w:id="928"/>
      <w:bookmarkEnd w:id="930"/>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4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31"/>
      <w:bookmarkEnd w:id="932"/>
      <w:bookmarkEnd w:id="934"/>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24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35"/>
      <w:bookmarkEnd w:id="936"/>
      <w:bookmarkEnd w:id="938"/>
    </w:p>
    <w:p>
      <w:pPr>
        <w:pStyle w:val="Style29"/>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39"/>
      <w:bookmarkEnd w:id="940"/>
      <w:bookmarkEnd w:id="94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五</w:t>
      </w:r>
      <w:bookmarkEnd w:id="945"/>
      <w:r>
        <w:rPr>
          <w:color w:val="000000"/>
          <w:spacing w:val="0"/>
          <w:w w:val="100"/>
          <w:position w:val="0"/>
        </w:rPr>
        <w:t>、税项</w:t>
      </w:r>
      <w:bookmarkEnd w:id="943"/>
      <w:bookmarkEnd w:id="944"/>
      <w:bookmarkEnd w:id="946"/>
    </w:p>
    <w:p>
      <w:pPr>
        <w:pStyle w:val="Style33"/>
        <w:keepNext/>
        <w:keepLines/>
        <w:widowControl w:val="0"/>
        <w:shd w:val="clear" w:color="auto" w:fill="auto"/>
        <w:bidi w:val="0"/>
        <w:spacing w:before="0" w:after="320" w:line="240" w:lineRule="auto"/>
        <w:ind w:left="0" w:right="0" w:firstLine="0"/>
        <w:jc w:val="left"/>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947"/>
      <w:bookmarkEnd w:id="948"/>
      <w:bookmarkEnd w:id="949"/>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软硬件销售及数据中心</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基础设施服 务等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数据中心</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基础设施服务等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22" w:val="left"/>
                <w:tab w:pos="88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各分公司、分厂执行的所得税税率</w:t>
      </w:r>
    </w:p>
    <w:p>
      <w:pPr>
        <w:pStyle w:val="Style40"/>
        <w:keepNext w:val="0"/>
        <w:keepLines w:val="0"/>
        <w:widowControl w:val="0"/>
        <w:shd w:val="clear" w:color="auto" w:fill="auto"/>
        <w:bidi w:val="0"/>
        <w:spacing w:before="0" w:after="0" w:line="468" w:lineRule="exact"/>
        <w:ind w:left="0" w:right="0" w:firstLine="0"/>
        <w:jc w:val="left"/>
      </w:pPr>
      <w:r>
        <w:rPr>
          <w:color w:val="000000"/>
          <w:spacing w:val="0"/>
          <w:w w:val="100"/>
          <w:position w:val="0"/>
        </w:rPr>
        <w:t>根据《交通运输业和部分现代服务业营业税改征增值税试点实施办法》，自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日起，实行营业税 改征增值税试点地区的公司及分公司提供现代服务业劳务缴纳增值税，不再缴纳营业税。</w:t>
      </w:r>
    </w:p>
    <w:p>
      <w:pPr>
        <w:pStyle w:val="Style40"/>
        <w:keepNext w:val="0"/>
        <w:keepLines w:val="0"/>
        <w:widowControl w:val="0"/>
        <w:shd w:val="clear" w:color="auto" w:fill="auto"/>
        <w:bidi w:val="0"/>
        <w:spacing w:before="0" w:after="460" w:line="468" w:lineRule="exact"/>
        <w:ind w:left="0" w:right="0" w:firstLine="0"/>
        <w:jc w:val="left"/>
      </w:pPr>
      <w:r>
        <w:rPr>
          <w:color w:val="000000"/>
          <w:spacing w:val="0"/>
          <w:w w:val="100"/>
          <w:position w:val="0"/>
        </w:rPr>
        <w:t>本年度，公司子公司极品数据系统公司注册于美国华盛顿州，缴纳的销售税是根据年度销售总额扣除海外 及外州出口交易的销售额后乘以</w:t>
      </w:r>
      <w:r>
        <w:rPr>
          <w:rFonts w:ascii="Times New Roman" w:eastAsia="Times New Roman" w:hAnsi="Times New Roman" w:cs="Times New Roman"/>
          <w:color w:val="000000"/>
          <w:spacing w:val="0"/>
          <w:w w:val="100"/>
          <w:position w:val="0"/>
        </w:rPr>
        <w:t>0.484%</w:t>
      </w:r>
      <w:r>
        <w:rPr>
          <w:color w:val="000000"/>
          <w:spacing w:val="0"/>
          <w:w w:val="100"/>
          <w:position w:val="0"/>
        </w:rPr>
        <w:t>销售税率计算征收。</w:t>
      </w:r>
    </w:p>
    <w:p>
      <w:pPr>
        <w:pStyle w:val="Style33"/>
        <w:keepNext/>
        <w:keepLines/>
        <w:widowControl w:val="0"/>
        <w:shd w:val="clear" w:color="auto" w:fill="auto"/>
        <w:bidi w:val="0"/>
        <w:spacing w:before="0" w:after="0" w:line="492"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color w:val="000000"/>
          <w:spacing w:val="0"/>
          <w:w w:val="100"/>
          <w:position w:val="0"/>
        </w:rPr>
        <w:t>、税收优惠及批文</w:t>
      </w:r>
      <w:bookmarkEnd w:id="950"/>
      <w:bookmarkEnd w:id="951"/>
      <w:bookmarkEnd w:id="953"/>
    </w:p>
    <w:p>
      <w:pPr>
        <w:pStyle w:val="Style40"/>
        <w:keepNext w:val="0"/>
        <w:keepLines w:val="0"/>
        <w:widowControl w:val="0"/>
        <w:shd w:val="clear" w:color="auto" w:fill="auto"/>
        <w:tabs>
          <w:tab w:pos="583" w:val="left"/>
        </w:tabs>
        <w:bidi w:val="0"/>
        <w:spacing w:before="0" w:after="0" w:line="470" w:lineRule="exact"/>
        <w:ind w:left="0" w:right="0" w:firstLine="0"/>
        <w:jc w:val="left"/>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2008</w:t>
      </w:r>
      <w:r>
        <w:rPr>
          <w:color w:val="000000"/>
          <w:spacing w:val="0"/>
          <w:w w:val="100"/>
          <w:position w:val="0"/>
        </w:rPr>
        <w:t>年认定为高新技术企业，有效期为三年。</w:t>
      </w:r>
      <w:r>
        <w:rPr>
          <w:rFonts w:ascii="Times New Roman" w:eastAsia="Times New Roman" w:hAnsi="Times New Roman" w:cs="Times New Roman"/>
          <w:color w:val="000000"/>
          <w:spacing w:val="0"/>
          <w:w w:val="100"/>
          <w:position w:val="0"/>
        </w:rPr>
        <w:t>2011</w:t>
      </w:r>
      <w:r>
        <w:rPr>
          <w:color w:val="000000"/>
          <w:spacing w:val="0"/>
          <w:w w:val="100"/>
          <w:position w:val="0"/>
        </w:rPr>
        <w:t>年，经公司继续申请，于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日取得上海市科学技术委员会、上海市财政局、上海市国家税务局、上海市地方税务局联合颁发的《高新 技术企业证书》（证书编号：</w:t>
      </w:r>
      <w:r>
        <w:rPr>
          <w:rFonts w:ascii="Times New Roman" w:eastAsia="Times New Roman" w:hAnsi="Times New Roman" w:cs="Times New Roman"/>
          <w:color w:val="000000"/>
          <w:spacing w:val="0"/>
          <w:w w:val="100"/>
          <w:position w:val="0"/>
        </w:rPr>
        <w:t>GF201131001371</w:t>
      </w:r>
      <w:r>
        <w:rPr>
          <w:color w:val="000000"/>
          <w:spacing w:val="0"/>
          <w:w w:val="100"/>
          <w:position w:val="0"/>
        </w:rPr>
        <w:t>），</w:t>
      </w:r>
      <w:r>
        <w:rPr>
          <w:color w:val="000000"/>
          <w:spacing w:val="0"/>
          <w:w w:val="100"/>
          <w:position w:val="0"/>
        </w:rPr>
        <w:t>有效期为三年。根据《中华人民共和国企业所得税法》 和《中华人民共和国企业所得税法实施条例》的相关规定，公司于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日取得了上海市青浦区国家 税务局编号青税高新十三（</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001</w:t>
      </w:r>
      <w:r>
        <w:rPr>
          <w:color w:val="000000"/>
          <w:spacing w:val="0"/>
          <w:w w:val="100"/>
          <w:position w:val="0"/>
        </w:rPr>
        <w:t>号《企业所得税优惠事先备案结果通知书》，同意公司自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税率征收。</w:t>
      </w:r>
      <w:r>
        <w:rPr>
          <w:rFonts w:ascii="Times New Roman" w:eastAsia="Times New Roman" w:hAnsi="Times New Roman" w:cs="Times New Roman"/>
          <w:color w:val="000000"/>
          <w:spacing w:val="0"/>
          <w:w w:val="100"/>
          <w:position w:val="0"/>
        </w:rPr>
        <w:t>2013</w:t>
      </w:r>
      <w:r>
        <w:rPr>
          <w:color w:val="000000"/>
          <w:spacing w:val="0"/>
          <w:w w:val="100"/>
          <w:position w:val="0"/>
        </w:rPr>
        <w:t>年度，公司执行的企业所得税税率为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0"/>
        <w:keepNext w:val="0"/>
        <w:keepLines w:val="0"/>
        <w:widowControl w:val="0"/>
        <w:shd w:val="clear" w:color="auto" w:fill="auto"/>
        <w:tabs>
          <w:tab w:pos="578" w:val="left"/>
        </w:tabs>
        <w:bidi w:val="0"/>
        <w:spacing w:before="0" w:after="0" w:line="470" w:lineRule="exact"/>
        <w:ind w:left="0" w:right="0" w:firstLine="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、公司子公司上海天玑信息技术服务有限公司，根据《财政部国家税务总局关于企业所得税若干优 惠政策的通知》（财税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号）、《国家发改委、工信部、海关总署、国家税务总局关于发布</w:t>
      </w:r>
      <w:r>
        <w:rPr>
          <w:rFonts w:ascii="Times New Roman" w:eastAsia="Times New Roman" w:hAnsi="Times New Roman" w:cs="Times New Roman"/>
          <w:color w:val="000000"/>
          <w:spacing w:val="0"/>
          <w:w w:val="100"/>
          <w:position w:val="0"/>
        </w:rPr>
        <w:t>2008</w:t>
      </w:r>
      <w:r>
        <w:rPr>
          <w:color w:val="000000"/>
          <w:spacing w:val="0"/>
          <w:w w:val="100"/>
          <w:position w:val="0"/>
        </w:rPr>
        <w:t>年国 家鼓励的集成电路企业名单的通知》的相关规定，经青浦区国家税务局审批同意免征所述公司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日期间的企业所得税，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日期间企业所得税减半按</w:t>
      </w:r>
      <w:r>
        <w:rPr>
          <w:rFonts w:ascii="Times New Roman" w:eastAsia="Times New Roman" w:hAnsi="Times New Roman" w:cs="Times New Roman"/>
          <w:color w:val="000000"/>
          <w:spacing w:val="0"/>
          <w:w w:val="100"/>
          <w:position w:val="0"/>
        </w:rPr>
        <w:t>12.5%</w:t>
      </w:r>
      <w:r>
        <w:rPr>
          <w:color w:val="000000"/>
          <w:spacing w:val="0"/>
          <w:w w:val="100"/>
          <w:position w:val="0"/>
        </w:rPr>
        <w:t>税 率征收。</w:t>
      </w:r>
    </w:p>
    <w:p>
      <w:pPr>
        <w:pStyle w:val="Style40"/>
        <w:keepNext w:val="0"/>
        <w:keepLines w:val="0"/>
        <w:widowControl w:val="0"/>
        <w:shd w:val="clear" w:color="auto" w:fill="auto"/>
        <w:tabs>
          <w:tab w:pos="578" w:val="left"/>
        </w:tabs>
        <w:bidi w:val="0"/>
        <w:spacing w:before="0" w:after="0" w:line="470" w:lineRule="exact"/>
        <w:ind w:left="0" w:right="0" w:firstLine="0"/>
        <w:jc w:val="left"/>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3</w:t>
      </w:r>
      <w:r>
        <w:rPr>
          <w:color w:val="000000"/>
          <w:spacing w:val="0"/>
          <w:w w:val="100"/>
          <w:position w:val="0"/>
        </w:rPr>
        <w:t>）</w:t>
        <w:tab/>
        <w:t>、公司子公司上海复深蓝信息技术有限公司经申请，于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日取得上海市科学技术委员会、 上海市财政局、上海市国家税务局、上海市地方税务局联合颁发的《高新技术企业证书》（证书编号： </w:t>
      </w:r>
      <w:r>
        <w:rPr>
          <w:rFonts w:ascii="Times New Roman" w:eastAsia="Times New Roman" w:hAnsi="Times New Roman" w:cs="Times New Roman"/>
          <w:color w:val="000000"/>
          <w:spacing w:val="0"/>
          <w:w w:val="100"/>
          <w:position w:val="0"/>
        </w:rPr>
        <w:t>GF201231000086</w:t>
      </w:r>
      <w:r>
        <w:rPr>
          <w:color w:val="000000"/>
          <w:spacing w:val="0"/>
          <w:w w:val="100"/>
          <w:position w:val="0"/>
        </w:rPr>
        <w:t>）</w:t>
      </w:r>
      <w:r>
        <w:rPr>
          <w:color w:val="000000"/>
          <w:spacing w:val="0"/>
          <w:w w:val="100"/>
          <w:position w:val="0"/>
        </w:rPr>
        <w:t>,有效期为三年。根据《中华人民共和国企业所得税法》和《中华人民共和国企业所得 税法实施条例》的相关规定，公司于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日取得了上海市徐汇区国家税务局及上海市地方税务局 徐汇区分局编号：</w:t>
      </w:r>
      <w:r>
        <w:rPr>
          <w:rFonts w:ascii="Times New Roman" w:eastAsia="Times New Roman" w:hAnsi="Times New Roman" w:cs="Times New Roman"/>
          <w:color w:val="000000"/>
          <w:spacing w:val="0"/>
          <w:w w:val="100"/>
          <w:position w:val="0"/>
        </w:rPr>
        <w:t>310104046004322</w:t>
      </w:r>
      <w:r>
        <w:rPr>
          <w:color w:val="000000"/>
          <w:spacing w:val="0"/>
          <w:w w:val="100"/>
          <w:position w:val="0"/>
        </w:rPr>
        <w:t>《企业所得税优惠事先备案结果通知书》和沪国税徐所（</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号《告 知书》，同意公司自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税率征收。</w:t>
      </w:r>
      <w:r>
        <w:rPr>
          <w:rFonts w:ascii="Times New Roman" w:eastAsia="Times New Roman" w:hAnsi="Times New Roman" w:cs="Times New Roman"/>
          <w:color w:val="000000"/>
          <w:spacing w:val="0"/>
          <w:w w:val="100"/>
          <w:position w:val="0"/>
        </w:rPr>
        <w:t>2013</w:t>
      </w:r>
      <w:r>
        <w:rPr>
          <w:color w:val="000000"/>
          <w:spacing w:val="0"/>
          <w:w w:val="100"/>
          <w:position w:val="0"/>
        </w:rPr>
        <w:t>年度，公司 执行的企业所得税税率为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0"/>
        <w:keepNext w:val="0"/>
        <w:keepLines w:val="0"/>
        <w:widowControl w:val="0"/>
        <w:shd w:val="clear" w:color="auto" w:fill="auto"/>
        <w:tabs>
          <w:tab w:pos="598" w:val="left"/>
        </w:tabs>
        <w:bidi w:val="0"/>
        <w:spacing w:before="0" w:after="0" w:line="471" w:lineRule="exact"/>
        <w:ind w:left="0" w:right="0" w:firstLine="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4</w:t>
      </w:r>
      <w:r>
        <w:rPr>
          <w:color w:val="000000"/>
          <w:spacing w:val="0"/>
          <w:w w:val="100"/>
          <w:position w:val="0"/>
        </w:rPr>
        <w:t>）</w:t>
        <w:tab/>
        <w:t>、公司子公司极品数据系统公司注册于美国华盛顿州，缴纳的联邦所得税税率为</w:t>
      </w:r>
      <w:r>
        <w:rPr>
          <w:rFonts w:ascii="Times New Roman" w:eastAsia="Times New Roman" w:hAnsi="Times New Roman" w:cs="Times New Roman"/>
          <w:color w:val="000000"/>
          <w:spacing w:val="0"/>
          <w:w w:val="100"/>
          <w:position w:val="0"/>
        </w:rPr>
        <w:t>15%</w:t>
      </w:r>
      <w:r>
        <w:rPr>
          <w:color w:val="000000"/>
          <w:spacing w:val="0"/>
          <w:w w:val="100"/>
          <w:position w:val="0"/>
        </w:rPr>
        <w:t>,缴纳的联邦所 得税是根据全年度总收入减去可扣除的支出后的应纳税年度的净所得额以及规定税率计算征收。</w:t>
      </w:r>
    </w:p>
    <w:p>
      <w:pPr>
        <w:pStyle w:val="Style40"/>
        <w:keepNext w:val="0"/>
        <w:keepLines w:val="0"/>
        <w:widowControl w:val="0"/>
        <w:shd w:val="clear" w:color="auto" w:fill="auto"/>
        <w:tabs>
          <w:tab w:pos="598" w:val="left"/>
        </w:tabs>
        <w:bidi w:val="0"/>
        <w:spacing w:before="0" w:after="0" w:line="475" w:lineRule="exact"/>
        <w:ind w:left="0" w:right="0" w:firstLine="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5</w:t>
      </w:r>
      <w:r>
        <w:rPr>
          <w:color w:val="000000"/>
          <w:spacing w:val="0"/>
          <w:w w:val="100"/>
          <w:position w:val="0"/>
        </w:rPr>
        <w:t>）</w:t>
        <w:tab/>
        <w:t>、公司子公司极品数据系统（香港）有限公司注册于中国香港，缴纳的利得税税率为</w:t>
      </w:r>
      <w:r>
        <w:rPr>
          <w:rFonts w:ascii="Times New Roman" w:eastAsia="Times New Roman" w:hAnsi="Times New Roman" w:cs="Times New Roman"/>
          <w:color w:val="000000"/>
          <w:spacing w:val="0"/>
          <w:w w:val="100"/>
          <w:position w:val="0"/>
        </w:rPr>
        <w:t>16.5%</w:t>
      </w:r>
      <w:r>
        <w:rPr>
          <w:color w:val="000000"/>
          <w:spacing w:val="0"/>
          <w:w w:val="100"/>
          <w:position w:val="0"/>
        </w:rPr>
        <w:t>,缴纳的 利得税是根据全年度企业在香港境内经营活动中产生的收入减去可扣减的支出所得的净额以及规定税率 计算征收。</w:t>
      </w:r>
    </w:p>
    <w:p>
      <w:pPr>
        <w:pStyle w:val="Style40"/>
        <w:keepNext w:val="0"/>
        <w:keepLines w:val="0"/>
        <w:widowControl w:val="0"/>
        <w:shd w:val="clear" w:color="auto" w:fill="auto"/>
        <w:tabs>
          <w:tab w:pos="496" w:val="left"/>
        </w:tabs>
        <w:bidi w:val="0"/>
        <w:spacing w:before="0" w:after="480" w:line="471" w:lineRule="exact"/>
        <w:ind w:left="0" w:right="0" w:firstLine="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6</w:t>
      </w:r>
      <w:r>
        <w:rPr>
          <w:color w:val="000000"/>
          <w:spacing w:val="0"/>
          <w:w w:val="100"/>
          <w:position w:val="0"/>
        </w:rPr>
        <w:t>）</w:t>
        <w:tab/>
        <w:t>、合并范围内除上述公司以外其他控股子公司</w:t>
      </w:r>
      <w:r>
        <w:rPr>
          <w:rFonts w:ascii="Times New Roman" w:eastAsia="Times New Roman" w:hAnsi="Times New Roman" w:cs="Times New Roman"/>
          <w:color w:val="000000"/>
          <w:spacing w:val="0"/>
          <w:w w:val="100"/>
          <w:position w:val="0"/>
        </w:rPr>
        <w:t>2013</w:t>
      </w:r>
      <w:r>
        <w:rPr>
          <w:color w:val="000000"/>
          <w:spacing w:val="0"/>
          <w:w w:val="100"/>
          <w:position w:val="0"/>
        </w:rPr>
        <w:t>年度执行的企业所得税率为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3"/>
        <w:keepNext/>
        <w:keepLines/>
        <w:widowControl w:val="0"/>
        <w:shd w:val="clear" w:color="auto" w:fill="auto"/>
        <w:bidi w:val="0"/>
        <w:spacing w:before="0" w:after="140" w:line="492"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color w:val="000000"/>
          <w:spacing w:val="0"/>
          <w:w w:val="100"/>
          <w:position w:val="0"/>
        </w:rPr>
        <w:t>、其他说明</w:t>
      </w:r>
      <w:bookmarkEnd w:id="960"/>
      <w:bookmarkEnd w:id="961"/>
      <w:bookmarkEnd w:id="96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六</w:t>
      </w:r>
      <w:bookmarkEnd w:id="966"/>
      <w:r>
        <w:rPr>
          <w:color w:val="000000"/>
          <w:spacing w:val="0"/>
          <w:w w:val="100"/>
          <w:position w:val="0"/>
        </w:rPr>
        <w:t>、企业合并及合并财务报表</w:t>
      </w:r>
      <w:bookmarkEnd w:id="964"/>
      <w:bookmarkEnd w:id="965"/>
      <w:bookmarkEnd w:id="967"/>
    </w:p>
    <w:p>
      <w:pPr>
        <w:pStyle w:val="Style33"/>
        <w:keepNext/>
        <w:keepLines/>
        <w:widowControl w:val="0"/>
        <w:shd w:val="clear" w:color="auto" w:fill="auto"/>
        <w:bidi w:val="0"/>
        <w:spacing w:before="0" w:after="0" w:line="492" w:lineRule="auto"/>
        <w:ind w:left="0" w:right="0" w:firstLine="0"/>
        <w:jc w:val="left"/>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68"/>
      <w:bookmarkEnd w:id="969"/>
      <w:bookmarkEnd w:id="970"/>
    </w:p>
    <w:p>
      <w:pPr>
        <w:pStyle w:val="Style33"/>
        <w:keepNext/>
        <w:keepLines/>
        <w:widowControl w:val="0"/>
        <w:shd w:val="clear" w:color="auto" w:fill="auto"/>
        <w:bidi w:val="0"/>
        <w:spacing w:before="0" w:after="380" w:line="471" w:lineRule="exact"/>
        <w:ind w:left="0" w:right="0" w:firstLine="0"/>
        <w:jc w:val="left"/>
      </w:pPr>
      <w:bookmarkStart w:id="968" w:name="bookmark968"/>
      <w:bookmarkStart w:id="969" w:name="bookmark969"/>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968"/>
      <w:bookmarkEnd w:id="969"/>
      <w:bookmarkEnd w:id="97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0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 本期亏 损超过 少数股 东在该 子公司 年初所 有者权 益中所 享有份</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额后的 余额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上海天 玑信息 技术服 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维护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极品数 据系统 公司</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TopD ataSyste msInc.)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US$500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硬件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US$500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上海力 克数码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硬件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极品数 据系统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 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硬件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US$20.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上海领 卓企业 管理咨 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咨询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通过设立或投资等方式取得的子公司的其他说明</w:t>
      </w:r>
    </w:p>
    <w:p>
      <w:pPr>
        <w:pStyle w:val="Style4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注：公司子公司上海天玑信息技术服务有限公司于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月办理完注销程序。</w:t>
      </w:r>
    </w:p>
    <w:p>
      <w:pPr>
        <w:pStyle w:val="Style33"/>
        <w:keepNext/>
        <w:keepLines/>
        <w:widowControl w:val="0"/>
        <w:numPr>
          <w:ilvl w:val="0"/>
          <w:numId w:val="31"/>
        </w:numPr>
        <w:shd w:val="clear" w:color="auto" w:fill="auto"/>
        <w:bidi w:val="0"/>
        <w:spacing w:before="0" w:after="40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同一控制下企业合并取得的子公司</w:t>
      </w:r>
      <w:bookmarkEnd w:id="973"/>
      <w:bookmarkEnd w:id="974"/>
      <w:bookmarkEnd w:id="97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 本期亏 损超过</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东在该 子公司 年初所 有者权 益中所 享有份 额后的 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通过同一控制下企业合并取得的子公司的其他说明</w:t>
      </w:r>
    </w:p>
    <w:p>
      <w:pPr>
        <w:pStyle w:val="Style33"/>
        <w:keepNext/>
        <w:keepLines/>
        <w:widowControl w:val="0"/>
        <w:numPr>
          <w:ilvl w:val="0"/>
          <w:numId w:val="31"/>
        </w:numPr>
        <w:shd w:val="clear" w:color="auto" w:fill="auto"/>
        <w:bidi w:val="0"/>
        <w:spacing w:before="0" w:after="380" w:line="240" w:lineRule="auto"/>
        <w:ind w:left="0" w:right="0" w:firstLine="0"/>
        <w:jc w:val="both"/>
      </w:pPr>
      <w:bookmarkStart w:id="977" w:name="bookmark977"/>
      <w:bookmarkStart w:id="978" w:name="bookmark978"/>
      <w:bookmarkStart w:id="979" w:name="bookmark979"/>
      <w:bookmarkStart w:id="980" w:name="bookmark980"/>
      <w:bookmarkEnd w:id="979"/>
      <w:r>
        <w:rPr>
          <w:color w:val="000000"/>
          <w:spacing w:val="0"/>
          <w:w w:val="100"/>
          <w:position w:val="0"/>
        </w:rPr>
        <w:t>非同一控制下企业合并取得的子公司</w:t>
      </w:r>
      <w:bookmarkEnd w:id="977"/>
      <w:bookmarkEnd w:id="978"/>
      <w:bookmarkEnd w:id="98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上海复 深蓝信 息技术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维护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通过非同一控制下企业合并取得的子公司的其他说明</w:t>
      </w:r>
    </w:p>
    <w:p>
      <w:pPr>
        <w:pStyle w:val="Style40"/>
        <w:keepNext w:val="0"/>
        <w:keepLines w:val="0"/>
        <w:widowControl w:val="0"/>
        <w:shd w:val="clear" w:color="auto" w:fill="auto"/>
        <w:bidi w:val="0"/>
        <w:spacing w:before="0" w:after="440" w:line="46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日，经公司第一届董事会第二十二次会议审议通过《关于使用部分超募资金收购上海复深蓝 信息技术有限公司部分股权并增资》的议案，同意公司使用超募资金</w:t>
      </w:r>
      <w:r>
        <w:rPr>
          <w:rFonts w:ascii="Times New Roman" w:eastAsia="Times New Roman" w:hAnsi="Times New Roman" w:cs="Times New Roman"/>
          <w:color w:val="000000"/>
          <w:spacing w:val="0"/>
          <w:w w:val="100"/>
          <w:position w:val="0"/>
        </w:rPr>
        <w:t>3,640</w:t>
      </w:r>
      <w:r>
        <w:rPr>
          <w:color w:val="000000"/>
          <w:spacing w:val="0"/>
          <w:w w:val="100"/>
          <w:position w:val="0"/>
        </w:rPr>
        <w:t>万元，以受让上海复深蓝信息技 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复深蓝</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原股东股权及增资结合的方式，获得复深蓝</w:t>
      </w:r>
      <w:r>
        <w:rPr>
          <w:rFonts w:ascii="Times New Roman" w:eastAsia="Times New Roman" w:hAnsi="Times New Roman" w:cs="Times New Roman"/>
          <w:color w:val="000000"/>
          <w:spacing w:val="0"/>
          <w:w w:val="100"/>
          <w:position w:val="0"/>
        </w:rPr>
        <w:t>60%</w:t>
      </w:r>
      <w:r>
        <w:rPr>
          <w:color w:val="000000"/>
          <w:spacing w:val="0"/>
          <w:w w:val="100"/>
          <w:position w:val="0"/>
        </w:rPr>
        <w:t>的股权。公司于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月完成对复深蓝的增资；于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月支付了</w:t>
      </w:r>
      <w:r>
        <w:rPr>
          <w:rFonts w:ascii="Times New Roman" w:eastAsia="Times New Roman" w:hAnsi="Times New Roman" w:cs="Times New Roman"/>
          <w:color w:val="000000"/>
          <w:spacing w:val="0"/>
          <w:w w:val="100"/>
          <w:position w:val="0"/>
        </w:rPr>
        <w:t>60%</w:t>
      </w:r>
      <w:r>
        <w:rPr>
          <w:color w:val="000000"/>
          <w:spacing w:val="0"/>
          <w:w w:val="100"/>
          <w:position w:val="0"/>
        </w:rPr>
        <w:t>股权转让款，并办理了工商变更登记手续。至此，公司持 有复深蓝</w:t>
      </w:r>
      <w:r>
        <w:rPr>
          <w:rFonts w:ascii="Times New Roman" w:eastAsia="Times New Roman" w:hAnsi="Times New Roman" w:cs="Times New Roman"/>
          <w:color w:val="000000"/>
          <w:spacing w:val="0"/>
          <w:w w:val="100"/>
          <w:position w:val="0"/>
        </w:rPr>
        <w:t>60%</w:t>
      </w:r>
      <w:r>
        <w:rPr>
          <w:color w:val="000000"/>
          <w:spacing w:val="0"/>
          <w:w w:val="100"/>
          <w:position w:val="0"/>
        </w:rPr>
        <w:t>的股权，并在董事会席位的</w:t>
      </w:r>
      <w:r>
        <w:rPr>
          <w:rFonts w:ascii="Times New Roman" w:eastAsia="Times New Roman" w:hAnsi="Times New Roman" w:cs="Times New Roman"/>
          <w:color w:val="000000"/>
          <w:spacing w:val="0"/>
          <w:w w:val="100"/>
          <w:position w:val="0"/>
        </w:rPr>
        <w:t>3</w:t>
      </w:r>
      <w:r>
        <w:rPr>
          <w:color w:val="000000"/>
          <w:spacing w:val="0"/>
          <w:w w:val="100"/>
          <w:position w:val="0"/>
        </w:rPr>
        <w:t>席中占有</w:t>
      </w:r>
      <w:r>
        <w:rPr>
          <w:rFonts w:ascii="Times New Roman" w:eastAsia="Times New Roman" w:hAnsi="Times New Roman" w:cs="Times New Roman"/>
          <w:color w:val="000000"/>
          <w:spacing w:val="0"/>
          <w:w w:val="100"/>
          <w:position w:val="0"/>
        </w:rPr>
        <w:t>2</w:t>
      </w:r>
      <w:r>
        <w:rPr>
          <w:color w:val="000000"/>
          <w:spacing w:val="0"/>
          <w:w w:val="100"/>
          <w:position w:val="0"/>
        </w:rPr>
        <w:t>席，在复深蓝的表决权比例超过半数，形成对该公司 的控制。</w:t>
      </w:r>
    </w:p>
    <w:p>
      <w:pPr>
        <w:pStyle w:val="Style33"/>
        <w:keepNext/>
        <w:keepLines/>
        <w:widowControl w:val="0"/>
        <w:shd w:val="clear" w:color="auto" w:fill="auto"/>
        <w:bidi w:val="0"/>
        <w:spacing w:before="0" w:after="380" w:line="240" w:lineRule="auto"/>
        <w:ind w:left="0" w:right="0" w:firstLine="0"/>
        <w:jc w:val="left"/>
      </w:pPr>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r>
        <w:rPr>
          <w:color w:val="000000"/>
          <w:spacing w:val="0"/>
          <w:w w:val="100"/>
          <w:position w:val="0"/>
        </w:rPr>
        <w:t>、特殊目的主体或通过受托经营或承租等方式形成控制权的经营实体</w:t>
      </w:r>
      <w:bookmarkEnd w:id="981"/>
      <w:bookmarkEnd w:id="982"/>
      <w:bookmarkEnd w:id="98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color w:val="000000"/>
          <w:spacing w:val="0"/>
          <w:w w:val="100"/>
          <w:position w:val="0"/>
        </w:rPr>
        <w:t>、</w:t>
        <w:tab/>
        <w:t>合并范围发生变更的说明</w:t>
      </w:r>
      <w:bookmarkEnd w:id="984"/>
      <w:bookmarkEnd w:id="985"/>
      <w:bookmarkEnd w:id="98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4</w:t>
      </w:r>
      <w:bookmarkEnd w:id="990"/>
      <w:r>
        <w:rPr>
          <w:color w:val="000000"/>
          <w:spacing w:val="0"/>
          <w:w w:val="100"/>
          <w:position w:val="0"/>
        </w:rPr>
        <w:t>、</w:t>
        <w:tab/>
        <w:t>报告期内新纳入合并范围的主体和报告期内不再纳入合并范围的主体</w:t>
      </w:r>
      <w:bookmarkEnd w:id="988"/>
      <w:bookmarkEnd w:id="989"/>
      <w:bookmarkEnd w:id="99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080"/>
        <w:gridCol w:w="2851"/>
        <w:gridCol w:w="27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新纳入合并范围的主体和不再纳入合并范围的主体的其他说明</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5</w:t>
      </w:r>
      <w:bookmarkEnd w:id="994"/>
      <w:r>
        <w:rPr>
          <w:color w:val="000000"/>
          <w:spacing w:val="0"/>
          <w:w w:val="100"/>
          <w:position w:val="0"/>
        </w:rPr>
        <w:t>、报告期内发生的同一控制下企业合并</w:t>
      </w:r>
      <w:bookmarkEnd w:id="992"/>
      <w:bookmarkEnd w:id="993"/>
      <w:bookmarkEnd w:id="99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同一控制下企业合并的其他说明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6</w:t>
      </w:r>
      <w:bookmarkEnd w:id="998"/>
      <w:r>
        <w:rPr>
          <w:color w:val="000000"/>
          <w:spacing w:val="0"/>
          <w:w w:val="100"/>
          <w:position w:val="0"/>
        </w:rPr>
        <w:t>、报告期内发生的非同一控制下企业合并</w:t>
      </w:r>
      <w:bookmarkEnd w:id="996"/>
      <w:bookmarkEnd w:id="997"/>
      <w:bookmarkEnd w:id="999"/>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非同一控制下企业合并的其他说明</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7</w:t>
      </w:r>
      <w:bookmarkEnd w:id="1002"/>
      <w:r>
        <w:rPr>
          <w:color w:val="000000"/>
          <w:spacing w:val="0"/>
          <w:w w:val="100"/>
          <w:position w:val="0"/>
        </w:rPr>
        <w:t>、报告期内出售丧失控制权的股权而减少子公司</w:t>
      </w:r>
      <w:bookmarkEnd w:id="1000"/>
      <w:bookmarkEnd w:id="1001"/>
      <w:bookmarkEnd w:id="1003"/>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出售丧失控制权的股权而减少的子公司的其他说明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400" w:line="346"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8</w:t>
      </w:r>
      <w:bookmarkEnd w:id="1006"/>
      <w:r>
        <w:rPr>
          <w:color w:val="000000"/>
          <w:spacing w:val="0"/>
          <w:w w:val="100"/>
          <w:position w:val="0"/>
        </w:rPr>
        <w:t>、报告期内发生的反向购买</w:t>
      </w:r>
      <w:bookmarkEnd w:id="1004"/>
      <w:bookmarkEnd w:id="1005"/>
      <w:bookmarkEnd w:id="1007"/>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反向购买的其他说明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9</w:t>
      </w:r>
      <w:bookmarkEnd w:id="1010"/>
      <w:r>
        <w:rPr>
          <w:color w:val="000000"/>
          <w:spacing w:val="0"/>
          <w:w w:val="100"/>
          <w:position w:val="0"/>
        </w:rPr>
        <w:t>、本报告期发生的吸收合并</w:t>
      </w:r>
      <w:bookmarkEnd w:id="1008"/>
      <w:bookmarkEnd w:id="1009"/>
      <w:bookmarkEnd w:id="101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吸收合并的其他说明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bookmarkEnd w:id="1014"/>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12"/>
      <w:bookmarkEnd w:id="1013"/>
      <w:bookmarkEnd w:id="1015"/>
    </w:p>
    <w:p>
      <w:pPr>
        <w:pStyle w:val="Style81"/>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美元</w:t>
      </w:r>
      <w:r>
        <w:rPr>
          <w:color w:val="000000"/>
          <w:spacing w:val="0"/>
          <w:w w:val="100"/>
          <w:position w:val="0"/>
        </w:rPr>
        <w:t>:</w:t>
      </w:r>
      <w:r>
        <w:rPr>
          <w:rFonts w:ascii="SimSun" w:eastAsia="SimSun" w:hAnsi="SimSun" w:cs="SimSun"/>
          <w:color w:val="000000"/>
          <w:spacing w:val="0"/>
          <w:w w:val="100"/>
          <w:position w:val="0"/>
          <w:sz w:val="17"/>
          <w:szCs w:val="17"/>
        </w:rPr>
        <w:t>汇率</w:t>
      </w:r>
      <w:r>
        <w:rPr>
          <w:color w:val="000000"/>
          <w:spacing w:val="0"/>
          <w:w w:val="100"/>
          <w:position w:val="0"/>
        </w:rPr>
        <w:t>6.0969</w:t>
      </w:r>
      <w:r>
        <w:rPr>
          <w:rFonts w:ascii="SimSun" w:eastAsia="SimSun" w:hAnsi="SimSun" w:cs="SimSun"/>
          <w:color w:val="000000"/>
          <w:spacing w:val="0"/>
          <w:w w:val="100"/>
          <w:position w:val="0"/>
          <w:sz w:val="17"/>
          <w:szCs w:val="17"/>
        </w:rPr>
        <w:t>港币</w:t>
      </w:r>
      <w:r>
        <w:rPr>
          <w:color w:val="000000"/>
          <w:spacing w:val="0"/>
          <w:w w:val="100"/>
          <w:position w:val="0"/>
        </w:rPr>
        <w:t>:0.78623</w:t>
      </w:r>
    </w:p>
    <w:p>
      <w:pPr>
        <w:pStyle w:val="Style27"/>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七</w:t>
      </w:r>
      <w:bookmarkEnd w:id="1018"/>
      <w:r>
        <w:rPr>
          <w:color w:val="000000"/>
          <w:spacing w:val="0"/>
          <w:w w:val="100"/>
          <w:position w:val="0"/>
        </w:rPr>
        <w:t>、合并财务报表主要项目注释</w:t>
      </w:r>
      <w:bookmarkEnd w:id="1016"/>
      <w:bookmarkEnd w:id="1017"/>
      <w:bookmarkEnd w:id="1019"/>
    </w:p>
    <w:p>
      <w:pPr>
        <w:pStyle w:val="Style33"/>
        <w:keepNext/>
        <w:keepLines/>
        <w:widowControl w:val="0"/>
        <w:shd w:val="clear" w:color="auto" w:fill="auto"/>
        <w:bidi w:val="0"/>
        <w:spacing w:before="0" w:after="360" w:line="240" w:lineRule="auto"/>
        <w:ind w:left="0" w:right="0" w:firstLine="0"/>
        <w:jc w:val="left"/>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0"/>
      <w:bookmarkEnd w:id="1021"/>
      <w:bookmarkEnd w:id="102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114,754.29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81,392.63</w:t>
            </w:r>
          </w:p>
        </w:tc>
      </w:tr>
    </w:tbl>
    <w:p>
      <w:pPr>
        <w:widowControl w:val="0"/>
        <w:spacing w:line="1" w:lineRule="exact"/>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114,754.29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416,365,835.86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364,750,181.66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415,604,547.47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362,584,411.86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123,482.04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2,140,168.94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31,572.87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1,699,016.46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2,499,458.16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1,699,016.46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2,499,458.16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418,179,606.61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367,331,032.45</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如有因抵押、质押或冻结等对使用有限制、存放在境外、有潜在回收风险的款项应单独说明</w:t>
      </w:r>
    </w:p>
    <w:p>
      <w:pPr>
        <w:widowControl w:val="0"/>
        <w:spacing w:after="99" w:line="1" w:lineRule="exact"/>
      </w:pPr>
    </w:p>
    <w:p>
      <w:pPr>
        <w:pStyle w:val="Style4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其中受限制的货币资金明细如下:</w:t>
      </w:r>
    </w:p>
    <w:tbl>
      <w:tblPr>
        <w:tblOverlap w:val="never"/>
        <w:jc w:val="center"/>
        <w:tblLayout w:type="fixed"/>
      </w:tblPr>
      <w:tblGrid>
        <w:gridCol w:w="3494"/>
        <w:gridCol w:w="2141"/>
        <w:gridCol w:w="205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662"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1,699,016.46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2,499,458.16</w:t>
            </w: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color w:val="000000"/>
          <w:spacing w:val="0"/>
          <w:w w:val="100"/>
          <w:position w:val="0"/>
        </w:rPr>
        <w:t>、交易性金资产</w:t>
      </w:r>
      <w:bookmarkEnd w:id="1023"/>
      <w:bookmarkEnd w:id="1024"/>
      <w:bookmarkEnd w:id="1026"/>
    </w:p>
    <w:p>
      <w:pPr>
        <w:pStyle w:val="Style33"/>
        <w:keepNext/>
        <w:keepLines/>
        <w:widowControl w:val="0"/>
        <w:shd w:val="clear" w:color="auto" w:fill="auto"/>
        <w:bidi w:val="0"/>
        <w:spacing w:before="0" w:after="340" w:line="240" w:lineRule="auto"/>
        <w:ind w:left="0" w:right="0" w:firstLine="0"/>
        <w:jc w:val="both"/>
      </w:pPr>
      <w:bookmarkStart w:id="1023" w:name="bookmark1023"/>
      <w:bookmarkStart w:id="1024" w:name="bookmark1024"/>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023"/>
      <w:bookmarkEnd w:id="1024"/>
      <w:bookmarkEnd w:id="102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262"/>
        <w:gridCol w:w="2659"/>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14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029"/>
      <w:bookmarkEnd w:id="1030"/>
      <w:bookmarkEnd w:id="103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033"/>
      <w:bookmarkEnd w:id="1034"/>
      <w:bookmarkEnd w:id="1036"/>
    </w:p>
    <w:p>
      <w:pPr>
        <w:pStyle w:val="Style33"/>
        <w:keepNext/>
        <w:keepLines/>
        <w:widowControl w:val="0"/>
        <w:shd w:val="clear" w:color="auto" w:fill="auto"/>
        <w:bidi w:val="0"/>
        <w:spacing w:before="0" w:after="380" w:line="240" w:lineRule="auto"/>
        <w:ind w:left="0" w:right="0" w:firstLine="0"/>
        <w:jc w:val="both"/>
      </w:pPr>
      <w:bookmarkStart w:id="1033" w:name="bookmark1033"/>
      <w:bookmarkStart w:id="1034" w:name="bookmark1034"/>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color w:val="000000"/>
          <w:spacing w:val="0"/>
          <w:w w:val="100"/>
          <w:position w:val="0"/>
        </w:rPr>
        <w:t>、应收票据</w:t>
      </w:r>
      <w:bookmarkEnd w:id="1033"/>
      <w:bookmarkEnd w:id="1034"/>
      <w:bookmarkEnd w:id="1038"/>
    </w:p>
    <w:p>
      <w:pPr>
        <w:pStyle w:val="Style33"/>
        <w:keepNext/>
        <w:keepLines/>
        <w:widowControl w:val="0"/>
        <w:shd w:val="clear" w:color="auto" w:fill="auto"/>
        <w:bidi w:val="0"/>
        <w:spacing w:before="0" w:after="340" w:line="240" w:lineRule="auto"/>
        <w:ind w:left="0" w:right="0" w:firstLine="0"/>
        <w:jc w:val="both"/>
      </w:pPr>
      <w:bookmarkStart w:id="1033" w:name="bookmark1033"/>
      <w:bookmarkStart w:id="1034" w:name="bookmark1034"/>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33"/>
      <w:bookmarkEnd w:id="1034"/>
      <w:bookmarkEnd w:id="104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14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041"/>
      <w:bookmarkEnd w:id="1042"/>
      <w:bookmarkEnd w:id="1044"/>
    </w:p>
    <w:p>
      <w:pPr>
        <w:pStyle w:val="Style29"/>
        <w:keepNext w:val="0"/>
        <w:keepLines w:val="0"/>
        <w:widowControl w:val="0"/>
        <w:shd w:val="clear" w:color="auto" w:fill="auto"/>
        <w:bidi w:val="0"/>
        <w:spacing w:before="0" w:after="34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3"/>
        <w:keepNext/>
        <w:keepLines/>
        <w:widowControl w:val="0"/>
        <w:numPr>
          <w:ilvl w:val="0"/>
          <w:numId w:val="15"/>
        </w:numPr>
        <w:shd w:val="clear" w:color="auto" w:fill="auto"/>
        <w:bidi w:val="0"/>
        <w:spacing w:before="0" w:after="360" w:line="336" w:lineRule="exact"/>
        <w:ind w:left="0" w:right="0" w:firstLine="0"/>
        <w:jc w:val="both"/>
      </w:pPr>
      <w:bookmarkStart w:id="1045" w:name="bookmark1045"/>
      <w:bookmarkStart w:id="1046" w:name="bookmark1046"/>
      <w:bookmarkStart w:id="1047" w:name="bookmark1047"/>
      <w:bookmarkStart w:id="1048" w:name="bookmark1048"/>
      <w:bookmarkEnd w:id="1047"/>
      <w:r>
        <w:rPr>
          <w:color w:val="000000"/>
          <w:spacing w:val="0"/>
          <w:w w:val="100"/>
          <w:position w:val="0"/>
        </w:rPr>
        <w:t>因出票人无力履约而将票据转为应收账款的票据，以及期末公司已经背书给他方但尚未到期的票据 情况</w:t>
      </w:r>
      <w:bookmarkEnd w:id="1045"/>
      <w:bookmarkEnd w:id="1046"/>
      <w:bookmarkEnd w:id="1048"/>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公司已经背书给其他方但尚未到期的票据</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说明</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已贴现或质押的商业承兑票据的说明</w:t>
      </w:r>
    </w:p>
    <w:p>
      <w:pPr>
        <w:pStyle w:val="Style33"/>
        <w:keepNext/>
        <w:keepLines/>
        <w:widowControl w:val="0"/>
        <w:shd w:val="clear" w:color="auto" w:fill="auto"/>
        <w:bidi w:val="0"/>
        <w:spacing w:before="0" w:after="360" w:line="240"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4</w:t>
      </w:r>
      <w:bookmarkEnd w:id="1051"/>
      <w:r>
        <w:rPr>
          <w:color w:val="000000"/>
          <w:spacing w:val="0"/>
          <w:w w:val="100"/>
          <w:position w:val="0"/>
        </w:rPr>
        <w:t>、应收股利</w:t>
      </w:r>
      <w:bookmarkEnd w:id="1049"/>
      <w:bookmarkEnd w:id="1050"/>
      <w:bookmarkEnd w:id="105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说明</w:t>
      </w:r>
    </w:p>
    <w:p>
      <w:pPr>
        <w:pStyle w:val="Style33"/>
        <w:keepNext/>
        <w:keepLines/>
        <w:widowControl w:val="0"/>
        <w:shd w:val="clear" w:color="auto" w:fill="auto"/>
        <w:bidi w:val="0"/>
        <w:spacing w:before="0" w:after="36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5</w:t>
      </w:r>
      <w:bookmarkEnd w:id="1055"/>
      <w:r>
        <w:rPr>
          <w:color w:val="000000"/>
          <w:spacing w:val="0"/>
          <w:w w:val="100"/>
          <w:position w:val="0"/>
        </w:rPr>
        <w:t>、应收利息</w:t>
      </w:r>
      <w:bookmarkEnd w:id="1053"/>
      <w:bookmarkEnd w:id="1054"/>
      <w:bookmarkEnd w:id="1056"/>
    </w:p>
    <w:p>
      <w:pPr>
        <w:pStyle w:val="Style33"/>
        <w:keepNext/>
        <w:keepLines/>
        <w:widowControl w:val="0"/>
        <w:numPr>
          <w:ilvl w:val="0"/>
          <w:numId w:val="33"/>
        </w:numPr>
        <w:shd w:val="clear" w:color="auto" w:fill="auto"/>
        <w:bidi w:val="0"/>
        <w:spacing w:before="0" w:after="360" w:line="240" w:lineRule="auto"/>
        <w:ind w:left="0" w:right="0" w:firstLine="140"/>
        <w:jc w:val="both"/>
      </w:pPr>
      <w:bookmarkStart w:id="1053" w:name="bookmark1053"/>
      <w:bookmarkStart w:id="1054" w:name="bookmark1054"/>
      <w:bookmarkStart w:id="1057" w:name="bookmark1057"/>
      <w:bookmarkStart w:id="1058" w:name="bookmark1058"/>
      <w:bookmarkEnd w:id="1057"/>
      <w:r>
        <w:rPr>
          <w:color w:val="000000"/>
          <w:spacing w:val="0"/>
          <w:w w:val="100"/>
          <w:position w:val="0"/>
        </w:rPr>
        <w:t>应收利息</w:t>
      </w:r>
      <w:bookmarkEnd w:id="1053"/>
      <w:bookmarkEnd w:id="1054"/>
      <w:bookmarkEnd w:id="105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3,795,205.48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5,980,262.49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6,393,443.99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3,382,023.98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3,795,205.48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5,980,262.49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6,393,443.99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3,382,023.98</w:t>
            </w:r>
          </w:p>
        </w:tc>
      </w:tr>
    </w:tbl>
    <w:p>
      <w:pPr>
        <w:widowControl w:val="0"/>
        <w:spacing w:after="359" w:line="1" w:lineRule="exact"/>
      </w:pPr>
    </w:p>
    <w:p>
      <w:pPr>
        <w:pStyle w:val="Style33"/>
        <w:keepNext/>
        <w:keepLines/>
        <w:widowControl w:val="0"/>
        <w:numPr>
          <w:ilvl w:val="0"/>
          <w:numId w:val="33"/>
        </w:numPr>
        <w:shd w:val="clear" w:color="auto" w:fill="auto"/>
        <w:bidi w:val="0"/>
        <w:spacing w:before="0" w:after="360" w:line="240" w:lineRule="auto"/>
        <w:ind w:left="0" w:right="0" w:firstLine="14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逾期利息</w:t>
      </w:r>
      <w:bookmarkEnd w:id="1059"/>
      <w:bookmarkEnd w:id="1060"/>
      <w:bookmarkEnd w:id="1062"/>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spacing w:lineRule="exact" w:line="1"/>
        <w:rPr>
          <w:sz w:val="2"/>
          <w:szCs w:val="2"/>
        </w:rPr>
      </w:pPr>
      <w:r>
        <w:br w:type="page"/>
      </w:r>
    </w:p>
    <w:p>
      <w:pPr>
        <w:pStyle w:val="Style33"/>
        <w:keepNext/>
        <w:keepLines/>
        <w:widowControl w:val="0"/>
        <w:numPr>
          <w:ilvl w:val="0"/>
          <w:numId w:val="35"/>
        </w:numPr>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应收利息的说明</w:t>
      </w:r>
      <w:bookmarkEnd w:id="1063"/>
      <w:bookmarkEnd w:id="1064"/>
      <w:bookmarkEnd w:id="1066"/>
    </w:p>
    <w:p>
      <w:pPr>
        <w:pStyle w:val="Style33"/>
        <w:keepNext/>
        <w:keepLines/>
        <w:widowControl w:val="0"/>
        <w:shd w:val="clear" w:color="auto" w:fill="auto"/>
        <w:bidi w:val="0"/>
        <w:spacing w:before="0" w:after="360" w:line="240" w:lineRule="auto"/>
        <w:ind w:left="0" w:right="0" w:firstLine="0"/>
        <w:jc w:val="both"/>
      </w:pPr>
      <w:bookmarkStart w:id="1063" w:name="bookmark1063"/>
      <w:bookmarkStart w:id="1064" w:name="bookmark1064"/>
      <w:bookmarkStart w:id="1067" w:name="bookmark1067"/>
      <w:bookmarkStart w:id="1068" w:name="bookmark1068"/>
      <w:r>
        <w:rPr>
          <w:rFonts w:ascii="Times New Roman" w:eastAsia="Times New Roman" w:hAnsi="Times New Roman" w:cs="Times New Roman"/>
          <w:color w:val="000000"/>
          <w:spacing w:val="0"/>
          <w:w w:val="100"/>
          <w:position w:val="0"/>
        </w:rPr>
        <w:t>6</w:t>
      </w:r>
      <w:bookmarkEnd w:id="1067"/>
      <w:r>
        <w:rPr>
          <w:color w:val="000000"/>
          <w:spacing w:val="0"/>
          <w:w w:val="100"/>
          <w:position w:val="0"/>
        </w:rPr>
        <w:t>、应收账款</w:t>
      </w:r>
      <w:bookmarkEnd w:id="1063"/>
      <w:bookmarkEnd w:id="1064"/>
      <w:bookmarkEnd w:id="1068"/>
    </w:p>
    <w:p>
      <w:pPr>
        <w:pStyle w:val="Style33"/>
        <w:keepNext/>
        <w:keepLines/>
        <w:widowControl w:val="0"/>
        <w:numPr>
          <w:ilvl w:val="0"/>
          <w:numId w:val="37"/>
        </w:numPr>
        <w:shd w:val="clear" w:color="auto" w:fill="auto"/>
        <w:bidi w:val="0"/>
        <w:spacing w:before="0" w:after="360" w:line="240" w:lineRule="auto"/>
        <w:ind w:left="0" w:right="0" w:firstLine="0"/>
        <w:jc w:val="left"/>
      </w:pPr>
      <w:bookmarkStart w:id="1063" w:name="bookmark1063"/>
      <w:bookmarkStart w:id="1064" w:name="bookmark1064"/>
      <w:bookmarkStart w:id="1069" w:name="bookmark1069"/>
      <w:bookmarkStart w:id="1070" w:name="bookmark1070"/>
      <w:bookmarkEnd w:id="1069"/>
      <w:r>
        <w:rPr>
          <w:color w:val="000000"/>
          <w:spacing w:val="0"/>
          <w:w w:val="100"/>
          <w:position w:val="0"/>
        </w:rPr>
        <w:t>应收账款按种类披露</w:t>
      </w:r>
      <w:bookmarkEnd w:id="1063"/>
      <w:bookmarkEnd w:id="1064"/>
      <w:bookmarkEnd w:id="107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124,831,11</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3,401,168.4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98,404,62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1,563,171.83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124,831,11</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3,401,168.4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98,404,62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1,563,171.83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124,831,11</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3,401,168.4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98,404,62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1,563,171.83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应收账款种类的说明</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68,965,367.16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71,836,097.96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46,542,054.96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2,327,102.74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23,523,076.50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1,176,153.82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8,140,257.15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2,639,212.03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263,921.21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1,105,599.88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58,680.80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96,832.00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48,416.00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124,831,119.15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3,401,168.44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3,401,168.44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1,563,171.83</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组合中，采用余额百分比法计提坏账准备的应收账款</w:t>
      </w:r>
    </w:p>
    <w:p>
      <w:pPr>
        <w:widowControl w:val="0"/>
        <w:spacing w:after="119" w:line="1" w:lineRule="exact"/>
      </w:pP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numPr>
          <w:ilvl w:val="0"/>
          <w:numId w:val="37"/>
        </w:numPr>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本报告期转回或收回的应收账款情况</w:t>
      </w:r>
      <w:bookmarkEnd w:id="1071"/>
      <w:bookmarkEnd w:id="1072"/>
      <w:bookmarkEnd w:id="107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单项金额不重大但按信用风险特征组合后该组合的风险较大的应收账款的说明</w:t>
      </w:r>
    </w:p>
    <w:p>
      <w:pPr>
        <w:widowControl w:val="0"/>
        <w:spacing w:after="359" w:line="1" w:lineRule="exact"/>
      </w:pPr>
    </w:p>
    <w:p>
      <w:pPr>
        <w:pStyle w:val="Style33"/>
        <w:keepNext/>
        <w:keepLines/>
        <w:widowControl w:val="0"/>
        <w:numPr>
          <w:ilvl w:val="0"/>
          <w:numId w:val="37"/>
        </w:numPr>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本报告期实际核销的应收账款情况</w:t>
      </w:r>
      <w:bookmarkEnd w:id="1075"/>
      <w:bookmarkEnd w:id="1076"/>
      <w:bookmarkEnd w:id="107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3"/>
        <w:keepNext/>
        <w:keepLines/>
        <w:widowControl w:val="0"/>
        <w:numPr>
          <w:ilvl w:val="0"/>
          <w:numId w:val="37"/>
        </w:numPr>
        <w:shd w:val="clear" w:color="auto" w:fill="auto"/>
        <w:bidi w:val="0"/>
        <w:spacing w:before="0" w:after="36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79"/>
      <w:bookmarkEnd w:id="1080"/>
      <w:bookmarkEnd w:id="108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3"/>
        <w:keepNext/>
        <w:keepLines/>
        <w:widowControl w:val="0"/>
        <w:numPr>
          <w:ilvl w:val="0"/>
          <w:numId w:val="37"/>
        </w:numPr>
        <w:shd w:val="clear" w:color="auto" w:fill="auto"/>
        <w:bidi w:val="0"/>
        <w:spacing w:before="0" w:after="36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应收账款中金额前五名单位情况</w:t>
      </w:r>
      <w:bookmarkEnd w:id="1083"/>
      <w:bookmarkEnd w:id="1084"/>
      <w:bookmarkEnd w:id="108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中国移动通信集团浙江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17,244,021.59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r>
              <w:rPr>
                <w:rFonts w:ascii="Times New Roman" w:eastAsia="Times New Roman" w:hAnsi="Times New Roman" w:cs="Times New Roman"/>
                <w:color w:val="000000"/>
                <w:spacing w:val="0"/>
                <w:w w:val="100"/>
                <w:position w:val="0"/>
                <w:sz w:val="18"/>
                <w:szCs w:val="18"/>
              </w:rPr>
              <w:t>799.29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924.60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0.53</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6,388,065.05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r>
              <w:rPr>
                <w:rFonts w:ascii="Times New Roman" w:eastAsia="Times New Roman" w:hAnsi="Times New Roman" w:cs="Times New Roman"/>
                <w:color w:val="000000"/>
                <w:spacing w:val="0"/>
                <w:w w:val="100"/>
                <w:position w:val="0"/>
                <w:sz w:val="18"/>
                <w:szCs w:val="18"/>
              </w:rPr>
              <w:t>308.43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326.42</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中国移动通信集团江苏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5,410,036.68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r>
              <w:rPr>
                <w:rFonts w:ascii="Times New Roman" w:eastAsia="Times New Roman" w:hAnsi="Times New Roman" w:cs="Times New Roman"/>
                <w:color w:val="000000"/>
                <w:spacing w:val="0"/>
                <w:w w:val="100"/>
                <w:position w:val="0"/>
                <w:sz w:val="18"/>
                <w:szCs w:val="18"/>
              </w:rPr>
              <w:t>193.99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121.48</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154.14</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71.39</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4,523,876.04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r>
              <w:rPr>
                <w:rFonts w:ascii="Times New Roman" w:eastAsia="Times New Roman" w:hAnsi="Times New Roman" w:cs="Times New Roman"/>
                <w:color w:val="000000"/>
                <w:spacing w:val="0"/>
                <w:w w:val="100"/>
                <w:position w:val="0"/>
                <w:sz w:val="18"/>
                <w:szCs w:val="18"/>
              </w:rPr>
              <w:t>282.27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148.39</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21.72</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392.00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37,485,999.36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w:t>
            </w:r>
          </w:p>
        </w:tc>
      </w:tr>
    </w:tbl>
    <w:p>
      <w:pPr>
        <w:widowControl w:val="0"/>
        <w:spacing w:after="319" w:line="1" w:lineRule="exact"/>
      </w:pPr>
    </w:p>
    <w:p>
      <w:pPr>
        <w:pStyle w:val="Style33"/>
        <w:keepNext/>
        <w:keepLines/>
        <w:widowControl w:val="0"/>
        <w:numPr>
          <w:ilvl w:val="0"/>
          <w:numId w:val="37"/>
        </w:numPr>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应收关联方账款情况</w:t>
      </w:r>
      <w:bookmarkEnd w:id="1087"/>
      <w:bookmarkEnd w:id="1088"/>
      <w:bookmarkEnd w:id="109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37"/>
        </w:numPr>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终止确认的应收款项情况</w:t>
      </w:r>
      <w:bookmarkEnd w:id="1091"/>
      <w:bookmarkEnd w:id="1092"/>
      <w:bookmarkEnd w:id="1094"/>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3"/>
        <w:keepNext/>
        <w:keepLines/>
        <w:widowControl w:val="0"/>
        <w:numPr>
          <w:ilvl w:val="0"/>
          <w:numId w:val="37"/>
        </w:numPr>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以应收款项为标的进行证券化的，列示继续涉入形成的资产、负债的金额</w:t>
      </w:r>
      <w:bookmarkEnd w:id="1095"/>
      <w:bookmarkEnd w:id="1096"/>
      <w:bookmarkEnd w:id="1098"/>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7</w:t>
      </w:r>
      <w:bookmarkEnd w:id="1101"/>
      <w:r>
        <w:rPr>
          <w:color w:val="000000"/>
          <w:spacing w:val="0"/>
          <w:w w:val="100"/>
          <w:position w:val="0"/>
        </w:rPr>
        <w:t>、其他应收款</w:t>
      </w:r>
      <w:bookmarkEnd w:id="1099"/>
      <w:bookmarkEnd w:id="1100"/>
      <w:bookmarkEnd w:id="1102"/>
    </w:p>
    <w:p>
      <w:pPr>
        <w:pStyle w:val="Style33"/>
        <w:keepNext/>
        <w:keepLines/>
        <w:widowControl w:val="0"/>
        <w:numPr>
          <w:ilvl w:val="0"/>
          <w:numId w:val="39"/>
        </w:numPr>
        <w:shd w:val="clear" w:color="auto" w:fill="auto"/>
        <w:bidi w:val="0"/>
        <w:spacing w:before="0" w:after="320" w:line="240" w:lineRule="auto"/>
        <w:ind w:left="0" w:right="0" w:firstLine="0"/>
        <w:jc w:val="left"/>
      </w:pPr>
      <w:bookmarkStart w:id="1099" w:name="bookmark1099"/>
      <w:bookmarkStart w:id="1100" w:name="bookmark1100"/>
      <w:bookmarkStart w:id="1103" w:name="bookmark1103"/>
      <w:bookmarkStart w:id="1104" w:name="bookmark1104"/>
      <w:bookmarkEnd w:id="1103"/>
      <w:r>
        <w:rPr>
          <w:color w:val="000000"/>
          <w:spacing w:val="0"/>
          <w:w w:val="100"/>
          <w:position w:val="0"/>
        </w:rPr>
        <w:t>其他应收款按种类披露</w:t>
      </w:r>
      <w:bookmarkEnd w:id="1099"/>
      <w:bookmarkEnd w:id="1100"/>
      <w:bookmarkEnd w:id="110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5,543,905.75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433,889.69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6,959,444.32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495,955.38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5,543,905.75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433,889.69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6,959,444.32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495,955.38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bl>
    <w:p>
      <w:pPr>
        <w:widowControl w:val="0"/>
        <w:spacing w:line="1" w:lineRule="exact"/>
      </w:pPr>
      <w:r>
        <w:br w:type="page"/>
      </w:r>
    </w:p>
    <w:tbl>
      <w:tblPr>
        <w:tblOverlap w:val="never"/>
        <w:jc w:val="center"/>
        <w:tblLayout w:type="fixed"/>
      </w:tblPr>
      <w:tblGrid>
        <w:gridCol w:w="1910"/>
        <w:gridCol w:w="1056"/>
        <w:gridCol w:w="792"/>
        <w:gridCol w:w="1061"/>
        <w:gridCol w:w="792"/>
        <w:gridCol w:w="1061"/>
        <w:gridCol w:w="926"/>
        <w:gridCol w:w="1190"/>
        <w:gridCol w:w="7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5,543,905.75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433,889.69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6,959,444.32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495,955.38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其他应收款种类的说明</w:t>
      </w:r>
    </w:p>
    <w:p>
      <w:pPr>
        <w:pStyle w:val="Style40"/>
        <w:keepNext w:val="0"/>
        <w:keepLines w:val="0"/>
        <w:widowControl w:val="0"/>
        <w:shd w:val="clear" w:color="auto" w:fill="auto"/>
        <w:bidi w:val="0"/>
        <w:spacing w:before="0" w:after="440" w:line="240" w:lineRule="auto"/>
        <w:ind w:left="0" w:right="0" w:firstLine="0"/>
        <w:jc w:val="left"/>
      </w:pPr>
      <w:r>
        <w:rPr>
          <w:color w:val="000000"/>
          <w:spacing w:val="0"/>
          <w:w w:val="100"/>
          <w:position w:val="0"/>
        </w:rPr>
        <w:t>采用账龄分析法计提坏账准备</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4,703,697.75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235,184.89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5,139,688.43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256,982.30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458,248.00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45,824.80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1,404,689.00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140,468.90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254,960.00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127,480.00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5,543,905.75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433,889.69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6,959,444.32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495,955.38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105"/>
      <w:bookmarkEnd w:id="1106"/>
      <w:bookmarkEnd w:id="110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单项金额不重大但按信用风险特征组合后该组合的风险较大的其他应收款的说明</w:t>
      </w:r>
      <w:r>
        <w:br w:type="page"/>
      </w:r>
    </w:p>
    <w:p>
      <w:pPr>
        <w:pStyle w:val="Style33"/>
        <w:keepNext/>
        <w:keepLines/>
        <w:widowControl w:val="0"/>
        <w:numPr>
          <w:ilvl w:val="0"/>
          <w:numId w:val="41"/>
        </w:numPr>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本报告期实际核销的其他应收款情况</w:t>
      </w:r>
      <w:bookmarkEnd w:id="1109"/>
      <w:bookmarkEnd w:id="1110"/>
      <w:bookmarkEnd w:id="1112"/>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3"/>
        <w:keepNext/>
        <w:keepLines/>
        <w:widowControl w:val="0"/>
        <w:numPr>
          <w:ilvl w:val="0"/>
          <w:numId w:val="41"/>
        </w:numPr>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13"/>
      <w:bookmarkEnd w:id="1114"/>
      <w:bookmarkEnd w:id="1116"/>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3"/>
        <w:keepNext/>
        <w:keepLines/>
        <w:widowControl w:val="0"/>
        <w:numPr>
          <w:ilvl w:val="0"/>
          <w:numId w:val="41"/>
        </w:numPr>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金额较大的其他应收款的性质或内容</w:t>
      </w:r>
      <w:bookmarkEnd w:id="1117"/>
      <w:bookmarkEnd w:id="1118"/>
      <w:bookmarkEnd w:id="112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3"/>
        <w:keepNext/>
        <w:keepLines/>
        <w:widowControl w:val="0"/>
        <w:numPr>
          <w:ilvl w:val="0"/>
          <w:numId w:val="41"/>
        </w:numPr>
        <w:shd w:val="clear" w:color="auto" w:fill="auto"/>
        <w:bidi w:val="0"/>
        <w:spacing w:before="0" w:after="38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其他应收款金额前五名单位情况</w:t>
      </w:r>
      <w:bookmarkEnd w:id="1121"/>
      <w:bookmarkEnd w:id="1122"/>
      <w:bookmarkEnd w:id="112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上海市青浦工业园区发 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政府职能部门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1,203,191.00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杭州市市级机关事业单 位会计结算中心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315,475.00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华普信息技术有限公司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上海神州数码有限公司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2,256,166.00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w:t>
            </w:r>
          </w:p>
        </w:tc>
      </w:tr>
    </w:tbl>
    <w:p>
      <w:pPr>
        <w:widowControl w:val="0"/>
        <w:spacing w:after="319" w:line="1" w:lineRule="exact"/>
      </w:pPr>
    </w:p>
    <w:p>
      <w:pPr>
        <w:pStyle w:val="Style33"/>
        <w:keepNext/>
        <w:keepLines/>
        <w:widowControl w:val="0"/>
        <w:numPr>
          <w:ilvl w:val="0"/>
          <w:numId w:val="41"/>
        </w:numPr>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其他应收关联方账款情况</w:t>
      </w:r>
      <w:bookmarkEnd w:id="1125"/>
      <w:bookmarkEnd w:id="1126"/>
      <w:bookmarkEnd w:id="112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285"/>
        <w:gridCol w:w="2429"/>
        <w:gridCol w:w="2434"/>
        <w:gridCol w:w="243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41"/>
        </w:numPr>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终止确认的其他应收款项情况</w:t>
      </w:r>
      <w:bookmarkEnd w:id="1129"/>
      <w:bookmarkEnd w:id="1130"/>
      <w:bookmarkEnd w:id="1132"/>
    </w:p>
    <w:p>
      <w:pPr>
        <w:pStyle w:val="Style29"/>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2995"/>
        <w:gridCol w:w="2995"/>
        <w:gridCol w:w="35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w:t>
      </w:r>
      <w:bookmarkEnd w:id="1135"/>
      <w:r>
        <w:rPr>
          <w:rFonts w:ascii="Times New Roman" w:eastAsia="Times New Roman" w:hAnsi="Times New Roman" w:cs="Times New Roman"/>
          <w:color w:val="000000"/>
          <w:spacing w:val="0"/>
          <w:w w:val="100"/>
          <w:position w:val="0"/>
        </w:rPr>
        <w:t>9</w:t>
      </w:r>
      <w:r>
        <w:rPr>
          <w:color w:val="000000"/>
          <w:spacing w:val="0"/>
          <w:w w:val="100"/>
          <w:position w:val="0"/>
        </w:rPr>
        <w:t>）以其他应收款为标的进行证券化的，列示继续涉入形成的资产、负债的金额</w:t>
      </w:r>
      <w:bookmarkEnd w:id="1133"/>
      <w:bookmarkEnd w:id="1134"/>
      <w:bookmarkEnd w:id="113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w:t>
      </w:r>
      <w:bookmarkEnd w:id="1139"/>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137"/>
      <w:bookmarkEnd w:id="1138"/>
      <w:bookmarkEnd w:id="114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8</w:t>
      </w:r>
      <w:bookmarkEnd w:id="1143"/>
      <w:r>
        <w:rPr>
          <w:color w:val="000000"/>
          <w:spacing w:val="0"/>
          <w:w w:val="100"/>
          <w:position w:val="0"/>
        </w:rPr>
        <w:t>、预付款项</w:t>
      </w:r>
      <w:bookmarkEnd w:id="1141"/>
      <w:bookmarkEnd w:id="1142"/>
      <w:bookmarkEnd w:id="1144"/>
    </w:p>
    <w:p>
      <w:pPr>
        <w:pStyle w:val="Style33"/>
        <w:keepNext/>
        <w:keepLines/>
        <w:widowControl w:val="0"/>
        <w:shd w:val="clear" w:color="auto" w:fill="auto"/>
        <w:bidi w:val="0"/>
        <w:spacing w:before="0" w:after="320" w:line="240" w:lineRule="auto"/>
        <w:ind w:left="0" w:right="0" w:firstLine="0"/>
        <w:jc w:val="both"/>
      </w:pPr>
      <w:bookmarkStart w:id="1141" w:name="bookmark1141"/>
      <w:bookmarkStart w:id="1142" w:name="bookmark1142"/>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1"/>
      <w:bookmarkEnd w:id="1142"/>
      <w:bookmarkEnd w:id="114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434,660.67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34,096,591.30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472,160.89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34,703,119.94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预付款项账龄的说明</w:t>
      </w:r>
    </w:p>
    <w:p>
      <w:pPr>
        <w:pStyle w:val="Style33"/>
        <w:keepNext/>
        <w:keepLines/>
        <w:widowControl w:val="0"/>
        <w:shd w:val="clear" w:color="auto" w:fill="auto"/>
        <w:bidi w:val="0"/>
        <w:spacing w:before="0" w:after="380" w:line="240" w:lineRule="auto"/>
        <w:ind w:left="0" w:right="0" w:firstLine="0"/>
        <w:jc w:val="both"/>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47"/>
      <w:bookmarkEnd w:id="1148"/>
      <w:bookmarkEnd w:id="115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南京世界之窗创意产业 园有限责任公司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中节能实业发展有限公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76,699.50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北京佳德润讯咨询有限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37,500.22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预付项目款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深圳源创空间商务服务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31,030.80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319,096.72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预付款项主要单位的说明</w:t>
      </w:r>
    </w:p>
    <w:p>
      <w:pPr>
        <w:pStyle w:val="Style33"/>
        <w:keepNext/>
        <w:keepLines/>
        <w:widowControl w:val="0"/>
        <w:shd w:val="clear" w:color="auto" w:fill="auto"/>
        <w:bidi w:val="0"/>
        <w:spacing w:before="0" w:after="340" w:line="240" w:lineRule="auto"/>
        <w:ind w:left="0" w:right="0" w:firstLine="0"/>
        <w:jc w:val="both"/>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51"/>
      <w:bookmarkEnd w:id="1152"/>
      <w:bookmarkEnd w:id="115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798"/>
        <w:gridCol w:w="1728"/>
        <w:gridCol w:w="1594"/>
        <w:gridCol w:w="1728"/>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155"/>
      <w:bookmarkEnd w:id="1156"/>
      <w:bookmarkEnd w:id="1158"/>
    </w:p>
    <w:p>
      <w:pPr>
        <w:pStyle w:val="Style33"/>
        <w:keepNext/>
        <w:keepLines/>
        <w:widowControl w:val="0"/>
        <w:shd w:val="clear" w:color="auto" w:fill="auto"/>
        <w:bidi w:val="0"/>
        <w:spacing w:before="0" w:after="340" w:line="240" w:lineRule="auto"/>
        <w:ind w:left="0" w:right="0" w:firstLine="0"/>
        <w:jc w:val="both"/>
      </w:pPr>
      <w:bookmarkStart w:id="1155" w:name="bookmark1155"/>
      <w:bookmarkStart w:id="1156" w:name="bookmark1156"/>
      <w:bookmarkStart w:id="1159" w:name="bookmark1159"/>
      <w:bookmarkStart w:id="1160" w:name="bookmark1160"/>
      <w:r>
        <w:rPr>
          <w:rFonts w:ascii="Times New Roman" w:eastAsia="Times New Roman" w:hAnsi="Times New Roman" w:cs="Times New Roman"/>
          <w:color w:val="000000"/>
          <w:spacing w:val="0"/>
          <w:w w:val="100"/>
          <w:position w:val="0"/>
        </w:rPr>
        <w:t>9</w:t>
      </w:r>
      <w:bookmarkEnd w:id="1159"/>
      <w:r>
        <w:rPr>
          <w:color w:val="000000"/>
          <w:spacing w:val="0"/>
          <w:w w:val="100"/>
          <w:position w:val="0"/>
        </w:rPr>
        <w:t>、存货</w:t>
      </w:r>
      <w:bookmarkEnd w:id="1155"/>
      <w:bookmarkEnd w:id="1156"/>
      <w:bookmarkEnd w:id="1160"/>
    </w:p>
    <w:p>
      <w:pPr>
        <w:pStyle w:val="Style33"/>
        <w:keepNext/>
        <w:keepLines/>
        <w:widowControl w:val="0"/>
        <w:shd w:val="clear" w:color="auto" w:fill="auto"/>
        <w:bidi w:val="0"/>
        <w:spacing w:before="0" w:after="340" w:line="240" w:lineRule="auto"/>
        <w:ind w:left="0" w:right="0" w:firstLine="0"/>
        <w:jc w:val="both"/>
      </w:pPr>
      <w:bookmarkStart w:id="1155" w:name="bookmark1155"/>
      <w:bookmarkStart w:id="1156" w:name="bookmark1156"/>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5"/>
      <w:bookmarkEnd w:id="1156"/>
      <w:bookmarkEnd w:id="116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23,746,697.05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2,750,775.71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20,995,921.34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25,500,812.72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23,258,367.41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306,973.30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610,698.50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24,053,670.35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2,750,775.71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21,302,894.64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26,111,511.22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2,242,445.31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23,869,065.91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63"/>
      <w:bookmarkEnd w:id="1164"/>
      <w:bookmarkEnd w:id="116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2,242,445.31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508,330.40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2,750,775.71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2,242,445.31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508,330.40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2,750,775.71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24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color w:val="000000"/>
          <w:spacing w:val="0"/>
          <w:w w:val="100"/>
          <w:position w:val="0"/>
        </w:rPr>
        <w:t>）存货跌价准备情况</w:t>
      </w:r>
      <w:bookmarkEnd w:id="1167"/>
      <w:bookmarkEnd w:id="1168"/>
      <w:bookmarkEnd w:id="1170"/>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存货的说明</w:t>
      </w:r>
    </w:p>
    <w:p>
      <w:pPr>
        <w:pStyle w:val="Style33"/>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71"/>
      <w:bookmarkEnd w:id="1172"/>
      <w:bookmarkEnd w:id="117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466"/>
        <w:gridCol w:w="2923"/>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其他流动资产说明</w:t>
      </w:r>
    </w:p>
    <w:p>
      <w:pPr>
        <w:pStyle w:val="Style33"/>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175"/>
      <w:bookmarkEnd w:id="1176"/>
      <w:bookmarkEnd w:id="1178"/>
    </w:p>
    <w:p>
      <w:pPr>
        <w:pStyle w:val="Style33"/>
        <w:keepNext/>
        <w:keepLines/>
        <w:widowControl w:val="0"/>
        <w:numPr>
          <w:ilvl w:val="0"/>
          <w:numId w:val="43"/>
        </w:numPr>
        <w:shd w:val="clear" w:color="auto" w:fill="auto"/>
        <w:bidi w:val="0"/>
        <w:spacing w:before="0" w:after="380" w:line="240" w:lineRule="auto"/>
        <w:ind w:left="0" w:right="0" w:firstLine="0"/>
        <w:jc w:val="left"/>
      </w:pPr>
      <w:bookmarkStart w:id="1175" w:name="bookmark1175"/>
      <w:bookmarkStart w:id="1176" w:name="bookmark1176"/>
      <w:bookmarkStart w:id="1179" w:name="bookmark1179"/>
      <w:bookmarkStart w:id="1180" w:name="bookmark1180"/>
      <w:bookmarkEnd w:id="1179"/>
      <w:r>
        <w:rPr>
          <w:color w:val="000000"/>
          <w:spacing w:val="0"/>
          <w:w w:val="100"/>
          <w:position w:val="0"/>
        </w:rPr>
        <w:t>可供出售金融资产情况</w:t>
      </w:r>
      <w:bookmarkEnd w:id="1175"/>
      <w:bookmarkEnd w:id="1176"/>
      <w:bookmarkEnd w:id="118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可供出售金融资产的说明</w:t>
      </w:r>
    </w:p>
    <w:p>
      <w:pPr>
        <w:pStyle w:val="Style33"/>
        <w:keepNext/>
        <w:keepLines/>
        <w:widowControl w:val="0"/>
        <w:numPr>
          <w:ilvl w:val="0"/>
          <w:numId w:val="43"/>
        </w:numPr>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可供出售金融资产中的长期债权投资</w:t>
      </w:r>
      <w:bookmarkEnd w:id="1181"/>
      <w:bookmarkEnd w:id="1182"/>
      <w:bookmarkEnd w:id="118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33"/>
        <w:keepNext/>
        <w:keepLines/>
        <w:widowControl w:val="0"/>
        <w:numPr>
          <w:ilvl w:val="0"/>
          <w:numId w:val="43"/>
        </w:numPr>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可供出售金融资产的减值情况</w:t>
      </w:r>
      <w:bookmarkEnd w:id="1185"/>
      <w:bookmarkEnd w:id="1186"/>
      <w:bookmarkEnd w:id="118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3"/>
        <w:keepNext/>
        <w:keepLines/>
        <w:widowControl w:val="0"/>
        <w:numPr>
          <w:ilvl w:val="0"/>
          <w:numId w:val="43"/>
        </w:numPr>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报告期内可供出售金融资产减值的变动情况</w:t>
      </w:r>
      <w:bookmarkEnd w:id="1189"/>
      <w:bookmarkEnd w:id="1190"/>
      <w:bookmarkEnd w:id="119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3"/>
        <w:keepNext/>
        <w:keepLines/>
        <w:widowControl w:val="0"/>
        <w:numPr>
          <w:ilvl w:val="0"/>
          <w:numId w:val="43"/>
        </w:numPr>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可供出售权益工具期末公允价值大幅下跌或持续下跌相关说明</w:t>
      </w:r>
      <w:bookmarkEnd w:id="1193"/>
      <w:bookmarkEnd w:id="1194"/>
      <w:bookmarkEnd w:id="119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公允价值相 对于成本的 下跌幅度</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pStyle w:val="Style33"/>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197"/>
      <w:bookmarkEnd w:id="1198"/>
      <w:bookmarkEnd w:id="1200"/>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197" w:name="bookmark1197"/>
      <w:bookmarkStart w:id="1198" w:name="bookmark1198"/>
      <w:bookmarkStart w:id="1201" w:name="bookmark1201"/>
      <w:bookmarkStart w:id="1202" w:name="bookmark1202"/>
      <w:bookmarkEnd w:id="1201"/>
      <w:r>
        <w:rPr>
          <w:color w:val="000000"/>
          <w:spacing w:val="0"/>
          <w:w w:val="100"/>
          <w:position w:val="0"/>
        </w:rPr>
        <w:t>持有至到期投资情况</w:t>
      </w:r>
      <w:bookmarkEnd w:id="1197"/>
      <w:bookmarkEnd w:id="1198"/>
      <w:bookmarkEnd w:id="120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36"/>
        <w:gridCol w:w="3053"/>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本报告期内出售但尚未到期的持有至到期投资情况</w:t>
      </w:r>
      <w:bookmarkEnd w:id="1203"/>
      <w:bookmarkEnd w:id="1204"/>
      <w:bookmarkEnd w:id="120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本报告期内出售但尚未到期的持有至到期投资情况说明</w:t>
      </w:r>
    </w:p>
    <w:p>
      <w:pPr>
        <w:pStyle w:val="Style33"/>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07"/>
      <w:bookmarkEnd w:id="1208"/>
      <w:bookmarkEnd w:id="121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211"/>
      <w:bookmarkEnd w:id="1212"/>
      <w:bookmarkEnd w:id="121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3"/>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215"/>
      <w:bookmarkEnd w:id="1216"/>
      <w:bookmarkEnd w:id="1218"/>
    </w:p>
    <w:p>
      <w:pPr>
        <w:pStyle w:val="Style33"/>
        <w:keepNext/>
        <w:keepLines/>
        <w:widowControl w:val="0"/>
        <w:numPr>
          <w:ilvl w:val="0"/>
          <w:numId w:val="47"/>
        </w:numPr>
        <w:shd w:val="clear" w:color="auto" w:fill="auto"/>
        <w:bidi w:val="0"/>
        <w:spacing w:before="0" w:after="380" w:line="240" w:lineRule="auto"/>
        <w:ind w:left="0" w:right="0" w:firstLine="0"/>
        <w:jc w:val="left"/>
      </w:pPr>
      <w:bookmarkStart w:id="1215" w:name="bookmark1215"/>
      <w:bookmarkStart w:id="1216" w:name="bookmark1216"/>
      <w:bookmarkStart w:id="1219" w:name="bookmark1219"/>
      <w:bookmarkStart w:id="1220" w:name="bookmark1220"/>
      <w:bookmarkEnd w:id="1219"/>
      <w:r>
        <w:rPr>
          <w:color w:val="000000"/>
          <w:spacing w:val="0"/>
          <w:w w:val="100"/>
          <w:position w:val="0"/>
        </w:rPr>
        <w:t>长期股权投资明细情况</w:t>
      </w:r>
      <w:bookmarkEnd w:id="1215"/>
      <w:bookmarkEnd w:id="1216"/>
      <w:bookmarkEnd w:id="122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r>
        <w:rPr>
          <w:color w:val="000000"/>
          <w:spacing w:val="0"/>
          <w:w w:val="100"/>
          <w:position w:val="0"/>
        </w:rPr>
        <w:t>⑵向投资企业转移资金的能力受到限制的有关情况</w:t>
      </w:r>
      <w:bookmarkEnd w:id="1221"/>
      <w:bookmarkEnd w:id="1222"/>
      <w:bookmarkEnd w:id="12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长期股权投资的说明</w:t>
      </w:r>
    </w:p>
    <w:p>
      <w:pPr>
        <w:pStyle w:val="Style33"/>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224"/>
      <w:bookmarkEnd w:id="1225"/>
      <w:bookmarkEnd w:id="1227"/>
    </w:p>
    <w:p>
      <w:pPr>
        <w:pStyle w:val="Style33"/>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8" w:name="bookmark12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224"/>
      <w:bookmarkEnd w:id="1225"/>
      <w:bookmarkEnd w:id="122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229"/>
      <w:bookmarkEnd w:id="1230"/>
      <w:bookmarkEnd w:id="123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3"/>
        <w:keepNext/>
        <w:keepLines/>
        <w:widowControl w:val="0"/>
        <w:shd w:val="clear" w:color="auto" w:fill="auto"/>
        <w:bidi w:val="0"/>
        <w:spacing w:before="0" w:after="38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233"/>
      <w:bookmarkEnd w:id="1234"/>
      <w:bookmarkEnd w:id="1236"/>
    </w:p>
    <w:p>
      <w:pPr>
        <w:pStyle w:val="Style33"/>
        <w:keepNext/>
        <w:keepLines/>
        <w:widowControl w:val="0"/>
        <w:shd w:val="clear" w:color="auto" w:fill="auto"/>
        <w:bidi w:val="0"/>
        <w:spacing w:before="0" w:after="380" w:line="240" w:lineRule="auto"/>
        <w:ind w:left="0" w:right="0" w:firstLine="0"/>
        <w:jc w:val="both"/>
      </w:pPr>
      <w:bookmarkStart w:id="1233" w:name="bookmark1233"/>
      <w:bookmarkStart w:id="1234" w:name="bookmark1234"/>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3"/>
      <w:bookmarkEnd w:id="1234"/>
      <w:bookmarkEnd w:id="123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87,706,621.81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31,656,986.63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208,150.26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119,155,458.18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50,857,560.64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27,263,561.90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78,121,122.54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27,236,808.98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1,142,070.28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28,378,879.26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1,040,156.41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1,040,156.41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5,663,541.70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3,164,529.88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185,120.26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8,642,951.32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2,908,554.08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2,972,348.65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14,728,764.02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7,348,071.05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177,530.24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21,899,304.83</w:t>
            </w:r>
          </w:p>
        </w:tc>
      </w:tr>
    </w:tbl>
    <w:p>
      <w:pPr>
        <w:widowControl w:val="0"/>
        <w:spacing w:line="1" w:lineRule="exact"/>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4,520,317.58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2,123,292.55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6,643,610.13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4,609,308.07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2,464,964.53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7,074,272.60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645,479.73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771,050.83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3,353,446.18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2,171,415.36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5,354,087.36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1,600,212.46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2,056,283.91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72,977,857.79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97,256,153.35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46,337,243.06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71,477,512.41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22,627,500.91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21,304,606.66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394,676.68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269,105.58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2,310,095.52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3,288,863.96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1,308,341.62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916,064.74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72,977,857.79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97,256,153.35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46,337,243.06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71,477,512.41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22,627,500.91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21,304,606.66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394,676.68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269,105.58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2,310,095.52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3,288,863.96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1,308,341.62</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916,064.74</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本期折旧额元；本期由在建工程转入固定资产原价为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w:t>
      </w:r>
    </w:p>
    <w:p>
      <w:pPr>
        <w:widowControl w:val="0"/>
        <w:spacing w:after="359" w:line="1" w:lineRule="exact"/>
      </w:pPr>
    </w:p>
    <w:p>
      <w:pPr>
        <w:pStyle w:val="Style33"/>
        <w:keepNext/>
        <w:keepLines/>
        <w:widowControl w:val="0"/>
        <w:numPr>
          <w:ilvl w:val="0"/>
          <w:numId w:val="47"/>
        </w:numPr>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暂时闲置的固定资产情况</w:t>
      </w:r>
      <w:bookmarkEnd w:id="1238"/>
      <w:bookmarkEnd w:id="1239"/>
      <w:bookmarkEnd w:id="124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59" w:line="1" w:lineRule="exact"/>
      </w:pPr>
    </w:p>
    <w:p>
      <w:pPr>
        <w:pStyle w:val="Style33"/>
        <w:keepNext/>
        <w:keepLines/>
        <w:widowControl w:val="0"/>
        <w:numPr>
          <w:ilvl w:val="0"/>
          <w:numId w:val="35"/>
        </w:numPr>
        <w:shd w:val="clear" w:color="auto" w:fill="auto"/>
        <w:bidi w:val="0"/>
        <w:spacing w:before="0" w:after="36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通过经营租赁租出的固定资产</w:t>
      </w:r>
      <w:bookmarkEnd w:id="1242"/>
      <w:bookmarkEnd w:id="1243"/>
      <w:bookmarkEnd w:id="124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5"/>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33"/>
        <w:keepNext/>
        <w:keepLines/>
        <w:widowControl w:val="0"/>
        <w:numPr>
          <w:ilvl w:val="0"/>
          <w:numId w:val="35"/>
        </w:numPr>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期末持有待售的固定资产情况</w:t>
      </w:r>
      <w:bookmarkEnd w:id="1246"/>
      <w:bookmarkEnd w:id="1247"/>
      <w:bookmarkEnd w:id="12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39" w:line="1" w:lineRule="exact"/>
      </w:pPr>
    </w:p>
    <w:p>
      <w:pPr>
        <w:pStyle w:val="Style33"/>
        <w:keepNext/>
        <w:keepLines/>
        <w:widowControl w:val="0"/>
        <w:numPr>
          <w:ilvl w:val="0"/>
          <w:numId w:val="35"/>
        </w:numPr>
        <w:shd w:val="clear" w:color="auto" w:fill="auto"/>
        <w:bidi w:val="0"/>
        <w:spacing w:before="0" w:after="34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未办妥产权证书的固定资产情况</w:t>
      </w:r>
      <w:bookmarkEnd w:id="1250"/>
      <w:bookmarkEnd w:id="1251"/>
      <w:bookmarkEnd w:id="125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基础设施支持与维护服务 区域扩展项目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在北京购置的备件中心。</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(房屋地址：北京经济技术开发区经海 四路</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BOX</w:t>
            </w:r>
            <w:r>
              <w:rPr>
                <w:color w:val="000000"/>
                <w:spacing w:val="0"/>
                <w:w w:val="100"/>
                <w:position w:val="0"/>
              </w:rPr>
              <w:t>企业汇第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的房 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根据双方签订的《房屋买卖合同》，原本 买受人办理完成在北京经济技术开发区 新公司注册或迁址手续，满足开发区对 购买区内办公物业的企业所提出的必须 为区内注册企业的条件之日起</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日 内办理取得房屋所有权证书。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基础设施支持与维护服务 区域扩展项目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在重庆购置的备件中心</w:t>
            </w:r>
          </w:p>
          <w:p>
            <w:pPr>
              <w:pStyle w:val="Style2"/>
              <w:keepNext w:val="0"/>
              <w:keepLines w:val="0"/>
              <w:widowControl w:val="0"/>
              <w:shd w:val="clear" w:color="auto" w:fill="auto"/>
              <w:tabs>
                <w:tab w:pos="2678" w:val="left"/>
              </w:tabs>
              <w:bidi w:val="0"/>
              <w:spacing w:before="0" w:after="0" w:line="314" w:lineRule="exact"/>
              <w:ind w:left="0" w:right="0" w:firstLine="0"/>
              <w:jc w:val="left"/>
            </w:pPr>
            <w:r>
              <w:rPr>
                <w:color w:val="000000"/>
                <w:spacing w:val="0"/>
                <w:w w:val="100"/>
                <w:position w:val="0"/>
              </w:rPr>
              <w:t>(房屋地址：重庆市渝中区大坪正街</w:t>
            </w:r>
            <w:r>
              <w:rPr>
                <w:rFonts w:ascii="Times New Roman" w:eastAsia="Times New Roman" w:hAnsi="Times New Roman" w:cs="Times New Roman"/>
                <w:color w:val="000000"/>
                <w:spacing w:val="0"/>
                <w:w w:val="100"/>
                <w:position w:val="0"/>
                <w:sz w:val="18"/>
                <w:szCs w:val="18"/>
              </w:rPr>
              <w:t xml:space="preserve">160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幢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此房屋已交付。目前正在办理房地产权 证中。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固定资产说明</w:t>
      </w:r>
    </w:p>
    <w:p>
      <w:pPr>
        <w:pStyle w:val="Style4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公司购入的北京及重庆的办公用房，已交付并使用，但相关房产权证尚在办理过程中。</w:t>
      </w:r>
    </w:p>
    <w:p>
      <w:pPr>
        <w:pStyle w:val="Style33"/>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254"/>
      <w:bookmarkEnd w:id="1255"/>
      <w:bookmarkEnd w:id="1257"/>
    </w:p>
    <w:p>
      <w:pPr>
        <w:pStyle w:val="Style33"/>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54"/>
      <w:bookmarkEnd w:id="1255"/>
      <w:bookmarkEnd w:id="125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1,216,716.84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1,216,716.84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1,216,716.84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1,216,716.84</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259"/>
      <w:bookmarkEnd w:id="1260"/>
      <w:bookmarkEnd w:id="126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工程投 入占预 算比例</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北京亦 庄项目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113,776.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用房装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在建工程项目变动情况的说明</w:t>
      </w:r>
    </w:p>
    <w:p>
      <w:pPr>
        <w:pStyle w:val="Style4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注：其他减少为转入长期待摊费用。</w:t>
      </w:r>
    </w:p>
    <w:p>
      <w:pPr>
        <w:pStyle w:val="Style33"/>
        <w:keepNext/>
        <w:keepLines/>
        <w:widowControl w:val="0"/>
        <w:numPr>
          <w:ilvl w:val="0"/>
          <w:numId w:val="47"/>
        </w:numPr>
        <w:shd w:val="clear" w:color="auto" w:fill="auto"/>
        <w:bidi w:val="0"/>
        <w:spacing w:before="0" w:after="360" w:line="240" w:lineRule="auto"/>
        <w:ind w:left="0" w:right="0" w:firstLine="14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在建工程减值准备</w:t>
      </w:r>
      <w:bookmarkEnd w:id="1262"/>
      <w:bookmarkEnd w:id="1263"/>
      <w:bookmarkEnd w:id="126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59" w:line="1" w:lineRule="exact"/>
      </w:pPr>
    </w:p>
    <w:p>
      <w:pPr>
        <w:pStyle w:val="Style33"/>
        <w:keepNext/>
        <w:keepLines/>
        <w:widowControl w:val="0"/>
        <w:numPr>
          <w:ilvl w:val="0"/>
          <w:numId w:val="47"/>
        </w:numPr>
        <w:shd w:val="clear" w:color="auto" w:fill="auto"/>
        <w:bidi w:val="0"/>
        <w:spacing w:before="0" w:after="360" w:line="240" w:lineRule="auto"/>
        <w:ind w:left="0" w:right="0" w:firstLine="14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重大在建工程的工程进度情况</w:t>
      </w:r>
      <w:bookmarkEnd w:id="1266"/>
      <w:bookmarkEnd w:id="1267"/>
      <w:bookmarkEnd w:id="1269"/>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3"/>
        <w:keepNext/>
        <w:keepLines/>
        <w:widowControl w:val="0"/>
        <w:numPr>
          <w:ilvl w:val="0"/>
          <w:numId w:val="47"/>
        </w:numPr>
        <w:shd w:val="clear" w:color="auto" w:fill="auto"/>
        <w:bidi w:val="0"/>
        <w:spacing w:before="0" w:after="360" w:line="240" w:lineRule="auto"/>
        <w:ind w:left="0" w:right="0" w:firstLine="14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在建工程的说明</w:t>
      </w:r>
      <w:bookmarkEnd w:id="1270"/>
      <w:bookmarkEnd w:id="1271"/>
      <w:bookmarkEnd w:id="1273"/>
    </w:p>
    <w:p>
      <w:pPr>
        <w:pStyle w:val="Style33"/>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270"/>
      <w:bookmarkEnd w:id="1271"/>
      <w:bookmarkEnd w:id="127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067"/>
        <w:gridCol w:w="1594"/>
        <w:gridCol w:w="1464"/>
        <w:gridCol w:w="1594"/>
        <w:gridCol w:w="186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工程物资的说明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276"/>
      <w:bookmarkEnd w:id="1277"/>
      <w:bookmarkEnd w:id="127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年的固定资产清理进展情况</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280"/>
      <w:bookmarkEnd w:id="1281"/>
      <w:bookmarkEnd w:id="1283"/>
    </w:p>
    <w:p>
      <w:pPr>
        <w:pStyle w:val="Style33"/>
        <w:keepNext/>
        <w:keepLines/>
        <w:widowControl w:val="0"/>
        <w:shd w:val="clear" w:color="auto" w:fill="auto"/>
        <w:bidi w:val="0"/>
        <w:spacing w:before="0" w:after="360" w:line="240" w:lineRule="auto"/>
        <w:ind w:left="0" w:right="0" w:firstLine="140"/>
        <w:jc w:val="left"/>
      </w:pPr>
      <w:bookmarkStart w:id="1280" w:name="bookmark1280"/>
      <w:bookmarkStart w:id="1281" w:name="bookmark1281"/>
      <w:bookmarkStart w:id="1284" w:name="bookmark1284"/>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280"/>
      <w:bookmarkEnd w:id="1281"/>
      <w:bookmarkEnd w:id="12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16" behindDoc="0" locked="0" layoutInCell="1" allowOverlap="1">
                <wp:simplePos x="0" y="0"/>
                <wp:positionH relativeFrom="page">
                  <wp:posOffset>1229995</wp:posOffset>
                </wp:positionH>
                <wp:positionV relativeFrom="paragraph">
                  <wp:posOffset>41275</wp:posOffset>
                </wp:positionV>
                <wp:extent cx="252730" cy="146050"/>
                <wp:wrapTopAndBottom/>
                <wp:docPr id="50" name="Shape 50"/>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76" type="#_x0000_t202" style="position:absolute;margin-left:96.850000000000009pt;margin-top:3.25pt;width:19.900000000000002pt;height:11.5pt;z-index:-125829337;mso-wrap-distance-left:0;mso-wrap-distance-top:3.25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18" behindDoc="0" locked="0" layoutInCell="1" allowOverlap="1">
                <wp:simplePos x="0" y="0"/>
                <wp:positionH relativeFrom="page">
                  <wp:posOffset>2183765</wp:posOffset>
                </wp:positionH>
                <wp:positionV relativeFrom="paragraph">
                  <wp:posOffset>38100</wp:posOffset>
                </wp:positionV>
                <wp:extent cx="709930" cy="149225"/>
                <wp:wrapTopAndBottom/>
                <wp:docPr id="52" name="Shape 52"/>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078" type="#_x0000_t202" style="position:absolute;margin-left:171.95000000000002pt;margin-top:3.pt;width:55.899999999999999pt;height:11.75pt;z-index:-125829335;mso-wrap-distance-left:0;mso-wrap-distance-top:3.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期初账面余额</w:t>
                      </w:r>
                    </w:p>
                  </w:txbxContent>
                </v:textbox>
                <w10:wrap type="topAndBottom" anchorx="page"/>
              </v:shape>
            </w:pict>
          </mc:Fallback>
        </mc:AlternateContent>
      </w:r>
      <w:r>
        <mc:AlternateContent>
          <mc:Choice Requires="wps">
            <w:drawing>
              <wp:anchor distT="38100" distB="0" distL="0" distR="0" simplePos="0" relativeHeight="125829420" behindDoc="0" locked="0" layoutInCell="1" allowOverlap="1">
                <wp:simplePos x="0" y="0"/>
                <wp:positionH relativeFrom="page">
                  <wp:posOffset>3436620</wp:posOffset>
                </wp:positionH>
                <wp:positionV relativeFrom="paragraph">
                  <wp:posOffset>38100</wp:posOffset>
                </wp:positionV>
                <wp:extent cx="481330" cy="149225"/>
                <wp:wrapTopAndBottom/>
                <wp:docPr id="54" name="Shape 5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080" type="#_x0000_t202" style="position:absolute;margin-left:270.60000000000002pt;margin-top:3.pt;width:37.899999999999999pt;height:11.75pt;z-index:-125829333;mso-wrap-distance-left:0;mso-wrap-distance-top:3.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22" behindDoc="0" locked="0" layoutInCell="1" allowOverlap="1">
                <wp:simplePos x="0" y="0"/>
                <wp:positionH relativeFrom="page">
                  <wp:posOffset>4701540</wp:posOffset>
                </wp:positionH>
                <wp:positionV relativeFrom="paragraph">
                  <wp:posOffset>38100</wp:posOffset>
                </wp:positionV>
                <wp:extent cx="481330" cy="149225"/>
                <wp:wrapTopAndBottom/>
                <wp:docPr id="56" name="Shape 5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082" type="#_x0000_t202" style="position:absolute;margin-left:370.19999999999999pt;margin-top:3.pt;width:37.899999999999999pt;height:11.75pt;z-index:-125829331;mso-wrap-distance-left:0;mso-wrap-distance-top:3.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3175" distL="0" distR="0" simplePos="0" relativeHeight="125829424" behindDoc="0" locked="0" layoutInCell="1" allowOverlap="1">
                <wp:simplePos x="0" y="0"/>
                <wp:positionH relativeFrom="page">
                  <wp:posOffset>5854065</wp:posOffset>
                </wp:positionH>
                <wp:positionV relativeFrom="paragraph">
                  <wp:posOffset>38100</wp:posOffset>
                </wp:positionV>
                <wp:extent cx="709930" cy="146050"/>
                <wp:wrapTopAndBottom/>
                <wp:docPr id="58" name="Shape 58"/>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084" type="#_x0000_t202" style="position:absolute;margin-left:460.94999999999999pt;margin-top:3.pt;width:55.899999999999999pt;height:11.5pt;z-index:-125829329;mso-wrap-distance-left:0;mso-wrap-distance-top:3.pt;mso-wrap-distance-right:0;mso-wrap-distance-bottom:0.25pt;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p>
    <w:p>
      <w:pPr>
        <w:pStyle w:val="Style29"/>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20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r>
        <w:rPr>
          <w:color w:val="000000"/>
          <w:spacing w:val="0"/>
          <w:w w:val="100"/>
          <w:position w:val="0"/>
        </w:rPr>
        <w:t>四、水产业</w:t>
      </w:r>
      <w:r>
        <w:br w:type="page"/>
      </w:r>
    </w:p>
    <w:p>
      <w:pPr>
        <w:pStyle w:val="Style33"/>
        <w:keepNext/>
        <w:keepLines/>
        <w:widowControl w:val="0"/>
        <w:shd w:val="clear" w:color="auto" w:fill="auto"/>
        <w:bidi w:val="0"/>
        <w:spacing w:before="0" w:after="380" w:line="240" w:lineRule="auto"/>
        <w:ind w:left="0" w:right="0" w:firstLine="14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285"/>
      <w:bookmarkEnd w:id="1286"/>
      <w:bookmarkEnd w:id="1287"/>
    </w:p>
    <w:p>
      <w:pPr>
        <w:widowControl w:val="0"/>
        <w:jc w:val="center"/>
        <w:rPr>
          <w:sz w:val="2"/>
          <w:szCs w:val="2"/>
        </w:rPr>
      </w:pPr>
      <w:r>
        <w:drawing>
          <wp:inline>
            <wp:extent cx="6126480" cy="163957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1"/>
                    <a:stretch/>
                  </pic:blipFill>
                  <pic:spPr>
                    <a:xfrm>
                      <a:ext cx="6126480" cy="1639570"/>
                    </a:xfrm>
                    <a:prstGeom prst="rect"/>
                  </pic:spPr>
                </pic:pic>
              </a:graphicData>
            </a:graphic>
          </wp:inline>
        </w:drawing>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288"/>
      <w:bookmarkEnd w:id="1289"/>
      <w:bookmarkEnd w:id="12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83"/>
        <w:gridCol w:w="1709"/>
        <w:gridCol w:w="1838"/>
        <w:gridCol w:w="2107"/>
        <w:gridCol w:w="184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油气资产的说明</w:t>
      </w:r>
    </w:p>
    <w:p>
      <w:pPr>
        <w:pStyle w:val="Style33"/>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92"/>
      <w:bookmarkEnd w:id="1293"/>
      <w:bookmarkEnd w:id="1295"/>
    </w:p>
    <w:p>
      <w:pPr>
        <w:pStyle w:val="Style33"/>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92"/>
      <w:bookmarkEnd w:id="1293"/>
      <w:bookmarkEnd w:id="129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9,076,645.00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9,076,645.00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9,076,645.00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9,076,645.00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332,810.30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332,810.30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8,925,367.58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-181,532.88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8,743,834.70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8,925,367.58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-181,532.88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8,743,834.70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8,925,367.58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-181,532.88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8,743,834.70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本期摊销额</w:t>
      </w:r>
      <w:r>
        <w:rPr>
          <w:rFonts w:ascii="Times New Roman" w:eastAsia="Times New Roman" w:hAnsi="Times New Roman" w:cs="Times New Roman"/>
          <w:color w:val="000000"/>
          <w:spacing w:val="0"/>
          <w:w w:val="100"/>
          <w:position w:val="0"/>
          <w:sz w:val="18"/>
          <w:szCs w:val="18"/>
        </w:rPr>
        <w:t>181,532.88</w:t>
      </w:r>
      <w:r>
        <w:rPr>
          <w:color w:val="000000"/>
          <w:spacing w:val="0"/>
          <w:w w:val="100"/>
          <w:position w:val="0"/>
          <w:sz w:val="17"/>
          <w:szCs w:val="17"/>
        </w:rPr>
        <w:t>元。</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97"/>
      <w:bookmarkEnd w:id="1298"/>
      <w:bookmarkEnd w:id="129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3"/>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300"/>
      <w:bookmarkEnd w:id="1301"/>
      <w:bookmarkEnd w:id="130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上海天玑信息技术服务有限公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上海复深蓝信息技术有限公司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24,302,015.94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24,302,015.94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24,518,046.74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24,302,015.94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说明商誉的减值测试方法和减值准备计提方法</w:t>
      </w:r>
    </w:p>
    <w:p>
      <w:pPr>
        <w:widowControl w:val="0"/>
        <w:spacing w:after="139" w:line="1" w:lineRule="exact"/>
      </w:pPr>
    </w:p>
    <w:p>
      <w:pPr>
        <w:pStyle w:val="Style33"/>
        <w:keepNext/>
        <w:keepLines/>
        <w:widowControl w:val="0"/>
        <w:shd w:val="clear" w:color="auto" w:fill="auto"/>
        <w:bidi w:val="0"/>
        <w:spacing w:before="0" w:after="0" w:line="240" w:lineRule="auto"/>
        <w:ind w:left="0" w:right="0" w:firstLine="560"/>
        <w:jc w:val="left"/>
      </w:pPr>
      <w:bookmarkStart w:id="1303" w:name="bookmark1303"/>
      <w:bookmarkStart w:id="1304" w:name="bookmark1304"/>
      <w:bookmarkStart w:id="1305" w:name="bookmark1305"/>
      <w:r>
        <w:rPr>
          <w:color w:val="000000"/>
          <w:spacing w:val="0"/>
          <w:w w:val="100"/>
          <w:position w:val="0"/>
        </w:rPr>
        <w:t>商誉形成过程</w:t>
      </w:r>
      <w:bookmarkEnd w:id="1303"/>
      <w:bookmarkEnd w:id="1304"/>
      <w:bookmarkEnd w:id="1305"/>
    </w:p>
    <w:tbl>
      <w:tblPr>
        <w:tblOverlap w:val="never"/>
        <w:jc w:val="center"/>
        <w:tblLayout w:type="fixed"/>
      </w:tblPr>
      <w:tblGrid>
        <w:gridCol w:w="4123"/>
        <w:gridCol w:w="1987"/>
        <w:gridCol w:w="1728"/>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收购方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上海天玑信息技术 服务有限公司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上海复深蓝信息</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收购日被收购方可辨认净资产公允价值</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473,095.60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20,163,306.77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购买股权比例</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确认的被收购方可辨认净资产公允价值份额</w:t>
            </w:r>
            <w:r>
              <w:rPr>
                <w:rFonts w:ascii="Times New Roman" w:eastAsia="Times New Roman" w:hAnsi="Times New Roman" w:cs="Times New Roman"/>
                <w:color w:val="000000"/>
                <w:spacing w:val="0"/>
                <w:w w:val="100"/>
                <w:position w:val="0"/>
                <w:sz w:val="18"/>
                <w:szCs w:val="18"/>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193,969.20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12,097,984.06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实际购买成本</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36,400,000.00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e=d-c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24,302,015.94</w:t>
            </w:r>
          </w:p>
        </w:tc>
      </w:tr>
    </w:tbl>
    <w:p>
      <w:pPr>
        <w:pStyle w:val="Style40"/>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月，公司收购子公司上海天玑信息技术服务有限公司少数股东</w:t>
      </w:r>
      <w:r>
        <w:rPr>
          <w:rFonts w:ascii="Times New Roman" w:eastAsia="Times New Roman" w:hAnsi="Times New Roman" w:cs="Times New Roman"/>
          <w:color w:val="000000"/>
          <w:spacing w:val="0"/>
          <w:w w:val="100"/>
          <w:position w:val="0"/>
        </w:rPr>
        <w:t>41%</w:t>
      </w:r>
      <w:r>
        <w:rPr>
          <w:color w:val="000000"/>
          <w:spacing w:val="0"/>
          <w:w w:val="100"/>
          <w:position w:val="0"/>
        </w:rPr>
        <w:t>的股权。《企业会计准 则解释公告第</w:t>
      </w:r>
      <w:r>
        <w:rPr>
          <w:rFonts w:ascii="Times New Roman" w:eastAsia="Times New Roman" w:hAnsi="Times New Roman" w:cs="Times New Roman"/>
          <w:color w:val="000000"/>
          <w:spacing w:val="0"/>
          <w:w w:val="100"/>
          <w:position w:val="0"/>
        </w:rPr>
        <w:t>2</w:t>
      </w:r>
      <w:r>
        <w:rPr>
          <w:color w:val="000000"/>
          <w:spacing w:val="0"/>
          <w:w w:val="100"/>
          <w:position w:val="0"/>
        </w:rPr>
        <w:t>号》公布之前，公司由于收购子公司少数股东股权的收购成本大于购买日被收购方可辨认 净资产公允价值份额的差额，确认为商誉。</w:t>
      </w:r>
    </w:p>
    <w:p>
      <w:pPr>
        <w:pStyle w:val="Style33"/>
        <w:keepNext/>
        <w:keepLines/>
        <w:widowControl w:val="0"/>
        <w:shd w:val="clear" w:color="auto" w:fill="auto"/>
        <w:bidi w:val="0"/>
        <w:spacing w:before="0" w:after="0" w:line="240" w:lineRule="auto"/>
        <w:ind w:left="0" w:right="0" w:firstLine="560"/>
        <w:jc w:val="left"/>
      </w:pPr>
      <w:bookmarkStart w:id="1306" w:name="bookmark1306"/>
      <w:bookmarkStart w:id="1307" w:name="bookmark1307"/>
      <w:bookmarkStart w:id="1308" w:name="bookmark1308"/>
      <w:r>
        <w:rPr>
          <w:color w:val="000000"/>
          <w:spacing w:val="0"/>
          <w:w w:val="100"/>
          <w:position w:val="0"/>
        </w:rPr>
        <w:t>商誉减值情况</w:t>
      </w:r>
      <w:bookmarkEnd w:id="1306"/>
      <w:bookmarkEnd w:id="1307"/>
      <w:bookmarkEnd w:id="1308"/>
    </w:p>
    <w:tbl>
      <w:tblPr>
        <w:tblOverlap w:val="never"/>
        <w:jc w:val="center"/>
        <w:tblLayout w:type="fixed"/>
      </w:tblPr>
      <w:tblGrid>
        <w:gridCol w:w="2995"/>
        <w:gridCol w:w="1056"/>
        <w:gridCol w:w="1210"/>
        <w:gridCol w:w="1133"/>
        <w:gridCol w:w="128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上海天玑信息技术服务有限公司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经公司管理层会议审议，调整公司经营构架，本年度，对公司子公司上海天玑信息技术服务有限公司 进行关闭。截至年末，公司收回对子公司上海天玑信息技术服务有限公司的投资，对已全额计提减值准备 的以前年度收购少数股东股权时形成的合并商誉转出减少。</w:t>
      </w:r>
    </w:p>
    <w:p>
      <w:pPr>
        <w:pStyle w:val="Style33"/>
        <w:keepNext/>
        <w:keepLines/>
        <w:widowControl w:val="0"/>
        <w:shd w:val="clear" w:color="auto" w:fill="auto"/>
        <w:bidi w:val="0"/>
        <w:spacing w:before="0" w:after="0" w:line="318" w:lineRule="exact"/>
        <w:ind w:left="0" w:right="0" w:firstLine="520"/>
        <w:jc w:val="left"/>
      </w:pPr>
      <w:bookmarkStart w:id="1309" w:name="bookmark1309"/>
      <w:bookmarkStart w:id="1310" w:name="bookmark1310"/>
      <w:bookmarkStart w:id="1311" w:name="bookmark1311"/>
      <w:r>
        <w:rPr>
          <w:color w:val="000000"/>
          <w:spacing w:val="0"/>
          <w:w w:val="100"/>
          <w:position w:val="0"/>
        </w:rPr>
        <w:t>商誉的减值测试方法和减值准备计提方法</w:t>
      </w:r>
      <w:bookmarkEnd w:id="1309"/>
      <w:bookmarkEnd w:id="1310"/>
      <w:bookmarkEnd w:id="1311"/>
    </w:p>
    <w:p>
      <w:pPr>
        <w:pStyle w:val="Style40"/>
        <w:keepNext w:val="0"/>
        <w:keepLines w:val="0"/>
        <w:widowControl w:val="0"/>
        <w:shd w:val="clear" w:color="auto" w:fill="auto"/>
        <w:bidi w:val="0"/>
        <w:spacing w:before="0" w:after="380" w:line="319"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年度，公司溢价收购上海复深蓝信息技术有限公司（以下简称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复深蓝</w:t>
      </w:r>
      <w:r>
        <w:rPr>
          <w:color w:val="000000"/>
          <w:spacing w:val="0"/>
          <w:w w:val="100"/>
          <w:position w:val="0"/>
        </w:rPr>
        <w:t>''）</w:t>
      </w:r>
      <w:r>
        <w:rPr>
          <w:color w:val="000000"/>
          <w:spacing w:val="0"/>
          <w:w w:val="100"/>
          <w:position w:val="0"/>
        </w:rPr>
        <w:t>股权形成的商誉。本年 度，复深蓝完成收购协议预计的利润承诺，实现收购评估对盈利预测的预期。经测试，本年度无需计提复 深蓝的商誉减值准备。</w:t>
      </w:r>
    </w:p>
    <w:p>
      <w:pPr>
        <w:pStyle w:val="Style33"/>
        <w:keepNext/>
        <w:keepLines/>
        <w:widowControl w:val="0"/>
        <w:shd w:val="clear" w:color="auto" w:fill="auto"/>
        <w:bidi w:val="0"/>
        <w:spacing w:before="0" w:after="300" w:line="331"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12"/>
      <w:bookmarkEnd w:id="1313"/>
      <w:bookmarkEnd w:id="1315"/>
    </w:p>
    <w:p>
      <w:pPr>
        <w:pStyle w:val="Style2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北京恒基办公楼 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594,007.22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132,001.56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462,005.66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上海远中园区办 公楼装修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171,788.17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114,525.61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北京亦庄办公楼 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1,330,492.84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110,874.40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1,219,618.44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765,795.39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1,330,492.84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300,138.52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1,796,149.71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3"/>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316"/>
      <w:bookmarkEnd w:id="1317"/>
      <w:bookmarkEnd w:id="1319"/>
    </w:p>
    <w:p>
      <w:pPr>
        <w:pStyle w:val="Style33"/>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316"/>
      <w:bookmarkEnd w:id="1317"/>
      <w:bookmarkEnd w:id="1320"/>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986,522.06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669,543.92</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未确认递延所得税资产明细</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2,254.00</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未确认递延所得税资产的可抵扣亏损将于以下年度到期</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006"/>
        <w:gridCol w:w="2256"/>
        <w:gridCol w:w="1997"/>
        <w:gridCol w:w="332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应纳税差异和可抵扣差异项目明细</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6912275.94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4,299,318.56</w:t>
            </w:r>
          </w:p>
        </w:tc>
      </w:tr>
    </w:tbl>
    <w:p>
      <w:pPr>
        <w:widowControl w:val="0"/>
        <w:spacing w:line="1" w:lineRule="exact"/>
      </w:pPr>
      <w:r>
        <w:br w:type="page"/>
      </w: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179,572.13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6967473.21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4,478,890.69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321"/>
      <w:bookmarkEnd w:id="1322"/>
      <w:bookmarkEnd w:id="1323"/>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994,801.65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669,543.92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递延所得税资产和递延所得税负债互抵明细</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3"/>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324"/>
      <w:bookmarkEnd w:id="1325"/>
      <w:bookmarkEnd w:id="132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2,059,127.21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1,775,930.92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3,835,058.13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2,242,445.31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508,330.40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2,750,775.71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4,517,603.32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2,284,261.32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216,030.80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6,585,833.84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3"/>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28"/>
      <w:bookmarkEnd w:id="1329"/>
      <w:bookmarkEnd w:id="133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3"/>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32"/>
      <w:bookmarkEnd w:id="1333"/>
      <w:bookmarkEnd w:id="1335"/>
    </w:p>
    <w:p>
      <w:pPr>
        <w:pStyle w:val="Style33"/>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2"/>
      <w:bookmarkEnd w:id="1333"/>
      <w:bookmarkEnd w:id="133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3"/>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337"/>
      <w:bookmarkEnd w:id="1338"/>
      <w:bookmarkEnd w:id="133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资产负债表日后已偿还金额元。</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短期借款的说明，包括已到期短期借款获展期的，说明展期条件、新的到期日</w:t>
      </w:r>
    </w:p>
    <w:p>
      <w:pPr>
        <w:pStyle w:val="Style33"/>
        <w:keepNext/>
        <w:keepLines/>
        <w:widowControl w:val="0"/>
        <w:shd w:val="clear" w:color="auto" w:fill="auto"/>
        <w:bidi w:val="0"/>
        <w:spacing w:before="0" w:after="38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40"/>
      <w:bookmarkEnd w:id="1341"/>
      <w:bookmarkEnd w:id="134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33"/>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44"/>
      <w:bookmarkEnd w:id="1345"/>
      <w:bookmarkEnd w:id="134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下一会计期间将到期的金额元。 应付票据的说明</w:t>
      </w:r>
    </w:p>
    <w:p>
      <w:pPr>
        <w:pStyle w:val="Style33"/>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48"/>
      <w:bookmarkEnd w:id="1349"/>
      <w:bookmarkEnd w:id="1351"/>
    </w:p>
    <w:p>
      <w:pPr>
        <w:pStyle w:val="Style33"/>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48"/>
      <w:bookmarkEnd w:id="1349"/>
      <w:bookmarkEnd w:id="135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应付购买商品、接受劳务款项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25,745,104.94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27,279,533.26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25,745,104.94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27,279,533.26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53"/>
      <w:bookmarkEnd w:id="1354"/>
      <w:bookmarkEnd w:id="135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spacing w:lineRule="exact" w:line="1"/>
        <w:rPr>
          <w:sz w:val="2"/>
          <w:szCs w:val="2"/>
        </w:rPr>
      </w:pPr>
      <w:r>
        <w:br w:type="page"/>
      </w:r>
    </w:p>
    <w:p>
      <w:pPr>
        <w:pStyle w:val="Style33"/>
        <w:keepNext/>
        <w:keepLines/>
        <w:widowControl w:val="0"/>
        <w:numPr>
          <w:ilvl w:val="0"/>
          <w:numId w:val="45"/>
        </w:numPr>
        <w:shd w:val="clear" w:color="auto" w:fill="auto"/>
        <w:bidi w:val="0"/>
        <w:spacing w:before="0" w:after="360" w:line="240" w:lineRule="auto"/>
        <w:ind w:left="0" w:right="0" w:firstLine="14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账龄超过一年的大额应付账款情况的说明</w:t>
      </w:r>
      <w:bookmarkEnd w:id="1356"/>
      <w:bookmarkEnd w:id="1357"/>
      <w:bookmarkEnd w:id="1359"/>
    </w:p>
    <w:p>
      <w:pPr>
        <w:pStyle w:val="Style33"/>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56"/>
      <w:bookmarkEnd w:id="1357"/>
      <w:bookmarkEnd w:id="1361"/>
    </w:p>
    <w:p>
      <w:pPr>
        <w:pStyle w:val="Style33"/>
        <w:keepNext/>
        <w:keepLines/>
        <w:widowControl w:val="0"/>
        <w:shd w:val="clear" w:color="auto" w:fill="auto"/>
        <w:bidi w:val="0"/>
        <w:spacing w:before="0" w:after="360" w:line="240" w:lineRule="auto"/>
        <w:ind w:left="0" w:right="0" w:firstLine="140"/>
        <w:jc w:val="left"/>
      </w:pPr>
      <w:bookmarkStart w:id="1356" w:name="bookmark1356"/>
      <w:bookmarkStart w:id="1357" w:name="bookmark1357"/>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56"/>
      <w:bookmarkEnd w:id="1357"/>
      <w:bookmarkEnd w:id="136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预收服务款及货款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19,893,409.53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44,259,155.61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19,893,409.53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44,259,155.61</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63"/>
      <w:bookmarkEnd w:id="1364"/>
      <w:bookmarkEnd w:id="136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3"/>
        <w:keepNext/>
        <w:keepLines/>
        <w:widowControl w:val="0"/>
        <w:numPr>
          <w:ilvl w:val="0"/>
          <w:numId w:val="49"/>
        </w:numPr>
        <w:shd w:val="clear" w:color="auto" w:fill="auto"/>
        <w:bidi w:val="0"/>
        <w:spacing w:before="0" w:after="360" w:line="240" w:lineRule="auto"/>
        <w:ind w:left="0" w:right="0" w:firstLine="14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账龄超过一年的大额预收账款情况的说明</w:t>
      </w:r>
      <w:bookmarkEnd w:id="1366"/>
      <w:bookmarkEnd w:id="1367"/>
      <w:bookmarkEnd w:id="1369"/>
    </w:p>
    <w:p>
      <w:pPr>
        <w:pStyle w:val="Style33"/>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66"/>
      <w:bookmarkEnd w:id="1367"/>
      <w:bookmarkEnd w:id="137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17,660,474.23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114,055,867.25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108,682,317.36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23,034,024.12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1,457,831.96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12,746,642.69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12,856,362.30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945,636.73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430,492.80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6,024,871.17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6,065,128.74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803,991.80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19,146,323.37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135,089,204.87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129,865,632.16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24,369,896.08</w:t>
            </w:r>
          </w:p>
        </w:tc>
      </w:tr>
    </w:tbl>
    <w:p>
      <w:pPr>
        <w:pStyle w:val="Style29"/>
        <w:keepNext w:val="0"/>
        <w:keepLines w:val="0"/>
        <w:widowControl w:val="0"/>
        <w:shd w:val="clear" w:color="auto" w:fill="auto"/>
        <w:bidi w:val="0"/>
        <w:spacing w:before="0" w:after="0" w:line="37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294,849.30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392,615.51</w:t>
      </w:r>
      <w:r>
        <w:rPr>
          <w:color w:val="000000"/>
          <w:spacing w:val="0"/>
          <w:w w:val="100"/>
          <w:position w:val="0"/>
        </w:rPr>
        <w:t>元。 应付职工薪酬预计发放时间、金额等安排</w:t>
      </w:r>
    </w:p>
    <w:p>
      <w:pPr>
        <w:pStyle w:val="Style40"/>
        <w:keepNext w:val="0"/>
        <w:keepLines w:val="0"/>
        <w:widowControl w:val="0"/>
        <w:shd w:val="clear" w:color="auto" w:fill="auto"/>
        <w:bidi w:val="0"/>
        <w:spacing w:before="0" w:after="360" w:line="370" w:lineRule="exact"/>
        <w:ind w:left="0" w:right="0" w:firstLine="0"/>
        <w:jc w:val="left"/>
      </w:pPr>
      <w:r>
        <w:rPr>
          <w:color w:val="000000"/>
          <w:spacing w:val="0"/>
          <w:w w:val="100"/>
          <w:position w:val="0"/>
        </w:rPr>
        <w:t>截至本报告日，年末余额已支付完毕</w:t>
      </w:r>
    </w:p>
    <w:p>
      <w:pPr>
        <w:pStyle w:val="Style33"/>
        <w:keepNext/>
        <w:keepLines/>
        <w:widowControl w:val="0"/>
        <w:shd w:val="clear" w:color="auto" w:fill="auto"/>
        <w:bidi w:val="0"/>
        <w:spacing w:before="0" w:after="220" w:line="386"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72"/>
      <w:bookmarkEnd w:id="1373"/>
      <w:bookmarkEnd w:id="137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6,292,210.59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4,603,232.74</w:t>
            </w:r>
          </w:p>
        </w:tc>
      </w:tr>
    </w:tbl>
    <w:p>
      <w:pPr>
        <w:widowControl w:val="0"/>
        <w:spacing w:line="1" w:lineRule="exact"/>
      </w:pPr>
      <w:r>
        <w:br w:type="page"/>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6,933,897.13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3,914,603.52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1,518,303.92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44,044.81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47,305.49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88,783.66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191,032.23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38,997.27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15,024,065.70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10,317,608.09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3"/>
        <w:keepNext/>
        <w:keepLines/>
        <w:widowControl w:val="0"/>
        <w:shd w:val="clear" w:color="auto" w:fill="auto"/>
        <w:bidi w:val="0"/>
        <w:spacing w:before="0" w:after="38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76"/>
      <w:bookmarkEnd w:id="1377"/>
      <w:bookmarkEnd w:id="137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133"/>
        <w:gridCol w:w="2789"/>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应付利息说明</w:t>
      </w:r>
    </w:p>
    <w:p>
      <w:pPr>
        <w:pStyle w:val="Style33"/>
        <w:keepNext/>
        <w:keepLines/>
        <w:widowControl w:val="0"/>
        <w:shd w:val="clear" w:color="auto" w:fill="auto"/>
        <w:bidi w:val="0"/>
        <w:spacing w:before="0" w:after="38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380"/>
      <w:bookmarkEnd w:id="1381"/>
      <w:bookmarkEnd w:id="13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应付股利的说明</w:t>
      </w:r>
    </w:p>
    <w:p>
      <w:pPr>
        <w:pStyle w:val="Style33"/>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84"/>
      <w:bookmarkEnd w:id="1385"/>
      <w:bookmarkEnd w:id="1387"/>
    </w:p>
    <w:p>
      <w:pPr>
        <w:pStyle w:val="Style33"/>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8" w:name="bookmark13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84"/>
      <w:bookmarkEnd w:id="1385"/>
      <w:bookmarkEnd w:id="138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其他各项应付款项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9,035,052.87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11,019,055.36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9,035,052.87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11,019,055.36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89"/>
      <w:bookmarkEnd w:id="1390"/>
      <w:bookmarkEnd w:id="139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720" w:line="240" w:lineRule="auto"/>
        <w:ind w:left="0" w:right="0" w:firstLine="14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账龄超过一年的大额其他应付款情况的说明</w:t>
      </w:r>
      <w:bookmarkEnd w:id="1392"/>
      <w:bookmarkEnd w:id="1393"/>
      <w:bookmarkEnd w:id="1395"/>
    </w:p>
    <w:p>
      <w:pPr>
        <w:pStyle w:val="Style29"/>
        <w:keepNext w:val="0"/>
        <w:keepLines w:val="0"/>
        <w:widowControl w:val="0"/>
        <w:shd w:val="clear" w:color="auto" w:fill="auto"/>
        <w:tabs>
          <w:tab w:pos="1838" w:val="left"/>
          <w:tab w:pos="3845" w:val="left"/>
          <w:tab w:pos="6312" w:val="left"/>
        </w:tabs>
        <w:bidi w:val="0"/>
        <w:spacing w:before="0" w:after="380" w:line="240" w:lineRule="auto"/>
        <w:ind w:left="0" w:right="0" w:firstLine="0"/>
        <w:jc w:val="center"/>
      </w:pPr>
      <w:r>
        <w:rPr>
          <w:color w:val="000000"/>
          <w:spacing w:val="0"/>
          <w:w w:val="100"/>
          <w:position w:val="0"/>
        </w:rPr>
        <w:t>单位名称</w:t>
        <w:tab/>
        <w:t>年末余额</w:t>
        <w:tab/>
        <w:t>性质或内容</w:t>
        <w:tab/>
        <w:t>备注</w:t>
      </w:r>
    </w:p>
    <w:p>
      <w:pPr>
        <w:pStyle w:val="Style29"/>
        <w:keepNext w:val="0"/>
        <w:keepLines w:val="0"/>
        <w:widowControl w:val="0"/>
        <w:shd w:val="clear" w:color="auto" w:fill="auto"/>
        <w:tabs>
          <w:tab w:pos="3297" w:val="left"/>
        </w:tabs>
        <w:bidi w:val="0"/>
        <w:spacing w:before="0" w:after="720" w:line="240" w:lineRule="auto"/>
        <w:ind w:left="0" w:right="0" w:firstLine="580"/>
        <w:jc w:val="left"/>
      </w:pPr>
      <w:r>
        <w:rPr>
          <w:color w:val="000000"/>
          <w:spacing w:val="0"/>
          <w:w w:val="100"/>
          <w:position w:val="0"/>
        </w:rPr>
        <w:t>上海市经济和信息化委员会</w:t>
        <w:tab/>
      </w:r>
      <w:r>
        <w:rPr>
          <w:rFonts w:ascii="Times New Roman" w:eastAsia="Times New Roman" w:hAnsi="Times New Roman" w:cs="Times New Roman"/>
          <w:color w:val="000000"/>
          <w:spacing w:val="0"/>
          <w:w w:val="100"/>
          <w:position w:val="0"/>
          <w:sz w:val="18"/>
          <w:szCs w:val="18"/>
        </w:rPr>
        <w:t>1,800,000.00</w:t>
      </w:r>
      <w:r>
        <w:rPr>
          <w:color w:val="000000"/>
          <w:spacing w:val="0"/>
          <w:w w:val="100"/>
          <w:position w:val="0"/>
        </w:rPr>
        <w:t>软件和集成电路产业发展专项资金尚未验收评审</w:t>
      </w:r>
    </w:p>
    <w:p>
      <w:pPr>
        <w:pStyle w:val="Style33"/>
        <w:keepNext/>
        <w:keepLines/>
        <w:widowControl w:val="0"/>
        <w:numPr>
          <w:ilvl w:val="0"/>
          <w:numId w:val="51"/>
        </w:numPr>
        <w:shd w:val="clear" w:color="auto" w:fill="auto"/>
        <w:bidi w:val="0"/>
        <w:spacing w:before="0" w:after="640" w:line="240" w:lineRule="auto"/>
        <w:ind w:left="0" w:right="0" w:firstLine="14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金额较大的其他应付款说明内容</w:t>
      </w:r>
      <w:bookmarkEnd w:id="1396"/>
      <w:bookmarkEnd w:id="1397"/>
      <w:bookmarkEnd w:id="1399"/>
    </w:p>
    <w:tbl>
      <w:tblPr>
        <w:tblOverlap w:val="never"/>
        <w:jc w:val="center"/>
        <w:tblLayout w:type="fixed"/>
      </w:tblPr>
      <w:tblGrid>
        <w:gridCol w:w="2424"/>
        <w:gridCol w:w="1277"/>
        <w:gridCol w:w="2266"/>
        <w:gridCol w:w="213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复深蓝原股东杨万强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复深蓝利润承诺保证金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复深蓝原股东杨文芳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复深蓝利润承诺保证金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400"/>
      <w:bookmarkEnd w:id="1401"/>
      <w:bookmarkEnd w:id="140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预计负债说明</w:t>
      </w:r>
    </w:p>
    <w:p>
      <w:pPr>
        <w:pStyle w:val="Style33"/>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04"/>
      <w:bookmarkEnd w:id="1405"/>
      <w:bookmarkEnd w:id="1407"/>
    </w:p>
    <w:p>
      <w:pPr>
        <w:pStyle w:val="Style33"/>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404"/>
      <w:bookmarkEnd w:id="1405"/>
      <w:bookmarkEnd w:id="140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409"/>
      <w:bookmarkEnd w:id="1410"/>
      <w:bookmarkEnd w:id="14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一年内到期的长期借款说明</w:t>
      </w:r>
    </w:p>
    <w:p>
      <w:pPr>
        <w:pStyle w:val="Style33"/>
        <w:keepNext/>
        <w:keepLines/>
        <w:widowControl w:val="0"/>
        <w:shd w:val="clear" w:color="auto" w:fill="auto"/>
        <w:tabs>
          <w:tab w:pos="633" w:val="left"/>
        </w:tabs>
        <w:bidi w:val="0"/>
        <w:spacing w:before="0" w:after="380" w:line="240" w:lineRule="auto"/>
        <w:ind w:left="0" w:right="0" w:firstLine="14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shd w:val="clear" w:color="auto" w:fill="FFFFFF"/>
        </w:rPr>
        <w:t>（</w:t>
      </w:r>
      <w:bookmarkEnd w:id="1414"/>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t>一年内到期的应付债券</w:t>
      </w:r>
      <w:bookmarkEnd w:id="1412"/>
      <w:bookmarkEnd w:id="1413"/>
      <w:bookmarkEnd w:id="141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3"/>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4</w:t>
      </w:r>
      <w:r>
        <w:rPr>
          <w:color w:val="000000"/>
          <w:spacing w:val="0"/>
          <w:w w:val="100"/>
          <w:position w:val="0"/>
        </w:rPr>
        <w:t>）一年内到期的长期应付款</w:t>
      </w:r>
      <w:bookmarkEnd w:id="1416"/>
      <w:bookmarkEnd w:id="1417"/>
      <w:bookmarkEnd w:id="141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33"/>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20"/>
      <w:bookmarkEnd w:id="1421"/>
      <w:bookmarkEnd w:id="142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其他流动负债说明</w:t>
      </w:r>
    </w:p>
    <w:p>
      <w:pPr>
        <w:pStyle w:val="Style33"/>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424"/>
      <w:bookmarkEnd w:id="1425"/>
      <w:bookmarkEnd w:id="1427"/>
    </w:p>
    <w:p>
      <w:pPr>
        <w:pStyle w:val="Style33"/>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4"/>
      <w:bookmarkEnd w:id="1425"/>
      <w:bookmarkEnd w:id="142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3"/>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429"/>
      <w:bookmarkEnd w:id="1430"/>
      <w:bookmarkEnd w:id="143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3"/>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32"/>
      <w:bookmarkEnd w:id="1433"/>
      <w:bookmarkEnd w:id="143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应付债券说明，包括可转换公司债券的转股条件、转股时间</w:t>
      </w:r>
    </w:p>
    <w:p>
      <w:pPr>
        <w:pStyle w:val="Style33"/>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36"/>
      <w:bookmarkEnd w:id="1437"/>
      <w:bookmarkEnd w:id="1439"/>
    </w:p>
    <w:p>
      <w:pPr>
        <w:pStyle w:val="Style33"/>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436"/>
      <w:bookmarkEnd w:id="1437"/>
      <w:bookmarkEnd w:id="144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441"/>
      <w:bookmarkEnd w:id="1442"/>
      <w:bookmarkEnd w:id="144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33"/>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444"/>
      <w:bookmarkEnd w:id="1445"/>
      <w:bookmarkEnd w:id="144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3"/>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48"/>
      <w:bookmarkEnd w:id="1449"/>
      <w:bookmarkEnd w:id="145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452"/>
      <w:bookmarkEnd w:id="1453"/>
      <w:bookmarkEnd w:id="145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139,530,000.00</w:t>
            </w:r>
          </w:p>
        </w:tc>
      </w:tr>
    </w:tbl>
    <w:p>
      <w:pPr>
        <w:pStyle w:val="Style40"/>
        <w:keepNext w:val="0"/>
        <w:keepLines w:val="0"/>
        <w:widowControl w:val="0"/>
        <w:shd w:val="clear" w:color="auto" w:fill="auto"/>
        <w:bidi w:val="0"/>
        <w:spacing w:before="0" w:after="40" w:line="461" w:lineRule="exact"/>
        <w:ind w:left="0" w:right="0" w:firstLine="0"/>
        <w:jc w:val="both"/>
      </w:pPr>
      <w:r>
        <w:rPr>
          <w:color w:val="000000"/>
          <w:spacing w:val="0"/>
          <w:w w:val="100"/>
          <w:position w:val="0"/>
        </w:rPr>
        <w:t>股本变动情况说明，本报告期内有增资或减资行为的，应披露执行验资的会计师事务所名称和验资报告文 号；运行不足</w:t>
      </w:r>
      <w:r>
        <w:rPr>
          <w:rFonts w:ascii="Times New Roman" w:eastAsia="Times New Roman" w:hAnsi="Times New Roman" w:cs="Times New Roman"/>
          <w:color w:val="000000"/>
          <w:spacing w:val="0"/>
          <w:w w:val="100"/>
          <w:position w:val="0"/>
        </w:rPr>
        <w:t>3</w:t>
      </w:r>
      <w:r>
        <w:rPr>
          <w:color w:val="000000"/>
          <w:spacing w:val="0"/>
          <w:w w:val="100"/>
          <w:position w:val="0"/>
        </w:rPr>
        <w:t xml:space="preserve">年的股份有限公司，设立前的年份只需说明净资产情况；有限责任公司整体变更为股份公 </w:t>
      </w:r>
      <w:r>
        <w:rPr>
          <w:color w:val="000000"/>
          <w:spacing w:val="0"/>
          <w:w w:val="100"/>
          <w:position w:val="0"/>
        </w:rPr>
        <w:t>司应说明公司设立时的验资情况</w:t>
      </w:r>
    </w:p>
    <w:p>
      <w:pPr>
        <w:pStyle w:val="Style40"/>
        <w:keepNext w:val="0"/>
        <w:keepLines w:val="0"/>
        <w:widowControl w:val="0"/>
        <w:shd w:val="clear" w:color="auto" w:fill="auto"/>
        <w:bidi w:val="0"/>
        <w:spacing w:before="0" w:after="460" w:line="469"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年第一次临时股东大会决议通过《上海天玑科技股份有限公司限制性股票（草 案修订稿）及其摘要》，向</w:t>
      </w:r>
      <w:r>
        <w:rPr>
          <w:rFonts w:ascii="Times New Roman" w:eastAsia="Times New Roman" w:hAnsi="Times New Roman" w:cs="Times New Roman"/>
          <w:color w:val="000000"/>
          <w:spacing w:val="0"/>
          <w:w w:val="100"/>
          <w:position w:val="0"/>
        </w:rPr>
        <w:t>78</w:t>
      </w:r>
      <w:r>
        <w:rPr>
          <w:color w:val="000000"/>
          <w:spacing w:val="0"/>
          <w:w w:val="100"/>
          <w:position w:val="0"/>
        </w:rPr>
        <w:t>名自然人发行限制性股票</w:t>
      </w:r>
      <w:r>
        <w:rPr>
          <w:rFonts w:ascii="Times New Roman" w:eastAsia="Times New Roman" w:hAnsi="Times New Roman" w:cs="Times New Roman"/>
          <w:color w:val="000000"/>
          <w:spacing w:val="0"/>
          <w:w w:val="100"/>
          <w:position w:val="0"/>
        </w:rPr>
        <w:t>5,530,000</w:t>
      </w:r>
      <w:r>
        <w:rPr>
          <w:color w:val="000000"/>
          <w:spacing w:val="0"/>
          <w:w w:val="100"/>
          <w:position w:val="0"/>
        </w:rPr>
        <w:t>股，授予价格每股</w:t>
      </w:r>
      <w:r>
        <w:rPr>
          <w:rFonts w:ascii="Times New Roman" w:eastAsia="Times New Roman" w:hAnsi="Times New Roman" w:cs="Times New Roman"/>
          <w:color w:val="000000"/>
          <w:spacing w:val="0"/>
          <w:w w:val="100"/>
          <w:position w:val="0"/>
        </w:rPr>
        <w:t>4.81</w:t>
      </w:r>
      <w:r>
        <w:rPr>
          <w:color w:val="000000"/>
          <w:spacing w:val="0"/>
          <w:w w:val="100"/>
          <w:position w:val="0"/>
        </w:rPr>
        <w:t>元。公司分别于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日予以实施。本次股权激励，业经立信会计师事务所（特殊普通合伙）分别于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日出具信会师报字</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113716</w:t>
      </w:r>
      <w:r>
        <w:rPr>
          <w:color w:val="000000"/>
          <w:spacing w:val="0"/>
          <w:w w:val="100"/>
          <w:position w:val="0"/>
        </w:rPr>
        <w:t>号验资报告、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日出具信会师报字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 xml:space="preserve">114120 </w:t>
      </w:r>
      <w:r>
        <w:rPr>
          <w:color w:val="000000"/>
          <w:spacing w:val="0"/>
          <w:w w:val="100"/>
          <w:position w:val="0"/>
        </w:rPr>
        <w:t>号验资报告验证。至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日，公司已完成增资工商登记变更手续。</w:t>
      </w:r>
    </w:p>
    <w:p>
      <w:pPr>
        <w:pStyle w:val="Style33"/>
        <w:keepNext/>
        <w:keepLines/>
        <w:widowControl w:val="0"/>
        <w:shd w:val="clear" w:color="auto" w:fill="auto"/>
        <w:tabs>
          <w:tab w:pos="483" w:val="left"/>
        </w:tabs>
        <w:bidi w:val="0"/>
        <w:spacing w:before="0" w:after="160" w:line="48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455"/>
      <w:bookmarkEnd w:id="1456"/>
      <w:bookmarkEnd w:id="1458"/>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库存股情况说明</w:t>
      </w:r>
    </w:p>
    <w:p>
      <w:pPr>
        <w:pStyle w:val="Style33"/>
        <w:keepNext/>
        <w:keepLines/>
        <w:widowControl w:val="0"/>
        <w:shd w:val="clear" w:color="auto" w:fill="auto"/>
        <w:tabs>
          <w:tab w:pos="483" w:val="left"/>
        </w:tabs>
        <w:bidi w:val="0"/>
        <w:spacing w:before="0" w:after="160" w:line="48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59"/>
      <w:bookmarkEnd w:id="1460"/>
      <w:bookmarkEnd w:id="1462"/>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专项储备情况说明</w:t>
      </w:r>
    </w:p>
    <w:p>
      <w:pPr>
        <w:pStyle w:val="Style33"/>
        <w:keepNext/>
        <w:keepLines/>
        <w:widowControl w:val="0"/>
        <w:shd w:val="clear" w:color="auto" w:fill="auto"/>
        <w:tabs>
          <w:tab w:pos="483" w:val="left"/>
        </w:tabs>
        <w:bidi w:val="0"/>
        <w:spacing w:before="0" w:after="160" w:line="48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5</w:t>
      </w:r>
      <w:bookmarkEnd w:id="1465"/>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463"/>
      <w:bookmarkEnd w:id="1464"/>
      <w:bookmarkEnd w:id="146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232,775,347.05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253,844,647.05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3,002,292.42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3,002,292.42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232,775,347.05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24,071,592.42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256,846,939.47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资本公积说明</w:t>
      </w:r>
    </w:p>
    <w:p>
      <w:pPr>
        <w:pStyle w:val="Style33"/>
        <w:keepNext/>
        <w:keepLines/>
        <w:widowControl w:val="0"/>
        <w:shd w:val="clear" w:color="auto" w:fill="auto"/>
        <w:bidi w:val="0"/>
        <w:spacing w:before="0" w:after="38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5</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467"/>
      <w:bookmarkEnd w:id="1468"/>
      <w:bookmarkEnd w:id="147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16,923,389.92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22,993,921.70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16,923,389.92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6,070,531.78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22,993,921.70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盈余公积说明，用盈余公积转增股本、弥补亏损、分派股利的，应说明有关决议</w:t>
      </w:r>
    </w:p>
    <w:p>
      <w:pPr>
        <w:pStyle w:val="Style33"/>
        <w:keepNext/>
        <w:keepLines/>
        <w:widowControl w:val="0"/>
        <w:shd w:val="clear" w:color="auto" w:fill="auto"/>
        <w:bidi w:val="0"/>
        <w:spacing w:before="0" w:after="38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、一般风险准备</w:t>
      </w:r>
      <w:bookmarkEnd w:id="1471"/>
      <w:bookmarkEnd w:id="1472"/>
      <w:bookmarkEnd w:id="1474"/>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一般风险准备情况说明</w:t>
      </w:r>
    </w:p>
    <w:p>
      <w:pPr>
        <w:pStyle w:val="Style33"/>
        <w:keepNext/>
        <w:keepLines/>
        <w:widowControl w:val="0"/>
        <w:shd w:val="clear" w:color="auto" w:fill="auto"/>
        <w:bidi w:val="0"/>
        <w:spacing w:before="0" w:after="38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475"/>
      <w:bookmarkEnd w:id="1476"/>
      <w:bookmarkEnd w:id="147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136,141,389.56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136,141,389.56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136,141,389.56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60,842,729.05</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6,070,531.78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177,513,586.83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调整年初未分配利润明细：</w:t>
      </w:r>
    </w:p>
    <w:p>
      <w:pPr>
        <w:pStyle w:val="Style40"/>
        <w:keepNext w:val="0"/>
        <w:keepLines w:val="0"/>
        <w:widowControl w:val="0"/>
        <w:shd w:val="clear" w:color="auto" w:fill="auto"/>
        <w:tabs>
          <w:tab w:pos="344" w:val="left"/>
        </w:tabs>
        <w:bidi w:val="0"/>
        <w:spacing w:before="0" w:after="0" w:line="468" w:lineRule="exact"/>
        <w:ind w:left="0" w:right="0" w:firstLine="0"/>
        <w:jc w:val="both"/>
      </w:pPr>
      <w:bookmarkStart w:id="1479" w:name="bookmark1479"/>
      <w:r>
        <w:rPr>
          <w:rFonts w:ascii="Times New Roman" w:eastAsia="Times New Roman" w:hAnsi="Times New Roman" w:cs="Times New Roman"/>
          <w:color w:val="000000"/>
          <w:spacing w:val="0"/>
          <w:w w:val="100"/>
          <w:position w:val="0"/>
        </w:rPr>
        <w:t>1</w:t>
      </w:r>
      <w:bookmarkEnd w:id="147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、由于《企业会计准则》及其相关新规定进行追溯调整，影响年初未分配利润元。</w:t>
      </w:r>
    </w:p>
    <w:p>
      <w:pPr>
        <w:pStyle w:val="Style40"/>
        <w:keepNext w:val="0"/>
        <w:keepLines w:val="0"/>
        <w:widowControl w:val="0"/>
        <w:shd w:val="clear" w:color="auto" w:fill="auto"/>
        <w:tabs>
          <w:tab w:pos="363" w:val="left"/>
        </w:tabs>
        <w:bidi w:val="0"/>
        <w:spacing w:before="0" w:after="0" w:line="468" w:lineRule="exact"/>
        <w:ind w:left="0" w:right="0" w:firstLine="0"/>
        <w:jc w:val="both"/>
      </w:pPr>
      <w:bookmarkStart w:id="1480" w:name="bookmark1480"/>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40"/>
        <w:keepNext w:val="0"/>
        <w:keepLines w:val="0"/>
        <w:widowControl w:val="0"/>
        <w:shd w:val="clear" w:color="auto" w:fill="auto"/>
        <w:tabs>
          <w:tab w:pos="363" w:val="left"/>
        </w:tabs>
        <w:bidi w:val="0"/>
        <w:spacing w:before="0" w:after="0" w:line="468" w:lineRule="exact"/>
        <w:ind w:left="0" w:right="0" w:firstLine="0"/>
        <w:jc w:val="both"/>
      </w:pPr>
      <w:bookmarkStart w:id="1481" w:name="bookmark1481"/>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40"/>
        <w:keepNext w:val="0"/>
        <w:keepLines w:val="0"/>
        <w:widowControl w:val="0"/>
        <w:shd w:val="clear" w:color="auto" w:fill="auto"/>
        <w:tabs>
          <w:tab w:pos="363" w:val="left"/>
        </w:tabs>
        <w:bidi w:val="0"/>
        <w:spacing w:before="0" w:after="0" w:line="468" w:lineRule="exact"/>
        <w:ind w:left="0" w:right="0" w:firstLine="0"/>
        <w:jc w:val="both"/>
      </w:pPr>
      <w:bookmarkStart w:id="1482" w:name="bookmark1482"/>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40"/>
        <w:keepNext w:val="0"/>
        <w:keepLines w:val="0"/>
        <w:widowControl w:val="0"/>
        <w:shd w:val="clear" w:color="auto" w:fill="auto"/>
        <w:tabs>
          <w:tab w:pos="363" w:val="left"/>
        </w:tabs>
        <w:bidi w:val="0"/>
        <w:spacing w:before="0" w:after="0" w:line="468" w:lineRule="exact"/>
        <w:ind w:left="0" w:right="0" w:firstLine="0"/>
        <w:jc w:val="both"/>
      </w:pPr>
      <w:bookmarkStart w:id="1483" w:name="bookmark1483"/>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、其他调整合计影响年初未分配利润元。</w:t>
      </w:r>
    </w:p>
    <w:p>
      <w:pPr>
        <w:pStyle w:val="Style40"/>
        <w:keepNext w:val="0"/>
        <w:keepLines w:val="0"/>
        <w:widowControl w:val="0"/>
        <w:shd w:val="clear" w:color="auto" w:fill="auto"/>
        <w:bidi w:val="0"/>
        <w:spacing w:before="0" w:after="460" w:line="468" w:lineRule="exact"/>
        <w:ind w:left="0" w:right="0" w:firstLine="0"/>
        <w:jc w:val="both"/>
      </w:pPr>
      <w:r>
        <w:rPr>
          <w:color w:val="000000"/>
          <w:spacing w:val="0"/>
          <w:w w:val="100"/>
          <w:position w:val="0"/>
        </w:rPr>
        <w:t>未分配利润说明，对于首次公开发行证券的公司，如果发行前的滚存利润经股东大会决议由新老股东共同 享有，应明确予以说明；如果发行前的滚存利润经股东大会决议在发行前进行分配并由老股东享有，公司 应明确披露应付股利中老股东享有的经审计的利润数</w:t>
      </w:r>
    </w:p>
    <w:p>
      <w:pPr>
        <w:pStyle w:val="Style33"/>
        <w:keepNext/>
        <w:keepLines/>
        <w:widowControl w:val="0"/>
        <w:shd w:val="clear" w:color="auto" w:fill="auto"/>
        <w:bidi w:val="0"/>
        <w:spacing w:before="0" w:after="0" w:line="480" w:lineRule="auto"/>
        <w:ind w:left="0" w:right="0" w:firstLine="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484"/>
      <w:bookmarkEnd w:id="1485"/>
      <w:bookmarkEnd w:id="1487"/>
    </w:p>
    <w:p>
      <w:pPr>
        <w:pStyle w:val="Style33"/>
        <w:keepNext/>
        <w:keepLines/>
        <w:widowControl w:val="0"/>
        <w:shd w:val="clear" w:color="auto" w:fill="auto"/>
        <w:bidi w:val="0"/>
        <w:spacing w:before="0" w:after="380" w:line="468" w:lineRule="exact"/>
        <w:ind w:left="0" w:right="0" w:firstLine="0"/>
        <w:jc w:val="both"/>
      </w:pPr>
      <w:bookmarkStart w:id="1484" w:name="bookmark1484"/>
      <w:bookmarkStart w:id="1485" w:name="bookmark1485"/>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484"/>
      <w:bookmarkEnd w:id="1485"/>
      <w:bookmarkEnd w:id="148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344,940,078.15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313,260,727.26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188,769,467.31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182,042,152.25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both"/>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89"/>
      <w:bookmarkEnd w:id="1490"/>
      <w:bookmarkEnd w:id="149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98,824,858.19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40,926,223.09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88,489,163.18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38,345,122.01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106,447,277.82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65,110,707.91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84,894,094.08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59,096,136.68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28,752,048.60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14,592,270.92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21,269,233.26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12,390,440.95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25,259,874.45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14,658,743.56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20,614,952.09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10,743,173.37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85,656,019.09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53,481,521.83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97,993,284.65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61,467,279.24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344,940,078.15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188,769,467.31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313,260,727.26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182,042,152.25</w:t>
            </w:r>
          </w:p>
        </w:tc>
      </w:tr>
    </w:tbl>
    <w:p>
      <w:pPr>
        <w:widowControl w:val="0"/>
        <w:spacing w:after="339" w:line="1" w:lineRule="exact"/>
      </w:pPr>
    </w:p>
    <w:p>
      <w:pPr>
        <w:pStyle w:val="Style33"/>
        <w:keepNext/>
        <w:keepLines/>
        <w:widowControl w:val="0"/>
        <w:numPr>
          <w:ilvl w:val="0"/>
          <w:numId w:val="53"/>
        </w:numPr>
        <w:shd w:val="clear" w:color="auto" w:fill="auto"/>
        <w:bidi w:val="0"/>
        <w:spacing w:before="0" w:after="340" w:line="240" w:lineRule="auto"/>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主营业务(分产品)</w:t>
      </w:r>
      <w:bookmarkEnd w:id="1492"/>
      <w:bookmarkEnd w:id="1493"/>
      <w:bookmarkEnd w:id="149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支持与维护服务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165,107,478.79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74,611,104.03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145,248,160.61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70,096,023.80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56,434,073.70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31,341,903.80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50,090,302.76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25,652,120.41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18,752,577.21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10,542,580.29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8,899,056.22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4,302,518.48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59,724,067.82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38,176,078.71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36,589,726.23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23,173,694.01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44,921,880.63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34,097,800.48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72,433,481.44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58,817,795.55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344,940,078.15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188,769,467.31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313,260,727.26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182,042,152.25</w:t>
            </w:r>
          </w:p>
        </w:tc>
      </w:tr>
    </w:tbl>
    <w:p>
      <w:pPr>
        <w:widowControl w:val="0"/>
        <w:spacing w:after="339" w:line="1" w:lineRule="exact"/>
      </w:pPr>
    </w:p>
    <w:p>
      <w:pPr>
        <w:pStyle w:val="Style33"/>
        <w:keepNext/>
        <w:keepLines/>
        <w:widowControl w:val="0"/>
        <w:numPr>
          <w:ilvl w:val="0"/>
          <w:numId w:val="53"/>
        </w:numPr>
        <w:shd w:val="clear" w:color="auto" w:fill="auto"/>
        <w:bidi w:val="0"/>
        <w:spacing w:before="0" w:after="340" w:line="240" w:lineRule="auto"/>
        <w:ind w:left="0" w:right="0" w:firstLine="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主营业务(分地区)</w:t>
      </w:r>
      <w:bookmarkEnd w:id="1496"/>
      <w:bookmarkEnd w:id="1497"/>
      <w:bookmarkEnd w:id="149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231,661,978.19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125,644,991.98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207,023,376.67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118,165,806.33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32,345,425.84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19,374,897.61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40,564,512.54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26,333,887.44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25,512,101.21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13,851,759.24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26,637,777.64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15,021,288.98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17,025,105.99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11,466,259.47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13,731,102.92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8,206,903.46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9,701,316.67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4,887,459.86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13,237,485.64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8,169,647.29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28,694,150.25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13,544,099.15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11,721,865.94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5,975,493.42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344,940,078.15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188,769,467.31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313,260,727.26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182,042,152.25</w:t>
            </w:r>
          </w:p>
        </w:tc>
      </w:tr>
    </w:tbl>
    <w:p>
      <w:pPr>
        <w:widowControl w:val="0"/>
        <w:spacing w:after="339" w:line="1" w:lineRule="exact"/>
      </w:pPr>
    </w:p>
    <w:p>
      <w:pPr>
        <w:pStyle w:val="Style33"/>
        <w:keepNext/>
        <w:keepLines/>
        <w:widowControl w:val="0"/>
        <w:numPr>
          <w:ilvl w:val="0"/>
          <w:numId w:val="53"/>
        </w:numPr>
        <w:shd w:val="clear" w:color="auto" w:fill="auto"/>
        <w:bidi w:val="0"/>
        <w:spacing w:before="0" w:after="340" w:line="240" w:lineRule="auto"/>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公司来自前五名客户的营业收入情况</w:t>
      </w:r>
      <w:bookmarkEnd w:id="1500"/>
      <w:bookmarkEnd w:id="1501"/>
      <w:bookmarkEnd w:id="150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02"/>
        <w:gridCol w:w="2851"/>
        <w:gridCol w:w="41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中国移动通信集团浙江有限公司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30,970,745.32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28,732,488.66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13,610,464.64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10,490,844.35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8,978,256.34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92,782,799.31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3"/>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5</w:t>
      </w:r>
      <w:bookmarkEnd w:id="1506"/>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504"/>
      <w:bookmarkEnd w:id="1505"/>
      <w:bookmarkEnd w:id="150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3"/>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5</w:t>
      </w:r>
      <w:bookmarkEnd w:id="1510"/>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508"/>
      <w:bookmarkEnd w:id="1509"/>
      <w:bookmarkEnd w:id="151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332,508.33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749,511.62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562,371.41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154,313.54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119,283.56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1,257,708.07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1,558,639.90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3"/>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512"/>
      <w:bookmarkEnd w:id="1513"/>
      <w:bookmarkEnd w:id="151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20,155,619.85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19,119,040.62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3,400,201.44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3,023,660.90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业务宣传及广告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317,167.88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1,390,659.73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车辆运行费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131,560.74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1,259,523.64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1,157,115.77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312,855.02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853,644.03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299,016.46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391,815.93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25,781,315.39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27,195,460.62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16"/>
      <w:bookmarkEnd w:id="1517"/>
      <w:bookmarkEnd w:id="151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15,782,758.51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17,768,750.27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29,812,512.53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16,461,673.23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5,052,700.46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5,197,625.18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1,146,644.84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3,616,208.03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3,682,907.86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3,222,852.37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2,018,883.94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1,802,730.47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1,527,166.19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1,673,682.11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电话网络通讯费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1,429,032.93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1,528,849.23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1,112,627.05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1,065,616.89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市内交通运行费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500,963.23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996,519.00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964,613.51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858,913.38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319,179.14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858,070.19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465,393.00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682,232.48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房产税及印花税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479,119.65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434,281.79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3,002,292.42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1,072,852.32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930,988.22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68,369,647.58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57,098,992.84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20"/>
      <w:bookmarkEnd w:id="1521"/>
      <w:bookmarkEnd w:id="152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-9,084,212.66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-8,914,733.26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182,342.64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-9,018,488.59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-8,731,968.69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24"/>
      <w:bookmarkEnd w:id="1525"/>
      <w:bookmarkEnd w:id="1527"/>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864"/>
        <w:gridCol w:w="2789"/>
        <w:gridCol w:w="293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33"/>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28"/>
      <w:bookmarkEnd w:id="1529"/>
      <w:bookmarkEnd w:id="1531"/>
    </w:p>
    <w:p>
      <w:pPr>
        <w:pStyle w:val="Style33"/>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528"/>
      <w:bookmarkEnd w:id="1529"/>
      <w:bookmarkEnd w:id="153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33"/>
      <w:bookmarkEnd w:id="1534"/>
      <w:bookmarkEnd w:id="153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38"/>
        <w:gridCol w:w="1992"/>
        <w:gridCol w:w="1728"/>
        <w:gridCol w:w="29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3"/>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6</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36"/>
      <w:bookmarkEnd w:id="1537"/>
      <w:bookmarkEnd w:id="153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324,975.90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2,284,261.32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861,280.02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40"/>
      <w:bookmarkEnd w:id="1541"/>
      <w:bookmarkEnd w:id="1543"/>
    </w:p>
    <w:p>
      <w:pPr>
        <w:pStyle w:val="Style33"/>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40"/>
      <w:bookmarkEnd w:id="1541"/>
      <w:bookmarkEnd w:id="154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2"/>
        <w:gridCol w:w="1954"/>
        <w:gridCol w:w="2160"/>
        <w:gridCol w:w="21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1,109,838.00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5,486,791.00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4,828,803.93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5,486,791.00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增值税免抵退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481,029.46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327,160.98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7,406,633.26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6,378,822.83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6,739,760.81</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营业外收入说明</w:t>
      </w:r>
    </w:p>
    <w:p>
      <w:pPr>
        <w:pStyle w:val="Style40"/>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本年度，母公司获得上海青浦工业园区发展(集团)有限公司协议拨付的扶持资金人民币</w:t>
      </w:r>
      <w:r>
        <w:rPr>
          <w:color w:val="000000"/>
          <w:spacing w:val="0"/>
          <w:w w:val="100"/>
          <w:position w:val="0"/>
        </w:rPr>
        <w:t xml:space="preserve">529. </w:t>
      </w:r>
      <w:r>
        <w:rPr>
          <w:color w:val="000000"/>
          <w:spacing w:val="0"/>
          <w:w w:val="100"/>
          <w:position w:val="0"/>
        </w:rPr>
        <w:t>40</w:t>
      </w:r>
      <w:r>
        <w:rPr>
          <w:color w:val="000000"/>
          <w:spacing w:val="0"/>
          <w:w w:val="100"/>
          <w:position w:val="0"/>
        </w:rPr>
        <w:t>万元; 公司子公司上海力克数码科技有限公司和上海天玑信息技术服务有限公司共计收到上海漕河泾开发区松 江高科技园拨付的扶持资金</w:t>
      </w:r>
      <w:r>
        <w:rPr>
          <w:color w:val="000000"/>
          <w:spacing w:val="0"/>
          <w:w w:val="100"/>
          <w:position w:val="0"/>
        </w:rPr>
        <w:t>9.00</w:t>
      </w:r>
      <w:r>
        <w:rPr>
          <w:color w:val="000000"/>
          <w:spacing w:val="0"/>
          <w:w w:val="100"/>
          <w:position w:val="0"/>
        </w:rPr>
        <w:t>万元；公司子公司上海领卓企业管理咨询有限公司根据上海市青浦区金泽 镇人民政府和上海淀山湖经济城相关文件和协议收到扶持资金</w:t>
      </w:r>
      <w:r>
        <w:rPr>
          <w:color w:val="000000"/>
          <w:spacing w:val="0"/>
          <w:w w:val="100"/>
          <w:position w:val="0"/>
        </w:rPr>
        <w:t>10.24</w:t>
      </w:r>
      <w:r>
        <w:rPr>
          <w:color w:val="000000"/>
          <w:spacing w:val="0"/>
          <w:w w:val="100"/>
          <w:position w:val="0"/>
        </w:rPr>
        <w:t>万元。</w:t>
      </w:r>
    </w:p>
    <w:p>
      <w:pPr>
        <w:pStyle w:val="Style33"/>
        <w:keepNext/>
        <w:keepLines/>
        <w:widowControl w:val="0"/>
        <w:shd w:val="clear" w:color="auto" w:fill="auto"/>
        <w:bidi w:val="0"/>
        <w:spacing w:before="0" w:after="380" w:line="469" w:lineRule="exact"/>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45"/>
      <w:bookmarkEnd w:id="1546"/>
      <w:bookmarkEnd w:id="154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科技型中小企业技术创 新基金无偿资助项目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上海市名牌奖励费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关于政府支持和鼓励本 区企业组织开展职工职 业培训补贴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软件和集成电路产业发 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徐汇区高新技术产业化 及科技创新管理费用补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1,109,838.00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6</w:t>
      </w:r>
      <w:bookmarkEnd w:id="1550"/>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48"/>
      <w:bookmarkEnd w:id="1549"/>
      <w:bookmarkEnd w:id="155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730"/>
        <w:gridCol w:w="2021"/>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罚款、赔偿和违约支出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86,773.73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220,779.09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营业外支出说明</w:t>
      </w:r>
    </w:p>
    <w:p>
      <w:pPr>
        <w:widowControl w:val="0"/>
        <w:spacing w:after="359" w:line="1" w:lineRule="exact"/>
      </w:pPr>
    </w:p>
    <w:p>
      <w:pPr>
        <w:pStyle w:val="Style40"/>
        <w:keepNext w:val="0"/>
        <w:keepLines w:val="0"/>
        <w:widowControl w:val="0"/>
        <w:shd w:val="clear" w:color="auto" w:fill="auto"/>
        <w:bidi w:val="0"/>
        <w:spacing w:before="0" w:after="360" w:line="240" w:lineRule="auto"/>
        <w:ind w:left="0" w:right="0" w:firstLine="0"/>
        <w:jc w:val="both"/>
      </w:pPr>
      <w:bookmarkStart w:id="1552" w:name="bookmark1552"/>
      <w:r>
        <w:rPr>
          <w:rFonts w:ascii="Times New Roman" w:eastAsia="Times New Roman" w:hAnsi="Times New Roman" w:cs="Times New Roman"/>
          <w:b/>
          <w:bCs/>
          <w:color w:val="000000"/>
          <w:spacing w:val="0"/>
          <w:w w:val="100"/>
          <w:position w:val="0"/>
        </w:rPr>
        <w:t>6</w:t>
      </w:r>
      <w:bookmarkEnd w:id="1552"/>
      <w:r>
        <w:rPr>
          <w:rFonts w:ascii="Times New Roman" w:eastAsia="Times New Roman" w:hAnsi="Times New Roman" w:cs="Times New Roman"/>
          <w:b/>
          <w:bCs/>
          <w:color w:val="000000"/>
          <w:spacing w:val="0"/>
          <w:w w:val="100"/>
          <w:position w:val="0"/>
        </w:rPr>
        <w:t>5</w:t>
      </w:r>
      <w:r>
        <w:rPr>
          <w:b/>
          <w:bCs/>
          <w:color w:val="000000"/>
          <w:spacing w:val="0"/>
          <w:w w:val="100"/>
          <w:position w:val="0"/>
        </w:rPr>
        <w:t>、所得税费用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12,811,205.65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9,163,351.83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-325,257.73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-144,770.95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12,485,947.92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9,018,580.88</w:t>
            </w:r>
          </w:p>
        </w:tc>
      </w:tr>
    </w:tbl>
    <w:p>
      <w:pPr>
        <w:widowControl w:val="0"/>
        <w:spacing w:after="239" w:line="1" w:lineRule="exact"/>
      </w:pPr>
    </w:p>
    <w:p>
      <w:pPr>
        <w:pStyle w:val="Style33"/>
        <w:keepNext/>
        <w:keepLines/>
        <w:widowControl w:val="0"/>
        <w:shd w:val="clear" w:color="auto" w:fill="auto"/>
        <w:bidi w:val="0"/>
        <w:spacing w:before="0" w:after="300" w:line="315" w:lineRule="exact"/>
        <w:ind w:left="0" w:right="0" w:firstLine="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553"/>
      <w:bookmarkEnd w:id="1554"/>
      <w:bookmarkEnd w:id="1556"/>
    </w:p>
    <w:p>
      <w:pPr>
        <w:pStyle w:val="Style40"/>
        <w:keepNext w:val="0"/>
        <w:keepLines w:val="0"/>
        <w:widowControl w:val="0"/>
        <w:shd w:val="clear" w:color="auto" w:fill="auto"/>
        <w:bidi w:val="0"/>
        <w:spacing w:before="0" w:after="0" w:line="315" w:lineRule="exact"/>
        <w:ind w:left="0" w:right="0" w:firstLine="0"/>
        <w:jc w:val="both"/>
      </w:pPr>
      <w:r>
        <w:rPr>
          <w:color w:val="000000"/>
          <w:spacing w:val="0"/>
          <w:w w:val="100"/>
          <w:position w:val="0"/>
        </w:rPr>
        <w:t>计算公式：</w:t>
      </w:r>
    </w:p>
    <w:p>
      <w:pPr>
        <w:pStyle w:val="Style40"/>
        <w:keepNext w:val="0"/>
        <w:keepLines w:val="0"/>
        <w:widowControl w:val="0"/>
        <w:shd w:val="clear" w:color="auto" w:fill="auto"/>
        <w:tabs>
          <w:tab w:pos="493" w:val="left"/>
        </w:tabs>
        <w:bidi w:val="0"/>
        <w:spacing w:before="0" w:after="0" w:line="315" w:lineRule="exact"/>
        <w:ind w:left="0" w:right="0" w:firstLine="0"/>
        <w:jc w:val="both"/>
      </w:pPr>
      <w:bookmarkStart w:id="1557" w:name="bookmark1557"/>
      <w:r>
        <w:rPr>
          <w:b/>
          <w:bCs/>
          <w:color w:val="000000"/>
          <w:spacing w:val="0"/>
          <w:w w:val="100"/>
          <w:position w:val="0"/>
        </w:rPr>
        <w:t>（</w:t>
      </w:r>
      <w:bookmarkEnd w:id="155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、基本每股收益</w:t>
      </w:r>
    </w:p>
    <w:p>
      <w:pPr>
        <w:pStyle w:val="Style40"/>
        <w:keepNext w:val="0"/>
        <w:keepLines w:val="0"/>
        <w:widowControl w:val="0"/>
        <w:shd w:val="clear" w:color="auto" w:fill="auto"/>
        <w:bidi w:val="0"/>
        <w:spacing w:before="0" w:after="80" w:line="315" w:lineRule="exact"/>
        <w:ind w:left="0" w:right="0" w:firstLine="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66"/>
        <w:keepNext w:val="0"/>
        <w:keepLines w:val="0"/>
        <w:widowControl w:val="0"/>
        <w:shd w:val="clear" w:color="auto" w:fill="auto"/>
        <w:bidi w:val="0"/>
        <w:spacing w:before="0" w:after="0" w:line="329" w:lineRule="auto"/>
        <w:ind w:left="0" w:right="0" w:firstLine="0"/>
        <w:jc w:val="both"/>
      </w:pPr>
      <w:r>
        <w:rPr>
          <w:color w:val="000000"/>
          <w:spacing w:val="0"/>
          <w:w w:val="100"/>
          <w:position w:val="0"/>
        </w:rPr>
        <w:t xml:space="preserve">S= S0 </w:t>
      </w:r>
      <w:r>
        <w:rPr>
          <w:rFonts w:ascii="SimSun" w:eastAsia="SimSun" w:hAnsi="SimSun" w:cs="SimSun"/>
          <w:color w:val="000000"/>
          <w:spacing w:val="0"/>
          <w:w w:val="100"/>
          <w:position w:val="0"/>
        </w:rPr>
        <w:t xml:space="preserve">+ </w:t>
      </w:r>
      <w:r>
        <w:rPr>
          <w:color w:val="000000"/>
          <w:spacing w:val="0"/>
          <w:w w:val="100"/>
          <w:position w:val="0"/>
        </w:rPr>
        <w:t xml:space="preserve">Sl </w:t>
      </w:r>
      <w:r>
        <w:rPr>
          <w:rFonts w:ascii="SimSun" w:eastAsia="SimSun" w:hAnsi="SimSun" w:cs="SimSun"/>
          <w:color w:val="000000"/>
          <w:spacing w:val="0"/>
          <w:w w:val="100"/>
          <w:position w:val="0"/>
        </w:rPr>
        <w:t xml:space="preserve">+ </w:t>
      </w:r>
      <w:r>
        <w:rPr>
          <w:color w:val="000000"/>
          <w:spacing w:val="0"/>
          <w:w w:val="100"/>
          <w:position w:val="0"/>
        </w:rPr>
        <w:t>SixMi+M0-SjxMj+M0-Sk</w:t>
      </w:r>
    </w:p>
    <w:p>
      <w:pPr>
        <w:pStyle w:val="Style4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 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为报告期因公积金转增股本或股票股利分配等增加股份 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 xml:space="preserve">为报告期缩股数; </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为减少股份次月起至报告期期末的 累计月数。</w:t>
      </w:r>
    </w:p>
    <w:p>
      <w:pPr>
        <w:pStyle w:val="Style40"/>
        <w:keepNext w:val="0"/>
        <w:keepLines w:val="0"/>
        <w:widowControl w:val="0"/>
        <w:shd w:val="clear" w:color="auto" w:fill="auto"/>
        <w:tabs>
          <w:tab w:pos="493" w:val="left"/>
        </w:tabs>
        <w:bidi w:val="0"/>
        <w:spacing w:before="0" w:after="0" w:line="315" w:lineRule="exact"/>
        <w:ind w:left="0" w:right="0" w:firstLine="0"/>
        <w:jc w:val="both"/>
      </w:pPr>
      <w:bookmarkStart w:id="1558" w:name="bookmark1558"/>
      <w:r>
        <w:rPr>
          <w:b/>
          <w:bCs/>
          <w:color w:val="000000"/>
          <w:spacing w:val="0"/>
          <w:w w:val="100"/>
          <w:position w:val="0"/>
        </w:rPr>
        <w:t>（</w:t>
      </w:r>
      <w:bookmarkEnd w:id="155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、稀释每股收益</w:t>
      </w:r>
    </w:p>
    <w:p>
      <w:pPr>
        <w:pStyle w:val="Style40"/>
        <w:keepNext w:val="0"/>
        <w:keepLines w:val="0"/>
        <w:widowControl w:val="0"/>
        <w:shd w:val="clear" w:color="auto" w:fill="auto"/>
        <w:bidi w:val="0"/>
        <w:spacing w:before="0" w:after="0" w:line="315" w:lineRule="exact"/>
        <w:ind w:left="0" w:right="0" w:firstLine="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=P1/（S0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w:t>
      </w:r>
      <w:r>
        <w:rPr>
          <w:rFonts w:ascii="Times New Roman" w:eastAsia="Times New Roman" w:hAnsi="Times New Roman" w:cs="Times New Roman"/>
          <w:color w:val="000000"/>
          <w:spacing w:val="0"/>
          <w:w w:val="100"/>
          <w:position w:val="0"/>
        </w:rPr>
        <w:t>X</w:t>
      </w:r>
      <w:r>
        <w:rPr>
          <w:rFonts w:ascii="Times New Roman" w:eastAsia="Times New Roman" w:hAnsi="Times New Roman" w:cs="Times New Roman"/>
          <w:color w:val="000000"/>
          <w:spacing w:val="0"/>
          <w:w w:val="100"/>
          <w:position w:val="0"/>
        </w:rPr>
        <w:t>Mj-M0-Sk+</w:t>
      </w:r>
      <w:r>
        <w:rPr>
          <w:color w:val="000000"/>
          <w:spacing w:val="0"/>
          <w:w w:val="100"/>
          <w:position w:val="0"/>
        </w:rPr>
        <w:t>认股权证、股份期权、可转换债券等增加的普通股 加权平均数</w:t>
      </w:r>
      <w:r>
        <w:rPr>
          <w:color w:val="000000"/>
          <w:spacing w:val="0"/>
          <w:w w:val="100"/>
          <w:position w:val="0"/>
        </w:rPr>
        <w:t>）</w:t>
      </w:r>
    </w:p>
    <w:p>
      <w:pPr>
        <w:pStyle w:val="Style4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为归属于公司普通股股东的净利润或扣除非经常性损益后归属于公司普通股股东的净利润，并考 虑稀释性潜在普通股对其影响，按《企业会计准则》及有关规定进行调整。公司在计算稀释每股收益时， 应考虑所有稀释性潜在普通股对归属于公司普通股股东的净利润或扣除非经常性损益后归属于公司普通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p>
      <w:pPr>
        <w:pStyle w:val="Style40"/>
        <w:keepNext w:val="0"/>
        <w:keepLines w:val="0"/>
        <w:widowControl w:val="0"/>
        <w:shd w:val="clear" w:color="auto" w:fill="auto"/>
        <w:bidi w:val="0"/>
        <w:spacing w:before="0" w:after="0" w:line="315" w:lineRule="exact"/>
        <w:ind w:left="0" w:right="0" w:firstLine="0"/>
        <w:jc w:val="both"/>
      </w:pPr>
      <w:r>
        <w:rPr>
          <w:color w:val="000000"/>
          <w:spacing w:val="0"/>
          <w:w w:val="100"/>
          <w:position w:val="0"/>
        </w:rPr>
        <w:t>计算过程：</w:t>
      </w:r>
    </w:p>
    <w:p>
      <w:pPr>
        <w:pStyle w:val="Style40"/>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基本每股收益</w:t>
      </w:r>
    </w:p>
    <w:p>
      <w:pPr>
        <w:pStyle w:val="Style40"/>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基本每股收益以归属于本公司普通股股东的合并净利润除以本公司发行在外普通股的加权平均数计算：</w:t>
      </w:r>
    </w:p>
    <w:tbl>
      <w:tblPr>
        <w:tblOverlap w:val="never"/>
        <w:jc w:val="center"/>
        <w:tblLayout w:type="fixed"/>
      </w:tblPr>
      <w:tblGrid>
        <w:gridCol w:w="4358"/>
        <w:gridCol w:w="1718"/>
        <w:gridCol w:w="161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667"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归属于本公司普通股股东的合并净利润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60,842,729.05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48,207,495.51</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本公司发行在外普通股的加权平均数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135,793,333.33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134,000,000.00</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26" behindDoc="0" locked="0" layoutInCell="1" allowOverlap="1">
                <wp:simplePos x="0" y="0"/>
                <wp:positionH relativeFrom="page">
                  <wp:posOffset>1165860</wp:posOffset>
                </wp:positionH>
                <wp:positionV relativeFrom="paragraph">
                  <wp:posOffset>0</wp:posOffset>
                </wp:positionV>
                <wp:extent cx="1395730" cy="179705"/>
                <wp:wrapTopAndBottom/>
                <wp:docPr id="61" name="Shape 61"/>
                <a:graphic xmlns:a="http://schemas.openxmlformats.org/drawingml/2006/main">
                  <a:graphicData uri="http://schemas.microsoft.com/office/word/2010/wordprocessingShape">
                    <wps:wsp>
                      <wps:cNvSpPr txBox="1"/>
                      <wps:spPr>
                        <a:xfrm>
                          <a:ext cx="1395730" cy="1797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xbxContent>
                      </wps:txbx>
                      <wps:bodyPr wrap="none" lIns="0" tIns="0" rIns="0" bIns="0">
                        <a:noAutoFit/>
                      </wps:bodyPr>
                    </wps:wsp>
                  </a:graphicData>
                </a:graphic>
              </wp:anchor>
            </w:drawing>
          </mc:Choice>
          <mc:Fallback>
            <w:pict>
              <v:shape id="_x0000_s1087" type="#_x0000_t202" style="position:absolute;margin-left:91.799999999999997pt;margin-top:0;width:109.90000000000001pt;height:14.15pt;z-index:-125829327;mso-wrap-distance-left:0;mso-wrap-distance-right:0;mso-wrap-distance-bottom:13.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xbxContent>
                </v:textbox>
                <w10:wrap type="topAndBottom" anchorx="page"/>
              </v:shape>
            </w:pict>
          </mc:Fallback>
        </mc:AlternateContent>
      </w:r>
      <w:r>
        <mc:AlternateContent>
          <mc:Choice Requires="wps">
            <w:drawing>
              <wp:anchor distT="6350" distB="177165" distL="0" distR="0" simplePos="0" relativeHeight="125829428" behindDoc="0" locked="0" layoutInCell="1" allowOverlap="1">
                <wp:simplePos x="0" y="0"/>
                <wp:positionH relativeFrom="page">
                  <wp:posOffset>4774565</wp:posOffset>
                </wp:positionH>
                <wp:positionV relativeFrom="paragraph">
                  <wp:posOffset>6350</wp:posOffset>
                </wp:positionV>
                <wp:extent cx="259080" cy="161290"/>
                <wp:wrapTopAndBottom/>
                <wp:docPr id="63" name="Shape 63"/>
                <a:graphic xmlns:a="http://schemas.openxmlformats.org/drawingml/2006/main">
                  <a:graphicData uri="http://schemas.microsoft.com/office/word/2010/wordprocessingShape">
                    <wps:wsp>
                      <wps:cNvSpPr txBox="1"/>
                      <wps:spPr>
                        <a:xfrm>
                          <a:ext cx="259080" cy="1612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0.45</w:t>
                            </w:r>
                          </w:p>
                        </w:txbxContent>
                      </wps:txbx>
                      <wps:bodyPr wrap="none" lIns="0" tIns="0" rIns="0" bIns="0">
                        <a:noAutoFit/>
                      </wps:bodyPr>
                    </wps:wsp>
                  </a:graphicData>
                </a:graphic>
              </wp:anchor>
            </w:drawing>
          </mc:Choice>
          <mc:Fallback>
            <w:pict>
              <v:shape id="_x0000_s1089" type="#_x0000_t202" style="position:absolute;margin-left:375.94999999999999pt;margin-top:0.5pt;width:20.400000000000002pt;height:12.700000000000001pt;z-index:-125829325;mso-wrap-distance-left:0;mso-wrap-distance-top:0.5pt;mso-wrap-distance-right:0;mso-wrap-distance-bottom:13.95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0.45</w:t>
                      </w:r>
                    </w:p>
                  </w:txbxContent>
                </v:textbox>
                <w10:wrap type="topAndBottom" anchorx="page"/>
              </v:shape>
            </w:pict>
          </mc:Fallback>
        </mc:AlternateContent>
      </w:r>
      <w:r>
        <mc:AlternateContent>
          <mc:Choice Requires="wps">
            <w:drawing>
              <wp:anchor distT="6350" distB="177165" distL="0" distR="0" simplePos="0" relativeHeight="125829430" behindDoc="0" locked="0" layoutInCell="1" allowOverlap="1">
                <wp:simplePos x="0" y="0"/>
                <wp:positionH relativeFrom="page">
                  <wp:posOffset>5780405</wp:posOffset>
                </wp:positionH>
                <wp:positionV relativeFrom="paragraph">
                  <wp:posOffset>6350</wp:posOffset>
                </wp:positionV>
                <wp:extent cx="259080" cy="161290"/>
                <wp:wrapTopAndBottom/>
                <wp:docPr id="65" name="Shape 65"/>
                <a:graphic xmlns:a="http://schemas.openxmlformats.org/drawingml/2006/main">
                  <a:graphicData uri="http://schemas.microsoft.com/office/word/2010/wordprocessingShape">
                    <wps:wsp>
                      <wps:cNvSpPr txBox="1"/>
                      <wps:spPr>
                        <a:xfrm>
                          <a:ext cx="259080" cy="16129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0.36</w:t>
                            </w:r>
                          </w:p>
                        </w:txbxContent>
                      </wps:txbx>
                      <wps:bodyPr wrap="none" lIns="0" tIns="0" rIns="0" bIns="0">
                        <a:noAutoFit/>
                      </wps:bodyPr>
                    </wps:wsp>
                  </a:graphicData>
                </a:graphic>
              </wp:anchor>
            </w:drawing>
          </mc:Choice>
          <mc:Fallback>
            <w:pict>
              <v:shape id="_x0000_s1091" type="#_x0000_t202" style="position:absolute;margin-left:455.15000000000003pt;margin-top:0.5pt;width:20.400000000000002pt;height:12.700000000000001pt;z-index:-125829323;mso-wrap-distance-left:0;mso-wrap-distance-top:0.5pt;mso-wrap-distance-right:0;mso-wrap-distance-bottom:13.95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0.36</w:t>
                      </w:r>
                    </w:p>
                  </w:txbxContent>
                </v:textbox>
                <w10:wrap type="topAndBottom" anchorx="page"/>
              </v:shape>
            </w:pict>
          </mc:Fallback>
        </mc:AlternateConten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普通股的加权平均数计算过程如下:</w:t>
      </w:r>
    </w:p>
    <w:tbl>
      <w:tblPr>
        <w:tblOverlap w:val="never"/>
        <w:jc w:val="center"/>
        <w:tblLayout w:type="fixed"/>
      </w:tblPr>
      <w:tblGrid>
        <w:gridCol w:w="4330"/>
        <w:gridCol w:w="1709"/>
        <w:gridCol w:w="165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667"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上年金额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年初已发行普通股股数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124,083,333.33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加：本年度发行的普通股加权数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9,916,666.67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减：本年度回购的普通股加权数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135,793,333.33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134,000,000.00</w:t>
            </w:r>
          </w:p>
        </w:tc>
      </w:tr>
    </w:tbl>
    <w:p>
      <w:pPr>
        <w:widowControl w:val="0"/>
        <w:spacing w:after="639" w:line="1" w:lineRule="exact"/>
      </w:pPr>
    </w:p>
    <w:p>
      <w:pPr>
        <w:pStyle w:val="Style33"/>
        <w:keepNext/>
        <w:keepLines/>
        <w:widowControl w:val="0"/>
        <w:shd w:val="clear" w:color="auto" w:fill="auto"/>
        <w:bidi w:val="0"/>
        <w:spacing w:before="0" w:after="3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59"/>
      <w:bookmarkEnd w:id="1560"/>
      <w:bookmarkEnd w:id="156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-4,524.82</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6</w:t>
      </w:r>
      <w:bookmarkEnd w:id="1565"/>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563"/>
      <w:bookmarkEnd w:id="1564"/>
      <w:bookmarkEnd w:id="1566"/>
    </w:p>
    <w:p>
      <w:pPr>
        <w:pStyle w:val="Style33"/>
        <w:keepNext/>
        <w:keepLines/>
        <w:widowControl w:val="0"/>
        <w:shd w:val="clear" w:color="auto" w:fill="auto"/>
        <w:bidi w:val="0"/>
        <w:spacing w:before="0" w:after="360" w:line="240" w:lineRule="auto"/>
        <w:ind w:left="0" w:right="0" w:firstLine="140"/>
        <w:jc w:val="left"/>
      </w:pPr>
      <w:bookmarkStart w:id="1563" w:name="bookmark1563"/>
      <w:bookmarkStart w:id="1564" w:name="bookmark1564"/>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3"/>
      <w:bookmarkEnd w:id="1564"/>
      <w:bookmarkEnd w:id="156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9,497,394.16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补贴收入及其他营业外收入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8,777,269.81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收回押金、保证金及备用金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1,646,314.60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43,206.91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19,964,185.48</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收到的其他与经营活动有关的现金说明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8"/>
      <w:bookmarkEnd w:id="1569"/>
      <w:bookmarkEnd w:id="157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5,601,618.55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15,495,958.49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保证金、押金及备用金支付等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271,918.10</w:t>
            </w:r>
          </w:p>
        </w:tc>
      </w:tr>
    </w:tbl>
    <w:p>
      <w:pPr>
        <w:widowControl w:val="0"/>
        <w:spacing w:line="1" w:lineRule="exact"/>
      </w:pP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18,069.13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21,451,490.95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1"/>
      <w:bookmarkEnd w:id="1572"/>
      <w:bookmarkEnd w:id="157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75"/>
      <w:bookmarkEnd w:id="1576"/>
      <w:bookmarkEnd w:id="157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79"/>
      <w:bookmarkEnd w:id="1580"/>
      <w:bookmarkEnd w:id="158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83"/>
      <w:bookmarkEnd w:id="1584"/>
      <w:bookmarkEnd w:id="158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6</w:t>
      </w:r>
      <w:bookmarkEnd w:id="158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87"/>
      <w:bookmarkEnd w:id="1588"/>
      <w:bookmarkEnd w:id="1590"/>
    </w:p>
    <w:p>
      <w:pPr>
        <w:pStyle w:val="Style33"/>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7"/>
      <w:bookmarkEnd w:id="1588"/>
      <w:bookmarkEnd w:id="159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63,112,086.57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50,375,633.18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2,284,261.32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861,280.02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7,348,071.05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5,733,698.41</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300,138.52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-325,257.73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-144,770.95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2,057,840.87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4,756,841.15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-17,946,879.44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-34,293,488.91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-14,613,500.69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25,103,017.91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3,002,292.42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44,687,282.48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52,660,294.69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416,523,690.15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365,206,474.29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365,206,474.29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388,115,082.66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51,317,215.86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-22,908,608.37</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592"/>
      <w:bookmarkEnd w:id="1593"/>
      <w:bookmarkEnd w:id="159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27,840,000.00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27,840,000.00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21,521,972.46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22,896,628.22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899,939.73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2,274,595.49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w:t>
      </w:r>
      <w:bookmarkEnd w:id="1597"/>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595"/>
      <w:bookmarkEnd w:id="1596"/>
      <w:bookmarkEnd w:id="159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397"/>
        <w:gridCol w:w="2525"/>
        <w:gridCol w:w="266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416,523,690.15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365,206,474.29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114,754.29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416,365,835.86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364,750,181.66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416,523,690.15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365,206,474.29</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33"/>
        <w:keepNext/>
        <w:keepLines/>
        <w:widowControl w:val="0"/>
        <w:shd w:val="clear" w:color="auto" w:fill="auto"/>
        <w:bidi w:val="0"/>
        <w:spacing w:before="0" w:after="36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7</w:t>
      </w:r>
      <w:bookmarkEnd w:id="1601"/>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599"/>
      <w:bookmarkEnd w:id="1600"/>
      <w:bookmarkEnd w:id="160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27"/>
        <w:keepNext/>
        <w:keepLines/>
        <w:widowControl w:val="0"/>
        <w:shd w:val="clear" w:color="auto" w:fill="auto"/>
        <w:bidi w:val="0"/>
        <w:spacing w:before="0" w:after="36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八</w:t>
      </w:r>
      <w:bookmarkEnd w:id="1605"/>
      <w:r>
        <w:rPr>
          <w:color w:val="000000"/>
          <w:spacing w:val="0"/>
          <w:w w:val="100"/>
          <w:position w:val="0"/>
        </w:rPr>
        <w:t>、资产证券化业务的会计处理</w:t>
      </w:r>
      <w:bookmarkEnd w:id="1603"/>
      <w:bookmarkEnd w:id="1604"/>
      <w:bookmarkEnd w:id="1606"/>
    </w:p>
    <w:p>
      <w:pPr>
        <w:pStyle w:val="Style33"/>
        <w:keepNext/>
        <w:keepLines/>
        <w:widowControl w:val="0"/>
        <w:shd w:val="clear" w:color="auto" w:fill="auto"/>
        <w:tabs>
          <w:tab w:pos="368" w:val="left"/>
        </w:tabs>
        <w:bidi w:val="0"/>
        <w:spacing w:before="0" w:after="36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1</w:t>
      </w:r>
      <w:bookmarkEnd w:id="1609"/>
      <w:r>
        <w:rPr>
          <w:color w:val="000000"/>
          <w:spacing w:val="0"/>
          <w:w w:val="100"/>
          <w:position w:val="0"/>
        </w:rPr>
        <w:t>、</w:t>
        <w:tab/>
        <w:t>说明资产证券化业务的主要交易安排及其会计处理、破产隔离条款</w:t>
      </w:r>
      <w:bookmarkEnd w:id="1607"/>
      <w:bookmarkEnd w:id="1608"/>
      <w:bookmarkEnd w:id="1610"/>
    </w:p>
    <w:p>
      <w:pPr>
        <w:pStyle w:val="Style33"/>
        <w:keepNext/>
        <w:keepLines/>
        <w:widowControl w:val="0"/>
        <w:shd w:val="clear" w:color="auto" w:fill="auto"/>
        <w:tabs>
          <w:tab w:pos="378" w:val="left"/>
        </w:tabs>
        <w:bidi w:val="0"/>
        <w:spacing w:before="0" w:after="360" w:line="240" w:lineRule="auto"/>
        <w:ind w:left="0" w:right="0" w:firstLine="0"/>
        <w:jc w:val="left"/>
      </w:pPr>
      <w:bookmarkStart w:id="1607" w:name="bookmark1607"/>
      <w:bookmarkStart w:id="1608" w:name="bookmark1608"/>
      <w:bookmarkStart w:id="1611" w:name="bookmark1611"/>
      <w:bookmarkStart w:id="1612" w:name="bookmark1612"/>
      <w:r>
        <w:rPr>
          <w:rFonts w:ascii="Times New Roman" w:eastAsia="Times New Roman" w:hAnsi="Times New Roman" w:cs="Times New Roman"/>
          <w:color w:val="000000"/>
          <w:spacing w:val="0"/>
          <w:w w:val="100"/>
          <w:position w:val="0"/>
        </w:rPr>
        <w:t>2</w:t>
      </w:r>
      <w:bookmarkEnd w:id="1611"/>
      <w:r>
        <w:rPr>
          <w:color w:val="000000"/>
          <w:spacing w:val="0"/>
          <w:w w:val="100"/>
          <w:position w:val="0"/>
        </w:rPr>
        <w:t>、</w:t>
        <w:tab/>
        <w:t>公司不具有控制权但实质上承担其风险的特殊目的主体情况</w:t>
      </w:r>
      <w:bookmarkEnd w:id="1607"/>
      <w:bookmarkEnd w:id="1608"/>
      <w:bookmarkEnd w:id="161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九</w:t>
      </w:r>
      <w:bookmarkEnd w:id="1615"/>
      <w:r>
        <w:rPr>
          <w:color w:val="000000"/>
          <w:spacing w:val="0"/>
          <w:w w:val="100"/>
          <w:position w:val="0"/>
        </w:rPr>
        <w:t>、关联方及关联交易</w:t>
      </w:r>
      <w:bookmarkEnd w:id="1613"/>
      <w:bookmarkEnd w:id="1614"/>
      <w:bookmarkEnd w:id="1616"/>
    </w:p>
    <w:p>
      <w:pPr>
        <w:pStyle w:val="Style33"/>
        <w:keepNext/>
        <w:keepLines/>
        <w:widowControl w:val="0"/>
        <w:shd w:val="clear" w:color="auto" w:fill="auto"/>
        <w:bidi w:val="0"/>
        <w:spacing w:before="0" w:line="240" w:lineRule="auto"/>
        <w:ind w:left="0" w:right="0" w:firstLine="0"/>
        <w:jc w:val="left"/>
      </w:pPr>
      <w:r>
        <mc:AlternateContent>
          <mc:Choice Requires="wps">
            <w:drawing>
              <wp:anchor distT="127000" distB="0" distL="0" distR="0" simplePos="0" relativeHeight="125829432" behindDoc="0" locked="0" layoutInCell="1" allowOverlap="1">
                <wp:simplePos x="0" y="0"/>
                <wp:positionH relativeFrom="page">
                  <wp:posOffset>715010</wp:posOffset>
                </wp:positionH>
                <wp:positionV relativeFrom="paragraph">
                  <wp:posOffset>368300</wp:posOffset>
                </wp:positionV>
                <wp:extent cx="6083935" cy="859790"/>
                <wp:wrapTopAndBottom/>
                <wp:docPr id="67" name="Shape 67"/>
                <a:graphic xmlns:a="http://schemas.openxmlformats.org/drawingml/2006/main">
                  <a:graphicData uri="http://schemas.microsoft.com/office/word/2010/wordprocessingShape">
                    <wps:wsp>
                      <wps:cNvSpPr txBox="1"/>
                      <wps:spPr>
                        <a:xfrm>
                          <a:ext cx="6083935" cy="859790"/>
                        </a:xfrm>
                        <a:prstGeom prst="rect"/>
                        <a:noFill/>
                      </wps:spPr>
                      <wps:txbx>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wps:txbx>
                      <wps:bodyPr lIns="0" tIns="0" rIns="0" bIns="0">
                        <a:noAutoFit/>
                      </wps:bodyPr>
                    </wps:wsp>
                  </a:graphicData>
                </a:graphic>
              </wp:anchor>
            </w:drawing>
          </mc:Choice>
          <mc:Fallback>
            <w:pict>
              <v:shape id="_x0000_s1093" type="#_x0000_t202" style="position:absolute;margin-left:56.300000000000004pt;margin-top:29.pt;width:479.05000000000001pt;height:67.700000000000003pt;z-index:-125829321;mso-wrap-distance-left:0;mso-wrap-distance-top:10.pt;mso-wrap-distance-right:0;mso-position-horizontal-relative:page" filled="f" stroked="f">
                <v:textbox inset="0,0,0,0">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v:textbox>
                <w10:wrap type="topAndBottom" anchorx="page"/>
              </v:shape>
            </w:pict>
          </mc:Fallback>
        </mc:AlternateContent>
      </w: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17"/>
      <w:bookmarkEnd w:id="1618"/>
      <w:bookmarkEnd w:id="1619"/>
    </w:p>
    <w:p>
      <w:pPr>
        <w:pStyle w:val="Style8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7158" w:val="left"/>
        </w:tabs>
        <w:bidi w:val="0"/>
        <w:spacing w:before="0" w:after="180" w:line="240" w:lineRule="auto"/>
        <w:ind w:left="6400" w:right="0" w:firstLine="0"/>
        <w:jc w:val="left"/>
      </w:pPr>
      <w:r>
        <w:rPr>
          <w:color w:val="000000"/>
          <w:spacing w:val="0"/>
          <w:w w:val="100"/>
          <w:position w:val="0"/>
        </w:rPr>
        <w:t>(%)</w:t>
        <w:tab/>
      </w: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本企业的母公司情况的说明</w:t>
      </w:r>
    </w:p>
    <w:p>
      <w:pPr>
        <w:pStyle w:val="Style33"/>
        <w:keepNext/>
        <w:keepLines/>
        <w:widowControl w:val="0"/>
        <w:shd w:val="clear" w:color="auto" w:fill="auto"/>
        <w:bidi w:val="0"/>
        <w:spacing w:before="0" w:after="360" w:line="240" w:lineRule="auto"/>
        <w:ind w:left="0" w:right="0" w:firstLine="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20"/>
      <w:bookmarkEnd w:id="1621"/>
      <w:bookmarkEnd w:id="1622"/>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上海天玑信 息技术服务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姜蓓蓓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66938016-4</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极品数据系 统公司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TopDataS ystemsInc.</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上海力克数 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68879818-7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极品数据系 统（香港）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上海领卓企 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56193206</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上海复深蓝 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杨万强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76116079-7</w:t>
            </w:r>
          </w:p>
        </w:tc>
      </w:tr>
      <w:tr>
        <w:trPr>
          <w:trHeight w:val="922"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bl>
    <w:p>
      <w:pPr>
        <w:pStyle w:val="Style36"/>
        <w:keepNext w:val="0"/>
        <w:keepLines w:val="0"/>
        <w:widowControl w:val="0"/>
        <w:pBdr>
          <w:top w:val="single" w:sz="0" w:space="31" w:color="D3D3D3"/>
          <w:left w:val="single" w:sz="0" w:space="0" w:color="D3D3D3"/>
          <w:bottom w:val="single" w:sz="0" w:space="7" w:color="D3D3D3"/>
          <w:right w:val="single" w:sz="0" w:space="0" w:color="D3D3D3"/>
        </w:pBdr>
        <w:shd w:val="clear" w:color="auto" w:fill="D3D3D3"/>
        <w:bidi w:val="0"/>
        <w:spacing w:before="0" w:after="0" w:line="240" w:lineRule="auto"/>
        <w:ind w:left="19" w:right="0" w:firstLine="0"/>
        <w:jc w:val="left"/>
        <w:rPr>
          <w:sz w:val="17"/>
          <w:szCs w:val="17"/>
        </w:rPr>
      </w:pPr>
      <w:r>
        <w:rPr>
          <w:color w:val="000000"/>
          <w:spacing w:val="0"/>
          <w:w w:val="100"/>
          <w:position w:val="0"/>
          <w:sz w:val="17"/>
          <w:szCs w:val="17"/>
        </w:rPr>
        <w:t>一、合营企业</w:t>
      </w:r>
    </w:p>
    <w:p>
      <w:pPr>
        <w:widowControl w:val="0"/>
        <w:spacing w:after="159" w:line="1" w:lineRule="exact"/>
      </w:pPr>
    </w:p>
    <w:p>
      <w:pPr>
        <w:pStyle w:val="Style29"/>
        <w:keepNext w:val="0"/>
        <w:keepLines w:val="0"/>
        <w:widowControl w:val="0"/>
        <w:pBdr>
          <w:top w:val="single" w:sz="0" w:space="31" w:color="D3D3D3"/>
          <w:left w:val="single" w:sz="0" w:space="0" w:color="D3D3D3"/>
          <w:bottom w:val="single" w:sz="0" w:space="7" w:color="D3D3D3"/>
          <w:right w:val="single" w:sz="0" w:space="0" w:color="D3D3D3"/>
        </w:pBdr>
        <w:shd w:val="clear" w:color="auto" w:fill="D3D3D3"/>
        <w:bidi w:val="0"/>
        <w:spacing w:before="0" w:after="290" w:line="240" w:lineRule="auto"/>
        <w:ind w:left="0" w:right="0" w:firstLine="0"/>
        <w:jc w:val="left"/>
      </w:pPr>
      <w:r>
        <w:rPr>
          <w:color w:val="000000"/>
          <w:spacing w:val="0"/>
          <w:w w:val="100"/>
          <w:position w:val="0"/>
        </w:rPr>
        <w:t>二、联营企业</w:t>
      </w:r>
    </w:p>
    <w:p>
      <w:pPr>
        <w:pStyle w:val="Style33"/>
        <w:keepNext/>
        <w:keepLines/>
        <w:widowControl w:val="0"/>
        <w:shd w:val="clear" w:color="auto" w:fill="auto"/>
        <w:bidi w:val="0"/>
        <w:spacing w:before="0" w:after="320" w:line="240" w:lineRule="auto"/>
        <w:ind w:left="0" w:right="0" w:firstLine="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color w:val="000000"/>
          <w:spacing w:val="0"/>
          <w:w w:val="100"/>
          <w:position w:val="0"/>
        </w:rPr>
        <w:t>、本企业的其他关联方情况</w:t>
      </w:r>
      <w:bookmarkEnd w:id="1623"/>
      <w:bookmarkEnd w:id="1624"/>
      <w:bookmarkEnd w:id="1626"/>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本企业的其他关联方情况的说明</w:t>
      </w:r>
    </w:p>
    <w:p>
      <w:pPr>
        <w:pStyle w:val="Style33"/>
        <w:keepNext/>
        <w:keepLines/>
        <w:widowControl w:val="0"/>
        <w:shd w:val="clear" w:color="auto" w:fill="auto"/>
        <w:bidi w:val="0"/>
        <w:spacing w:before="0" w:after="38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color w:val="000000"/>
          <w:spacing w:val="0"/>
          <w:w w:val="100"/>
          <w:position w:val="0"/>
        </w:rPr>
        <w:t>、关联方交易</w:t>
      </w:r>
      <w:bookmarkEnd w:id="1627"/>
      <w:bookmarkEnd w:id="1628"/>
      <w:bookmarkEnd w:id="1630"/>
    </w:p>
    <w:p>
      <w:pPr>
        <w:pStyle w:val="Style33"/>
        <w:keepNext/>
        <w:keepLines/>
        <w:widowControl w:val="0"/>
        <w:shd w:val="clear" w:color="auto" w:fill="auto"/>
        <w:bidi w:val="0"/>
        <w:spacing w:before="0" w:after="380" w:line="240" w:lineRule="auto"/>
        <w:ind w:left="0" w:right="0" w:firstLine="0"/>
        <w:jc w:val="both"/>
      </w:pPr>
      <w:bookmarkStart w:id="1627" w:name="bookmark1627"/>
      <w:bookmarkStart w:id="1628" w:name="bookmark1628"/>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627"/>
      <w:bookmarkEnd w:id="1628"/>
      <w:bookmarkEnd w:id="163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出售商品、提供劳务情况表</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占同类交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占同类交</w:t>
            </w:r>
          </w:p>
        </w:tc>
      </w:tr>
    </w:tbl>
    <w:p>
      <w:pPr>
        <w:widowControl w:val="0"/>
        <w:spacing w:line="1" w:lineRule="exact"/>
      </w:pPr>
      <w:r>
        <w:br w:type="page"/>
      </w:r>
    </w:p>
    <w:tbl>
      <w:tblPr>
        <w:tblOverlap w:val="never"/>
        <w:jc w:val="center"/>
        <w:tblLayout w:type="fixed"/>
      </w:tblPr>
      <w:tblGrid>
        <w:gridCol w:w="1603"/>
        <w:gridCol w:w="1728"/>
        <w:gridCol w:w="1464"/>
        <w:gridCol w:w="1594"/>
        <w:gridCol w:w="797"/>
        <w:gridCol w:w="1594"/>
        <w:gridCol w:w="806"/>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易金额的 比例（%）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易金额的 比例（%）</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32"/>
      <w:bookmarkEnd w:id="1633"/>
      <w:bookmarkEnd w:id="1634"/>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3"/>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35"/>
      <w:bookmarkEnd w:id="1636"/>
      <w:bookmarkEnd w:id="1638"/>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3"/>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39"/>
      <w:bookmarkEnd w:id="1640"/>
      <w:bookmarkEnd w:id="164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3"/>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43"/>
      <w:bookmarkEnd w:id="1644"/>
      <w:bookmarkEnd w:id="164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bl>
    <w:p>
      <w:pPr>
        <w:spacing w:lineRule="exact" w:line="1"/>
        <w:rPr>
          <w:sz w:val="2"/>
          <w:szCs w:val="2"/>
        </w:rPr>
      </w:pPr>
      <w:r>
        <w:br w:type="page"/>
      </w:r>
    </w:p>
    <w:p>
      <w:pPr>
        <w:pStyle w:val="Style29"/>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90" w:line="240" w:lineRule="auto"/>
        <w:ind w:left="0" w:right="0" w:firstLine="0"/>
        <w:jc w:val="left"/>
      </w:pPr>
      <w:r>
        <w:rPr>
          <w:color w:val="000000"/>
          <w:spacing w:val="0"/>
          <w:w w:val="100"/>
          <w:position w:val="0"/>
        </w:rPr>
        <w:t>拆出</w:t>
      </w:r>
    </w:p>
    <w:p>
      <w:pPr>
        <w:pStyle w:val="Style33"/>
        <w:keepNext/>
        <w:keepLines/>
        <w:widowControl w:val="0"/>
        <w:shd w:val="clear" w:color="auto" w:fill="auto"/>
        <w:bidi w:val="0"/>
        <w:spacing w:before="0" w:after="360" w:line="240" w:lineRule="auto"/>
        <w:ind w:left="0" w:right="0" w:firstLine="14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w:t>
      </w:r>
      <w:bookmarkEnd w:id="164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47"/>
      <w:bookmarkEnd w:id="1648"/>
      <w:bookmarkEnd w:id="165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651"/>
      <w:bookmarkEnd w:id="1652"/>
      <w:bookmarkEnd w:id="1654"/>
    </w:p>
    <w:p>
      <w:pPr>
        <w:pStyle w:val="Style33"/>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color w:val="000000"/>
          <w:spacing w:val="0"/>
          <w:w w:val="100"/>
          <w:position w:val="0"/>
        </w:rPr>
        <w:t>、关联方应收应付款项</w:t>
      </w:r>
      <w:bookmarkEnd w:id="1651"/>
      <w:bookmarkEnd w:id="1652"/>
      <w:bookmarkEnd w:id="165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上市公司应付关联方款项</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57" w:name="bookmark1657"/>
      <w:bookmarkStart w:id="1658" w:name="bookmark1658"/>
      <w:bookmarkStart w:id="1659" w:name="bookmark1659"/>
      <w:r>
        <w:rPr>
          <w:color w:val="000000"/>
          <w:spacing w:val="0"/>
          <w:w w:val="100"/>
          <w:position w:val="0"/>
        </w:rPr>
        <w:t>十、股份支付</w:t>
      </w:r>
      <w:bookmarkEnd w:id="1657"/>
      <w:bookmarkEnd w:id="1658"/>
      <w:bookmarkEnd w:id="1659"/>
    </w:p>
    <w:p>
      <w:pPr>
        <w:pStyle w:val="Style33"/>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60"/>
      <w:bookmarkEnd w:id="1661"/>
      <w:bookmarkEnd w:id="166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限制性股票授予价格为</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股；期限为自授予日起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3"/>
        <w:keepNext/>
        <w:keepLines/>
        <w:widowControl w:val="0"/>
        <w:shd w:val="clear" w:color="auto" w:fill="auto"/>
        <w:bidi w:val="0"/>
        <w:spacing w:before="0" w:after="36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63"/>
      <w:bookmarkEnd w:id="1664"/>
      <w:bookmarkEnd w:id="166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按实际行权数量确定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3,002,292.42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3,002,292.42</w:t>
            </w:r>
          </w:p>
        </w:tc>
      </w:tr>
    </w:tbl>
    <w:p>
      <w:pPr>
        <w:pStyle w:val="Style36"/>
        <w:keepNext w:val="0"/>
        <w:keepLines w:val="0"/>
        <w:widowControl w:val="0"/>
        <w:shd w:val="clear" w:color="auto" w:fill="auto"/>
        <w:bidi w:val="0"/>
        <w:spacing w:before="0" w:after="0" w:line="240" w:lineRule="auto"/>
        <w:ind w:left="10" w:right="0" w:firstLine="0"/>
        <w:jc w:val="left"/>
        <w:rPr>
          <w:sz w:val="17"/>
          <w:szCs w:val="17"/>
        </w:rPr>
      </w:pPr>
      <w:r>
        <w:rPr>
          <w:color w:val="000000"/>
          <w:spacing w:val="0"/>
          <w:w w:val="100"/>
          <w:position w:val="0"/>
          <w:sz w:val="17"/>
          <w:szCs w:val="17"/>
        </w:rPr>
        <w:t>以权益结算的股份支付的说明</w:t>
      </w:r>
    </w:p>
    <w:p>
      <w:pPr>
        <w:pStyle w:val="Style40"/>
        <w:keepNext w:val="0"/>
        <w:keepLines w:val="0"/>
        <w:widowControl w:val="0"/>
        <w:shd w:val="clear" w:color="auto" w:fill="auto"/>
        <w:bidi w:val="0"/>
        <w:spacing w:before="0" w:after="0" w:line="475" w:lineRule="exact"/>
        <w:ind w:left="0" w:right="0" w:firstLine="420"/>
        <w:jc w:val="both"/>
      </w:pPr>
      <w:r>
        <w:rPr>
          <w:color w:val="000000"/>
          <w:spacing w:val="0"/>
          <w:w w:val="100"/>
          <w:position w:val="0"/>
        </w:rPr>
        <w:t>经本公司</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日审议，批准《上海天玑科技股份有限公司限 制性股票激励计划（草案修订稿）及其摘要》，本公司董事会获授权酌情授予本公司董事（不包括独立董 事）、高级管理人员，以及公司认定的核心业务（技术）人员共</w:t>
      </w:r>
      <w:r>
        <w:rPr>
          <w:rFonts w:ascii="Times New Roman" w:eastAsia="Times New Roman" w:hAnsi="Times New Roman" w:cs="Times New Roman"/>
          <w:color w:val="000000"/>
          <w:spacing w:val="0"/>
          <w:w w:val="100"/>
          <w:position w:val="0"/>
        </w:rPr>
        <w:t>90</w:t>
      </w:r>
      <w:r>
        <w:rPr>
          <w:color w:val="000000"/>
          <w:spacing w:val="0"/>
          <w:w w:val="100"/>
          <w:position w:val="0"/>
        </w:rPr>
        <w:t>人</w:t>
      </w:r>
      <w:r>
        <w:rPr>
          <w:rFonts w:ascii="Times New Roman" w:eastAsia="Times New Roman" w:hAnsi="Times New Roman" w:cs="Times New Roman"/>
          <w:color w:val="000000"/>
          <w:spacing w:val="0"/>
          <w:w w:val="100"/>
          <w:position w:val="0"/>
        </w:rPr>
        <w:t>660</w:t>
      </w:r>
      <w:r>
        <w:rPr>
          <w:color w:val="000000"/>
          <w:spacing w:val="0"/>
          <w:w w:val="100"/>
          <w:position w:val="0"/>
        </w:rPr>
        <w:t>万份限制性股票。</w:t>
      </w:r>
    </w:p>
    <w:p>
      <w:pPr>
        <w:pStyle w:val="Style40"/>
        <w:keepNext w:val="0"/>
        <w:keepLines w:val="0"/>
        <w:widowControl w:val="0"/>
        <w:shd w:val="clear" w:color="auto" w:fill="auto"/>
        <w:bidi w:val="0"/>
        <w:spacing w:before="0" w:after="0" w:line="475" w:lineRule="exact"/>
        <w:ind w:left="0" w:right="0" w:firstLine="420"/>
        <w:jc w:val="both"/>
      </w:pPr>
      <w:r>
        <w:rPr>
          <w:color w:val="000000"/>
          <w:spacing w:val="0"/>
          <w:w w:val="100"/>
          <w:position w:val="0"/>
        </w:rPr>
        <w:t>经本公司第二届董事会第九次（临时）会议于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日审议批准，同意取消</w:t>
      </w:r>
      <w:r>
        <w:rPr>
          <w:rFonts w:ascii="Times New Roman" w:eastAsia="Times New Roman" w:hAnsi="Times New Roman" w:cs="Times New Roman"/>
          <w:color w:val="000000"/>
          <w:spacing w:val="0"/>
          <w:w w:val="100"/>
          <w:position w:val="0"/>
        </w:rPr>
        <w:t>12</w:t>
      </w:r>
      <w:r>
        <w:rPr>
          <w:color w:val="000000"/>
          <w:spacing w:val="0"/>
          <w:w w:val="100"/>
          <w:position w:val="0"/>
        </w:rPr>
        <w:t>名限制性股票授 予人因资金原因自愿全部或部分放弃认购获授份额，同意暂缓</w:t>
      </w:r>
      <w:r>
        <w:rPr>
          <w:rFonts w:ascii="Times New Roman" w:eastAsia="Times New Roman" w:hAnsi="Times New Roman" w:cs="Times New Roman"/>
          <w:color w:val="000000"/>
          <w:spacing w:val="0"/>
          <w:w w:val="100"/>
          <w:position w:val="0"/>
        </w:rPr>
        <w:t>1</w:t>
      </w:r>
      <w:r>
        <w:rPr>
          <w:color w:val="000000"/>
          <w:spacing w:val="0"/>
          <w:w w:val="100"/>
          <w:position w:val="0"/>
        </w:rPr>
        <w:t>名限制性股票授予人认购获授份额。</w:t>
      </w:r>
    </w:p>
    <w:p>
      <w:pPr>
        <w:pStyle w:val="Style40"/>
        <w:keepNext w:val="0"/>
        <w:keepLines w:val="0"/>
        <w:widowControl w:val="0"/>
        <w:shd w:val="clear" w:color="auto" w:fill="auto"/>
        <w:bidi w:val="0"/>
        <w:spacing w:before="0" w:after="220" w:line="480" w:lineRule="exact"/>
        <w:ind w:left="0" w:right="0" w:firstLine="420"/>
        <w:jc w:val="both"/>
      </w:pPr>
      <w:r>
        <w:rPr>
          <w:color w:val="000000"/>
          <w:spacing w:val="0"/>
          <w:w w:val="100"/>
          <w:position w:val="0"/>
        </w:rPr>
        <w:t>经本公司第二届董事会第十二次（临时）会议决于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日审议批准，同意原暂缓的</w:t>
      </w:r>
      <w:r>
        <w:rPr>
          <w:rFonts w:ascii="Times New Roman" w:eastAsia="Times New Roman" w:hAnsi="Times New Roman" w:cs="Times New Roman"/>
          <w:color w:val="000000"/>
          <w:spacing w:val="0"/>
          <w:w w:val="100"/>
          <w:position w:val="0"/>
        </w:rPr>
        <w:t>1</w:t>
      </w:r>
      <w:r>
        <w:rPr>
          <w:color w:val="000000"/>
          <w:spacing w:val="0"/>
          <w:w w:val="100"/>
          <w:position w:val="0"/>
        </w:rPr>
        <w:t>名限制 性股票授予人获得认购获授份额。</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本年度，限制性股票最终授予及认购的情况为:</w:t>
      </w:r>
    </w:p>
    <w:tbl>
      <w:tblPr>
        <w:tblOverlap w:val="never"/>
        <w:jc w:val="left"/>
        <w:tblLayout w:type="fixed"/>
      </w:tblPr>
      <w:tblGrid>
        <w:gridCol w:w="1685"/>
        <w:gridCol w:w="1277"/>
        <w:gridCol w:w="2693"/>
        <w:gridCol w:w="1853"/>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限制性股票授予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授予价格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限制性股票激励计划激励对 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限制性股票数量</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533</w:t>
            </w:r>
            <w:r>
              <w:rPr>
                <w:color w:val="000000"/>
                <w:spacing w:val="0"/>
                <w:w w:val="100"/>
                <w:position w:val="0"/>
                <w:sz w:val="20"/>
                <w:szCs w:val="20"/>
              </w:rPr>
              <w:t>万份</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万份</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29"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w:t>
            </w:r>
            <w:r>
              <w:rPr>
                <w:color w:val="000000"/>
                <w:spacing w:val="0"/>
                <w:w w:val="100"/>
                <w:position w:val="0"/>
                <w:sz w:val="20"/>
                <w:szCs w:val="20"/>
              </w:rPr>
              <w:t>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553</w:t>
            </w:r>
            <w:r>
              <w:rPr>
                <w:color w:val="000000"/>
                <w:spacing w:val="0"/>
                <w:w w:val="100"/>
                <w:position w:val="0"/>
                <w:sz w:val="20"/>
                <w:szCs w:val="20"/>
              </w:rPr>
              <w:t>万份</w:t>
            </w:r>
          </w:p>
        </w:tc>
      </w:tr>
    </w:tbl>
    <w:p>
      <w:pPr>
        <w:pStyle w:val="Style4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公司授予激励对象的限制性股票自授予之日起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个月为锁定期；锁定期内，激励对象通过本计划持有 的限制性股票将被锁定不得转让、用于担保或偿还债务。锁定期后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个月为解锁期，在解锁期内，在满足 本激励计划规定的解锁条件时，激励对象可分三次申请标的股票解锁，分别自授予日起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 后、</w:t>
      </w:r>
      <w:r>
        <w:rPr>
          <w:rFonts w:ascii="Times New Roman" w:eastAsia="Times New Roman" w:hAnsi="Times New Roman" w:cs="Times New Roman"/>
          <w:color w:val="000000"/>
          <w:spacing w:val="0"/>
          <w:w w:val="100"/>
          <w:position w:val="0"/>
        </w:rPr>
        <w:t>36</w:t>
      </w:r>
      <w:r>
        <w:rPr>
          <w:color w:val="000000"/>
          <w:spacing w:val="0"/>
          <w:w w:val="100"/>
          <w:position w:val="0"/>
        </w:rPr>
        <w:t>个月后分别申请解锁所获授限制性股票总量的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4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公司本年已授予的权益工具数量为</w:t>
      </w:r>
      <w:r>
        <w:rPr>
          <w:rFonts w:ascii="Times New Roman" w:eastAsia="Times New Roman" w:hAnsi="Times New Roman" w:cs="Times New Roman"/>
          <w:color w:val="000000"/>
          <w:spacing w:val="0"/>
          <w:w w:val="100"/>
          <w:position w:val="0"/>
        </w:rPr>
        <w:t>5,530,000</w:t>
      </w:r>
      <w:r>
        <w:rPr>
          <w:color w:val="000000"/>
          <w:spacing w:val="0"/>
          <w:w w:val="100"/>
          <w:position w:val="0"/>
        </w:rPr>
        <w:t>股，截至本报告日因</w:t>
      </w:r>
      <w:r>
        <w:rPr>
          <w:rFonts w:ascii="Times New Roman" w:eastAsia="Times New Roman" w:hAnsi="Times New Roman" w:cs="Times New Roman"/>
          <w:color w:val="000000"/>
          <w:spacing w:val="0"/>
          <w:w w:val="100"/>
          <w:position w:val="0"/>
        </w:rPr>
        <w:t>3</w:t>
      </w:r>
      <w:r>
        <w:rPr>
          <w:color w:val="000000"/>
          <w:spacing w:val="0"/>
          <w:w w:val="100"/>
          <w:position w:val="0"/>
        </w:rPr>
        <w:t>名激励对象离职不符合激励条件， 获授的</w:t>
      </w:r>
      <w:r>
        <w:rPr>
          <w:rFonts w:ascii="Times New Roman" w:eastAsia="Times New Roman" w:hAnsi="Times New Roman" w:cs="Times New Roman"/>
          <w:color w:val="000000"/>
          <w:spacing w:val="0"/>
          <w:w w:val="100"/>
          <w:position w:val="0"/>
        </w:rPr>
        <w:t>135,000</w:t>
      </w:r>
      <w:r>
        <w:rPr>
          <w:color w:val="000000"/>
          <w:spacing w:val="0"/>
          <w:w w:val="100"/>
          <w:position w:val="0"/>
        </w:rPr>
        <w:t>股限制性股票失效。公司按授予日的公允价值确认本次激励的限制性股票总成本为</w:t>
      </w:r>
      <w:r>
        <w:rPr>
          <w:rFonts w:ascii="Times New Roman" w:eastAsia="Times New Roman" w:hAnsi="Times New Roman" w:cs="Times New Roman"/>
          <w:color w:val="000000"/>
          <w:spacing w:val="0"/>
          <w:w w:val="100"/>
          <w:position w:val="0"/>
        </w:rPr>
        <w:t xml:space="preserve">1,411.63 </w:t>
      </w:r>
      <w:r>
        <w:rPr>
          <w:color w:val="000000"/>
          <w:spacing w:val="0"/>
          <w:w w:val="100"/>
          <w:position w:val="0"/>
        </w:rPr>
        <w:t>万元，并将在激励计划实施期间内进行分摊，本年分摊的成本</w:t>
      </w:r>
      <w:r>
        <w:rPr>
          <w:rFonts w:ascii="Times New Roman" w:eastAsia="Times New Roman" w:hAnsi="Times New Roman" w:cs="Times New Roman"/>
          <w:color w:val="000000"/>
          <w:spacing w:val="0"/>
          <w:w w:val="100"/>
          <w:position w:val="0"/>
        </w:rPr>
        <w:t>300.23</w:t>
      </w:r>
      <w:r>
        <w:rPr>
          <w:color w:val="000000"/>
          <w:spacing w:val="0"/>
          <w:w w:val="100"/>
          <w:position w:val="0"/>
        </w:rPr>
        <w:t>万元已计入当年管理费用并作为经常 性损益列支，同时计入资本公积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p>
    <w:p>
      <w:pPr>
        <w:pStyle w:val="Style40"/>
        <w:keepNext w:val="0"/>
        <w:keepLines w:val="0"/>
        <w:widowControl w:val="0"/>
        <w:shd w:val="clear" w:color="auto" w:fill="auto"/>
        <w:bidi w:val="0"/>
        <w:spacing w:before="0" w:after="100" w:line="468" w:lineRule="exact"/>
        <w:ind w:left="0" w:right="0" w:firstLine="420"/>
        <w:jc w:val="both"/>
      </w:pPr>
      <w:r>
        <w:rPr>
          <w:color w:val="000000"/>
          <w:spacing w:val="0"/>
          <w:w w:val="100"/>
          <w:position w:val="0"/>
        </w:rPr>
        <w:t>截至本报告日，经公司于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日召开的第二届董事会第十三次临时会议审议通过《关于回购 注销已不符合激励条件的原激励对象已获授尚未解锁的限制性股票的议案》，同意对已不具备激励对象回 购注销已获授但未解锁的全部限制性股票</w:t>
      </w:r>
      <w:r>
        <w:rPr>
          <w:rFonts w:ascii="Times New Roman" w:eastAsia="Times New Roman" w:hAnsi="Times New Roman" w:cs="Times New Roman"/>
          <w:color w:val="000000"/>
          <w:spacing w:val="0"/>
          <w:w w:val="100"/>
          <w:position w:val="0"/>
        </w:rPr>
        <w:t>13.5</w:t>
      </w:r>
      <w:r>
        <w:rPr>
          <w:color w:val="000000"/>
          <w:spacing w:val="0"/>
          <w:w w:val="100"/>
          <w:position w:val="0"/>
        </w:rPr>
        <w:t>万股，回购价格为授予价格</w:t>
      </w:r>
      <w:r>
        <w:rPr>
          <w:rFonts w:ascii="Times New Roman" w:eastAsia="Times New Roman" w:hAnsi="Times New Roman" w:cs="Times New Roman"/>
          <w:color w:val="000000"/>
          <w:spacing w:val="0"/>
          <w:w w:val="100"/>
          <w:position w:val="0"/>
        </w:rPr>
        <w:t>4.81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股。本次回购注销完成后， 首次限制性股票激励计划的激励对象总人数将调整至</w:t>
      </w:r>
      <w:r>
        <w:rPr>
          <w:rFonts w:ascii="Times New Roman" w:eastAsia="Times New Roman" w:hAnsi="Times New Roman" w:cs="Times New Roman"/>
          <w:color w:val="000000"/>
          <w:spacing w:val="0"/>
          <w:w w:val="100"/>
          <w:position w:val="0"/>
        </w:rPr>
        <w:t>75</w:t>
      </w:r>
      <w:r>
        <w:rPr>
          <w:color w:val="000000"/>
          <w:spacing w:val="0"/>
          <w:w w:val="100"/>
          <w:position w:val="0"/>
        </w:rPr>
        <w:t>名，授予的限制性股票数量将调整为</w:t>
      </w:r>
      <w:r>
        <w:rPr>
          <w:rFonts w:ascii="Times New Roman" w:eastAsia="Times New Roman" w:hAnsi="Times New Roman" w:cs="Times New Roman"/>
          <w:color w:val="000000"/>
          <w:spacing w:val="0"/>
          <w:w w:val="100"/>
          <w:position w:val="0"/>
        </w:rPr>
        <w:t>539.5</w:t>
      </w:r>
      <w:r>
        <w:rPr>
          <w:color w:val="000000"/>
          <w:spacing w:val="0"/>
          <w:w w:val="100"/>
          <w:position w:val="0"/>
        </w:rPr>
        <w:t>万股。公 司总股本从</w:t>
      </w:r>
      <w:r>
        <w:rPr>
          <w:rFonts w:ascii="Times New Roman" w:eastAsia="Times New Roman" w:hAnsi="Times New Roman" w:cs="Times New Roman"/>
          <w:color w:val="000000"/>
          <w:spacing w:val="0"/>
          <w:w w:val="100"/>
          <w:position w:val="0"/>
        </w:rPr>
        <w:t>13,953</w:t>
      </w:r>
      <w:r>
        <w:rPr>
          <w:color w:val="000000"/>
          <w:spacing w:val="0"/>
          <w:w w:val="100"/>
          <w:position w:val="0"/>
        </w:rPr>
        <w:t>万股减至</w:t>
      </w:r>
      <w:r>
        <w:rPr>
          <w:rFonts w:ascii="Times New Roman" w:eastAsia="Times New Roman" w:hAnsi="Times New Roman" w:cs="Times New Roman"/>
          <w:color w:val="000000"/>
          <w:spacing w:val="0"/>
          <w:w w:val="100"/>
          <w:position w:val="0"/>
        </w:rPr>
        <w:t>13,939.5</w:t>
      </w:r>
      <w:r>
        <w:rPr>
          <w:color w:val="000000"/>
          <w:spacing w:val="0"/>
          <w:w w:val="100"/>
          <w:position w:val="0"/>
        </w:rPr>
        <w:t>万股。</w:t>
      </w:r>
    </w:p>
    <w:p>
      <w:pPr>
        <w:pStyle w:val="Style33"/>
        <w:keepNext/>
        <w:keepLines/>
        <w:widowControl w:val="0"/>
        <w:shd w:val="clear" w:color="auto" w:fill="auto"/>
        <w:bidi w:val="0"/>
        <w:spacing w:before="0" w:after="24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color w:val="000000"/>
          <w:spacing w:val="0"/>
          <w:w w:val="100"/>
          <w:position w:val="0"/>
        </w:rPr>
        <w:t>、以现金结算的股份支付情况</w:t>
      </w:r>
      <w:bookmarkEnd w:id="1666"/>
      <w:bookmarkEnd w:id="1667"/>
      <w:bookmarkEnd w:id="1669"/>
    </w:p>
    <w:p>
      <w:pPr>
        <w:pStyle w:val="Style29"/>
        <w:keepNext w:val="0"/>
        <w:keepLines w:val="0"/>
        <w:widowControl w:val="0"/>
        <w:shd w:val="clear" w:color="auto" w:fill="auto"/>
        <w:bidi w:val="0"/>
        <w:spacing w:before="0" w:after="0" w:line="350" w:lineRule="exact"/>
        <w:ind w:left="0" w:right="0" w:firstLine="8840"/>
        <w:jc w:val="both"/>
      </w:pPr>
      <w:r>
        <w:rPr>
          <w:color w:val="000000"/>
          <w:spacing w:val="0"/>
          <w:w w:val="100"/>
          <w:position w:val="0"/>
        </w:rPr>
        <w:t>单位：元 以现金结算的股份支付的说明</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color w:val="000000"/>
          <w:spacing w:val="0"/>
          <w:w w:val="100"/>
          <w:position w:val="0"/>
        </w:rPr>
        <w:t>、以股份支付服务情况</w:t>
      </w:r>
      <w:bookmarkEnd w:id="1670"/>
      <w:bookmarkEnd w:id="1671"/>
      <w:bookmarkEnd w:id="167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14,116,322.51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以股份支付换取的其他服务总额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color w:val="000000"/>
          <w:spacing w:val="0"/>
          <w:w w:val="100"/>
          <w:position w:val="0"/>
        </w:rPr>
        <w:t>、股份支付的修改、终止情况</w:t>
      </w:r>
      <w:bookmarkEnd w:id="1674"/>
      <w:bookmarkEnd w:id="1675"/>
      <w:bookmarkEnd w:id="167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不存在</w:t>
      </w:r>
    </w:p>
    <w:p>
      <w:pPr>
        <w:pStyle w:val="Style27"/>
        <w:keepNext/>
        <w:keepLines/>
        <w:widowControl w:val="0"/>
        <w:shd w:val="clear" w:color="auto" w:fill="auto"/>
        <w:bidi w:val="0"/>
        <w:spacing w:before="0" w:after="360" w:line="240" w:lineRule="auto"/>
        <w:ind w:left="0" w:right="0" w:firstLine="0"/>
        <w:jc w:val="left"/>
      </w:pPr>
      <w:bookmarkStart w:id="1678" w:name="bookmark1678"/>
      <w:bookmarkStart w:id="1679" w:name="bookmark1679"/>
      <w:bookmarkStart w:id="1680" w:name="bookmark1680"/>
      <w:r>
        <w:rPr>
          <w:color w:val="000000"/>
          <w:spacing w:val="0"/>
          <w:w w:val="100"/>
          <w:position w:val="0"/>
        </w:rPr>
        <w:t>十^一、或有事项</w:t>
      </w:r>
      <w:bookmarkEnd w:id="1678"/>
      <w:bookmarkEnd w:id="1679"/>
      <w:bookmarkEnd w:id="1680"/>
    </w:p>
    <w:p>
      <w:pPr>
        <w:pStyle w:val="Style33"/>
        <w:keepNext/>
        <w:keepLines/>
        <w:widowControl w:val="0"/>
        <w:shd w:val="clear" w:color="auto" w:fill="auto"/>
        <w:tabs>
          <w:tab w:pos="368" w:val="left"/>
        </w:tabs>
        <w:bidi w:val="0"/>
        <w:spacing w:before="0" w:after="36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bookmarkEnd w:id="1683"/>
      <w:r>
        <w:rPr>
          <w:color w:val="000000"/>
          <w:spacing w:val="0"/>
          <w:w w:val="100"/>
          <w:position w:val="0"/>
        </w:rPr>
        <w:t>、</w:t>
        <w:tab/>
        <w:t>未决诉讼或仲裁形成的或有负债及其财务影响</w:t>
      </w:r>
      <w:bookmarkEnd w:id="1681"/>
      <w:bookmarkEnd w:id="1682"/>
      <w:bookmarkEnd w:id="1684"/>
    </w:p>
    <w:p>
      <w:pPr>
        <w:pStyle w:val="Style33"/>
        <w:keepNext/>
        <w:keepLines/>
        <w:widowControl w:val="0"/>
        <w:shd w:val="clear" w:color="auto" w:fill="auto"/>
        <w:tabs>
          <w:tab w:pos="378" w:val="left"/>
        </w:tabs>
        <w:bidi w:val="0"/>
        <w:spacing w:before="0" w:after="360" w:line="240" w:lineRule="auto"/>
        <w:ind w:left="0" w:right="0" w:firstLine="0"/>
        <w:jc w:val="left"/>
      </w:pPr>
      <w:bookmarkStart w:id="1681" w:name="bookmark1681"/>
      <w:bookmarkStart w:id="1682" w:name="bookmark1682"/>
      <w:bookmarkStart w:id="1685" w:name="bookmark1685"/>
      <w:bookmarkStart w:id="1686" w:name="bookmark1686"/>
      <w:r>
        <w:rPr>
          <w:rFonts w:ascii="Times New Roman" w:eastAsia="Times New Roman" w:hAnsi="Times New Roman" w:cs="Times New Roman"/>
          <w:color w:val="000000"/>
          <w:spacing w:val="0"/>
          <w:w w:val="100"/>
          <w:position w:val="0"/>
        </w:rPr>
        <w:t>2</w:t>
      </w:r>
      <w:bookmarkEnd w:id="1685"/>
      <w:r>
        <w:rPr>
          <w:color w:val="000000"/>
          <w:spacing w:val="0"/>
          <w:w w:val="100"/>
          <w:position w:val="0"/>
        </w:rPr>
        <w:t>、</w:t>
        <w:tab/>
        <w:t>为其他单位提供债务担保形成的或有负债及其财务影响</w:t>
      </w:r>
      <w:bookmarkEnd w:id="1681"/>
      <w:bookmarkEnd w:id="1682"/>
      <w:bookmarkEnd w:id="168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7"/>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r>
        <w:rPr>
          <w:color w:val="000000"/>
          <w:spacing w:val="0"/>
          <w:w w:val="100"/>
          <w:position w:val="0"/>
        </w:rPr>
        <w:t>十二、承诺事项</w:t>
      </w:r>
      <w:bookmarkEnd w:id="1687"/>
      <w:bookmarkEnd w:id="1688"/>
      <w:bookmarkEnd w:id="1689"/>
    </w:p>
    <w:p>
      <w:pPr>
        <w:pStyle w:val="Style33"/>
        <w:keepNext/>
        <w:keepLines/>
        <w:widowControl w:val="0"/>
        <w:shd w:val="clear" w:color="auto" w:fill="auto"/>
        <w:tabs>
          <w:tab w:pos="368" w:val="left"/>
        </w:tabs>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1</w:t>
      </w:r>
      <w:bookmarkEnd w:id="1692"/>
      <w:r>
        <w:rPr>
          <w:color w:val="000000"/>
          <w:spacing w:val="0"/>
          <w:w w:val="100"/>
          <w:position w:val="0"/>
        </w:rPr>
        <w:t>、</w:t>
        <w:tab/>
        <w:t>重大承诺事项</w:t>
      </w:r>
      <w:bookmarkEnd w:id="1690"/>
      <w:bookmarkEnd w:id="1691"/>
      <w:bookmarkEnd w:id="1693"/>
    </w:p>
    <w:p>
      <w:pPr>
        <w:pStyle w:val="Style33"/>
        <w:keepNext/>
        <w:keepLines/>
        <w:widowControl w:val="0"/>
        <w:shd w:val="clear" w:color="auto" w:fill="auto"/>
        <w:tabs>
          <w:tab w:pos="378" w:val="left"/>
        </w:tabs>
        <w:bidi w:val="0"/>
        <w:spacing w:before="0" w:after="360" w:line="240" w:lineRule="auto"/>
        <w:ind w:left="0" w:right="0" w:firstLine="0"/>
        <w:jc w:val="left"/>
      </w:pPr>
      <w:bookmarkStart w:id="1690" w:name="bookmark1690"/>
      <w:bookmarkStart w:id="1691" w:name="bookmark1691"/>
      <w:bookmarkStart w:id="1694" w:name="bookmark1694"/>
      <w:bookmarkStart w:id="1695" w:name="bookmark1695"/>
      <w:r>
        <w:rPr>
          <w:rFonts w:ascii="Times New Roman" w:eastAsia="Times New Roman" w:hAnsi="Times New Roman" w:cs="Times New Roman"/>
          <w:color w:val="000000"/>
          <w:spacing w:val="0"/>
          <w:w w:val="100"/>
          <w:position w:val="0"/>
        </w:rPr>
        <w:t>2</w:t>
      </w:r>
      <w:bookmarkEnd w:id="1694"/>
      <w:r>
        <w:rPr>
          <w:color w:val="000000"/>
          <w:spacing w:val="0"/>
          <w:w w:val="100"/>
          <w:position w:val="0"/>
        </w:rPr>
        <w:t>、</w:t>
        <w:tab/>
        <w:t>前期承诺履行情况</w:t>
      </w:r>
      <w:bookmarkEnd w:id="1690"/>
      <w:bookmarkEnd w:id="1691"/>
      <w:bookmarkEnd w:id="1695"/>
    </w:p>
    <w:p>
      <w:pPr>
        <w:pStyle w:val="Style27"/>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r>
        <w:rPr>
          <w:color w:val="000000"/>
          <w:spacing w:val="0"/>
          <w:w w:val="100"/>
          <w:position w:val="0"/>
        </w:rPr>
        <w:t>十三、资产负债表日后事项</w:t>
      </w:r>
      <w:bookmarkEnd w:id="1696"/>
      <w:bookmarkEnd w:id="1697"/>
      <w:bookmarkEnd w:id="1698"/>
    </w:p>
    <w:p>
      <w:pPr>
        <w:pStyle w:val="Style33"/>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699"/>
      <w:bookmarkEnd w:id="1700"/>
      <w:bookmarkEnd w:id="170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702"/>
      <w:bookmarkEnd w:id="1703"/>
      <w:bookmarkEnd w:id="170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13,939,500.00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13,939,500.00</w:t>
            </w:r>
          </w:p>
        </w:tc>
      </w:tr>
    </w:tbl>
    <w:p>
      <w:pPr>
        <w:pStyle w:val="Style33"/>
        <w:keepNext/>
        <w:keepLines/>
        <w:widowControl w:val="0"/>
        <w:shd w:val="clear" w:color="auto" w:fill="auto"/>
        <w:bidi w:val="0"/>
        <w:spacing w:before="0" w:after="220" w:line="240" w:lineRule="auto"/>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3</w:t>
      </w:r>
      <w:bookmarkEnd w:id="1707"/>
      <w:r>
        <w:rPr>
          <w:color w:val="000000"/>
          <w:spacing w:val="0"/>
          <w:w w:val="100"/>
          <w:position w:val="0"/>
        </w:rPr>
        <w:t>、其他资产负债表日后事项说明</w:t>
      </w:r>
      <w:bookmarkEnd w:id="1705"/>
      <w:bookmarkEnd w:id="1706"/>
      <w:bookmarkEnd w:id="1708"/>
    </w:p>
    <w:p>
      <w:pPr>
        <w:pStyle w:val="Style40"/>
        <w:keepNext w:val="0"/>
        <w:keepLines w:val="0"/>
        <w:widowControl w:val="0"/>
        <w:shd w:val="clear" w:color="auto" w:fill="auto"/>
        <w:tabs>
          <w:tab w:pos="432" w:val="left"/>
        </w:tabs>
        <w:bidi w:val="0"/>
        <w:spacing w:before="0" w:after="0" w:line="469" w:lineRule="exact"/>
        <w:ind w:left="0" w:right="0" w:firstLine="0"/>
        <w:jc w:val="both"/>
      </w:pPr>
      <w:bookmarkStart w:id="1709" w:name="bookmark1709"/>
      <w:r>
        <w:rPr>
          <w:color w:val="000000"/>
          <w:spacing w:val="0"/>
          <w:w w:val="100"/>
          <w:position w:val="0"/>
        </w:rPr>
        <w:t>（</w:t>
      </w:r>
      <w:bookmarkEnd w:id="1709"/>
      <w:r>
        <w:rPr>
          <w:rFonts w:ascii="Times New Roman" w:eastAsia="Times New Roman" w:hAnsi="Times New Roman" w:cs="Times New Roman"/>
          <w:color w:val="000000"/>
          <w:spacing w:val="0"/>
          <w:w w:val="100"/>
          <w:position w:val="0"/>
        </w:rPr>
        <w:t>1</w:t>
      </w:r>
      <w:r>
        <w:rPr>
          <w:color w:val="000000"/>
          <w:spacing w:val="0"/>
          <w:w w:val="100"/>
          <w:position w:val="0"/>
        </w:rPr>
        <w:t>）</w:t>
        <w:tab/>
        <w:t>、利润分配方案</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日公司第二届董事会第十五次会议决议：拟以公司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w:t>
      </w:r>
      <w:r>
        <w:rPr>
          <w:color w:val="000000"/>
          <w:spacing w:val="0"/>
          <w:w w:val="100"/>
          <w:position w:val="0"/>
        </w:rPr>
        <w:t xml:space="preserve">总股本 </w:t>
      </w:r>
      <w:r>
        <w:rPr>
          <w:rFonts w:ascii="Times New Roman" w:eastAsia="Times New Roman" w:hAnsi="Times New Roman" w:cs="Times New Roman"/>
          <w:color w:val="000000"/>
          <w:spacing w:val="0"/>
          <w:w w:val="100"/>
          <w:position w:val="0"/>
        </w:rPr>
        <w:t>139,530,000</w:t>
      </w:r>
      <w:r>
        <w:rPr>
          <w:color w:val="000000"/>
          <w:spacing w:val="0"/>
          <w:w w:val="100"/>
          <w:position w:val="0"/>
        </w:rPr>
        <w:t>股本扣除经</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日召开的第二届董事会第十三次临时董事会审议通过的拟回购注销的 限制性股票</w:t>
      </w:r>
      <w:r>
        <w:rPr>
          <w:rFonts w:ascii="Times New Roman" w:eastAsia="Times New Roman" w:hAnsi="Times New Roman" w:cs="Times New Roman"/>
          <w:color w:val="000000"/>
          <w:spacing w:val="0"/>
          <w:w w:val="100"/>
          <w:position w:val="0"/>
        </w:rPr>
        <w:t>135,000</w:t>
      </w:r>
      <w:r>
        <w:rPr>
          <w:color w:val="000000"/>
          <w:spacing w:val="0"/>
          <w:w w:val="100"/>
          <w:position w:val="0"/>
        </w:rPr>
        <w:t>股后的股本</w:t>
      </w:r>
      <w:r>
        <w:rPr>
          <w:rFonts w:ascii="Times New Roman" w:eastAsia="Times New Roman" w:hAnsi="Times New Roman" w:cs="Times New Roman"/>
          <w:color w:val="000000"/>
          <w:spacing w:val="0"/>
          <w:w w:val="100"/>
          <w:position w:val="0"/>
        </w:rPr>
        <w:t>139,395,000</w:t>
      </w:r>
      <w:r>
        <w:rPr>
          <w:color w:val="000000"/>
          <w:spacing w:val="0"/>
          <w:w w:val="100"/>
          <w:position w:val="0"/>
        </w:rPr>
        <w:t>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 合计派发现金</w:t>
      </w:r>
      <w:r>
        <w:rPr>
          <w:rFonts w:ascii="Times New Roman" w:eastAsia="Times New Roman" w:hAnsi="Times New Roman" w:cs="Times New Roman"/>
          <w:color w:val="000000"/>
          <w:spacing w:val="0"/>
          <w:w w:val="100"/>
          <w:position w:val="0"/>
        </w:rPr>
        <w:t>13,939,500.00</w:t>
      </w:r>
      <w:r>
        <w:rPr>
          <w:color w:val="000000"/>
          <w:spacing w:val="0"/>
          <w:w w:val="100"/>
          <w:position w:val="0"/>
        </w:rPr>
        <w:t>元；同时进行资本公积金转增股本，以</w:t>
      </w:r>
      <w:r>
        <w:rPr>
          <w:rFonts w:ascii="Times New Roman" w:eastAsia="Times New Roman" w:hAnsi="Times New Roman" w:cs="Times New Roman"/>
          <w:color w:val="000000"/>
          <w:spacing w:val="0"/>
          <w:w w:val="100"/>
          <w:position w:val="0"/>
        </w:rPr>
        <w:t>139,395,000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3</w:t>
      </w:r>
      <w:r>
        <w:rPr>
          <w:color w:val="000000"/>
          <w:spacing w:val="0"/>
          <w:w w:val="100"/>
          <w:position w:val="0"/>
        </w:rPr>
        <w:t>股，共计转增</w:t>
      </w:r>
      <w:r>
        <w:rPr>
          <w:rFonts w:ascii="Times New Roman" w:eastAsia="Times New Roman" w:hAnsi="Times New Roman" w:cs="Times New Roman"/>
          <w:color w:val="000000"/>
          <w:spacing w:val="0"/>
          <w:w w:val="100"/>
          <w:position w:val="0"/>
        </w:rPr>
        <w:t>41,818,500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181,213,500</w:t>
      </w:r>
      <w:r>
        <w:rPr>
          <w:color w:val="000000"/>
          <w:spacing w:val="0"/>
          <w:w w:val="100"/>
          <w:position w:val="0"/>
        </w:rPr>
        <w:t>股。</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该议案尚需提交公司股东大会审议通过。剩余未分配利润结转至下年度。</w:t>
      </w:r>
    </w:p>
    <w:p>
      <w:pPr>
        <w:pStyle w:val="Style40"/>
        <w:keepNext w:val="0"/>
        <w:keepLines w:val="0"/>
        <w:widowControl w:val="0"/>
        <w:shd w:val="clear" w:color="auto" w:fill="auto"/>
        <w:tabs>
          <w:tab w:pos="432" w:val="left"/>
        </w:tabs>
        <w:bidi w:val="0"/>
        <w:spacing w:before="0" w:after="0" w:line="469" w:lineRule="exact"/>
        <w:ind w:left="0" w:right="0" w:firstLine="0"/>
        <w:jc w:val="both"/>
      </w:pPr>
      <w:bookmarkStart w:id="1710" w:name="bookmark1710"/>
      <w:r>
        <w:rPr>
          <w:color w:val="000000"/>
          <w:spacing w:val="0"/>
          <w:w w:val="100"/>
          <w:position w:val="0"/>
        </w:rPr>
        <w:t>（</w:t>
      </w:r>
      <w:bookmarkEnd w:id="1710"/>
      <w:r>
        <w:rPr>
          <w:rFonts w:ascii="Times New Roman" w:eastAsia="Times New Roman" w:hAnsi="Times New Roman" w:cs="Times New Roman"/>
          <w:color w:val="000000"/>
          <w:spacing w:val="0"/>
          <w:w w:val="100"/>
          <w:position w:val="0"/>
        </w:rPr>
        <w:t>2</w:t>
      </w:r>
      <w:r>
        <w:rPr>
          <w:color w:val="000000"/>
          <w:spacing w:val="0"/>
          <w:w w:val="100"/>
          <w:position w:val="0"/>
        </w:rPr>
        <w:t>）</w:t>
        <w:tab/>
        <w:t>、子公司注销情况</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日公司第二届董事会第五次会议决议：根据公司经营发展的需要，为了整合资源， 提高管理效率和运作效率，减少中间环节和节约资源，降低管理成本，公司拟决定清算并注销子公司上海 天玑信息技术服务有限公司，并授权公司管理层按照国家相关规定办理有关注销的手续。该子公司于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日取得《注销税务登记通知书》，于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日取得上海市工商行政管理局松江分局《准予注 销登记通知书》。</w:t>
      </w:r>
    </w:p>
    <w:p>
      <w:pPr>
        <w:pStyle w:val="Style40"/>
        <w:keepNext w:val="0"/>
        <w:keepLines w:val="0"/>
        <w:widowControl w:val="0"/>
        <w:shd w:val="clear" w:color="auto" w:fill="auto"/>
        <w:tabs>
          <w:tab w:pos="432" w:val="left"/>
        </w:tabs>
        <w:bidi w:val="0"/>
        <w:spacing w:before="0" w:after="0" w:line="469" w:lineRule="exact"/>
        <w:ind w:left="0" w:right="0" w:firstLine="0"/>
        <w:jc w:val="both"/>
      </w:pPr>
      <w:bookmarkStart w:id="1711" w:name="bookmark1711"/>
      <w:r>
        <w:rPr>
          <w:color w:val="000000"/>
          <w:spacing w:val="0"/>
          <w:w w:val="100"/>
          <w:position w:val="0"/>
        </w:rPr>
        <w:t>（</w:t>
      </w:r>
      <w:bookmarkEnd w:id="1711"/>
      <w:r>
        <w:rPr>
          <w:rFonts w:ascii="Times New Roman" w:eastAsia="Times New Roman" w:hAnsi="Times New Roman" w:cs="Times New Roman"/>
          <w:color w:val="000000"/>
          <w:spacing w:val="0"/>
          <w:w w:val="100"/>
          <w:position w:val="0"/>
        </w:rPr>
        <w:t>3</w:t>
      </w:r>
      <w:r>
        <w:rPr>
          <w:color w:val="000000"/>
          <w:spacing w:val="0"/>
          <w:w w:val="100"/>
          <w:position w:val="0"/>
        </w:rPr>
        <w:t>）</w:t>
        <w:tab/>
        <w:t>、土地使用权退回事项</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日召开的第二届董事会第十三次临时会议审议通过《终止</w:t>
      </w:r>
      <w:r>
        <w:rPr>
          <w:rFonts w:ascii="Times New Roman" w:eastAsia="Times New Roman" w:hAnsi="Times New Roman" w:cs="Times New Roman"/>
          <w:color w:val="000000"/>
          <w:spacing w:val="0"/>
          <w:w w:val="100"/>
          <w:position w:val="0"/>
        </w:rPr>
        <w:t>“</w:t>
      </w:r>
      <w:r>
        <w:rPr>
          <w:color w:val="000000"/>
          <w:spacing w:val="0"/>
          <w:w w:val="100"/>
          <w:position w:val="0"/>
        </w:rPr>
        <w:t>天玑科技青浦综合业务 大楼</w:t>
      </w:r>
      <w:r>
        <w:rPr>
          <w:color w:val="000000"/>
          <w:spacing w:val="0"/>
          <w:w w:val="100"/>
          <w:position w:val="0"/>
        </w:rPr>
        <w:t>''</w:t>
      </w:r>
      <w:r>
        <w:rPr>
          <w:color w:val="000000"/>
          <w:spacing w:val="0"/>
          <w:w w:val="100"/>
          <w:position w:val="0"/>
        </w:rPr>
        <w:t>建设项目并使用自有资金置换已投入超募资金的议案》及《关于拟退回土地使用权的议案》，同意 公司退回原使用超募资金人民币</w:t>
      </w:r>
      <w:r>
        <w:rPr>
          <w:rFonts w:ascii="Times New Roman" w:eastAsia="Times New Roman" w:hAnsi="Times New Roman" w:cs="Times New Roman"/>
          <w:color w:val="000000"/>
          <w:spacing w:val="0"/>
          <w:w w:val="100"/>
          <w:position w:val="0"/>
        </w:rPr>
        <w:t>880</w:t>
      </w:r>
      <w:r>
        <w:rPr>
          <w:color w:val="000000"/>
          <w:spacing w:val="0"/>
          <w:w w:val="100"/>
          <w:position w:val="0"/>
        </w:rPr>
        <w:t>万元向上海市青浦区政府申请购买位于上海市青浦区工业园区的工业 用地的土地使用权。上海市青浦工业园区发展（集团）有限公司按公司原购买价格</w:t>
      </w:r>
      <w:r>
        <w:rPr>
          <w:rFonts w:ascii="Times New Roman" w:eastAsia="Times New Roman" w:hAnsi="Times New Roman" w:cs="Times New Roman"/>
          <w:color w:val="000000"/>
          <w:spacing w:val="0"/>
          <w:w w:val="100"/>
          <w:position w:val="0"/>
        </w:rPr>
        <w:t>880</w:t>
      </w:r>
      <w:r>
        <w:rPr>
          <w:color w:val="000000"/>
          <w:spacing w:val="0"/>
          <w:w w:val="100"/>
          <w:position w:val="0"/>
        </w:rPr>
        <w:t>万元回购，退回后 的款项将划拨至募集资金账户统一管理。本议案已经董事会审议通过，双方将签署《土地回购协议》，共 同办理土地使用权的转让手续。</w:t>
      </w:r>
    </w:p>
    <w:p>
      <w:pPr>
        <w:pStyle w:val="Style40"/>
        <w:keepNext w:val="0"/>
        <w:keepLines w:val="0"/>
        <w:widowControl w:val="0"/>
        <w:shd w:val="clear" w:color="auto" w:fill="auto"/>
        <w:tabs>
          <w:tab w:pos="432" w:val="left"/>
        </w:tabs>
        <w:bidi w:val="0"/>
        <w:spacing w:before="0" w:after="0" w:line="469" w:lineRule="exact"/>
        <w:ind w:left="0" w:right="0" w:firstLine="0"/>
        <w:jc w:val="both"/>
      </w:pPr>
      <w:bookmarkStart w:id="1712" w:name="bookmark1712"/>
      <w:r>
        <w:rPr>
          <w:color w:val="000000"/>
          <w:spacing w:val="0"/>
          <w:w w:val="100"/>
          <w:position w:val="0"/>
        </w:rPr>
        <w:t>（</w:t>
      </w:r>
      <w:bookmarkEnd w:id="1712"/>
      <w:r>
        <w:rPr>
          <w:rFonts w:ascii="Times New Roman" w:eastAsia="Times New Roman" w:hAnsi="Times New Roman" w:cs="Times New Roman"/>
          <w:color w:val="000000"/>
          <w:spacing w:val="0"/>
          <w:w w:val="100"/>
          <w:position w:val="0"/>
        </w:rPr>
        <w:t>4</w:t>
      </w:r>
      <w:r>
        <w:rPr>
          <w:color w:val="000000"/>
          <w:spacing w:val="0"/>
          <w:w w:val="100"/>
          <w:position w:val="0"/>
        </w:rPr>
        <w:t>）</w:t>
        <w:tab/>
        <w:t>、拟以超募资金设立公司事项</w:t>
      </w:r>
    </w:p>
    <w:p>
      <w:pPr>
        <w:pStyle w:val="Style40"/>
        <w:keepNext w:val="0"/>
        <w:keepLines w:val="0"/>
        <w:widowControl w:val="0"/>
        <w:shd w:val="clear" w:color="auto" w:fill="auto"/>
        <w:bidi w:val="0"/>
        <w:spacing w:before="0" w:after="100" w:line="469" w:lineRule="exact"/>
        <w:ind w:left="0" w:right="0" w:firstLine="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日召开的第二届董事会第十四次临时会议审议通过《关于使用超募资金投资设立 合资公司的议案》，拟与上海天莺投资管理中心（有限合伙）、自然人许文共同投资人民币</w:t>
      </w:r>
      <w:r>
        <w:rPr>
          <w:rFonts w:ascii="Times New Roman" w:eastAsia="Times New Roman" w:hAnsi="Times New Roman" w:cs="Times New Roman"/>
          <w:color w:val="000000"/>
          <w:spacing w:val="0"/>
          <w:w w:val="100"/>
          <w:position w:val="0"/>
        </w:rPr>
        <w:t>2,000</w:t>
      </w:r>
      <w:r>
        <w:rPr>
          <w:color w:val="000000"/>
          <w:spacing w:val="0"/>
          <w:w w:val="100"/>
          <w:position w:val="0"/>
        </w:rPr>
        <w:t>万元设立 合资公司拟开展面向下一代云计算和大数据相关技术的产品研发、销售与服务。其中本公司以超募资金出 资</w:t>
      </w:r>
      <w:r>
        <w:rPr>
          <w:rFonts w:ascii="Times New Roman" w:eastAsia="Times New Roman" w:hAnsi="Times New Roman" w:cs="Times New Roman"/>
          <w:color w:val="000000"/>
          <w:spacing w:val="0"/>
          <w:w w:val="100"/>
          <w:position w:val="0"/>
        </w:rPr>
        <w:t>1,300</w:t>
      </w:r>
      <w:r>
        <w:rPr>
          <w:color w:val="000000"/>
          <w:spacing w:val="0"/>
          <w:w w:val="100"/>
          <w:position w:val="0"/>
        </w:rPr>
        <w:t>万元，占出资比例的</w:t>
      </w:r>
      <w:r>
        <w:rPr>
          <w:rFonts w:ascii="Times New Roman" w:eastAsia="Times New Roman" w:hAnsi="Times New Roman" w:cs="Times New Roman"/>
          <w:color w:val="000000"/>
          <w:spacing w:val="0"/>
          <w:w w:val="100"/>
          <w:position w:val="0"/>
        </w:rPr>
        <w:t>65%</w:t>
      </w:r>
      <w:r>
        <w:rPr>
          <w:color w:val="000000"/>
          <w:spacing w:val="0"/>
          <w:w w:val="100"/>
          <w:position w:val="0"/>
        </w:rPr>
        <w:t>，上海天莺投资管理中心（有限合伙）以现金出资</w:t>
      </w:r>
      <w:r>
        <w:rPr>
          <w:rFonts w:ascii="Times New Roman" w:eastAsia="Times New Roman" w:hAnsi="Times New Roman" w:cs="Times New Roman"/>
          <w:color w:val="000000"/>
          <w:spacing w:val="0"/>
          <w:w w:val="100"/>
          <w:position w:val="0"/>
        </w:rPr>
        <w:t>600</w:t>
      </w:r>
      <w:r>
        <w:rPr>
          <w:color w:val="000000"/>
          <w:spacing w:val="0"/>
          <w:w w:val="100"/>
          <w:position w:val="0"/>
        </w:rPr>
        <w:t>万元，占出资比例 的</w:t>
      </w:r>
      <w:r>
        <w:rPr>
          <w:rFonts w:ascii="Times New Roman" w:eastAsia="Times New Roman" w:hAnsi="Times New Roman" w:cs="Times New Roman"/>
          <w:color w:val="000000"/>
          <w:spacing w:val="0"/>
          <w:w w:val="100"/>
          <w:position w:val="0"/>
        </w:rPr>
        <w:t>30%</w:t>
      </w:r>
      <w:r>
        <w:rPr>
          <w:color w:val="000000"/>
          <w:spacing w:val="0"/>
          <w:w w:val="100"/>
          <w:position w:val="0"/>
        </w:rPr>
        <w:t>，许文以现金出资</w:t>
      </w:r>
      <w:r>
        <w:rPr>
          <w:rFonts w:ascii="Times New Roman" w:eastAsia="Times New Roman" w:hAnsi="Times New Roman" w:cs="Times New Roman"/>
          <w:color w:val="000000"/>
          <w:spacing w:val="0"/>
          <w:w w:val="100"/>
          <w:position w:val="0"/>
        </w:rPr>
        <w:t>10 0</w:t>
      </w:r>
      <w:r>
        <w:rPr>
          <w:color w:val="000000"/>
          <w:spacing w:val="0"/>
          <w:w w:val="100"/>
          <w:position w:val="0"/>
        </w:rPr>
        <w:t>万元，占出资比例的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left"/>
      </w:pPr>
      <w:bookmarkStart w:id="1713" w:name="bookmark1713"/>
      <w:bookmarkStart w:id="1714" w:name="bookmark1714"/>
      <w:bookmarkStart w:id="1715" w:name="bookmark1715"/>
      <w:r>
        <w:rPr>
          <w:color w:val="000000"/>
          <w:spacing w:val="0"/>
          <w:w w:val="100"/>
          <w:position w:val="0"/>
        </w:rPr>
        <w:t>十四、其他重要事项</w:t>
      </w:r>
      <w:bookmarkEnd w:id="1713"/>
      <w:bookmarkEnd w:id="1714"/>
      <w:bookmarkEnd w:id="1715"/>
    </w:p>
    <w:p>
      <w:pPr>
        <w:pStyle w:val="Style40"/>
        <w:keepNext w:val="0"/>
        <w:keepLines w:val="0"/>
        <w:widowControl w:val="0"/>
        <w:shd w:val="clear" w:color="auto" w:fill="auto"/>
        <w:tabs>
          <w:tab w:pos="368" w:val="left"/>
        </w:tabs>
        <w:bidi w:val="0"/>
        <w:spacing w:before="0" w:after="360" w:line="240" w:lineRule="auto"/>
        <w:ind w:left="0" w:right="0" w:firstLine="0"/>
        <w:jc w:val="left"/>
      </w:pPr>
      <w:bookmarkStart w:id="1716" w:name="bookmark1716"/>
      <w:r>
        <w:rPr>
          <w:rFonts w:ascii="Times New Roman" w:eastAsia="Times New Roman" w:hAnsi="Times New Roman" w:cs="Times New Roman"/>
          <w:b/>
          <w:bCs/>
          <w:color w:val="000000"/>
          <w:spacing w:val="0"/>
          <w:w w:val="100"/>
          <w:position w:val="0"/>
        </w:rPr>
        <w:t>1</w:t>
      </w:r>
      <w:bookmarkEnd w:id="1716"/>
      <w:r>
        <w:rPr>
          <w:b/>
          <w:bCs/>
          <w:color w:val="000000"/>
          <w:spacing w:val="0"/>
          <w:w w:val="100"/>
          <w:position w:val="0"/>
        </w:rPr>
        <w:t>、</w:t>
        <w:tab/>
        <w:t>非货币性资产交换</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717" w:name="bookmark1717"/>
      <w:r>
        <w:rPr>
          <w:rFonts w:ascii="Times New Roman" w:eastAsia="Times New Roman" w:hAnsi="Times New Roman" w:cs="Times New Roman"/>
          <w:b/>
          <w:bCs/>
          <w:color w:val="000000"/>
          <w:spacing w:val="0"/>
          <w:w w:val="100"/>
          <w:position w:val="0"/>
        </w:rPr>
        <w:t>2</w:t>
      </w:r>
      <w:bookmarkEnd w:id="1717"/>
      <w:r>
        <w:rPr>
          <w:b/>
          <w:bCs/>
          <w:color w:val="000000"/>
          <w:spacing w:val="0"/>
          <w:w w:val="100"/>
          <w:position w:val="0"/>
        </w:rPr>
        <w:t>、</w:t>
        <w:tab/>
        <w:t>债务重组</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718" w:name="bookmark1718"/>
      <w:r>
        <w:rPr>
          <w:rFonts w:ascii="Times New Roman" w:eastAsia="Times New Roman" w:hAnsi="Times New Roman" w:cs="Times New Roman"/>
          <w:b/>
          <w:bCs/>
          <w:color w:val="000000"/>
          <w:spacing w:val="0"/>
          <w:w w:val="100"/>
          <w:position w:val="0"/>
        </w:rPr>
        <w:t>3</w:t>
      </w:r>
      <w:bookmarkEnd w:id="1718"/>
      <w:r>
        <w:rPr>
          <w:b/>
          <w:bCs/>
          <w:color w:val="000000"/>
          <w:spacing w:val="0"/>
          <w:w w:val="100"/>
          <w:position w:val="0"/>
        </w:rPr>
        <w:t>、</w:t>
        <w:tab/>
        <w:t>企业合并</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719" w:name="bookmark1719"/>
      <w:r>
        <w:rPr>
          <w:rFonts w:ascii="Times New Roman" w:eastAsia="Times New Roman" w:hAnsi="Times New Roman" w:cs="Times New Roman"/>
          <w:b/>
          <w:bCs/>
          <w:color w:val="000000"/>
          <w:spacing w:val="0"/>
          <w:w w:val="100"/>
          <w:position w:val="0"/>
        </w:rPr>
        <w:t>4</w:t>
      </w:r>
      <w:bookmarkEnd w:id="1719"/>
      <w:r>
        <w:rPr>
          <w:b/>
          <w:bCs/>
          <w:color w:val="000000"/>
          <w:spacing w:val="0"/>
          <w:w w:val="100"/>
          <w:position w:val="0"/>
        </w:rPr>
        <w:t>、</w:t>
        <w:tab/>
        <w:t>租赁</w:t>
      </w:r>
    </w:p>
    <w:p>
      <w:pPr>
        <w:pStyle w:val="Style40"/>
        <w:keepNext w:val="0"/>
        <w:keepLines w:val="0"/>
        <w:widowControl w:val="0"/>
        <w:shd w:val="clear" w:color="auto" w:fill="auto"/>
        <w:bidi w:val="0"/>
        <w:spacing w:before="0" w:after="40" w:line="240" w:lineRule="auto"/>
        <w:ind w:left="0" w:right="0" w:firstLine="4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经营租赁</w:t>
      </w:r>
    </w:p>
    <w:p>
      <w:pPr>
        <w:pStyle w:val="Style36"/>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、本公司租出资产情况</w:t>
      </w:r>
    </w:p>
    <w:tbl>
      <w:tblPr>
        <w:tblOverlap w:val="never"/>
        <w:jc w:val="center"/>
        <w:tblLayout w:type="fixed"/>
      </w:tblPr>
      <w:tblGrid>
        <w:gridCol w:w="3072"/>
        <w:gridCol w:w="2251"/>
        <w:gridCol w:w="231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经营租赁租出资产类别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年初账面价值</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23,294,740.20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24,749,625.14</w:t>
            </w:r>
          </w:p>
        </w:tc>
      </w:tr>
    </w:tbl>
    <w:p>
      <w:pPr>
        <w:widowControl w:val="0"/>
        <w:spacing w:after="35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10" w:right="0" w:firstLine="0"/>
        <w:jc w:val="left"/>
      </w:pPr>
      <w:r>
        <w:rPr>
          <w:rFonts w:ascii="Century Gothic" w:eastAsia="Century Gothic" w:hAnsi="Century Gothic" w:cs="Century Gothic"/>
          <w:color w:val="000000"/>
          <w:spacing w:val="0"/>
          <w:w w:val="100"/>
          <w:position w:val="0"/>
        </w:rPr>
        <w:t>1.</w:t>
      </w:r>
      <w:r>
        <w:rPr>
          <w:b/>
          <w:bCs/>
          <w:color w:val="000000"/>
          <w:spacing w:val="0"/>
          <w:w w:val="100"/>
          <w:position w:val="0"/>
        </w:rPr>
        <w:t>本公司租入资产情况</w:t>
      </w:r>
    </w:p>
    <w:tbl>
      <w:tblPr>
        <w:tblOverlap w:val="never"/>
        <w:jc w:val="center"/>
        <w:tblLayout w:type="fixed"/>
      </w:tblPr>
      <w:tblGrid>
        <w:gridCol w:w="2846"/>
        <w:gridCol w:w="2477"/>
        <w:gridCol w:w="2381"/>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经营租赁租入资产类别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本年度实际支付的 租赁费用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未来一年内需支付的 租赁费用</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各地办事处及仓库等租赁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3,588,625.28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3,827,473.09</w:t>
            </w:r>
          </w:p>
        </w:tc>
      </w:tr>
    </w:tbl>
    <w:p>
      <w:pPr>
        <w:widowControl w:val="0"/>
        <w:spacing w:after="359" w:line="1" w:lineRule="exact"/>
      </w:pPr>
    </w:p>
    <w:p>
      <w:pPr>
        <w:pStyle w:val="Style40"/>
        <w:keepNext w:val="0"/>
        <w:keepLines w:val="0"/>
        <w:widowControl w:val="0"/>
        <w:shd w:val="clear" w:color="auto" w:fill="auto"/>
        <w:bidi w:val="0"/>
        <w:spacing w:before="0" w:after="40" w:line="240" w:lineRule="auto"/>
        <w:ind w:left="0" w:right="0" w:firstLine="4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二）房屋产权办理</w:t>
      </w:r>
    </w:p>
    <w:p>
      <w:pPr>
        <w:pStyle w:val="Style40"/>
        <w:keepNext w:val="0"/>
        <w:keepLines w:val="0"/>
        <w:widowControl w:val="0"/>
        <w:shd w:val="clear" w:color="auto" w:fill="auto"/>
        <w:bidi w:val="0"/>
        <w:spacing w:before="0" w:after="360" w:line="240" w:lineRule="auto"/>
        <w:ind w:left="0" w:right="0" w:firstLine="720"/>
        <w:jc w:val="left"/>
      </w:pPr>
      <w:r>
        <w:rPr>
          <w:b/>
          <w:bCs/>
          <w:color w:val="000000"/>
          <w:spacing w:val="0"/>
          <w:w w:val="100"/>
          <w:position w:val="0"/>
        </w:rPr>
        <w:t>公司购入的北京及重庆的办公用房已交付并使用，但相关房产权证尚在办理中。</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720" w:name="bookmark1720"/>
      <w:r>
        <w:rPr>
          <w:rFonts w:ascii="Times New Roman" w:eastAsia="Times New Roman" w:hAnsi="Times New Roman" w:cs="Times New Roman"/>
          <w:b/>
          <w:bCs/>
          <w:color w:val="000000"/>
          <w:spacing w:val="0"/>
          <w:w w:val="100"/>
          <w:position w:val="0"/>
        </w:rPr>
        <w:t>5</w:t>
      </w:r>
      <w:bookmarkEnd w:id="1720"/>
      <w:r>
        <w:rPr>
          <w:b/>
          <w:bCs/>
          <w:color w:val="000000"/>
          <w:spacing w:val="0"/>
          <w:w w:val="100"/>
          <w:position w:val="0"/>
        </w:rPr>
        <w:t>、</w:t>
        <w:tab/>
        <w:t>期末发行在外的、可转换为股份的金融工具</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721" w:name="bookmark1721"/>
      <w:r>
        <w:rPr>
          <w:rFonts w:ascii="Times New Roman" w:eastAsia="Times New Roman" w:hAnsi="Times New Roman" w:cs="Times New Roman"/>
          <w:b/>
          <w:bCs/>
          <w:color w:val="000000"/>
          <w:spacing w:val="0"/>
          <w:w w:val="100"/>
          <w:position w:val="0"/>
        </w:rPr>
        <w:t>6</w:t>
      </w:r>
      <w:bookmarkEnd w:id="1721"/>
      <w:r>
        <w:rPr>
          <w:b/>
          <w:bCs/>
          <w:color w:val="000000"/>
          <w:spacing w:val="0"/>
          <w:w w:val="100"/>
          <w:position w:val="0"/>
        </w:rPr>
        <w:t>、</w:t>
        <w:tab/>
        <w:t>以公允价值计量的资产和负债</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68"/>
        <w:gridCol w:w="1522"/>
        <w:gridCol w:w="1522"/>
        <w:gridCol w:w="1522"/>
        <w:gridCol w:w="1522"/>
        <w:gridCol w:w="153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w:t>
      </w:r>
      <w:r>
        <w:rPr>
          <w:b/>
          <w:bCs/>
          <w:color w:val="000000"/>
          <w:spacing w:val="0"/>
          <w:w w:val="100"/>
          <w:position w:val="0"/>
        </w:rPr>
        <w:t>、外币金融资产和外币金融负债</w:t>
      </w:r>
    </w:p>
    <w:p>
      <w:pPr>
        <w:widowControl w:val="0"/>
        <w:spacing w:after="35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87"/>
        <w:gridCol w:w="1522"/>
        <w:gridCol w:w="1517"/>
        <w:gridCol w:w="1517"/>
        <w:gridCol w:w="1517"/>
        <w:gridCol w:w="152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3"/>
        <w:keepNext/>
        <w:keepLines/>
        <w:widowControl w:val="0"/>
        <w:shd w:val="clear" w:color="auto" w:fill="auto"/>
        <w:tabs>
          <w:tab w:pos="378" w:val="left"/>
        </w:tabs>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8</w:t>
      </w:r>
      <w:bookmarkEnd w:id="1724"/>
      <w:r>
        <w:rPr>
          <w:color w:val="000000"/>
          <w:spacing w:val="0"/>
          <w:w w:val="100"/>
          <w:position w:val="0"/>
        </w:rPr>
        <w:t>、</w:t>
        <w:tab/>
        <w:t>年金计划主要内容及重大变化</w:t>
      </w:r>
      <w:bookmarkEnd w:id="1722"/>
      <w:bookmarkEnd w:id="1723"/>
      <w:bookmarkEnd w:id="1725"/>
    </w:p>
    <w:p>
      <w:pPr>
        <w:pStyle w:val="Style33"/>
        <w:keepNext/>
        <w:keepLines/>
        <w:widowControl w:val="0"/>
        <w:shd w:val="clear" w:color="auto" w:fill="auto"/>
        <w:tabs>
          <w:tab w:pos="378" w:val="left"/>
        </w:tabs>
        <w:bidi w:val="0"/>
        <w:spacing w:before="0" w:after="360" w:line="240" w:lineRule="auto"/>
        <w:ind w:left="0" w:right="0" w:firstLine="0"/>
        <w:jc w:val="left"/>
      </w:pPr>
      <w:bookmarkStart w:id="1722" w:name="bookmark1722"/>
      <w:bookmarkStart w:id="1723" w:name="bookmark1723"/>
      <w:bookmarkStart w:id="1726" w:name="bookmark1726"/>
      <w:bookmarkStart w:id="1727" w:name="bookmark1727"/>
      <w:r>
        <w:rPr>
          <w:rFonts w:ascii="Times New Roman" w:eastAsia="Times New Roman" w:hAnsi="Times New Roman" w:cs="Times New Roman"/>
          <w:color w:val="000000"/>
          <w:spacing w:val="0"/>
          <w:w w:val="100"/>
          <w:position w:val="0"/>
        </w:rPr>
        <w:t>9</w:t>
      </w:r>
      <w:bookmarkEnd w:id="1726"/>
      <w:r>
        <w:rPr>
          <w:color w:val="000000"/>
          <w:spacing w:val="0"/>
          <w:w w:val="100"/>
          <w:position w:val="0"/>
        </w:rPr>
        <w:t>、</w:t>
        <w:tab/>
        <w:t>其他</w:t>
      </w:r>
      <w:bookmarkEnd w:id="1722"/>
      <w:bookmarkEnd w:id="1723"/>
      <w:bookmarkEnd w:id="1727"/>
    </w:p>
    <w:p>
      <w:pPr>
        <w:pStyle w:val="Style27"/>
        <w:keepNext/>
        <w:keepLines/>
        <w:widowControl w:val="0"/>
        <w:shd w:val="clear" w:color="auto" w:fill="auto"/>
        <w:bidi w:val="0"/>
        <w:spacing w:before="0" w:after="360" w:line="240" w:lineRule="auto"/>
        <w:ind w:left="0" w:right="0" w:firstLine="0"/>
        <w:jc w:val="left"/>
      </w:pPr>
      <w:bookmarkStart w:id="1728" w:name="bookmark1728"/>
      <w:bookmarkStart w:id="1729" w:name="bookmark1729"/>
      <w:bookmarkStart w:id="1730" w:name="bookmark1730"/>
      <w:r>
        <w:rPr>
          <w:color w:val="000000"/>
          <w:spacing w:val="0"/>
          <w:w w:val="100"/>
          <w:position w:val="0"/>
        </w:rPr>
        <w:t>十五、母公司财务报表主要项目注释</w:t>
      </w:r>
      <w:bookmarkEnd w:id="1728"/>
      <w:bookmarkEnd w:id="1729"/>
      <w:bookmarkEnd w:id="1730"/>
    </w:p>
    <w:p>
      <w:pPr>
        <w:pStyle w:val="Style33"/>
        <w:keepNext/>
        <w:keepLines/>
        <w:widowControl w:val="0"/>
        <w:shd w:val="clear" w:color="auto" w:fill="auto"/>
        <w:bidi w:val="0"/>
        <w:spacing w:before="0" w:after="360" w:line="240" w:lineRule="auto"/>
        <w:ind w:left="0" w:right="0" w:firstLine="0"/>
        <w:jc w:val="left"/>
      </w:pPr>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31"/>
      <w:bookmarkEnd w:id="1732"/>
      <w:bookmarkEnd w:id="1733"/>
    </w:p>
    <w:p>
      <w:pPr>
        <w:pStyle w:val="Style33"/>
        <w:keepNext/>
        <w:keepLines/>
        <w:widowControl w:val="0"/>
        <w:shd w:val="clear" w:color="auto" w:fill="auto"/>
        <w:bidi w:val="0"/>
        <w:spacing w:before="0" w:after="360" w:line="240" w:lineRule="auto"/>
        <w:ind w:left="0" w:right="0" w:firstLine="0"/>
        <w:jc w:val="left"/>
      </w:pPr>
      <w:bookmarkStart w:id="1731" w:name="bookmark1731"/>
      <w:bookmarkStart w:id="1732" w:name="bookmark1732"/>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31"/>
      <w:bookmarkEnd w:id="1732"/>
      <w:bookmarkEnd w:id="173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102,385,348.18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2,909,052.67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75,977,697.42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1,338,916.74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102,385,348.18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2,909,052.67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75,977,697.42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1,338,916.74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102,385,348.18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2,909,052.67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75,977,697.42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1,338,916.74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54,818,100.78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53,232,083.12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 以内(含</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39,787,361.25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1,989,368.06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20,299,429.72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1,014,971.48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6,596,446.27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659,644.63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2,071,412.58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207,141.26</w:t>
            </w:r>
          </w:p>
        </w:tc>
      </w:tr>
    </w:tbl>
    <w:p>
      <w:pPr>
        <w:widowControl w:val="0"/>
        <w:spacing w:line="1" w:lineRule="exact"/>
      </w:pPr>
      <w:r>
        <w:br w:type="page"/>
      </w:r>
    </w:p>
    <w:tbl>
      <w:tblPr>
        <w:tblOverlap w:val="never"/>
        <w:jc w:val="center"/>
        <w:tblLayout w:type="fixed"/>
      </w:tblPr>
      <w:tblGrid>
        <w:gridCol w:w="1075"/>
        <w:gridCol w:w="1992"/>
        <w:gridCol w:w="662"/>
        <w:gridCol w:w="1464"/>
        <w:gridCol w:w="2126"/>
        <w:gridCol w:w="662"/>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52,388.00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48,416.00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102,385,348.18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2,909,052.67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75,977,697.42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1,338,916.74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35"/>
      <w:bookmarkEnd w:id="1736"/>
      <w:bookmarkEnd w:id="173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51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单项金额不重大但按信用风险特征组合后该组合的风险较大的应收账款的说明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w:t>
      </w:r>
      <w:bookmarkEnd w:id="1740"/>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738"/>
      <w:bookmarkEnd w:id="1739"/>
      <w:bookmarkEnd w:id="174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3"/>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42"/>
      <w:bookmarkEnd w:id="1743"/>
      <w:bookmarkEnd w:id="174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pacing w:lineRule="exact" w:line="1"/>
        <w:rPr>
          <w:sz w:val="2"/>
          <w:szCs w:val="2"/>
        </w:rPr>
      </w:pPr>
      <w:r>
        <w:br w:type="page"/>
      </w:r>
    </w:p>
    <w:p>
      <w:pPr>
        <w:pStyle w:val="Style33"/>
        <w:keepNext/>
        <w:keepLines/>
        <w:widowControl w:val="0"/>
        <w:numPr>
          <w:ilvl w:val="0"/>
          <w:numId w:val="55"/>
        </w:numPr>
        <w:shd w:val="clear" w:color="auto" w:fill="auto"/>
        <w:tabs>
          <w:tab w:pos="633" w:val="left"/>
        </w:tabs>
        <w:bidi w:val="0"/>
        <w:spacing w:before="0" w:after="360" w:line="240" w:lineRule="auto"/>
        <w:ind w:left="0" w:right="0" w:firstLine="14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金额较大的其他的应收账款的性质或内容</w:t>
      </w:r>
      <w:bookmarkEnd w:id="1746"/>
      <w:bookmarkEnd w:id="1747"/>
      <w:bookmarkEnd w:id="1749"/>
    </w:p>
    <w:p>
      <w:pPr>
        <w:pStyle w:val="Style33"/>
        <w:keepNext/>
        <w:keepLines/>
        <w:widowControl w:val="0"/>
        <w:numPr>
          <w:ilvl w:val="0"/>
          <w:numId w:val="55"/>
        </w:numPr>
        <w:shd w:val="clear" w:color="auto" w:fill="auto"/>
        <w:tabs>
          <w:tab w:pos="633" w:val="left"/>
        </w:tabs>
        <w:bidi w:val="0"/>
        <w:spacing w:before="0" w:after="360" w:line="240" w:lineRule="auto"/>
        <w:ind w:left="0" w:right="0" w:firstLine="140"/>
        <w:jc w:val="left"/>
      </w:pPr>
      <w:bookmarkStart w:id="1746" w:name="bookmark1746"/>
      <w:bookmarkStart w:id="1747" w:name="bookmark1747"/>
      <w:bookmarkStart w:id="1750" w:name="bookmark1750"/>
      <w:bookmarkStart w:id="1751" w:name="bookmark1751"/>
      <w:bookmarkEnd w:id="1750"/>
      <w:r>
        <w:rPr>
          <w:color w:val="000000"/>
          <w:spacing w:val="0"/>
          <w:w w:val="100"/>
          <w:position w:val="0"/>
        </w:rPr>
        <w:t>应收账款中金额前五名单位情况</w:t>
      </w:r>
      <w:bookmarkEnd w:id="1746"/>
      <w:bookmarkEnd w:id="1747"/>
      <w:bookmarkEnd w:id="175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中国移动通信集团浙江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17,244,021.59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r>
              <w:rPr>
                <w:rFonts w:ascii="Times New Roman" w:eastAsia="Times New Roman" w:hAnsi="Times New Roman" w:cs="Times New Roman"/>
                <w:color w:val="000000"/>
                <w:spacing w:val="0"/>
                <w:w w:val="100"/>
                <w:position w:val="0"/>
                <w:sz w:val="18"/>
                <w:szCs w:val="18"/>
              </w:rPr>
              <w:t>799.29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924.60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0.53</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6,388,065.05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r>
              <w:rPr>
                <w:rFonts w:ascii="Times New Roman" w:eastAsia="Times New Roman" w:hAnsi="Times New Roman" w:cs="Times New Roman"/>
                <w:color w:val="000000"/>
                <w:spacing w:val="0"/>
                <w:w w:val="100"/>
                <w:position w:val="0"/>
                <w:sz w:val="18"/>
                <w:szCs w:val="18"/>
              </w:rPr>
              <w:t>308.43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326.42</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中国移动通信集团江苏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5,410,036.68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r>
              <w:rPr>
                <w:rFonts w:ascii="Times New Roman" w:eastAsia="Times New Roman" w:hAnsi="Times New Roman" w:cs="Times New Roman"/>
                <w:color w:val="000000"/>
                <w:spacing w:val="0"/>
                <w:w w:val="100"/>
                <w:position w:val="0"/>
                <w:sz w:val="18"/>
                <w:szCs w:val="18"/>
              </w:rPr>
              <w:t>193.99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121.48</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154.14</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71.39</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392.00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3,799,303.14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w:t>
            </w:r>
            <w:r>
              <w:rPr>
                <w:rFonts w:ascii="Times New Roman" w:eastAsia="Times New Roman" w:hAnsi="Times New Roman" w:cs="Times New Roman"/>
                <w:color w:val="000000"/>
                <w:spacing w:val="0"/>
                <w:w w:val="100"/>
                <w:position w:val="0"/>
                <w:sz w:val="18"/>
                <w:szCs w:val="18"/>
              </w:rPr>
              <w:t>358.65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21.28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36,761,426.46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w:t>
            </w:r>
          </w:p>
        </w:tc>
      </w:tr>
    </w:tbl>
    <w:p>
      <w:pPr>
        <w:widowControl w:val="0"/>
        <w:spacing w:after="359" w:line="1" w:lineRule="exact"/>
      </w:pPr>
    </w:p>
    <w:p>
      <w:pPr>
        <w:pStyle w:val="Style33"/>
        <w:keepNext/>
        <w:keepLines/>
        <w:widowControl w:val="0"/>
        <w:numPr>
          <w:ilvl w:val="0"/>
          <w:numId w:val="55"/>
        </w:numPr>
        <w:shd w:val="clear" w:color="auto" w:fill="auto"/>
        <w:bidi w:val="0"/>
        <w:spacing w:before="0" w:after="360" w:line="240" w:lineRule="auto"/>
        <w:ind w:left="0" w:right="0" w:firstLine="14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应收关联方账款情况</w:t>
      </w:r>
      <w:bookmarkEnd w:id="1752"/>
      <w:bookmarkEnd w:id="1753"/>
      <w:bookmarkEnd w:id="175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85"/>
        <w:gridCol w:w="2429"/>
        <w:gridCol w:w="2434"/>
        <w:gridCol w:w="243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(8</w:t>
      </w:r>
      <w:r>
        <w:rPr>
          <w:color w:val="000000"/>
          <w:spacing w:val="0"/>
          <w:w w:val="100"/>
          <w:position w:val="0"/>
        </w:rPr>
        <w:t>)</w:t>
      </w:r>
      <w:bookmarkEnd w:id="1756"/>
      <w:bookmarkEnd w:id="1757"/>
      <w:bookmarkEnd w:id="175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不符合终止确认条件的应收账款的转移金额为元。</w:t>
      </w:r>
    </w:p>
    <w:p>
      <w:pPr>
        <w:pStyle w:val="Style33"/>
        <w:keepNext/>
        <w:keepLines/>
        <w:widowControl w:val="0"/>
        <w:numPr>
          <w:ilvl w:val="0"/>
          <w:numId w:val="57"/>
        </w:numPr>
        <w:shd w:val="clear" w:color="auto" w:fill="auto"/>
        <w:bidi w:val="0"/>
        <w:spacing w:before="0" w:after="360" w:line="240" w:lineRule="auto"/>
        <w:ind w:left="0" w:right="0" w:firstLine="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以应收款项为标的资产进行资产证券化的，需简要说明相关交易安排</w:t>
      </w:r>
      <w:bookmarkEnd w:id="1759"/>
      <w:bookmarkEnd w:id="1760"/>
      <w:bookmarkEnd w:id="1762"/>
    </w:p>
    <w:p>
      <w:pPr>
        <w:pStyle w:val="Style33"/>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3" w:name="bookmark176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59"/>
      <w:bookmarkEnd w:id="1760"/>
      <w:bookmarkEnd w:id="1763"/>
    </w:p>
    <w:p>
      <w:pPr>
        <w:pStyle w:val="Style33"/>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59"/>
      <w:bookmarkEnd w:id="1760"/>
      <w:bookmarkEnd w:id="176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79"/>
        <w:gridCol w:w="3830"/>
        <w:gridCol w:w="357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按组合计提坏账准备的其 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7,701,539.70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518,771.39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10,111,789.98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619,741.48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7,701,539.70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518,771.39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10,111,789.98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619,741.48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7,701,539.70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518,771.39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10,111,789.98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619,741.48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77"/>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6,921,331.70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346,066.59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8,523,056.09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426,152.80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448,248.00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1,396,489.00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139,648.90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28,121.78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204,960.00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7,701,539.70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518,771.39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10,111,789.98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619,741.48</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765"/>
      <w:bookmarkEnd w:id="1766"/>
      <w:bookmarkEnd w:id="176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3"/>
        <w:keepNext/>
        <w:keepLines/>
        <w:widowControl w:val="0"/>
        <w:shd w:val="clear" w:color="auto" w:fill="auto"/>
        <w:bidi w:val="0"/>
        <w:spacing w:before="0" w:after="36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768"/>
      <w:bookmarkEnd w:id="1769"/>
      <w:bookmarkEnd w:id="177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72"/>
      <w:bookmarkEnd w:id="1773"/>
      <w:bookmarkEnd w:id="177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w:t>
      </w:r>
      <w:bookmarkEnd w:id="1778"/>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776"/>
      <w:bookmarkEnd w:id="1777"/>
      <w:bookmarkEnd w:id="1779"/>
    </w:p>
    <w:p>
      <w:pPr>
        <w:pStyle w:val="Style33"/>
        <w:keepNext/>
        <w:keepLines/>
        <w:widowControl w:val="0"/>
        <w:shd w:val="clear" w:color="auto" w:fill="auto"/>
        <w:tabs>
          <w:tab w:pos="493" w:val="left"/>
        </w:tabs>
        <w:bidi w:val="0"/>
        <w:spacing w:before="0" w:after="360" w:line="240" w:lineRule="auto"/>
        <w:ind w:left="0" w:right="0" w:firstLine="0"/>
        <w:jc w:val="left"/>
      </w:pPr>
      <w:bookmarkStart w:id="1776" w:name="bookmark1776"/>
      <w:bookmarkStart w:id="1777" w:name="bookmark1777"/>
      <w:bookmarkStart w:id="1780" w:name="bookmark1780"/>
      <w:bookmarkStart w:id="1781" w:name="bookmark1781"/>
      <w:r>
        <w:rPr>
          <w:rFonts w:ascii="Times New Roman" w:eastAsia="Times New Roman" w:hAnsi="Times New Roman" w:cs="Times New Roman"/>
          <w:color w:val="000000"/>
          <w:spacing w:val="0"/>
          <w:w w:val="100"/>
          <w:position w:val="0"/>
        </w:rPr>
        <w:t>（</w:t>
      </w:r>
      <w:bookmarkEnd w:id="1780"/>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776"/>
      <w:bookmarkEnd w:id="1777"/>
      <w:bookmarkEnd w:id="178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上海领卓企业管理咨询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2,484,805.95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上海市青浦工业园区发 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政府职能部门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1,203,191.00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杭州市市级机关事业单 位会计结算中心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315,475.00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4,510,971.95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w:t>
            </w:r>
          </w:p>
        </w:tc>
      </w:tr>
    </w:tbl>
    <w:p>
      <w:pPr>
        <w:spacing w:lineRule="exact" w:line="1"/>
        <w:rPr>
          <w:sz w:val="2"/>
          <w:szCs w:val="2"/>
        </w:rPr>
      </w:pPr>
      <w:r>
        <w:br w:type="page"/>
      </w:r>
    </w:p>
    <w:p>
      <w:pPr>
        <w:pStyle w:val="Style33"/>
        <w:keepNext/>
        <w:keepLines/>
        <w:widowControl w:val="0"/>
        <w:numPr>
          <w:ilvl w:val="0"/>
          <w:numId w:val="59"/>
        </w:numPr>
        <w:shd w:val="clear" w:color="auto" w:fill="auto"/>
        <w:bidi w:val="0"/>
        <w:spacing w:before="0" w:after="360" w:line="240" w:lineRule="auto"/>
        <w:ind w:left="0" w:right="0" w:firstLine="14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其他应收关联方账款情况</w:t>
      </w:r>
      <w:bookmarkEnd w:id="1782"/>
      <w:bookmarkEnd w:id="1783"/>
      <w:bookmarkEnd w:id="178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702"/>
        <w:gridCol w:w="2011"/>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上海领卓企业管理咨询有限公司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2,484,805.95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2,484,805.95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(8</w:t>
      </w:r>
      <w:r>
        <w:rPr>
          <w:color w:val="000000"/>
          <w:spacing w:val="0"/>
          <w:w w:val="100"/>
          <w:position w:val="0"/>
        </w:rPr>
        <w:t>)</w:t>
      </w:r>
      <w:bookmarkEnd w:id="1786"/>
      <w:bookmarkEnd w:id="1787"/>
      <w:bookmarkEnd w:id="178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3"/>
        <w:keepNext/>
        <w:keepLines/>
        <w:widowControl w:val="0"/>
        <w:numPr>
          <w:ilvl w:val="0"/>
          <w:numId w:val="61"/>
        </w:numPr>
        <w:shd w:val="clear" w:color="auto" w:fill="auto"/>
        <w:bidi w:val="0"/>
        <w:spacing w:before="0" w:after="360" w:line="240" w:lineRule="auto"/>
        <w:ind w:left="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以其他应收款项为标的资产进行资产证券化的，需简要说明相关交易安排</w:t>
      </w:r>
      <w:bookmarkEnd w:id="1789"/>
      <w:bookmarkEnd w:id="1790"/>
      <w:bookmarkEnd w:id="1792"/>
    </w:p>
    <w:p>
      <w:pPr>
        <w:pStyle w:val="Style33"/>
        <w:keepNext/>
        <w:keepLines/>
        <w:widowControl w:val="0"/>
        <w:shd w:val="clear" w:color="auto" w:fill="auto"/>
        <w:bidi w:val="0"/>
        <w:spacing w:before="0" w:after="360" w:line="240" w:lineRule="auto"/>
        <w:ind w:left="0" w:right="0" w:firstLine="0"/>
        <w:jc w:val="left"/>
      </w:pPr>
      <w:bookmarkStart w:id="1789" w:name="bookmark1789"/>
      <w:bookmarkStart w:id="1790" w:name="bookmark1790"/>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、长期股权投资</w:t>
      </w:r>
      <w:bookmarkEnd w:id="1789"/>
      <w:bookmarkEnd w:id="1790"/>
      <w:bookmarkEnd w:id="179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both"/>
            </w:pPr>
            <w:r>
              <w:rPr>
                <w:color w:val="000000"/>
                <w:spacing w:val="0"/>
                <w:w w:val="100"/>
                <w:position w:val="0"/>
              </w:rPr>
              <w:t>上海天玑 信息技术 服务有限 公司(注</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极品数据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684,420.0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上海力克 数码科技 有限公司</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15,242,10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22" w:lineRule="exact"/>
              <w:ind w:left="0" w:right="0" w:firstLine="0"/>
              <w:jc w:val="both"/>
            </w:pPr>
            <w:r>
              <w:rPr>
                <w:color w:val="000000"/>
                <w:spacing w:val="0"/>
                <w:w w:val="100"/>
                <w:position w:val="0"/>
              </w:rPr>
              <w:t>上海领卓 企业管理 咨询有限 公司(注</w:t>
            </w:r>
          </w:p>
          <w:p>
            <w:pPr>
              <w:pStyle w:val="Style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极品数码 系统(香 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1,357,800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1,357,800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上海复深 蓝信息技 术有限公 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51,478,32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51,882,22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51,478,32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长期股权投资的说明</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：本年度，经公司管理层会议审议，调整公司经营构架，对公司子公司上海天玑信息技术服务有限公 司进行关闭，收回其投资。</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：本年度，公司实施股权激励方案向子公司上海力克数码科技有限公司、上海领卓企业管理咨询有限 公司核心员工发放限制性股票，由子公司承担相应股权激励费用，导致本公司对子公司的长期股权投资成 本增加。</w:t>
      </w:r>
    </w:p>
    <w:p>
      <w:pPr>
        <w:pStyle w:val="Style40"/>
        <w:keepNext w:val="0"/>
        <w:keepLines w:val="0"/>
        <w:widowControl w:val="0"/>
        <w:shd w:val="clear" w:color="auto" w:fill="auto"/>
        <w:bidi w:val="0"/>
        <w:spacing w:before="0" w:after="220" w:line="46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：公司与上海复深蓝信息技术有限公司（以下简称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复深蓝</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的原股东杨万强、杨文芳于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月签 署《股权转让及增资协议》，参照上海申威资产评估有限公司出具的沪申威评报字（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009</w:t>
      </w:r>
      <w:r>
        <w:rPr>
          <w:color w:val="000000"/>
          <w:spacing w:val="0"/>
          <w:w w:val="100"/>
          <w:position w:val="0"/>
        </w:rPr>
        <w:t>号资产 评估报告，以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日为评估基准日的评估结果，公司以货币资金</w:t>
      </w:r>
      <w:r>
        <w:rPr>
          <w:rFonts w:ascii="Times New Roman" w:eastAsia="Times New Roman" w:hAnsi="Times New Roman" w:cs="Times New Roman"/>
          <w:color w:val="000000"/>
          <w:spacing w:val="0"/>
          <w:w w:val="100"/>
          <w:position w:val="0"/>
        </w:rPr>
        <w:t>3,640</w:t>
      </w:r>
      <w:r>
        <w:rPr>
          <w:color w:val="000000"/>
          <w:spacing w:val="0"/>
          <w:w w:val="100"/>
          <w:position w:val="0"/>
        </w:rPr>
        <w:t>万元通过受让原股东股权和 增资结合的方式收购复深蓝</w:t>
      </w:r>
      <w:r>
        <w:rPr>
          <w:rFonts w:ascii="Times New Roman" w:eastAsia="Times New Roman" w:hAnsi="Times New Roman" w:cs="Times New Roman"/>
          <w:color w:val="000000"/>
          <w:spacing w:val="0"/>
          <w:w w:val="100"/>
          <w:position w:val="0"/>
        </w:rPr>
        <w:t>60%</w:t>
      </w:r>
      <w:r>
        <w:rPr>
          <w:color w:val="000000"/>
          <w:spacing w:val="0"/>
          <w:w w:val="100"/>
          <w:position w:val="0"/>
        </w:rPr>
        <w:t>的股权，其中支付复深蓝增资款</w:t>
      </w:r>
      <w:r>
        <w:rPr>
          <w:rFonts w:ascii="Times New Roman" w:eastAsia="Times New Roman" w:hAnsi="Times New Roman" w:cs="Times New Roman"/>
          <w:color w:val="000000"/>
          <w:spacing w:val="0"/>
          <w:w w:val="100"/>
          <w:position w:val="0"/>
        </w:rPr>
        <w:t>1,500</w:t>
      </w:r>
      <w:r>
        <w:rPr>
          <w:color w:val="000000"/>
          <w:spacing w:val="0"/>
          <w:w w:val="100"/>
          <w:position w:val="0"/>
        </w:rPr>
        <w:t>万元，支付原股东持有复深蓝股权的 股权收购款</w:t>
      </w:r>
      <w:r>
        <w:rPr>
          <w:rFonts w:ascii="Times New Roman" w:eastAsia="Times New Roman" w:hAnsi="Times New Roman" w:cs="Times New Roman"/>
          <w:color w:val="000000"/>
          <w:spacing w:val="0"/>
          <w:w w:val="100"/>
          <w:position w:val="0"/>
        </w:rPr>
        <w:t>2,140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年度已完成支付复深蓝增资款</w:t>
      </w:r>
      <w:r>
        <w:rPr>
          <w:rFonts w:ascii="Times New Roman" w:eastAsia="Times New Roman" w:hAnsi="Times New Roman" w:cs="Times New Roman"/>
          <w:color w:val="000000"/>
          <w:spacing w:val="0"/>
          <w:w w:val="100"/>
          <w:position w:val="0"/>
        </w:rPr>
        <w:t>1,500</w:t>
      </w:r>
      <w:r>
        <w:rPr>
          <w:color w:val="000000"/>
          <w:spacing w:val="0"/>
          <w:w w:val="100"/>
          <w:position w:val="0"/>
        </w:rPr>
        <w:t>万元和</w:t>
      </w:r>
      <w:r>
        <w:rPr>
          <w:rFonts w:ascii="Times New Roman" w:eastAsia="Times New Roman" w:hAnsi="Times New Roman" w:cs="Times New Roman"/>
          <w:color w:val="000000"/>
          <w:spacing w:val="0"/>
          <w:w w:val="100"/>
          <w:position w:val="0"/>
        </w:rPr>
        <w:t>60%</w:t>
      </w:r>
      <w:r>
        <w:rPr>
          <w:color w:val="000000"/>
          <w:spacing w:val="0"/>
          <w:w w:val="100"/>
          <w:position w:val="0"/>
        </w:rPr>
        <w:t>的股权收购款</w:t>
      </w:r>
      <w:r>
        <w:rPr>
          <w:rFonts w:ascii="Times New Roman" w:eastAsia="Times New Roman" w:hAnsi="Times New Roman" w:cs="Times New Roman"/>
          <w:color w:val="000000"/>
          <w:spacing w:val="0"/>
          <w:w w:val="100"/>
          <w:position w:val="0"/>
        </w:rPr>
        <w:t>1,284</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年度复深蓝完成了利润承诺，本年度，公司向原股东支付股权收购款</w:t>
      </w:r>
      <w:r>
        <w:rPr>
          <w:rFonts w:ascii="Times New Roman" w:eastAsia="Times New Roman" w:hAnsi="Times New Roman" w:cs="Times New Roman"/>
          <w:color w:val="000000"/>
          <w:spacing w:val="0"/>
          <w:w w:val="100"/>
          <w:position w:val="0"/>
        </w:rPr>
        <w:t>428</w:t>
      </w:r>
      <w:r>
        <w:rPr>
          <w:color w:val="000000"/>
          <w:spacing w:val="0"/>
          <w:w w:val="100"/>
          <w:position w:val="0"/>
        </w:rPr>
        <w:t>万元。尚未支付的股权收购款</w:t>
      </w:r>
      <w:r>
        <w:rPr>
          <w:rFonts w:ascii="Times New Roman" w:eastAsia="Times New Roman" w:hAnsi="Times New Roman" w:cs="Times New Roman"/>
          <w:color w:val="000000"/>
          <w:spacing w:val="0"/>
          <w:w w:val="100"/>
          <w:position w:val="0"/>
        </w:rPr>
        <w:t xml:space="preserve">428 </w:t>
      </w:r>
      <w:r>
        <w:rPr>
          <w:color w:val="000000"/>
          <w:spacing w:val="0"/>
          <w:w w:val="100"/>
          <w:position w:val="0"/>
        </w:rPr>
        <w:t>万元作为复深蓝</w:t>
      </w:r>
      <w:r>
        <w:rPr>
          <w:rFonts w:ascii="Times New Roman" w:eastAsia="Times New Roman" w:hAnsi="Times New Roman" w:cs="Times New Roman"/>
          <w:color w:val="000000"/>
          <w:spacing w:val="0"/>
          <w:w w:val="100"/>
          <w:position w:val="0"/>
        </w:rPr>
        <w:t>2013</w:t>
      </w:r>
      <w:r>
        <w:rPr>
          <w:color w:val="000000"/>
          <w:spacing w:val="0"/>
          <w:w w:val="100"/>
          <w:position w:val="0"/>
        </w:rPr>
        <w:t>年度至</w:t>
      </w:r>
      <w:r>
        <w:rPr>
          <w:rFonts w:ascii="Times New Roman" w:eastAsia="Times New Roman" w:hAnsi="Times New Roman" w:cs="Times New Roman"/>
          <w:color w:val="000000"/>
          <w:spacing w:val="0"/>
          <w:w w:val="100"/>
          <w:position w:val="0"/>
        </w:rPr>
        <w:t>2014</w:t>
      </w:r>
      <w:r>
        <w:rPr>
          <w:color w:val="000000"/>
          <w:spacing w:val="0"/>
          <w:w w:val="100"/>
          <w:position w:val="0"/>
        </w:rPr>
        <w:t>年度利润承诺保证金，待其实现利润承诺时支付。公司对复深蓝投资成本 总额为人民币</w:t>
      </w:r>
      <w:r>
        <w:rPr>
          <w:rFonts w:ascii="Times New Roman" w:eastAsia="Times New Roman" w:hAnsi="Times New Roman" w:cs="Times New Roman"/>
          <w:color w:val="000000"/>
          <w:spacing w:val="0"/>
          <w:w w:val="100"/>
          <w:position w:val="0"/>
        </w:rPr>
        <w:t>3,640</w:t>
      </w:r>
      <w:r>
        <w:rPr>
          <w:color w:val="000000"/>
          <w:spacing w:val="0"/>
          <w:w w:val="100"/>
          <w:position w:val="0"/>
        </w:rPr>
        <w:t>万元。</w:t>
      </w:r>
    </w:p>
    <w:p>
      <w:pPr>
        <w:pStyle w:val="Style40"/>
        <w:keepNext w:val="0"/>
        <w:keepLines w:val="0"/>
        <w:widowControl w:val="0"/>
        <w:shd w:val="clear" w:color="auto" w:fill="auto"/>
        <w:bidi w:val="0"/>
        <w:spacing w:before="0" w:after="360" w:line="469" w:lineRule="exact"/>
        <w:ind w:left="0" w:right="0" w:firstLine="0"/>
        <w:jc w:val="both"/>
      </w:pPr>
      <w:bookmarkStart w:id="1795" w:name="bookmark1795"/>
      <w:r>
        <w:rPr>
          <w:rFonts w:ascii="Times New Roman" w:eastAsia="Times New Roman" w:hAnsi="Times New Roman" w:cs="Times New Roman"/>
          <w:b/>
          <w:bCs/>
          <w:color w:val="000000"/>
          <w:spacing w:val="0"/>
          <w:w w:val="100"/>
          <w:position w:val="0"/>
        </w:rPr>
        <w:t>4</w:t>
      </w:r>
      <w:bookmarkEnd w:id="1795"/>
      <w:r>
        <w:rPr>
          <w:b/>
          <w:bCs/>
          <w:color w:val="000000"/>
          <w:spacing w:val="0"/>
          <w:w w:val="100"/>
          <w:position w:val="0"/>
        </w:rPr>
        <w:t>、营业收入和营业成本</w:t>
      </w:r>
    </w:p>
    <w:p>
      <w:pPr>
        <w:pStyle w:val="Style40"/>
        <w:keepNext w:val="0"/>
        <w:keepLines w:val="0"/>
        <w:widowControl w:val="0"/>
        <w:shd w:val="clear" w:color="auto" w:fill="auto"/>
        <w:bidi w:val="0"/>
        <w:spacing w:before="0" w:after="360" w:line="240" w:lineRule="auto"/>
        <w:ind w:left="0" w:right="0" w:firstLine="14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285,184,256.07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250,394,595.11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1,687,025.64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287,078,281.72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252,081,620.75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158,286,479.72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146,503,583.64</w:t>
            </w:r>
          </w:p>
        </w:tc>
      </w:tr>
    </w:tbl>
    <w:p>
      <w:pPr>
        <w:pStyle w:val="Style36"/>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）主营业务（分行业）</w:t>
      </w:r>
    </w:p>
    <w:p>
      <w:pPr>
        <w:widowControl w:val="0"/>
        <w:spacing w:after="359" w:line="1" w:lineRule="exact"/>
      </w:pPr>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285,184,256.07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158,286,479.72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250,394,595.11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146,503,583.64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285,184,256.07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158,286,479.72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250,394,595.11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146,503,583.64</w:t>
            </w:r>
          </w:p>
        </w:tc>
      </w:tr>
    </w:tbl>
    <w:p>
      <w:pPr>
        <w:widowControl w:val="0"/>
        <w:spacing w:after="319" w:line="1" w:lineRule="exact"/>
      </w:pPr>
    </w:p>
    <w:p>
      <w:pPr>
        <w:pStyle w:val="Style33"/>
        <w:keepNext/>
        <w:keepLines/>
        <w:widowControl w:val="0"/>
        <w:numPr>
          <w:ilvl w:val="0"/>
          <w:numId w:val="63"/>
        </w:numPr>
        <w:shd w:val="clear" w:color="auto" w:fill="auto"/>
        <w:bidi w:val="0"/>
        <w:spacing w:before="0" w:after="36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主营业务(分产品)</w:t>
      </w:r>
      <w:bookmarkEnd w:id="1796"/>
      <w:bookmarkEnd w:id="1797"/>
      <w:bookmarkEnd w:id="179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支持与维护服务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164,450,424.97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78,358,684.20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138,389,099.36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72,283,749.15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56,457,493.51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31,615,583.61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49,876,338.94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25,978,105.35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16,320,548.64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9,049,425.57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5,821,056.05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2,803,302.20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13,794,068.91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12,394,048.55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6,291,316.49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5,694,304.17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34,161,720.04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26,868,737.79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50,016,784.27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39,744,122.77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285,184,256.07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158,286,479.72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250,394,595.11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146,503,583.64</w:t>
            </w:r>
          </w:p>
        </w:tc>
      </w:tr>
    </w:tbl>
    <w:p>
      <w:pPr>
        <w:widowControl w:val="0"/>
        <w:spacing w:after="319" w:line="1" w:lineRule="exact"/>
      </w:pPr>
    </w:p>
    <w:p>
      <w:pPr>
        <w:pStyle w:val="Style33"/>
        <w:keepNext/>
        <w:keepLines/>
        <w:widowControl w:val="0"/>
        <w:numPr>
          <w:ilvl w:val="0"/>
          <w:numId w:val="63"/>
        </w:numPr>
        <w:shd w:val="clear" w:color="auto" w:fill="auto"/>
        <w:bidi w:val="0"/>
        <w:spacing w:before="0" w:after="360" w:line="240" w:lineRule="auto"/>
        <w:ind w:left="0" w:right="0" w:firstLine="0"/>
        <w:jc w:val="left"/>
      </w:pPr>
      <w:bookmarkStart w:id="1800" w:name="bookmark1800"/>
      <w:bookmarkStart w:id="1801" w:name="bookmark1801"/>
      <w:bookmarkStart w:id="1802" w:name="bookmark1802"/>
      <w:bookmarkStart w:id="1803" w:name="bookmark1803"/>
      <w:bookmarkEnd w:id="1802"/>
      <w:r>
        <w:rPr>
          <w:color w:val="000000"/>
          <w:spacing w:val="0"/>
          <w:w w:val="100"/>
          <w:position w:val="0"/>
        </w:rPr>
        <w:t>主营业务(分地区)</w:t>
      </w:r>
      <w:bookmarkEnd w:id="1800"/>
      <w:bookmarkEnd w:id="1801"/>
      <w:bookmarkEnd w:id="180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173,582,926.75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96,328,957.64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147,916,479.68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84,531,641.15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31,943,221.05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19,162,113.34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39,067,469.77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25,256,946.23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25,436,580.98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14,302,757.43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26,623,299.02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15,013,953.51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15,831,720.75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10,576,249.69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12,522,224.10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7,847,796.01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9,701,316.67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4,887,459.86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13,237,485.64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8,169,647.29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28,688,489.87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13,544,099.15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10,683,030.99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5,514,474.12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285,184,256.07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158,801,637.11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250,394,595.11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146,503,583.64</w:t>
            </w:r>
          </w:p>
        </w:tc>
      </w:tr>
    </w:tbl>
    <w:p>
      <w:pPr>
        <w:widowControl w:val="0"/>
        <w:spacing w:after="319" w:line="1" w:lineRule="exact"/>
      </w:pPr>
    </w:p>
    <w:p>
      <w:pPr>
        <w:pStyle w:val="Style33"/>
        <w:keepNext/>
        <w:keepLines/>
        <w:widowControl w:val="0"/>
        <w:numPr>
          <w:ilvl w:val="0"/>
          <w:numId w:val="63"/>
        </w:numPr>
        <w:shd w:val="clear" w:color="auto" w:fill="auto"/>
        <w:bidi w:val="0"/>
        <w:spacing w:before="0" w:after="360" w:line="240" w:lineRule="auto"/>
        <w:ind w:left="0" w:right="0" w:firstLine="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公司来自前五名客户的营业收入情况</w:t>
      </w:r>
      <w:bookmarkEnd w:id="1804"/>
      <w:bookmarkEnd w:id="1805"/>
      <w:bookmarkEnd w:id="180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中国移动通信集团浙江有限公司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30,970,745.32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r>
    </w:tbl>
    <w:p>
      <w:pPr>
        <w:widowControl w:val="0"/>
        <w:spacing w:line="1" w:lineRule="exact"/>
      </w:pPr>
      <w:r>
        <w:br w:type="page"/>
      </w:r>
    </w:p>
    <w:tbl>
      <w:tblPr>
        <w:tblOverlap w:val="never"/>
        <w:jc w:val="center"/>
        <w:tblLayout w:type="fixed"/>
      </w:tblPr>
      <w:tblGrid>
        <w:gridCol w:w="4790"/>
        <w:gridCol w:w="2923"/>
        <w:gridCol w:w="187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27,126,726.88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13,610,464.64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10,490,844.35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中国移动通信集团四川有限公司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8,969,397.83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91,168,179.02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33"/>
        <w:keepNext/>
        <w:keepLines/>
        <w:widowControl w:val="0"/>
        <w:shd w:val="clear" w:color="auto" w:fill="auto"/>
        <w:bidi w:val="0"/>
        <w:spacing w:before="0" w:after="36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5</w:t>
      </w:r>
      <w:bookmarkEnd w:id="1810"/>
      <w:r>
        <w:rPr>
          <w:color w:val="000000"/>
          <w:spacing w:val="0"/>
          <w:w w:val="100"/>
          <w:position w:val="0"/>
        </w:rPr>
        <w:t>、投资收益</w:t>
      </w:r>
      <w:bookmarkEnd w:id="1808"/>
      <w:bookmarkEnd w:id="1809"/>
      <w:bookmarkEnd w:id="1811"/>
    </w:p>
    <w:p>
      <w:pPr>
        <w:pStyle w:val="Style33"/>
        <w:keepNext/>
        <w:keepLines/>
        <w:widowControl w:val="0"/>
        <w:shd w:val="clear" w:color="auto" w:fill="auto"/>
        <w:bidi w:val="0"/>
        <w:spacing w:before="0" w:after="360" w:line="240" w:lineRule="auto"/>
        <w:ind w:left="0" w:right="0" w:firstLine="140"/>
        <w:jc w:val="left"/>
      </w:pPr>
      <w:bookmarkStart w:id="1808" w:name="bookmark1808"/>
      <w:bookmarkStart w:id="1809" w:name="bookmark1809"/>
      <w:bookmarkStart w:id="1812" w:name="bookmark1812"/>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808"/>
      <w:bookmarkEnd w:id="1809"/>
      <w:bookmarkEnd w:id="181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2,733,726.71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3,474,050.02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813"/>
      <w:bookmarkEnd w:id="1814"/>
      <w:bookmarkEnd w:id="181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2,733,726.71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2,733,726.71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numPr>
          <w:ilvl w:val="0"/>
          <w:numId w:val="65"/>
        </w:numPr>
        <w:shd w:val="clear" w:color="auto" w:fill="auto"/>
        <w:bidi w:val="0"/>
        <w:spacing w:before="0" w:after="360" w:line="240" w:lineRule="auto"/>
        <w:ind w:left="0" w:right="0" w:firstLine="14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按权益法核算的长期股权投资收益</w:t>
      </w:r>
      <w:bookmarkEnd w:id="1816"/>
      <w:bookmarkEnd w:id="1817"/>
      <w:bookmarkEnd w:id="181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31"/>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投资收益的说明</w:t>
      </w:r>
    </w:p>
    <w:p>
      <w:pPr>
        <w:pStyle w:val="Style33"/>
        <w:keepNext/>
        <w:keepLines/>
        <w:widowControl w:val="0"/>
        <w:shd w:val="clear" w:color="auto" w:fill="auto"/>
        <w:bidi w:val="0"/>
        <w:spacing w:before="0" w:after="36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6</w:t>
      </w:r>
      <w:bookmarkEnd w:id="1822"/>
      <w:r>
        <w:rPr>
          <w:color w:val="000000"/>
          <w:spacing w:val="0"/>
          <w:w w:val="100"/>
          <w:position w:val="0"/>
        </w:rPr>
        <w:t>、现金流量表补充资料</w:t>
      </w:r>
      <w:bookmarkEnd w:id="1820"/>
      <w:bookmarkEnd w:id="1821"/>
      <w:bookmarkEnd w:id="182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60,705,317.79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44,096,153.20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1,977,496.24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616,600.04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7,172,668.17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5,496,066.36</w:t>
            </w:r>
          </w:p>
        </w:tc>
      </w:tr>
    </w:tbl>
    <w:p>
      <w:pPr>
        <w:widowControl w:val="0"/>
        <w:spacing w:line="1" w:lineRule="exact"/>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-3,474,050.02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-302,999.24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-955,565.57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-17,590,008.58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-22,765,115.26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-14,017,873.34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27,961,005.92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2,686,192.42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37,355,894.81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54,578,326.87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385,038,168.36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336,149,432.29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336,149,432.29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380,176,103.39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48,888,736.07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-44,026,671.10</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7</w:t>
      </w:r>
      <w:bookmarkEnd w:id="1826"/>
      <w:r>
        <w:rPr>
          <w:color w:val="000000"/>
          <w:spacing w:val="0"/>
          <w:w w:val="100"/>
          <w:position w:val="0"/>
        </w:rPr>
        <w:t>、反向购买下以评估值入账的资产、负债情况</w:t>
      </w:r>
      <w:bookmarkEnd w:id="1824"/>
      <w:bookmarkEnd w:id="1825"/>
      <w:bookmarkEnd w:id="182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反向购买下以公允价值入账的资产、负债情况</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828" w:name="bookmark1828"/>
      <w:bookmarkStart w:id="1829" w:name="bookmark1829"/>
      <w:bookmarkStart w:id="1830" w:name="bookmark1830"/>
      <w:r>
        <w:rPr>
          <w:color w:val="000000"/>
          <w:spacing w:val="0"/>
          <w:w w:val="100"/>
          <w:position w:val="0"/>
        </w:rPr>
        <w:t>十六、补充资料</w:t>
      </w:r>
      <w:bookmarkEnd w:id="1828"/>
      <w:bookmarkEnd w:id="1829"/>
      <w:bookmarkEnd w:id="1830"/>
    </w:p>
    <w:p>
      <w:pPr>
        <w:pStyle w:val="Style33"/>
        <w:keepNext/>
        <w:keepLines/>
        <w:widowControl w:val="0"/>
        <w:shd w:val="clear" w:color="auto" w:fill="auto"/>
        <w:bidi w:val="0"/>
        <w:spacing w:before="0" w:after="340" w:line="240" w:lineRule="auto"/>
        <w:ind w:left="0" w:right="0" w:firstLine="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1"/>
      <w:bookmarkEnd w:id="1832"/>
      <w:bookmarkEnd w:id="183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6,596,629.00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除同公司正常经营业务相关的有效套期保值业务外，持有交易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740,323.31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232"/>
        <w:gridCol w:w="2515"/>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1,133,902.58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6,297,004.04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34"/>
      <w:bookmarkEnd w:id="1835"/>
      <w:bookmarkEnd w:id="1836"/>
    </w:p>
    <w:p>
      <w:pPr>
        <w:pStyle w:val="Style33"/>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34"/>
      <w:bookmarkEnd w:id="1835"/>
      <w:bookmarkEnd w:id="183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60,842,729.05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48,207,495.51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596,669,261.22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519,685,524.77</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838"/>
      <w:bookmarkEnd w:id="1839"/>
      <w:bookmarkEnd w:id="184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60,842,729.05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48,207,495.51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596,669,261.22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519,685,524.77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841"/>
      <w:bookmarkEnd w:id="1842"/>
      <w:bookmarkEnd w:id="1844"/>
    </w:p>
    <w:p>
      <w:pPr>
        <w:pStyle w:val="Style33"/>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5" w:name="bookmark1845"/>
      <w:bookmarkStart w:id="1846" w:name="bookmark1846"/>
      <w:r>
        <w:rPr>
          <w:rFonts w:ascii="Times New Roman" w:eastAsia="Times New Roman" w:hAnsi="Times New Roman" w:cs="Times New Roman"/>
          <w:color w:val="000000"/>
          <w:spacing w:val="0"/>
          <w:w w:val="100"/>
          <w:position w:val="0"/>
        </w:rPr>
        <w:t>3</w:t>
      </w:r>
      <w:bookmarkEnd w:id="1845"/>
      <w:r>
        <w:rPr>
          <w:color w:val="000000"/>
          <w:spacing w:val="0"/>
          <w:w w:val="100"/>
          <w:position w:val="0"/>
        </w:rPr>
        <w:t>、净资产收益率及每股收益</w:t>
      </w:r>
      <w:bookmarkEnd w:id="1841"/>
      <w:bookmarkEnd w:id="1842"/>
      <w:bookmarkEnd w:id="184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spacing w:lineRule="exact" w:line="1"/>
        <w:rPr>
          <w:sz w:val="2"/>
          <w:szCs w:val="2"/>
        </w:rPr>
      </w:pPr>
      <w:r>
        <w:br w:type="page"/>
      </w:r>
    </w:p>
    <w:p>
      <w:pPr>
        <w:pStyle w:val="Style40"/>
        <w:keepNext w:val="0"/>
        <w:keepLines w:val="0"/>
        <w:widowControl w:val="0"/>
        <w:shd w:val="clear" w:color="auto" w:fill="auto"/>
        <w:bidi w:val="0"/>
        <w:spacing w:before="0" w:after="500" w:line="240" w:lineRule="auto"/>
        <w:ind w:left="0" w:right="0" w:firstLine="0"/>
        <w:jc w:val="left"/>
      </w:pPr>
      <w:bookmarkStart w:id="1847" w:name="bookmark1847"/>
      <w:r>
        <w:rPr>
          <w:rFonts w:ascii="Times New Roman" w:eastAsia="Times New Roman" w:hAnsi="Times New Roman" w:cs="Times New Roman"/>
          <w:b/>
          <w:bCs/>
          <w:color w:val="000000"/>
          <w:spacing w:val="0"/>
          <w:w w:val="100"/>
          <w:position w:val="0"/>
        </w:rPr>
        <w:t>4</w:t>
      </w:r>
      <w:bookmarkEnd w:id="1847"/>
      <w:r>
        <w:rPr>
          <w:b/>
          <w:bCs/>
          <w:color w:val="000000"/>
          <w:spacing w:val="0"/>
          <w:w w:val="100"/>
          <w:position w:val="0"/>
        </w:rPr>
        <w:t>、公司主要会计报表项目的异常情况及原因的说明</w:t>
      </w:r>
    </w:p>
    <w:tbl>
      <w:tblPr>
        <w:tblOverlap w:val="never"/>
        <w:jc w:val="center"/>
        <w:tblLayout w:type="fixed"/>
      </w:tblPr>
      <w:tblGrid>
        <w:gridCol w:w="1152"/>
        <w:gridCol w:w="1416"/>
        <w:gridCol w:w="1277"/>
        <w:gridCol w:w="1138"/>
        <w:gridCol w:w="3115"/>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报表项目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年末余额 （或本年金额）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年初余额</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（或上年金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变动比率</w:t>
            </w:r>
          </w:p>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变动原因</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124,831,119.15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98,404,622.49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主要系本年度公司业务规模扩大 所致</w:t>
            </w:r>
          </w:p>
        </w:tc>
      </w:tr>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97,256,153.35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72,977,857.79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主要系公司购入募投项目所涉的 北京、重庆房产本年度转入固定资 产增加所致</w:t>
            </w:r>
          </w:p>
        </w:tc>
      </w:tr>
      <w:tr>
        <w:trPr>
          <w:trHeight w:val="100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12,485,415.75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9,018,580.88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主要系本年度公司收入增加导致 整体利润增加相应所得税费用增 加所致</w:t>
            </w:r>
          </w:p>
        </w:tc>
      </w:tr>
    </w:tbl>
    <w:p>
      <w:pPr>
        <w:sectPr>
          <w:footnotePr>
            <w:pos w:val="pageBottom"/>
            <w:numFmt w:val="decimal"/>
            <w:numRestart w:val="continuous"/>
          </w:footnotePr>
          <w:pgSz w:w="11900" w:h="16840"/>
          <w:pgMar w:top="1239" w:right="1049" w:bottom="1421" w:left="1058" w:header="0" w:footer="3" w:gutter="0"/>
          <w:cols w:space="720"/>
          <w:noEndnote/>
          <w:rtlGutter w:val="0"/>
          <w:docGrid w:linePitch="360"/>
        </w:sectPr>
      </w:pPr>
    </w:p>
    <w:p>
      <w:pPr>
        <w:pStyle w:val="Style14"/>
        <w:keepNext/>
        <w:keepLines/>
        <w:widowControl w:val="0"/>
        <w:shd w:val="clear" w:color="auto" w:fill="auto"/>
        <w:bidi w:val="0"/>
        <w:spacing w:before="0" w:after="640" w:line="240" w:lineRule="auto"/>
        <w:ind w:left="0" w:right="0" w:firstLine="0"/>
        <w:jc w:val="center"/>
      </w:pPr>
      <w:bookmarkStart w:id="1848" w:name="bookmark1848"/>
      <w:bookmarkStart w:id="1849" w:name="bookmark1849"/>
      <w:bookmarkStart w:id="1850" w:name="bookmark1850"/>
      <w:r>
        <w:rPr>
          <w:color w:val="000000"/>
          <w:spacing w:val="0"/>
          <w:w w:val="100"/>
          <w:position w:val="0"/>
        </w:rPr>
        <w:t>第十节备查文件目录</w:t>
      </w:r>
      <w:bookmarkEnd w:id="1848"/>
      <w:bookmarkEnd w:id="1849"/>
      <w:bookmarkEnd w:id="1850"/>
    </w:p>
    <w:p>
      <w:pPr>
        <w:pStyle w:val="Style40"/>
        <w:keepNext w:val="0"/>
        <w:keepLines w:val="0"/>
        <w:widowControl w:val="0"/>
        <w:shd w:val="clear" w:color="auto" w:fill="auto"/>
        <w:tabs>
          <w:tab w:pos="469" w:val="left"/>
        </w:tabs>
        <w:bidi w:val="0"/>
        <w:spacing w:before="0" w:after="220" w:line="240" w:lineRule="auto"/>
        <w:ind w:left="0" w:right="0" w:firstLine="0"/>
        <w:jc w:val="left"/>
      </w:pPr>
      <w:bookmarkStart w:id="1851" w:name="bookmark1851"/>
      <w:bookmarkStart w:id="1852" w:name="bookmark1852"/>
      <w:r>
        <w:rPr>
          <w:color w:val="000000"/>
          <w:spacing w:val="0"/>
          <w:w w:val="100"/>
          <w:position w:val="0"/>
        </w:rPr>
        <w:t>一</w:t>
      </w:r>
      <w:bookmarkEnd w:id="1852"/>
      <w:r>
        <w:rPr>
          <w:color w:val="000000"/>
          <w:spacing w:val="0"/>
          <w:w w:val="100"/>
          <w:position w:val="0"/>
        </w:rPr>
        <w:t>、</w:t>
        <w:tab/>
        <w:t>载有公司法定代表人、主管会计工作负责人、会计主管人员签名并盖章的财务报表。</w:t>
      </w:r>
      <w:bookmarkEnd w:id="1851"/>
    </w:p>
    <w:p>
      <w:pPr>
        <w:pStyle w:val="Style40"/>
        <w:keepNext w:val="0"/>
        <w:keepLines w:val="0"/>
        <w:widowControl w:val="0"/>
        <w:shd w:val="clear" w:color="auto" w:fill="auto"/>
        <w:tabs>
          <w:tab w:pos="469" w:val="left"/>
        </w:tabs>
        <w:bidi w:val="0"/>
        <w:spacing w:before="0" w:after="220" w:line="240" w:lineRule="auto"/>
        <w:ind w:left="0" w:right="0" w:firstLine="0"/>
        <w:jc w:val="left"/>
      </w:pPr>
      <w:bookmarkStart w:id="1853" w:name="bookmark1853"/>
      <w:r>
        <w:rPr>
          <w:color w:val="000000"/>
          <w:spacing w:val="0"/>
          <w:w w:val="100"/>
          <w:position w:val="0"/>
        </w:rPr>
        <w:t>二</w:t>
      </w:r>
      <w:bookmarkEnd w:id="1853"/>
      <w:r>
        <w:rPr>
          <w:color w:val="000000"/>
          <w:spacing w:val="0"/>
          <w:w w:val="100"/>
          <w:position w:val="0"/>
        </w:rPr>
        <w:t>、</w:t>
        <w:tab/>
        <w:t>载有会计师事务所盖章、注册会计师签名并盖章的审计报告原件。</w:t>
      </w:r>
    </w:p>
    <w:p>
      <w:pPr>
        <w:pStyle w:val="Style40"/>
        <w:keepNext w:val="0"/>
        <w:keepLines w:val="0"/>
        <w:widowControl w:val="0"/>
        <w:shd w:val="clear" w:color="auto" w:fill="auto"/>
        <w:tabs>
          <w:tab w:pos="474" w:val="left"/>
        </w:tabs>
        <w:bidi w:val="0"/>
        <w:spacing w:before="0" w:after="220" w:line="240" w:lineRule="auto"/>
        <w:ind w:left="0" w:right="0" w:firstLine="0"/>
        <w:jc w:val="left"/>
      </w:pPr>
      <w:bookmarkStart w:id="1854" w:name="bookmark1854"/>
      <w:r>
        <w:rPr>
          <w:color w:val="000000"/>
          <w:spacing w:val="0"/>
          <w:w w:val="100"/>
          <w:position w:val="0"/>
        </w:rPr>
        <w:t>三</w:t>
      </w:r>
      <w:bookmarkEnd w:id="1854"/>
      <w:r>
        <w:rPr>
          <w:color w:val="000000"/>
          <w:spacing w:val="0"/>
          <w:w w:val="100"/>
          <w:position w:val="0"/>
        </w:rPr>
        <w:t>、</w:t>
        <w:tab/>
        <w:t>报告期内在中国证监会指定网站上公开披露过的所有公司文件的正本及公告的原稿。</w:t>
      </w:r>
    </w:p>
    <w:p>
      <w:pPr>
        <w:pStyle w:val="Style40"/>
        <w:keepNext w:val="0"/>
        <w:keepLines w:val="0"/>
        <w:widowControl w:val="0"/>
        <w:shd w:val="clear" w:color="auto" w:fill="auto"/>
        <w:tabs>
          <w:tab w:pos="474" w:val="left"/>
        </w:tabs>
        <w:bidi w:val="0"/>
        <w:spacing w:before="0" w:after="220" w:line="240" w:lineRule="auto"/>
        <w:ind w:left="0" w:right="0" w:firstLine="0"/>
        <w:jc w:val="left"/>
      </w:pPr>
      <w:bookmarkStart w:id="1855" w:name="bookmark1855"/>
      <w:r>
        <w:rPr>
          <w:color w:val="000000"/>
          <w:spacing w:val="0"/>
          <w:w w:val="100"/>
          <w:position w:val="0"/>
        </w:rPr>
        <w:t>四</w:t>
      </w:r>
      <w:bookmarkEnd w:id="1855"/>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年度报告文本原件。</w:t>
      </w:r>
    </w:p>
    <w:p>
      <w:pPr>
        <w:pStyle w:val="Style40"/>
        <w:keepNext w:val="0"/>
        <w:keepLines w:val="0"/>
        <w:widowControl w:val="0"/>
        <w:shd w:val="clear" w:color="auto" w:fill="auto"/>
        <w:bidi w:val="0"/>
        <w:spacing w:before="0" w:after="1160" w:line="240" w:lineRule="auto"/>
        <w:ind w:left="0" w:right="0" w:firstLine="0"/>
        <w:jc w:val="left"/>
      </w:pPr>
      <w:r>
        <w:rPr>
          <w:color w:val="000000"/>
          <w:spacing w:val="0"/>
          <w:w w:val="100"/>
          <w:position w:val="0"/>
        </w:rPr>
        <w:t>以上备查文件的备置地点：董事会办公室。</w:t>
      </w:r>
    </w:p>
    <w:p>
      <w:pPr>
        <w:pStyle w:val="Style40"/>
        <w:keepNext w:val="0"/>
        <w:keepLines w:val="0"/>
        <w:widowControl w:val="0"/>
        <w:shd w:val="clear" w:color="auto" w:fill="auto"/>
        <w:bidi w:val="0"/>
        <w:spacing w:before="0" w:after="680" w:line="240" w:lineRule="auto"/>
        <w:ind w:left="0" w:right="220" w:firstLine="0"/>
        <w:jc w:val="right"/>
      </w:pPr>
      <w:r>
        <w:rPr>
          <w:color w:val="000000"/>
          <w:spacing w:val="0"/>
          <w:w w:val="100"/>
          <w:position w:val="0"/>
        </w:rPr>
        <w:t>上海天玑科技股份有限公司</w:t>
      </w:r>
    </w:p>
    <w:p>
      <w:pPr>
        <w:pStyle w:val="Style40"/>
        <w:keepNext w:val="0"/>
        <w:keepLines w:val="0"/>
        <w:widowControl w:val="0"/>
        <w:shd w:val="clear" w:color="auto" w:fill="auto"/>
        <w:bidi w:val="0"/>
        <w:spacing w:before="0" w:after="680" w:line="240" w:lineRule="auto"/>
        <w:ind w:left="0" w:right="220" w:firstLine="0"/>
        <w:jc w:val="right"/>
      </w:pPr>
      <w:r>
        <w:rPr>
          <w:color w:val="000000"/>
          <w:spacing w:val="0"/>
          <w:w w:val="100"/>
          <w:position w:val="0"/>
        </w:rPr>
        <w:t>法定代表人：陆文雄</w:t>
      </w:r>
    </w:p>
    <w:p>
      <w:pPr>
        <w:pStyle w:val="Style40"/>
        <w:keepNext w:val="0"/>
        <w:keepLines w:val="0"/>
        <w:widowControl w:val="0"/>
        <w:shd w:val="clear" w:color="auto" w:fill="auto"/>
        <w:bidi w:val="0"/>
        <w:spacing w:before="0" w:after="440" w:line="240" w:lineRule="auto"/>
        <w:ind w:left="0" w:right="220" w:firstLine="0"/>
        <w:jc w:val="right"/>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w:t>
      </w:r>
    </w:p>
    <w:sectPr>
      <w:footnotePr>
        <w:pos w:val="pageBottom"/>
        <w:numFmt w:val="decimal"/>
        <w:numRestart w:val="continuous"/>
      </w:footnotePr>
      <w:pgSz w:w="11900" w:h="16840"/>
      <w:pgMar w:top="1969" w:right="1114"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6735445</wp:posOffset>
              </wp:positionH>
              <wp:positionV relativeFrom="page">
                <wp:posOffset>9955530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35000000000002pt;margin-top:783.8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478790</wp:posOffset>
              </wp:positionV>
              <wp:extent cx="2334895" cy="106680"/>
              <wp:wrapNone/>
              <wp:docPr id="1" name="Shape 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25pt;margin-top:37.7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4504690</wp:posOffset>
              </wp:positionH>
              <wp:positionV relativeFrom="page">
                <wp:posOffset>561340</wp:posOffset>
              </wp:positionV>
              <wp:extent cx="2334895" cy="106680"/>
              <wp:wrapNone/>
              <wp:docPr id="6" name="Shape 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54.69999999999999pt;margin-top:44.20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Hei" w:eastAsia="SimHei" w:hAnsi="SimHei" w:cs="SimHei"/>
      <w:b w:val="0"/>
      <w:bCs w:val="0"/>
      <w:i w:val="0"/>
      <w:iCs w:val="0"/>
      <w:smallCaps w:val="0"/>
      <w:strike w:val="0"/>
      <w:sz w:val="52"/>
      <w:szCs w:val="5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4)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正文文本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67">
    <w:name w:val="正文文本 (3)_"/>
    <w:basedOn w:val="DefaultParagraphFont"/>
    <w:link w:val="Style6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2">
    <w:name w:val="正文文本 (7)_"/>
    <w:basedOn w:val="DefaultParagraphFont"/>
    <w:link w:val="Style81"/>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ind w:left="4480"/>
      <w:outlineLvl w:val="0"/>
    </w:pPr>
    <w:rPr>
      <w:rFonts w:ascii="SimHei" w:eastAsia="SimHei" w:hAnsi="SimHei" w:cs="SimHei"/>
      <w:b w:val="0"/>
      <w:bCs w:val="0"/>
      <w:i w:val="0"/>
      <w:iCs w:val="0"/>
      <w:smallCaps w:val="0"/>
      <w:strike w:val="0"/>
      <w:sz w:val="52"/>
      <w:szCs w:val="52"/>
      <w:u w:val="none"/>
      <w:shd w:val="clear" w:color="auto" w:fill="auto"/>
    </w:rPr>
  </w:style>
  <w:style w:type="paragraph" w:customStyle="1" w:styleId="Style14">
    <w:name w:val="标题 #2"/>
    <w:basedOn w:val="Normal"/>
    <w:link w:val="CharStyle15"/>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4)"/>
    <w:basedOn w:val="Normal"/>
    <w:link w:val="CharStyle18"/>
    <w:pPr>
      <w:widowControl w:val="0"/>
      <w:shd w:val="clear" w:color="auto" w:fill="auto"/>
      <w:spacing w:after="15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标题 #3"/>
    <w:basedOn w:val="Normal"/>
    <w:link w:val="CharStyle28"/>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9">
    <w:name w:val="正文文本 (2)"/>
    <w:basedOn w:val="Normal"/>
    <w:link w:val="CharStyle30"/>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4"/>
    <w:basedOn w:val="Normal"/>
    <w:link w:val="CharStyle34"/>
    <w:pPr>
      <w:widowControl w:val="0"/>
      <w:shd w:val="clear" w:color="auto" w:fill="auto"/>
      <w:spacing w:after="100" w:line="326"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正文文本"/>
    <w:basedOn w:val="Normal"/>
    <w:link w:val="CharStyle41"/>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6">
    <w:name w:val="正文文本 (3)"/>
    <w:basedOn w:val="Normal"/>
    <w:link w:val="CharStyle67"/>
    <w:pPr>
      <w:widowControl w:val="0"/>
      <w:shd w:val="clear" w:color="auto" w:fill="auto"/>
      <w:spacing w:after="360" w:line="325" w:lineRule="exact"/>
      <w:ind w:left="440" w:firstLine="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1">
    <w:name w:val="正文文本 (7)"/>
    <w:basedOn w:val="Normal"/>
    <w:link w:val="CharStyle82"/>
    <w:pPr>
      <w:widowControl w:val="0"/>
      <w:shd w:val="clear" w:color="auto" w:fill="auto"/>
      <w:spacing w:after="40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上海天玑科技股份有限公司2013年度报告全文</dc:title>
  <dc:subject/>
  <dc:creator>上海天玑科技股份有限公司</dc:creator>
  <cp:keywords/>
</cp:coreProperties>
</file>